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theme/themeOverride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Toc372294042" w:displacedByCustomXml="next"/>
    <w:bookmarkStart w:id="1" w:name="_Hlk526952624" w:displacedByCustomXml="next"/>
    <w:sdt>
      <w:sdtPr>
        <w:id w:val="12426901"/>
        <w:docPartObj>
          <w:docPartGallery w:val="Cover Pages"/>
          <w:docPartUnique/>
        </w:docPartObj>
      </w:sdtPr>
      <w:sdtEndPr/>
      <w:sdtContent>
        <w:p w:rsidR="00A16B8C" w:rsidRPr="00C90AC9" w:rsidRDefault="00A16B8C" w:rsidP="00B06779"/>
        <w:tbl>
          <w:tblPr>
            <w:tblpPr w:leftFromText="180" w:rightFromText="180" w:vertAnchor="page" w:horzAnchor="margin" w:tblpY="1871"/>
            <w:tblW w:w="5000" w:type="pct"/>
            <w:tblLook w:val="04A0" w:firstRow="1" w:lastRow="0" w:firstColumn="1" w:lastColumn="0" w:noHBand="0" w:noVBand="1"/>
          </w:tblPr>
          <w:tblGrid>
            <w:gridCol w:w="9192"/>
          </w:tblGrid>
          <w:tr w:rsidR="00E6761B" w:rsidRPr="00C90AC9" w:rsidTr="00E6761B">
            <w:trPr>
              <w:trHeight w:val="2880"/>
            </w:trPr>
            <w:sdt>
              <w:sdtPr>
                <w:rPr>
                  <w:rFonts w:eastAsiaTheme="majorEastAsia"/>
                  <w:sz w:val="104"/>
                  <w:szCs w:val="104"/>
                </w:rPr>
                <w:alias w:val="Title"/>
                <w:id w:val="15524250"/>
                <w:dataBinding w:prefixMappings="xmlns:ns0='http://schemas.openxmlformats.org/package/2006/metadata/core-properties' xmlns:ns1='http://purl.org/dc/elements/1.1/'" w:xpath="/ns0:coreProperties[1]/ns1:title[1]" w:storeItemID="{6C3C8BC8-F283-45AE-878A-BAB7291924A1}"/>
                <w:text/>
              </w:sdtPr>
              <w:sdtEndPr/>
              <w:sdtContent>
                <w:tc>
                  <w:tcPr>
                    <w:tcW w:w="5000" w:type="pct"/>
                  </w:tcPr>
                  <w:p w:rsidR="00E6761B" w:rsidRPr="00C90AC9" w:rsidRDefault="008505D9" w:rsidP="003D1805">
                    <w:pPr>
                      <w:pStyle w:val="Heading2"/>
                      <w:rPr>
                        <w:rFonts w:eastAsiaTheme="majorEastAsia"/>
                        <w:sz w:val="72"/>
                      </w:rPr>
                    </w:pPr>
                    <w:r w:rsidRPr="00C90AC9">
                      <w:rPr>
                        <w:rFonts w:eastAsiaTheme="majorEastAsia"/>
                        <w:sz w:val="104"/>
                        <w:szCs w:val="104"/>
                      </w:rPr>
                      <w:t>A novel method for solar heating of domestic water, with the opinions of main actors and consumers considered for its diffusion in the UK</w:t>
                    </w:r>
                  </w:p>
                </w:tc>
              </w:sdtContent>
            </w:sdt>
          </w:tr>
          <w:tr w:rsidR="00E6761B" w:rsidRPr="00C90AC9" w:rsidTr="00E6761B">
            <w:trPr>
              <w:trHeight w:val="387"/>
            </w:trPr>
            <w:tc>
              <w:tcPr>
                <w:tcW w:w="5000" w:type="pct"/>
                <w:tcBorders>
                  <w:bottom w:val="single" w:sz="4" w:space="0" w:color="4F81BD" w:themeColor="accent1"/>
                </w:tcBorders>
                <w:vAlign w:val="center"/>
              </w:tcPr>
              <w:p w:rsidR="00E6761B" w:rsidRPr="00C90AC9" w:rsidRDefault="00E6761B" w:rsidP="00E6761B">
                <w:pPr>
                  <w:pStyle w:val="NoSpacing"/>
                  <w:spacing w:line="360" w:lineRule="auto"/>
                  <w:rPr>
                    <w:rFonts w:ascii="Times New Roman" w:eastAsiaTheme="majorEastAsia" w:hAnsi="Times New Roman" w:cs="Times New Roman"/>
                    <w:sz w:val="24"/>
                    <w:szCs w:val="24"/>
                    <w:lang w:val="en-GB"/>
                  </w:rPr>
                </w:pPr>
              </w:p>
            </w:tc>
          </w:tr>
          <w:tr w:rsidR="00E6761B" w:rsidRPr="00C90AC9" w:rsidTr="00E6761B">
            <w:trPr>
              <w:trHeight w:val="720"/>
            </w:trPr>
            <w:tc>
              <w:tcPr>
                <w:tcW w:w="5000" w:type="pct"/>
                <w:tcBorders>
                  <w:top w:val="single" w:sz="4" w:space="0" w:color="4F81BD" w:themeColor="accent1"/>
                </w:tcBorders>
                <w:vAlign w:val="bottom"/>
              </w:tcPr>
              <w:sdt>
                <w:sdtPr>
                  <w:rPr>
                    <w:rFonts w:ascii="Times New Roman" w:eastAsiaTheme="majorEastAsia" w:hAnsi="Times New Roman" w:cs="Times New Roman"/>
                    <w:sz w:val="36"/>
                    <w:szCs w:val="24"/>
                    <w:lang w:val="en-GB" w:eastAsia="en-US"/>
                  </w:rPr>
                  <w:alias w:val="Subtitle"/>
                  <w:id w:val="15524255"/>
                  <w:dataBinding w:prefixMappings="xmlns:ns0='http://schemas.openxmlformats.org/package/2006/metadata/core-properties' xmlns:ns1='http://purl.org/dc/elements/1.1/'" w:xpath="/ns0:coreProperties[1]/ns1:subject[1]" w:storeItemID="{6C3C8BC8-F283-45AE-878A-BAB7291924A1}"/>
                  <w:text/>
                </w:sdtPr>
                <w:sdtEndPr/>
                <w:sdtContent>
                  <w:p w:rsidR="00E6761B" w:rsidRPr="00C90AC9" w:rsidRDefault="008505D9" w:rsidP="00E6761B">
                    <w:pPr>
                      <w:pStyle w:val="NoSpacing"/>
                      <w:spacing w:line="360" w:lineRule="auto"/>
                      <w:jc w:val="center"/>
                      <w:rPr>
                        <w:rFonts w:ascii="Times New Roman" w:eastAsiaTheme="majorEastAsia" w:hAnsi="Times New Roman" w:cs="Times New Roman"/>
                        <w:sz w:val="24"/>
                        <w:szCs w:val="24"/>
                        <w:lang w:val="en-GB"/>
                      </w:rPr>
                    </w:pPr>
                    <w:r w:rsidRPr="00C90AC9">
                      <w:rPr>
                        <w:rFonts w:ascii="Times New Roman" w:eastAsiaTheme="majorEastAsia" w:hAnsi="Times New Roman" w:cs="Times New Roman"/>
                        <w:sz w:val="36"/>
                        <w:szCs w:val="24"/>
                        <w:lang w:val="en-GB" w:eastAsia="en-US"/>
                      </w:rPr>
                      <w:t>A tale of two departments</w:t>
                    </w:r>
                  </w:p>
                </w:sdtContent>
              </w:sdt>
            </w:tc>
          </w:tr>
          <w:tr w:rsidR="00E6761B" w:rsidRPr="00C90AC9" w:rsidTr="00E6761B">
            <w:trPr>
              <w:trHeight w:val="360"/>
            </w:trPr>
            <w:tc>
              <w:tcPr>
                <w:tcW w:w="5000" w:type="pct"/>
                <w:vAlign w:val="center"/>
              </w:tcPr>
              <w:p w:rsidR="00E6761B" w:rsidRPr="00C90AC9" w:rsidRDefault="006F0C85" w:rsidP="00E6761B">
                <w:pPr>
                  <w:pStyle w:val="NoSpacing"/>
                  <w:spacing w:line="360" w:lineRule="auto"/>
                  <w:jc w:val="center"/>
                  <w:rPr>
                    <w:rFonts w:ascii="Times New Roman" w:hAnsi="Times New Roman" w:cs="Times New Roman"/>
                    <w:b/>
                    <w:bCs/>
                    <w:sz w:val="32"/>
                    <w:szCs w:val="24"/>
                    <w:lang w:val="en-GB"/>
                  </w:rPr>
                </w:pPr>
                <w:sdt>
                  <w:sdtPr>
                    <w:rPr>
                      <w:rFonts w:ascii="Times New Roman" w:hAnsi="Times New Roman" w:cs="Times New Roman"/>
                      <w:sz w:val="32"/>
                      <w:szCs w:val="24"/>
                      <w:lang w:val="en-GB"/>
                    </w:rPr>
                    <w:alias w:val="Author"/>
                    <w:id w:val="-553540527"/>
                    <w:dataBinding w:prefixMappings="xmlns:ns0='http://schemas.openxmlformats.org/package/2006/metadata/core-properties' xmlns:ns1='http://purl.org/dc/elements/1.1/'" w:xpath="/ns0:coreProperties[1]/ns1:creator[1]" w:storeItemID="{6C3C8BC8-F283-45AE-878A-BAB7291924A1}"/>
                    <w:text/>
                  </w:sdtPr>
                  <w:sdtEndPr/>
                  <w:sdtContent>
                    <w:r w:rsidR="008505D9" w:rsidRPr="00C90AC9">
                      <w:rPr>
                        <w:rFonts w:ascii="Times New Roman" w:hAnsi="Times New Roman" w:cs="Times New Roman"/>
                        <w:sz w:val="32"/>
                        <w:szCs w:val="24"/>
                        <w:lang w:val="en-GB"/>
                      </w:rPr>
                      <w:t>James Peter Robert Williams MEng, MSc</w:t>
                    </w:r>
                  </w:sdtContent>
                </w:sdt>
              </w:p>
            </w:tc>
          </w:tr>
        </w:tbl>
        <w:p w:rsidR="00DD179C" w:rsidRPr="00C90AC9" w:rsidRDefault="00841C0F" w:rsidP="00B06779">
          <w:pPr>
            <w:rPr>
              <w:sz w:val="22"/>
            </w:rPr>
          </w:pPr>
          <w:r w:rsidRPr="00C90AC9">
            <w:rPr>
              <w:sz w:val="22"/>
            </w:rPr>
            <w:t>S</w:t>
          </w:r>
          <w:r w:rsidR="00DD179C" w:rsidRPr="00C90AC9">
            <w:rPr>
              <w:sz w:val="22"/>
            </w:rPr>
            <w:t>ubmitted in the departments of:</w:t>
          </w:r>
        </w:p>
        <w:p w:rsidR="00A16B8C" w:rsidRPr="00C90AC9" w:rsidRDefault="00DD179C" w:rsidP="00B06779">
          <w:pPr>
            <w:rPr>
              <w:sz w:val="22"/>
            </w:rPr>
          </w:pPr>
          <w:r w:rsidRPr="00C90AC9">
            <w:rPr>
              <w:sz w:val="22"/>
            </w:rPr>
            <w:t xml:space="preserve">Mechanical Engineering and </w:t>
          </w:r>
          <w:r w:rsidR="00A16B8C" w:rsidRPr="00C90AC9">
            <w:rPr>
              <w:sz w:val="22"/>
            </w:rPr>
            <w:t>Psychology</w:t>
          </w:r>
        </w:p>
        <w:p w:rsidR="00A16B8C" w:rsidRPr="00C90AC9" w:rsidRDefault="005C709F" w:rsidP="00B06779">
          <w:r w:rsidRPr="00C90AC9">
            <w:rPr>
              <w:sz w:val="22"/>
            </w:rPr>
            <w:t>Autumn</w:t>
          </w:r>
          <w:r w:rsidR="00E74A74" w:rsidRPr="00C90AC9">
            <w:rPr>
              <w:sz w:val="22"/>
            </w:rPr>
            <w:t xml:space="preserve"> 2018</w:t>
          </w:r>
        </w:p>
      </w:sdtContent>
    </w:sdt>
    <w:p w:rsidR="00FA1B00" w:rsidRPr="00C90AC9" w:rsidRDefault="00FA1B00" w:rsidP="001259B5">
      <w:pPr>
        <w:jc w:val="center"/>
      </w:pPr>
      <w:bookmarkStart w:id="2" w:name="_Toc372294045"/>
      <w:bookmarkEnd w:id="0"/>
    </w:p>
    <w:p w:rsidR="00946FF4" w:rsidRPr="00C90AC9" w:rsidRDefault="00946FF4" w:rsidP="001259B5">
      <w:pPr>
        <w:jc w:val="center"/>
      </w:pPr>
    </w:p>
    <w:p w:rsidR="00946FF4" w:rsidRPr="00C90AC9" w:rsidRDefault="00946FF4" w:rsidP="001259B5">
      <w:pPr>
        <w:jc w:val="center"/>
      </w:pPr>
    </w:p>
    <w:p w:rsidR="00946FF4" w:rsidRPr="00C90AC9" w:rsidRDefault="00946FF4" w:rsidP="001259B5">
      <w:pPr>
        <w:jc w:val="center"/>
      </w:pPr>
    </w:p>
    <w:p w:rsidR="00946FF4" w:rsidRPr="00C90AC9" w:rsidRDefault="00946FF4" w:rsidP="001259B5">
      <w:pPr>
        <w:jc w:val="center"/>
      </w:pPr>
    </w:p>
    <w:p w:rsidR="00946FF4" w:rsidRPr="00C90AC9" w:rsidRDefault="00946FF4" w:rsidP="001259B5">
      <w:pPr>
        <w:jc w:val="center"/>
      </w:pPr>
    </w:p>
    <w:p w:rsidR="00946FF4" w:rsidRPr="00C90AC9" w:rsidRDefault="00946FF4" w:rsidP="001259B5">
      <w:pPr>
        <w:jc w:val="center"/>
      </w:pPr>
    </w:p>
    <w:p w:rsidR="00946FF4" w:rsidRPr="00C90AC9" w:rsidRDefault="00946FF4" w:rsidP="001259B5">
      <w:pPr>
        <w:jc w:val="center"/>
      </w:pPr>
    </w:p>
    <w:p w:rsidR="00946FF4" w:rsidRPr="00C90AC9" w:rsidRDefault="00946FF4" w:rsidP="001259B5">
      <w:pPr>
        <w:jc w:val="center"/>
      </w:pPr>
    </w:p>
    <w:p w:rsidR="00946FF4" w:rsidRPr="00C90AC9" w:rsidRDefault="00946FF4"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3D1805" w:rsidRPr="00C90AC9" w:rsidRDefault="003D1805" w:rsidP="001259B5">
      <w:pPr>
        <w:jc w:val="center"/>
      </w:pPr>
    </w:p>
    <w:p w:rsidR="00946FF4" w:rsidRPr="00C90AC9" w:rsidRDefault="00946FF4" w:rsidP="001259B5">
      <w:pPr>
        <w:jc w:val="center"/>
      </w:pPr>
    </w:p>
    <w:p w:rsidR="00A16B8C" w:rsidRPr="00C90AC9" w:rsidRDefault="001259B5" w:rsidP="001259B5">
      <w:pPr>
        <w:jc w:val="center"/>
      </w:pPr>
      <w:r w:rsidRPr="00C90AC9">
        <w:t>(Blank page)</w:t>
      </w:r>
    </w:p>
    <w:p w:rsidR="003D1805" w:rsidRPr="00C90AC9" w:rsidRDefault="003D1805"/>
    <w:p w:rsidR="00A16B8C" w:rsidRPr="00C90AC9" w:rsidRDefault="00A16B8C" w:rsidP="00B06779"/>
    <w:p w:rsidR="00A16B8C" w:rsidRPr="00C90AC9" w:rsidRDefault="00A16B8C" w:rsidP="00B06779"/>
    <w:p w:rsidR="00A16B8C" w:rsidRPr="00C90AC9" w:rsidRDefault="00C80892" w:rsidP="00B06779">
      <w:pPr>
        <w:pStyle w:val="BodyText"/>
      </w:pPr>
      <w:r w:rsidRPr="00C90AC9">
        <w:t>“</w:t>
      </w:r>
      <w:r w:rsidR="00516B41" w:rsidRPr="00C90AC9">
        <w:t>It is extremely likely (</w:t>
      </w:r>
      <w:r w:rsidR="00A16B8C" w:rsidRPr="00C90AC9">
        <w:t>95 percent confidence</w:t>
      </w:r>
      <w:r w:rsidR="00516B41" w:rsidRPr="00C90AC9">
        <w:t>)</w:t>
      </w:r>
      <w:r w:rsidR="00A16B8C" w:rsidRPr="00C90AC9">
        <w:t xml:space="preserve"> more than half of the observed increase in global average surface temperature from 1951 to 2010 was caused by the anthropogenic increase in greenhouse gas concentrations and other anthropogenic forcing together.</w:t>
      </w:r>
      <w:r w:rsidRPr="00C90AC9">
        <w:t>”</w:t>
      </w:r>
      <w:r w:rsidR="00373A8B" w:rsidRPr="00C90AC9">
        <w:br/>
      </w:r>
    </w:p>
    <w:p w:rsidR="00A16B8C" w:rsidRPr="00C90AC9" w:rsidRDefault="00A16B8C" w:rsidP="00B06779">
      <w:pPr>
        <w:pStyle w:val="BodyText"/>
      </w:pPr>
      <w:r w:rsidRPr="00C90AC9">
        <w:t>2013 Intergovernmental Panel on Climate Change</w:t>
      </w:r>
    </w:p>
    <w:p w:rsidR="00A16B8C" w:rsidRPr="00C90AC9" w:rsidRDefault="00A16B8C" w:rsidP="00B06779"/>
    <w:p w:rsidR="00A16B8C" w:rsidRPr="00C90AC9" w:rsidRDefault="00A16B8C" w:rsidP="00B06779"/>
    <w:p w:rsidR="00E74A74" w:rsidRPr="00C90AC9" w:rsidRDefault="00E74A74" w:rsidP="00B06779"/>
    <w:p w:rsidR="00984852" w:rsidRPr="00C90AC9" w:rsidRDefault="00984852" w:rsidP="00B06779"/>
    <w:p w:rsidR="00E74A74" w:rsidRPr="00C90AC9" w:rsidRDefault="00E74A74" w:rsidP="00B06779"/>
    <w:p w:rsidR="00373A8B" w:rsidRPr="00C90AC9" w:rsidRDefault="00373A8B" w:rsidP="00B06779"/>
    <w:p w:rsidR="00A16B8C" w:rsidRPr="00C90AC9" w:rsidRDefault="00A16B8C" w:rsidP="00B06779"/>
    <w:p w:rsidR="00A16B8C" w:rsidRPr="00C90AC9" w:rsidRDefault="00A16B8C" w:rsidP="00B06779">
      <w:pPr>
        <w:pStyle w:val="BodyText"/>
      </w:pPr>
      <w:r w:rsidRPr="00C90AC9">
        <w:t>“The angry men know that this golden age (of fossil fuels) has gone; but they cannot find the words for the constraints they hate. Clutching their copies of Atlas Shrugged, they flail around, accusing those who would impede them of communism, fascism, religiosity, misanthropy, but knowing at heart that these restrictions are driven by something far more repulsive to the unrestrained man: the decencies we owe to other human beings.”</w:t>
      </w:r>
    </w:p>
    <w:p w:rsidR="00A16B8C" w:rsidRPr="00C90AC9" w:rsidRDefault="00373A8B" w:rsidP="00B06779">
      <w:pPr>
        <w:pStyle w:val="BodyText"/>
      </w:pPr>
      <w:r w:rsidRPr="00C90AC9">
        <w:br/>
      </w:r>
      <w:r w:rsidR="00A16B8C" w:rsidRPr="00C90AC9">
        <w:t>George Monbiot</w:t>
      </w:r>
    </w:p>
    <w:p w:rsidR="00A16B8C" w:rsidRPr="00C90AC9" w:rsidRDefault="00A16B8C" w:rsidP="00B06779"/>
    <w:p w:rsidR="00E74A74" w:rsidRPr="00C90AC9" w:rsidRDefault="00E74A74" w:rsidP="00B06779"/>
    <w:p w:rsidR="00E74A74" w:rsidRPr="00C90AC9" w:rsidRDefault="00E74A74" w:rsidP="00B06779"/>
    <w:p w:rsidR="00A16B8C" w:rsidRPr="00C90AC9" w:rsidRDefault="00A16B8C" w:rsidP="00B06779"/>
    <w:p w:rsidR="00373A8B" w:rsidRPr="00C90AC9" w:rsidRDefault="00373A8B" w:rsidP="00B06779"/>
    <w:p w:rsidR="00373A8B" w:rsidRPr="00C90AC9" w:rsidRDefault="00373A8B" w:rsidP="00B06779"/>
    <w:p w:rsidR="00A16B8C" w:rsidRPr="00C90AC9" w:rsidRDefault="00A16B8C" w:rsidP="00B06779"/>
    <w:p w:rsidR="00A16B8C" w:rsidRPr="00C90AC9" w:rsidRDefault="00C80892" w:rsidP="00B06779">
      <w:pPr>
        <w:pStyle w:val="BodyText"/>
        <w:rPr>
          <w:rFonts w:eastAsiaTheme="majorEastAsia"/>
          <w:bCs/>
        </w:rPr>
      </w:pPr>
      <w:r w:rsidRPr="00C90AC9">
        <w:t>“</w:t>
      </w:r>
      <w:r w:rsidR="00A16B8C" w:rsidRPr="00C90AC9">
        <w:t>Ideas are like rabbits. You get a couple and learn how to handle them, and pretty soon you have a dozen”</w:t>
      </w:r>
    </w:p>
    <w:p w:rsidR="00A16B8C" w:rsidRPr="00C90AC9" w:rsidRDefault="00373A8B" w:rsidP="00B06779">
      <w:r w:rsidRPr="00C90AC9">
        <w:br/>
      </w:r>
      <w:r w:rsidR="00A16B8C" w:rsidRPr="00C90AC9">
        <w:t>John Steinbeck</w:t>
      </w:r>
    </w:p>
    <w:p w:rsidR="00A16B8C" w:rsidRPr="00C90AC9" w:rsidRDefault="00A16B8C" w:rsidP="00B06779">
      <w:pPr>
        <w:rPr>
          <w:rFonts w:eastAsiaTheme="majorEastAsia"/>
        </w:rPr>
      </w:pPr>
      <w:r w:rsidRPr="00C90AC9">
        <w:br w:type="page"/>
      </w:r>
    </w:p>
    <w:p w:rsidR="00A16B8C" w:rsidRPr="00C90AC9" w:rsidRDefault="00CC01A4" w:rsidP="00E753D2">
      <w:pPr>
        <w:pStyle w:val="Title"/>
        <w:pBdr>
          <w:bottom w:val="none" w:sz="0" w:space="0" w:color="auto"/>
        </w:pBdr>
        <w:jc w:val="center"/>
        <w:rPr>
          <w:rFonts w:ascii="Times New Roman" w:hAnsi="Times New Roman" w:cs="Times New Roman"/>
          <w:sz w:val="44"/>
        </w:rPr>
      </w:pPr>
      <w:bookmarkStart w:id="3" w:name="_Toc447173036"/>
      <w:bookmarkEnd w:id="2"/>
      <w:r w:rsidRPr="00C90AC9">
        <w:rPr>
          <w:rFonts w:ascii="Times New Roman" w:hAnsi="Times New Roman" w:cs="Times New Roman"/>
          <w:sz w:val="44"/>
        </w:rPr>
        <w:lastRenderedPageBreak/>
        <w:t>Executive Summary</w:t>
      </w:r>
      <w:bookmarkEnd w:id="3"/>
    </w:p>
    <w:p w:rsidR="00E753D2" w:rsidRPr="00C90AC9" w:rsidRDefault="006F0C85" w:rsidP="00E753D2">
      <w:pPr>
        <w:rPr>
          <w:lang w:eastAsia="en-US"/>
        </w:rPr>
      </w:pPr>
      <w:r>
        <w:pict>
          <v:rect id="_x0000_i1025" style="width:0;height:1.5pt" o:hralign="center" o:hrstd="t" o:hr="t" fillcolor="#a0a0a0" stroked="f"/>
        </w:pict>
      </w:r>
    </w:p>
    <w:p w:rsidR="00E753D2" w:rsidRPr="00C90AC9" w:rsidRDefault="00E753D2" w:rsidP="00E753D2">
      <w:pPr>
        <w:rPr>
          <w:lang w:eastAsia="en-US"/>
        </w:rPr>
      </w:pPr>
    </w:p>
    <w:p w:rsidR="00A76501" w:rsidRPr="00C90AC9" w:rsidRDefault="00337B41" w:rsidP="00E5602A">
      <w:pPr>
        <w:spacing w:line="360" w:lineRule="auto"/>
        <w:rPr>
          <w:lang w:eastAsia="en-US"/>
        </w:rPr>
      </w:pPr>
      <w:r w:rsidRPr="00C90AC9">
        <w:rPr>
          <w:lang w:eastAsia="en-US"/>
        </w:rPr>
        <w:tab/>
        <w:t xml:space="preserve">The UK’s </w:t>
      </w:r>
      <w:r w:rsidR="00432861" w:rsidRPr="00C90AC9">
        <w:rPr>
          <w:lang w:eastAsia="en-US"/>
        </w:rPr>
        <w:t>c</w:t>
      </w:r>
      <w:r w:rsidRPr="00C90AC9">
        <w:rPr>
          <w:lang w:eastAsia="en-US"/>
        </w:rPr>
        <w:t>limate change commitments and increasing domestic energy costs are compelling homeowners to find more efficient forms of energy to heat dom</w:t>
      </w:r>
      <w:r w:rsidR="00A670A5" w:rsidRPr="00C90AC9">
        <w:rPr>
          <w:lang w:eastAsia="en-US"/>
        </w:rPr>
        <w:t>estic hot water. Solar Thermal P</w:t>
      </w:r>
      <w:r w:rsidRPr="00C90AC9">
        <w:rPr>
          <w:lang w:eastAsia="en-US"/>
        </w:rPr>
        <w:t>anels</w:t>
      </w:r>
      <w:r w:rsidR="00432861" w:rsidRPr="00C90AC9">
        <w:rPr>
          <w:lang w:eastAsia="en-US"/>
        </w:rPr>
        <w:t xml:space="preserve"> (STP)</w:t>
      </w:r>
      <w:r w:rsidRPr="00C90AC9">
        <w:rPr>
          <w:lang w:eastAsia="en-US"/>
        </w:rPr>
        <w:t xml:space="preserve"> are a</w:t>
      </w:r>
      <w:r w:rsidR="00A670A5" w:rsidRPr="00C90AC9">
        <w:rPr>
          <w:lang w:eastAsia="en-US"/>
        </w:rPr>
        <w:t xml:space="preserve">n established </w:t>
      </w:r>
      <w:r w:rsidRPr="00C90AC9">
        <w:rPr>
          <w:lang w:eastAsia="en-US"/>
        </w:rPr>
        <w:t xml:space="preserve">renewable </w:t>
      </w:r>
      <w:r w:rsidR="00A670A5" w:rsidRPr="00C90AC9">
        <w:rPr>
          <w:lang w:eastAsia="en-US"/>
        </w:rPr>
        <w:t>technology</w:t>
      </w:r>
      <w:r w:rsidRPr="00C90AC9">
        <w:rPr>
          <w:lang w:eastAsia="en-US"/>
        </w:rPr>
        <w:t xml:space="preserve"> which has been used for decades in the UK</w:t>
      </w:r>
      <w:r w:rsidR="00A670A5" w:rsidRPr="00C90AC9">
        <w:rPr>
          <w:lang w:eastAsia="en-US"/>
        </w:rPr>
        <w:t xml:space="preserve"> to heat domestic hot water. Yet the </w:t>
      </w:r>
      <w:r w:rsidR="00C75D32" w:rsidRPr="00C90AC9">
        <w:rPr>
          <w:lang w:eastAsia="en-US"/>
        </w:rPr>
        <w:t>technology is not widely adopted</w:t>
      </w:r>
      <w:r w:rsidR="008234FD" w:rsidRPr="00C90AC9">
        <w:rPr>
          <w:lang w:eastAsia="en-US"/>
        </w:rPr>
        <w:t xml:space="preserve"> in the UK</w:t>
      </w:r>
      <w:r w:rsidR="00C75D32" w:rsidRPr="00C90AC9">
        <w:rPr>
          <w:lang w:eastAsia="en-US"/>
        </w:rPr>
        <w:t xml:space="preserve"> and this dissertation determines some of the reasons why</w:t>
      </w:r>
      <w:r w:rsidR="00A670A5" w:rsidRPr="00C90AC9">
        <w:rPr>
          <w:lang w:eastAsia="en-US"/>
        </w:rPr>
        <w:t xml:space="preserve"> using a socio-technical approach. </w:t>
      </w:r>
    </w:p>
    <w:p w:rsidR="00A76501" w:rsidRPr="00C90AC9" w:rsidRDefault="00C75D32" w:rsidP="00E5602A">
      <w:pPr>
        <w:spacing w:line="360" w:lineRule="auto"/>
        <w:rPr>
          <w:lang w:eastAsia="en-US"/>
        </w:rPr>
      </w:pPr>
      <w:r w:rsidRPr="00C90AC9">
        <w:rPr>
          <w:lang w:eastAsia="en-US"/>
        </w:rPr>
        <w:t xml:space="preserve">A novel heating system is </w:t>
      </w:r>
      <w:r w:rsidR="00A670A5" w:rsidRPr="00C90AC9">
        <w:rPr>
          <w:lang w:eastAsia="en-US"/>
        </w:rPr>
        <w:t xml:space="preserve">initially </w:t>
      </w:r>
      <w:r w:rsidRPr="00C90AC9">
        <w:rPr>
          <w:lang w:eastAsia="en-US"/>
        </w:rPr>
        <w:t xml:space="preserve">proposed which uses weather predictions to best determine the consumption pattern </w:t>
      </w:r>
      <w:r w:rsidR="00A670A5" w:rsidRPr="00C90AC9">
        <w:rPr>
          <w:lang w:eastAsia="en-US"/>
        </w:rPr>
        <w:t xml:space="preserve">of hot water in a domestic property. </w:t>
      </w:r>
      <w:r w:rsidR="00A76501" w:rsidRPr="00C90AC9">
        <w:rPr>
          <w:lang w:eastAsia="en-US"/>
        </w:rPr>
        <w:t xml:space="preserve">Use of a control system is </w:t>
      </w:r>
      <w:r w:rsidR="008234FD" w:rsidRPr="00C90AC9">
        <w:rPr>
          <w:lang w:eastAsia="en-US"/>
        </w:rPr>
        <w:t>conducted</w:t>
      </w:r>
      <w:r w:rsidR="00A76501" w:rsidRPr="00C90AC9">
        <w:rPr>
          <w:lang w:eastAsia="en-US"/>
        </w:rPr>
        <w:t xml:space="preserve"> with a resulting increase in efficiency and a decrease in </w:t>
      </w:r>
      <w:r w:rsidR="008234FD" w:rsidRPr="00C90AC9">
        <w:rPr>
          <w:lang w:eastAsia="en-US"/>
        </w:rPr>
        <w:t xml:space="preserve">domestic </w:t>
      </w:r>
      <w:r w:rsidR="00A76501" w:rsidRPr="00C90AC9">
        <w:rPr>
          <w:lang w:eastAsia="en-US"/>
        </w:rPr>
        <w:t>energy costs.</w:t>
      </w:r>
    </w:p>
    <w:p w:rsidR="00A670A5" w:rsidRPr="00C90AC9" w:rsidRDefault="00A670A5" w:rsidP="00E5602A">
      <w:pPr>
        <w:spacing w:line="360" w:lineRule="auto"/>
        <w:rPr>
          <w:lang w:eastAsia="en-US"/>
        </w:rPr>
      </w:pPr>
      <w:r w:rsidRPr="00C90AC9">
        <w:rPr>
          <w:lang w:eastAsia="en-US"/>
        </w:rPr>
        <w:t xml:space="preserve">The work then focuses on understanding the opinions of the main actors in the </w:t>
      </w:r>
      <w:r w:rsidR="008234FD" w:rsidRPr="00C90AC9">
        <w:rPr>
          <w:lang w:eastAsia="en-US"/>
        </w:rPr>
        <w:t>STP</w:t>
      </w:r>
      <w:r w:rsidRPr="00C90AC9">
        <w:rPr>
          <w:lang w:eastAsia="en-US"/>
        </w:rPr>
        <w:t xml:space="preserve"> market </w:t>
      </w:r>
      <w:r w:rsidR="00E5602A" w:rsidRPr="00C90AC9">
        <w:rPr>
          <w:lang w:eastAsia="en-US"/>
        </w:rPr>
        <w:t xml:space="preserve">who have an influence on consumer adoption of STPs </w:t>
      </w:r>
      <w:r w:rsidRPr="00C90AC9">
        <w:rPr>
          <w:lang w:eastAsia="en-US"/>
        </w:rPr>
        <w:t>by conducting eight semi-structured interviews</w:t>
      </w:r>
      <w:r w:rsidR="008234FD" w:rsidRPr="00C90AC9">
        <w:rPr>
          <w:lang w:eastAsia="en-US"/>
        </w:rPr>
        <w:t>. Having identified the main actors</w:t>
      </w:r>
      <w:r w:rsidR="00E5602A">
        <w:rPr>
          <w:lang w:eastAsia="en-US"/>
        </w:rPr>
        <w:t>,</w:t>
      </w:r>
      <w:r w:rsidRPr="00C90AC9">
        <w:rPr>
          <w:lang w:eastAsia="en-US"/>
        </w:rPr>
        <w:t xml:space="preserve"> four </w:t>
      </w:r>
      <w:r w:rsidR="008234FD" w:rsidRPr="00C90AC9">
        <w:rPr>
          <w:lang w:eastAsia="en-US"/>
        </w:rPr>
        <w:t xml:space="preserve">semi-structured interviews were conducted </w:t>
      </w:r>
      <w:r w:rsidRPr="00C90AC9">
        <w:rPr>
          <w:lang w:eastAsia="en-US"/>
        </w:rPr>
        <w:t>in 2012 and another four in 2015</w:t>
      </w:r>
      <w:r w:rsidR="008234FD" w:rsidRPr="00C90AC9">
        <w:rPr>
          <w:lang w:eastAsia="en-US"/>
        </w:rPr>
        <w:t xml:space="preserve">. The main actors identified were: </w:t>
      </w:r>
      <w:r w:rsidRPr="00C90AC9">
        <w:rPr>
          <w:lang w:eastAsia="en-US"/>
        </w:rPr>
        <w:t>politicians</w:t>
      </w:r>
      <w:r w:rsidR="008234FD" w:rsidRPr="00C90AC9">
        <w:rPr>
          <w:lang w:eastAsia="en-US"/>
        </w:rPr>
        <w:t>;</w:t>
      </w:r>
      <w:r w:rsidRPr="00C90AC9">
        <w:rPr>
          <w:lang w:eastAsia="en-US"/>
        </w:rPr>
        <w:t xml:space="preserve"> academics</w:t>
      </w:r>
      <w:r w:rsidR="008234FD" w:rsidRPr="00C90AC9">
        <w:rPr>
          <w:lang w:eastAsia="en-US"/>
        </w:rPr>
        <w:t>;</w:t>
      </w:r>
      <w:r w:rsidRPr="00C90AC9">
        <w:rPr>
          <w:lang w:eastAsia="en-US"/>
        </w:rPr>
        <w:t xml:space="preserve"> community organisers</w:t>
      </w:r>
      <w:r w:rsidR="008234FD" w:rsidRPr="00C90AC9">
        <w:rPr>
          <w:lang w:eastAsia="en-US"/>
        </w:rPr>
        <w:t>;</w:t>
      </w:r>
      <w:r w:rsidRPr="00C90AC9">
        <w:rPr>
          <w:lang w:eastAsia="en-US"/>
        </w:rPr>
        <w:t xml:space="preserve"> and manufacturers.</w:t>
      </w:r>
      <w:r w:rsidR="008234FD" w:rsidRPr="00C90AC9">
        <w:rPr>
          <w:lang w:eastAsia="en-US"/>
        </w:rPr>
        <w:t xml:space="preserve"> Having identified these main actors as having an influence on consumer adoption of STPs the semi-structured interviews were conducted to determine their opinions of this domestic renewable technology.</w:t>
      </w:r>
      <w:r w:rsidRPr="00C90AC9">
        <w:rPr>
          <w:lang w:eastAsia="en-US"/>
        </w:rPr>
        <w:t xml:space="preserve"> Additionally</w:t>
      </w:r>
      <w:r w:rsidR="008234FD" w:rsidRPr="00C90AC9">
        <w:rPr>
          <w:lang w:eastAsia="en-US"/>
        </w:rPr>
        <w:t>,</w:t>
      </w:r>
      <w:r w:rsidRPr="00C90AC9">
        <w:rPr>
          <w:lang w:eastAsia="en-US"/>
        </w:rPr>
        <w:t xml:space="preserve"> questions surrounding the perceived reasons which have hindered, or </w:t>
      </w:r>
      <w:r w:rsidR="00E5602A">
        <w:rPr>
          <w:lang w:eastAsia="en-US"/>
        </w:rPr>
        <w:t xml:space="preserve">helped, </w:t>
      </w:r>
      <w:r w:rsidRPr="00C90AC9">
        <w:rPr>
          <w:lang w:eastAsia="en-US"/>
        </w:rPr>
        <w:t>the adoption of this technology</w:t>
      </w:r>
      <w:r w:rsidR="00A76501" w:rsidRPr="00C90AC9">
        <w:rPr>
          <w:lang w:eastAsia="en-US"/>
        </w:rPr>
        <w:t xml:space="preserve"> were investigated with the main actors suggesting that an independent governing body should be created </w:t>
      </w:r>
      <w:r w:rsidR="008234FD" w:rsidRPr="00C90AC9">
        <w:rPr>
          <w:lang w:eastAsia="en-US"/>
        </w:rPr>
        <w:t>to facilitate</w:t>
      </w:r>
      <w:r w:rsidR="00E5602A">
        <w:rPr>
          <w:lang w:eastAsia="en-US"/>
        </w:rPr>
        <w:t>,</w:t>
      </w:r>
      <w:r w:rsidR="008234FD" w:rsidRPr="00C90AC9">
        <w:rPr>
          <w:lang w:eastAsia="en-US"/>
        </w:rPr>
        <w:t xml:space="preserve"> </w:t>
      </w:r>
      <w:r w:rsidR="00A76501" w:rsidRPr="00C90AC9">
        <w:rPr>
          <w:lang w:eastAsia="en-US"/>
        </w:rPr>
        <w:t>potential adopters of this technology</w:t>
      </w:r>
      <w:r w:rsidR="00E5602A">
        <w:rPr>
          <w:lang w:eastAsia="en-US"/>
        </w:rPr>
        <w:t>,</w:t>
      </w:r>
      <w:r w:rsidR="00A76501" w:rsidRPr="00C90AC9">
        <w:rPr>
          <w:lang w:eastAsia="en-US"/>
        </w:rPr>
        <w:t xml:space="preserve"> </w:t>
      </w:r>
      <w:r w:rsidR="008234FD" w:rsidRPr="00C90AC9">
        <w:rPr>
          <w:lang w:eastAsia="en-US"/>
        </w:rPr>
        <w:t xml:space="preserve">to </w:t>
      </w:r>
      <w:r w:rsidR="00A76501" w:rsidRPr="00C90AC9">
        <w:rPr>
          <w:lang w:eastAsia="en-US"/>
        </w:rPr>
        <w:t xml:space="preserve">receive verifiable information </w:t>
      </w:r>
      <w:r w:rsidR="008234FD" w:rsidRPr="00C90AC9">
        <w:rPr>
          <w:lang w:eastAsia="en-US"/>
        </w:rPr>
        <w:t>concerning their</w:t>
      </w:r>
      <w:r w:rsidR="00606BAA" w:rsidRPr="00C90AC9">
        <w:rPr>
          <w:lang w:eastAsia="en-US"/>
        </w:rPr>
        <w:t xml:space="preserve"> </w:t>
      </w:r>
      <w:r w:rsidR="00A76501" w:rsidRPr="00C90AC9">
        <w:rPr>
          <w:lang w:eastAsia="en-US"/>
        </w:rPr>
        <w:t>specific needs</w:t>
      </w:r>
      <w:r w:rsidRPr="00C90AC9">
        <w:rPr>
          <w:lang w:eastAsia="en-US"/>
        </w:rPr>
        <w:t xml:space="preserve">. </w:t>
      </w:r>
    </w:p>
    <w:p w:rsidR="00E5602A" w:rsidRDefault="00A670A5" w:rsidP="00E5602A">
      <w:pPr>
        <w:spacing w:line="360" w:lineRule="auto"/>
        <w:rPr>
          <w:lang w:eastAsia="en-US"/>
        </w:rPr>
      </w:pPr>
      <w:r w:rsidRPr="00C90AC9">
        <w:rPr>
          <w:lang w:eastAsia="en-US"/>
        </w:rPr>
        <w:t>As well as conducting these semi-structured interviews</w:t>
      </w:r>
      <w:r w:rsidR="00C000FC" w:rsidRPr="00C90AC9">
        <w:rPr>
          <w:lang w:eastAsia="en-US"/>
        </w:rPr>
        <w:t xml:space="preserve"> ten</w:t>
      </w:r>
      <w:r w:rsidRPr="00C90AC9">
        <w:rPr>
          <w:lang w:eastAsia="en-US"/>
        </w:rPr>
        <w:t xml:space="preserve"> focus groups</w:t>
      </w:r>
      <w:r w:rsidR="00C000FC" w:rsidRPr="00C90AC9">
        <w:rPr>
          <w:lang w:eastAsia="en-US"/>
        </w:rPr>
        <w:t>, five in 2012 and another five in 2015,</w:t>
      </w:r>
      <w:r w:rsidRPr="00C90AC9">
        <w:rPr>
          <w:lang w:eastAsia="en-US"/>
        </w:rPr>
        <w:t xml:space="preserve"> were conducted with the general public to understand their </w:t>
      </w:r>
      <w:r w:rsidR="00606BAA" w:rsidRPr="00C90AC9">
        <w:rPr>
          <w:lang w:eastAsia="en-US"/>
        </w:rPr>
        <w:t xml:space="preserve">opinions and </w:t>
      </w:r>
      <w:r w:rsidRPr="00C90AC9">
        <w:rPr>
          <w:lang w:eastAsia="en-US"/>
        </w:rPr>
        <w:t>concerns with this technology.</w:t>
      </w:r>
      <w:r w:rsidR="00C000FC" w:rsidRPr="00C90AC9">
        <w:rPr>
          <w:lang w:eastAsia="en-US"/>
        </w:rPr>
        <w:t xml:space="preserve"> </w:t>
      </w:r>
      <w:r w:rsidR="00606BAA" w:rsidRPr="00C90AC9">
        <w:rPr>
          <w:lang w:eastAsia="en-US"/>
        </w:rPr>
        <w:t>Having conducted these focus groups, it was determined that c</w:t>
      </w:r>
      <w:r w:rsidR="00C000FC" w:rsidRPr="00C90AC9">
        <w:rPr>
          <w:lang w:eastAsia="en-US"/>
        </w:rPr>
        <w:t xml:space="preserve">ost issues concerning energy prices and capital costs were the primary </w:t>
      </w:r>
      <w:r w:rsidR="00606BAA" w:rsidRPr="00C90AC9">
        <w:rPr>
          <w:lang w:eastAsia="en-US"/>
        </w:rPr>
        <w:t xml:space="preserve">concern of the participants. The participants cited costs as the main </w:t>
      </w:r>
      <w:r w:rsidR="00C000FC" w:rsidRPr="00C90AC9">
        <w:rPr>
          <w:lang w:eastAsia="en-US"/>
        </w:rPr>
        <w:t xml:space="preserve">reason </w:t>
      </w:r>
      <w:r w:rsidR="00606BAA" w:rsidRPr="00C90AC9">
        <w:rPr>
          <w:lang w:eastAsia="en-US"/>
        </w:rPr>
        <w:t xml:space="preserve">which would influence their decision to </w:t>
      </w:r>
      <w:r w:rsidR="00C000FC" w:rsidRPr="00C90AC9">
        <w:rPr>
          <w:lang w:eastAsia="en-US"/>
        </w:rPr>
        <w:t xml:space="preserve">adopt or reject </w:t>
      </w:r>
      <w:r w:rsidR="00E5602A">
        <w:rPr>
          <w:lang w:eastAsia="en-US"/>
        </w:rPr>
        <w:t xml:space="preserve">STP </w:t>
      </w:r>
      <w:r w:rsidR="00C000FC" w:rsidRPr="00C90AC9">
        <w:rPr>
          <w:lang w:eastAsia="en-US"/>
        </w:rPr>
        <w:t>tec</w:t>
      </w:r>
      <w:r w:rsidR="00E5602A">
        <w:rPr>
          <w:lang w:eastAsia="en-US"/>
        </w:rPr>
        <w:t>hn</w:t>
      </w:r>
      <w:r w:rsidR="00C000FC" w:rsidRPr="00C90AC9">
        <w:rPr>
          <w:lang w:eastAsia="en-US"/>
        </w:rPr>
        <w:t xml:space="preserve">ology. Concerns regarding climate change </w:t>
      </w:r>
      <w:r w:rsidR="00606BAA" w:rsidRPr="00C90AC9">
        <w:rPr>
          <w:lang w:eastAsia="en-US"/>
        </w:rPr>
        <w:t xml:space="preserve">were also cited as </w:t>
      </w:r>
      <w:r w:rsidR="00C000FC" w:rsidRPr="00C90AC9">
        <w:rPr>
          <w:lang w:eastAsia="en-US"/>
        </w:rPr>
        <w:t>a factor for some participants</w:t>
      </w:r>
      <w:r w:rsidR="00606BAA" w:rsidRPr="00C90AC9">
        <w:rPr>
          <w:lang w:eastAsia="en-US"/>
        </w:rPr>
        <w:t>,</w:t>
      </w:r>
      <w:r w:rsidR="00C000FC" w:rsidRPr="00C90AC9">
        <w:rPr>
          <w:lang w:eastAsia="en-US"/>
        </w:rPr>
        <w:t xml:space="preserve"> but</w:t>
      </w:r>
      <w:r w:rsidR="00E5602A">
        <w:rPr>
          <w:lang w:eastAsia="en-US"/>
        </w:rPr>
        <w:t>,</w:t>
      </w:r>
      <w:r w:rsidR="00C000FC" w:rsidRPr="00C90AC9">
        <w:rPr>
          <w:lang w:eastAsia="en-US"/>
        </w:rPr>
        <w:t xml:space="preserve"> if the participants did not have </w:t>
      </w:r>
      <w:r w:rsidR="00E5602A">
        <w:rPr>
          <w:lang w:eastAsia="en-US"/>
        </w:rPr>
        <w:t>available</w:t>
      </w:r>
      <w:r w:rsidR="00C000FC" w:rsidRPr="00C90AC9">
        <w:rPr>
          <w:lang w:eastAsia="en-US"/>
        </w:rPr>
        <w:t xml:space="preserve"> funds to invest </w:t>
      </w:r>
      <w:r w:rsidR="00606BAA" w:rsidRPr="00C90AC9">
        <w:rPr>
          <w:lang w:eastAsia="en-US"/>
        </w:rPr>
        <w:t xml:space="preserve">in STP technology </w:t>
      </w:r>
      <w:r w:rsidR="00C000FC" w:rsidRPr="00C90AC9">
        <w:rPr>
          <w:lang w:eastAsia="en-US"/>
        </w:rPr>
        <w:t xml:space="preserve">they would not be persuaded by the effects of </w:t>
      </w:r>
      <w:r w:rsidR="00E5602A">
        <w:rPr>
          <w:lang w:eastAsia="en-US"/>
        </w:rPr>
        <w:t xml:space="preserve">anthropogenic </w:t>
      </w:r>
      <w:r w:rsidR="00C000FC" w:rsidRPr="00C90AC9">
        <w:rPr>
          <w:lang w:eastAsia="en-US"/>
        </w:rPr>
        <w:t xml:space="preserve">climate change. There was a great deal of confusion </w:t>
      </w:r>
      <w:r w:rsidR="00E5602A">
        <w:rPr>
          <w:lang w:eastAsia="en-US"/>
        </w:rPr>
        <w:t xml:space="preserve">with the participants </w:t>
      </w:r>
      <w:r w:rsidR="00C000FC" w:rsidRPr="00C90AC9">
        <w:rPr>
          <w:lang w:eastAsia="en-US"/>
        </w:rPr>
        <w:t xml:space="preserve">concerning the operation and benefits of STPs </w:t>
      </w:r>
      <w:r w:rsidR="00E5602A">
        <w:rPr>
          <w:lang w:eastAsia="en-US"/>
        </w:rPr>
        <w:t xml:space="preserve">with this confusion </w:t>
      </w:r>
      <w:r w:rsidR="00C000FC" w:rsidRPr="00C90AC9">
        <w:rPr>
          <w:lang w:eastAsia="en-US"/>
        </w:rPr>
        <w:t>having a</w:t>
      </w:r>
      <w:r w:rsidR="00606BAA" w:rsidRPr="00C90AC9">
        <w:rPr>
          <w:lang w:eastAsia="en-US"/>
        </w:rPr>
        <w:t xml:space="preserve"> detrimental</w:t>
      </w:r>
      <w:r w:rsidR="00C000FC" w:rsidRPr="00C90AC9">
        <w:rPr>
          <w:lang w:eastAsia="en-US"/>
        </w:rPr>
        <w:t xml:space="preserve"> effect on the participant’s </w:t>
      </w:r>
      <w:r w:rsidR="00E5602A">
        <w:rPr>
          <w:lang w:eastAsia="en-US"/>
        </w:rPr>
        <w:t xml:space="preserve">perceived benefits </w:t>
      </w:r>
      <w:r w:rsidR="00C000FC" w:rsidRPr="00C90AC9">
        <w:rPr>
          <w:lang w:eastAsia="en-US"/>
        </w:rPr>
        <w:t xml:space="preserve">of STP technology. </w:t>
      </w:r>
      <w:r w:rsidR="00C000FC" w:rsidRPr="00C90AC9">
        <w:rPr>
          <w:lang w:eastAsia="en-US"/>
        </w:rPr>
        <w:lastRenderedPageBreak/>
        <w:t xml:space="preserve">Manufacturers were described as over-selling the technologies capabilities whilst politicians were described as under-selling the technology for partisan reasons. The results of the focus </w:t>
      </w:r>
      <w:r w:rsidR="00A76501" w:rsidRPr="00C90AC9">
        <w:rPr>
          <w:lang w:eastAsia="en-US"/>
        </w:rPr>
        <w:t xml:space="preserve">groups </w:t>
      </w:r>
      <w:r w:rsidR="00C000FC" w:rsidRPr="00C90AC9">
        <w:rPr>
          <w:lang w:eastAsia="en-US"/>
        </w:rPr>
        <w:t>highlighted a general positive</w:t>
      </w:r>
      <w:r w:rsidRPr="00C90AC9">
        <w:rPr>
          <w:lang w:eastAsia="en-US"/>
        </w:rPr>
        <w:t xml:space="preserve"> </w:t>
      </w:r>
      <w:r w:rsidR="00C000FC" w:rsidRPr="00C90AC9">
        <w:rPr>
          <w:lang w:eastAsia="en-US"/>
        </w:rPr>
        <w:t xml:space="preserve">opinion of STP technology, from the appearance of the panels to the benefits it </w:t>
      </w:r>
      <w:r w:rsidR="00606BAA" w:rsidRPr="00C90AC9">
        <w:rPr>
          <w:lang w:eastAsia="en-US"/>
        </w:rPr>
        <w:t>c</w:t>
      </w:r>
      <w:r w:rsidR="00C000FC" w:rsidRPr="00C90AC9">
        <w:rPr>
          <w:lang w:eastAsia="en-US"/>
        </w:rPr>
        <w:t xml:space="preserve">ould </w:t>
      </w:r>
      <w:r w:rsidR="00606BAA" w:rsidRPr="00C90AC9">
        <w:rPr>
          <w:lang w:eastAsia="en-US"/>
        </w:rPr>
        <w:t>offer</w:t>
      </w:r>
      <w:r w:rsidR="00C000FC" w:rsidRPr="00C90AC9">
        <w:rPr>
          <w:lang w:eastAsia="en-US"/>
        </w:rPr>
        <w:t xml:space="preserve"> homeowners</w:t>
      </w:r>
      <w:r w:rsidR="00E5602A">
        <w:rPr>
          <w:lang w:eastAsia="en-US"/>
        </w:rPr>
        <w:t xml:space="preserve"> with a reduction in energy costs</w:t>
      </w:r>
      <w:r w:rsidR="00C000FC" w:rsidRPr="00C90AC9">
        <w:rPr>
          <w:lang w:eastAsia="en-US"/>
        </w:rPr>
        <w:t xml:space="preserve">, but the effectiveness of the panels to provide sufficient quantities of hot water at sufficient temperatures </w:t>
      </w:r>
      <w:r w:rsidR="00A76501" w:rsidRPr="00C90AC9">
        <w:rPr>
          <w:lang w:eastAsia="en-US"/>
        </w:rPr>
        <w:t xml:space="preserve">was questioned. </w:t>
      </w:r>
    </w:p>
    <w:p w:rsidR="00E753D2" w:rsidRPr="00C90AC9" w:rsidRDefault="00A76501" w:rsidP="00E5602A">
      <w:pPr>
        <w:spacing w:line="360" w:lineRule="auto"/>
        <w:rPr>
          <w:lang w:eastAsia="en-US"/>
        </w:rPr>
      </w:pPr>
      <w:r w:rsidRPr="00C90AC9">
        <w:rPr>
          <w:lang w:eastAsia="en-US"/>
        </w:rPr>
        <w:t xml:space="preserve">The Technology Adoption Model was assessed </w:t>
      </w:r>
      <w:r w:rsidR="00E5602A">
        <w:rPr>
          <w:lang w:eastAsia="en-US"/>
        </w:rPr>
        <w:t xml:space="preserve">as an effective model to describe consumer behaviour of this novel technology </w:t>
      </w:r>
      <w:r w:rsidRPr="00C90AC9">
        <w:rPr>
          <w:lang w:eastAsia="en-US"/>
        </w:rPr>
        <w:t xml:space="preserve">in all of these qualitative studies and the constructs of the TAM (Perceived Ease of Use and Perceived Usefulness) were evaluated as being constructs which describe consumer adoption. The </w:t>
      </w:r>
      <w:r w:rsidR="00E5602A">
        <w:rPr>
          <w:lang w:eastAsia="en-US"/>
        </w:rPr>
        <w:t>qualitative studies evaluated</w:t>
      </w:r>
      <w:r w:rsidRPr="00C90AC9">
        <w:rPr>
          <w:lang w:eastAsia="en-US"/>
        </w:rPr>
        <w:t xml:space="preserve"> the TAM and the TAM + Trust </w:t>
      </w:r>
      <w:r w:rsidR="00E5602A">
        <w:rPr>
          <w:lang w:eastAsia="en-US"/>
        </w:rPr>
        <w:t xml:space="preserve">as </w:t>
      </w:r>
      <w:r w:rsidRPr="00C90AC9">
        <w:rPr>
          <w:lang w:eastAsia="en-US"/>
        </w:rPr>
        <w:t>contain</w:t>
      </w:r>
      <w:r w:rsidR="00E5602A">
        <w:rPr>
          <w:lang w:eastAsia="en-US"/>
        </w:rPr>
        <w:t>ing</w:t>
      </w:r>
      <w:r w:rsidRPr="00C90AC9">
        <w:rPr>
          <w:lang w:eastAsia="en-US"/>
        </w:rPr>
        <w:t xml:space="preserve"> constructs which were raised in the focus groups. However, there are other factors which are not encapsulated by these models which were raised </w:t>
      </w:r>
      <w:r w:rsidR="00C55DA9" w:rsidRPr="00C90AC9">
        <w:rPr>
          <w:lang w:eastAsia="en-US"/>
        </w:rPr>
        <w:t>a</w:t>
      </w:r>
      <w:r w:rsidR="00E5602A">
        <w:rPr>
          <w:lang w:eastAsia="en-US"/>
        </w:rPr>
        <w:t>s having an</w:t>
      </w:r>
      <w:r w:rsidR="00C55DA9" w:rsidRPr="00C90AC9">
        <w:rPr>
          <w:lang w:eastAsia="en-US"/>
        </w:rPr>
        <w:t xml:space="preserve"> impact on consumers’ decisions. P</w:t>
      </w:r>
      <w:r w:rsidR="00E5602A">
        <w:rPr>
          <w:lang w:eastAsia="en-US"/>
        </w:rPr>
        <w:t>articipants’</w:t>
      </w:r>
      <w:r w:rsidR="00C55DA9" w:rsidRPr="00C90AC9">
        <w:rPr>
          <w:lang w:eastAsia="en-US"/>
        </w:rPr>
        <w:t xml:space="preserve"> “green identity” and understanding </w:t>
      </w:r>
      <w:r w:rsidR="00E5602A">
        <w:rPr>
          <w:lang w:eastAsia="en-US"/>
        </w:rPr>
        <w:t xml:space="preserve">of the operation </w:t>
      </w:r>
      <w:r w:rsidR="00C55DA9" w:rsidRPr="00C90AC9">
        <w:rPr>
          <w:lang w:eastAsia="en-US"/>
        </w:rPr>
        <w:t xml:space="preserve">of this technology </w:t>
      </w:r>
      <w:r w:rsidR="00E5602A">
        <w:rPr>
          <w:lang w:eastAsia="en-US"/>
        </w:rPr>
        <w:t xml:space="preserve">was </w:t>
      </w:r>
      <w:r w:rsidR="00C55DA9" w:rsidRPr="00C90AC9">
        <w:rPr>
          <w:lang w:eastAsia="en-US"/>
        </w:rPr>
        <w:t xml:space="preserve">shown to have a significant effect </w:t>
      </w:r>
      <w:r w:rsidR="00E5602A">
        <w:rPr>
          <w:lang w:eastAsia="en-US"/>
        </w:rPr>
        <w:t xml:space="preserve">on consumer </w:t>
      </w:r>
      <w:r w:rsidR="00C55DA9" w:rsidRPr="00C90AC9">
        <w:rPr>
          <w:lang w:eastAsia="en-US"/>
        </w:rPr>
        <w:t>adoption decision</w:t>
      </w:r>
      <w:r w:rsidR="00E5602A">
        <w:rPr>
          <w:lang w:eastAsia="en-US"/>
        </w:rPr>
        <w:t>s</w:t>
      </w:r>
      <w:r w:rsidR="00C55DA9" w:rsidRPr="00C90AC9">
        <w:rPr>
          <w:lang w:eastAsia="en-US"/>
        </w:rPr>
        <w:t>.</w:t>
      </w:r>
    </w:p>
    <w:p w:rsidR="00E753D2" w:rsidRPr="00C90AC9" w:rsidRDefault="00E753D2">
      <w:pPr>
        <w:rPr>
          <w:rFonts w:asciiTheme="majorBidi" w:hAnsiTheme="majorBidi"/>
          <w:color w:val="000000" w:themeColor="text1"/>
          <w:sz w:val="48"/>
        </w:rPr>
      </w:pPr>
      <w:bookmarkStart w:id="4" w:name="_Toc447173038"/>
      <w:r w:rsidRPr="00C90AC9">
        <w:rPr>
          <w:sz w:val="48"/>
        </w:rPr>
        <w:br w:type="page"/>
      </w:r>
    </w:p>
    <w:p w:rsidR="00E753D2" w:rsidRPr="00C90AC9" w:rsidRDefault="00A16B8C" w:rsidP="00E753D2">
      <w:pPr>
        <w:pStyle w:val="Heading11"/>
        <w:rPr>
          <w:sz w:val="44"/>
        </w:rPr>
      </w:pPr>
      <w:r w:rsidRPr="00C90AC9">
        <w:rPr>
          <w:sz w:val="44"/>
        </w:rPr>
        <w:lastRenderedPageBreak/>
        <w:t>Acknowledgemen</w:t>
      </w:r>
      <w:bookmarkEnd w:id="4"/>
      <w:r w:rsidR="00E753D2" w:rsidRPr="00C90AC9">
        <w:rPr>
          <w:sz w:val="44"/>
        </w:rPr>
        <w:t>ts</w:t>
      </w:r>
    </w:p>
    <w:p w:rsidR="00E753D2" w:rsidRPr="00C90AC9" w:rsidRDefault="006F0C85" w:rsidP="00E753D2">
      <w:pPr>
        <w:pStyle w:val="Heading11"/>
      </w:pPr>
      <w:r>
        <w:pict>
          <v:rect id="_x0000_i1026" style="width:0;height:1.5pt" o:hralign="center" o:hrstd="t" o:hr="t" fillcolor="#a0a0a0" stroked="f"/>
        </w:pict>
      </w:r>
    </w:p>
    <w:p w:rsidR="00E753D2" w:rsidRPr="00C90AC9" w:rsidRDefault="00E753D2" w:rsidP="00B06779">
      <w:pPr>
        <w:pStyle w:val="BodyTextFirstIndent"/>
      </w:pPr>
    </w:p>
    <w:p w:rsidR="00A16B8C" w:rsidRPr="00C90AC9" w:rsidRDefault="00A16B8C" w:rsidP="00B06779">
      <w:pPr>
        <w:pStyle w:val="BodyTextFirstIndent"/>
      </w:pPr>
      <w:r w:rsidRPr="00C90AC9">
        <w:t xml:space="preserve">I would like to acknowledge and thank the tremendous help, support and understanding </w:t>
      </w:r>
      <w:r w:rsidR="00A15685" w:rsidRPr="00C90AC9">
        <w:t xml:space="preserve">from </w:t>
      </w:r>
      <w:r w:rsidRPr="00C90AC9">
        <w:t xml:space="preserve">my two supervisors Prof Stephen Beck and Dr Chris Jones have shown me throughout this process. They have made an incredibly difficult four years bearable and dare I say it, enjoyable. I’ve been very lucky to have you both as supervisors. Thank you. </w:t>
      </w:r>
    </w:p>
    <w:p w:rsidR="00A16B8C" w:rsidRPr="00C90AC9" w:rsidRDefault="00A16B8C" w:rsidP="00B06779">
      <w:pPr>
        <w:pStyle w:val="BodyText"/>
      </w:pPr>
      <w:r w:rsidRPr="00C90AC9">
        <w:t>The nurses, therapists, neurologist</w:t>
      </w:r>
      <w:r w:rsidR="0040600B" w:rsidRPr="00C90AC9">
        <w:t>s</w:t>
      </w:r>
      <w:r w:rsidRPr="00C90AC9">
        <w:t xml:space="preserve"> and all the other wonderful people who have helped me in the last five years have provided a foundation from which all else is possible. I would like to give a particular thank you to Liam Rice for all his help, support and understanding. It is an evolving struggle, but I’m getting there.</w:t>
      </w:r>
    </w:p>
    <w:p w:rsidR="0040600B" w:rsidRPr="00C90AC9" w:rsidRDefault="0040600B" w:rsidP="00B06779">
      <w:pPr>
        <w:pStyle w:val="BodyText"/>
      </w:pPr>
      <w:r w:rsidRPr="00C90AC9">
        <w:t>Thanks too to my family and friends have supported and have helped me retain a modicum of normality. Without regular trips to cafes, games of chess, nights out, dinners in all with a general silliness I wouldn’t have made it this far.</w:t>
      </w:r>
    </w:p>
    <w:p w:rsidR="00D8618A" w:rsidRPr="00C90AC9" w:rsidRDefault="00D8618A" w:rsidP="00B06779">
      <w:pPr>
        <w:pStyle w:val="BodyText"/>
      </w:pPr>
      <w:r w:rsidRPr="00C90AC9">
        <w:t>I would finally like to thank the members of staff involved with the creation of the E-Futures program here at the University of Sheffield. Their prescient vision of interdisciplinary research has suited me perfectly and is vital to the evolving energy market in the coming decades.</w:t>
      </w:r>
    </w:p>
    <w:p w:rsidR="00A16B8C" w:rsidRPr="00C90AC9" w:rsidRDefault="00A16B8C" w:rsidP="00B06779"/>
    <w:p w:rsidR="00A16B8C" w:rsidRPr="00C90AC9" w:rsidRDefault="00A16B8C" w:rsidP="00B06779"/>
    <w:p w:rsidR="00A52775" w:rsidRPr="00C90AC9" w:rsidRDefault="00A52775" w:rsidP="00B06779"/>
    <w:p w:rsidR="00A94D8C" w:rsidRPr="00C90AC9" w:rsidRDefault="00A94D8C" w:rsidP="00B06779">
      <w:pPr>
        <w:rPr>
          <w:rFonts w:eastAsiaTheme="majorEastAsia"/>
        </w:rPr>
      </w:pPr>
      <w:r w:rsidRPr="00C90AC9">
        <w:br w:type="page"/>
      </w:r>
    </w:p>
    <w:p w:rsidR="00A52775" w:rsidRPr="00C90AC9" w:rsidRDefault="00A52775" w:rsidP="007574AE">
      <w:pPr>
        <w:pStyle w:val="Subtitle"/>
        <w:jc w:val="center"/>
        <w:rPr>
          <w:bCs/>
        </w:rPr>
      </w:pPr>
      <w:bookmarkStart w:id="5" w:name="_Toc447173039"/>
      <w:r w:rsidRPr="00C90AC9">
        <w:rPr>
          <w:rStyle w:val="Heading11Char"/>
          <w:rFonts w:ascii="Times New Roman" w:hAnsi="Times New Roman" w:cs="Times New Roman"/>
          <w:i w:val="0"/>
          <w:iCs/>
          <w:sz w:val="44"/>
          <w:szCs w:val="24"/>
        </w:rPr>
        <w:lastRenderedPageBreak/>
        <w:t>Glossary of Terms</w:t>
      </w:r>
      <w:bookmarkEnd w:id="5"/>
      <w:r w:rsidR="007868D9" w:rsidRPr="00C90AC9">
        <w:rPr>
          <w:rStyle w:val="Heading11Char"/>
          <w:rFonts w:ascii="Times New Roman" w:hAnsi="Times New Roman" w:cs="Times New Roman"/>
          <w:i w:val="0"/>
          <w:iCs/>
          <w:szCs w:val="24"/>
        </w:rPr>
        <w:tab/>
      </w:r>
      <w:r w:rsidRPr="00C90AC9">
        <w:br/>
      </w:r>
      <w:r w:rsidR="006F0C85">
        <w:pict>
          <v:rect id="_x0000_i1027" style="width:0;height:1.5pt" o:hralign="center" o:hrstd="t" o:hr="t" fillcolor="#a0a0a0" stroked="f"/>
        </w:pict>
      </w:r>
    </w:p>
    <w:p w:rsidR="00A52775" w:rsidRPr="00C90AC9" w:rsidRDefault="00A52775" w:rsidP="00E74A74">
      <w:pPr>
        <w:spacing w:line="240" w:lineRule="auto"/>
        <w:rPr>
          <w:szCs w:val="24"/>
        </w:rPr>
      </w:pPr>
      <w:r w:rsidRPr="00C90AC9">
        <w:rPr>
          <w:szCs w:val="24"/>
        </w:rPr>
        <w:t>A</w:t>
      </w:r>
      <w:r w:rsidRPr="00C90AC9">
        <w:rPr>
          <w:szCs w:val="24"/>
          <w:vertAlign w:val="subscript"/>
        </w:rPr>
        <w:t>b</w:t>
      </w:r>
      <w:r w:rsidRPr="00C90AC9">
        <w:rPr>
          <w:szCs w:val="24"/>
        </w:rPr>
        <w:tab/>
      </w:r>
      <w:r w:rsidRPr="00C90AC9">
        <w:rPr>
          <w:szCs w:val="24"/>
        </w:rPr>
        <w:tab/>
      </w:r>
      <w:r w:rsidRPr="00C90AC9">
        <w:rPr>
          <w:szCs w:val="24"/>
        </w:rPr>
        <w:tab/>
      </w:r>
      <w:r w:rsidRPr="00C90AC9">
        <w:rPr>
          <w:szCs w:val="24"/>
        </w:rPr>
        <w:tab/>
        <w:t>Absorptance of collector (-)</w:t>
      </w:r>
    </w:p>
    <w:p w:rsidR="00A52775" w:rsidRPr="00C90AC9" w:rsidRDefault="00A52775" w:rsidP="00E74A74">
      <w:pPr>
        <w:spacing w:line="240" w:lineRule="auto"/>
        <w:rPr>
          <w:szCs w:val="24"/>
        </w:rPr>
      </w:pPr>
      <w:r w:rsidRPr="00C90AC9">
        <w:rPr>
          <w:szCs w:val="24"/>
        </w:rPr>
        <w:t>A</w:t>
      </w:r>
      <w:r w:rsidRPr="00C90AC9">
        <w:rPr>
          <w:szCs w:val="24"/>
          <w:vertAlign w:val="subscript"/>
        </w:rPr>
        <w:t>C</w:t>
      </w:r>
      <w:r w:rsidRPr="00C90AC9">
        <w:rPr>
          <w:szCs w:val="24"/>
          <w:vertAlign w:val="subscript"/>
        </w:rPr>
        <w:tab/>
      </w:r>
      <w:r w:rsidRPr="00C90AC9">
        <w:rPr>
          <w:szCs w:val="24"/>
          <w:vertAlign w:val="subscript"/>
        </w:rPr>
        <w:tab/>
      </w:r>
      <w:r w:rsidRPr="00C90AC9">
        <w:rPr>
          <w:szCs w:val="24"/>
          <w:vertAlign w:val="subscript"/>
        </w:rPr>
        <w:tab/>
      </w:r>
      <w:r w:rsidRPr="00C90AC9">
        <w:rPr>
          <w:szCs w:val="24"/>
          <w:vertAlign w:val="subscript"/>
        </w:rPr>
        <w:tab/>
      </w:r>
      <w:r w:rsidRPr="00C90AC9">
        <w:rPr>
          <w:szCs w:val="24"/>
        </w:rPr>
        <w:t>Area of collector (m</w:t>
      </w:r>
      <w:r w:rsidRPr="00C90AC9">
        <w:rPr>
          <w:szCs w:val="24"/>
          <w:vertAlign w:val="superscript"/>
        </w:rPr>
        <w:t>2</w:t>
      </w:r>
      <w:r w:rsidRPr="00C90AC9">
        <w:rPr>
          <w:szCs w:val="24"/>
        </w:rPr>
        <w:t>)</w:t>
      </w:r>
    </w:p>
    <w:p w:rsidR="00A52775" w:rsidRPr="00C90AC9" w:rsidRDefault="00C67C16" w:rsidP="00E74A74">
      <w:pPr>
        <w:spacing w:line="240" w:lineRule="auto"/>
        <w:rPr>
          <w:szCs w:val="24"/>
        </w:rPr>
      </w:pPr>
      <w:r w:rsidRPr="00C90AC9">
        <w:rPr>
          <w:szCs w:val="24"/>
        </w:rPr>
        <w:t xml:space="preserve">BSRIA </w:t>
      </w:r>
      <w:r w:rsidRPr="00C90AC9">
        <w:rPr>
          <w:szCs w:val="24"/>
        </w:rPr>
        <w:tab/>
      </w:r>
      <w:r w:rsidRPr="00C90AC9">
        <w:rPr>
          <w:szCs w:val="24"/>
        </w:rPr>
        <w:tab/>
      </w:r>
      <w:r w:rsidR="00A64C09" w:rsidRPr="00C90AC9">
        <w:rPr>
          <w:szCs w:val="24"/>
        </w:rPr>
        <w:tab/>
      </w:r>
      <w:r w:rsidR="00A52775" w:rsidRPr="00C90AC9">
        <w:rPr>
          <w:szCs w:val="24"/>
        </w:rPr>
        <w:t>Building Services Research and Information Association</w:t>
      </w:r>
    </w:p>
    <w:p w:rsidR="00373A8B" w:rsidRPr="00C90AC9" w:rsidRDefault="00373A8B" w:rsidP="00E74A74">
      <w:pPr>
        <w:spacing w:line="240" w:lineRule="auto"/>
        <w:rPr>
          <w:szCs w:val="24"/>
        </w:rPr>
      </w:pPr>
      <w:r w:rsidRPr="00C90AC9">
        <w:rPr>
          <w:szCs w:val="24"/>
        </w:rPr>
        <w:t>CC</w:t>
      </w:r>
      <w:r w:rsidRPr="00C90AC9">
        <w:rPr>
          <w:szCs w:val="24"/>
        </w:rPr>
        <w:tab/>
      </w:r>
      <w:r w:rsidRPr="00C90AC9">
        <w:rPr>
          <w:szCs w:val="24"/>
        </w:rPr>
        <w:tab/>
      </w:r>
      <w:r w:rsidRPr="00C90AC9">
        <w:rPr>
          <w:szCs w:val="24"/>
        </w:rPr>
        <w:tab/>
      </w:r>
      <w:r w:rsidRPr="00C90AC9">
        <w:rPr>
          <w:szCs w:val="24"/>
        </w:rPr>
        <w:tab/>
        <w:t>Concentrating Collector</w:t>
      </w:r>
    </w:p>
    <w:p w:rsidR="00A52775" w:rsidRPr="00C90AC9" w:rsidRDefault="00A52775" w:rsidP="00E74A74">
      <w:pPr>
        <w:spacing w:line="240" w:lineRule="auto"/>
        <w:rPr>
          <w:szCs w:val="24"/>
        </w:rPr>
      </w:pPr>
      <w:r w:rsidRPr="00C90AC9">
        <w:rPr>
          <w:szCs w:val="24"/>
        </w:rPr>
        <w:t>C</w:t>
      </w:r>
      <w:r w:rsidRPr="00C90AC9">
        <w:rPr>
          <w:szCs w:val="24"/>
          <w:vertAlign w:val="subscript"/>
        </w:rPr>
        <w:t>GAS</w:t>
      </w:r>
      <w:r w:rsidRPr="00C90AC9">
        <w:rPr>
          <w:szCs w:val="24"/>
          <w:vertAlign w:val="subscript"/>
        </w:rPr>
        <w:tab/>
      </w:r>
      <w:r w:rsidRPr="00C90AC9">
        <w:rPr>
          <w:szCs w:val="24"/>
          <w:vertAlign w:val="subscript"/>
        </w:rPr>
        <w:tab/>
      </w:r>
      <w:r w:rsidRPr="00C90AC9">
        <w:rPr>
          <w:szCs w:val="24"/>
          <w:vertAlign w:val="subscript"/>
        </w:rPr>
        <w:tab/>
      </w:r>
      <w:r w:rsidRPr="00C90AC9">
        <w:rPr>
          <w:szCs w:val="24"/>
          <w:vertAlign w:val="subscript"/>
        </w:rPr>
        <w:tab/>
      </w:r>
      <w:r w:rsidRPr="00C90AC9">
        <w:rPr>
          <w:szCs w:val="24"/>
        </w:rPr>
        <w:t>Cost of gas used by auxiliary boiler (£)</w:t>
      </w:r>
    </w:p>
    <w:p w:rsidR="00A52775" w:rsidRPr="00C90AC9" w:rsidRDefault="00A52775" w:rsidP="00E74A74">
      <w:pPr>
        <w:spacing w:line="240" w:lineRule="auto"/>
        <w:rPr>
          <w:szCs w:val="24"/>
        </w:rPr>
      </w:pPr>
      <w:r w:rsidRPr="00C90AC9">
        <w:rPr>
          <w:szCs w:val="24"/>
        </w:rPr>
        <w:t>C</w:t>
      </w:r>
      <w:r w:rsidRPr="00C90AC9">
        <w:rPr>
          <w:szCs w:val="24"/>
          <w:vertAlign w:val="subscript"/>
        </w:rPr>
        <w:t>P</w:t>
      </w:r>
      <w:r w:rsidRPr="00C90AC9">
        <w:rPr>
          <w:szCs w:val="24"/>
        </w:rPr>
        <w:tab/>
      </w:r>
      <w:r w:rsidRPr="00C90AC9">
        <w:rPr>
          <w:szCs w:val="24"/>
        </w:rPr>
        <w:tab/>
      </w:r>
      <w:r w:rsidRPr="00C90AC9">
        <w:rPr>
          <w:szCs w:val="24"/>
        </w:rPr>
        <w:tab/>
      </w:r>
      <w:r w:rsidRPr="00C90AC9">
        <w:rPr>
          <w:szCs w:val="24"/>
        </w:rPr>
        <w:tab/>
        <w:t>Specific heat capacity of water (J/kg °C)</w:t>
      </w:r>
    </w:p>
    <w:p w:rsidR="00A52775" w:rsidRPr="00C90AC9" w:rsidRDefault="00A52775" w:rsidP="00E74A74">
      <w:pPr>
        <w:spacing w:line="240" w:lineRule="auto"/>
        <w:rPr>
          <w:szCs w:val="24"/>
        </w:rPr>
      </w:pPr>
      <w:r w:rsidRPr="00C90AC9">
        <w:rPr>
          <w:szCs w:val="24"/>
        </w:rPr>
        <w:t>DCLG</w:t>
      </w:r>
      <w:r w:rsidRPr="00C90AC9">
        <w:rPr>
          <w:szCs w:val="24"/>
        </w:rPr>
        <w:tab/>
      </w:r>
      <w:r w:rsidRPr="00C90AC9">
        <w:rPr>
          <w:szCs w:val="24"/>
        </w:rPr>
        <w:tab/>
      </w:r>
      <w:r w:rsidRPr="00C90AC9">
        <w:rPr>
          <w:szCs w:val="24"/>
        </w:rPr>
        <w:tab/>
      </w:r>
      <w:r w:rsidRPr="00C90AC9">
        <w:rPr>
          <w:szCs w:val="24"/>
        </w:rPr>
        <w:tab/>
        <w:t>Department of Communities and Local Government</w:t>
      </w:r>
    </w:p>
    <w:p w:rsidR="00A52775" w:rsidRPr="00C90AC9" w:rsidRDefault="00A52775" w:rsidP="00E74A74">
      <w:pPr>
        <w:spacing w:line="240" w:lineRule="auto"/>
        <w:rPr>
          <w:szCs w:val="24"/>
        </w:rPr>
      </w:pPr>
      <w:r w:rsidRPr="00C90AC9">
        <w:rPr>
          <w:szCs w:val="24"/>
        </w:rPr>
        <w:t>DECC</w:t>
      </w:r>
      <w:r w:rsidRPr="00C90AC9">
        <w:rPr>
          <w:szCs w:val="24"/>
        </w:rPr>
        <w:tab/>
      </w:r>
      <w:r w:rsidRPr="00C90AC9">
        <w:rPr>
          <w:szCs w:val="24"/>
        </w:rPr>
        <w:tab/>
      </w:r>
      <w:r w:rsidRPr="00C90AC9">
        <w:rPr>
          <w:szCs w:val="24"/>
        </w:rPr>
        <w:tab/>
      </w:r>
      <w:r w:rsidRPr="00C90AC9">
        <w:rPr>
          <w:szCs w:val="24"/>
        </w:rPr>
        <w:tab/>
      </w:r>
      <w:r w:rsidR="00254F7D" w:rsidRPr="00C90AC9">
        <w:rPr>
          <w:szCs w:val="24"/>
        </w:rPr>
        <w:t xml:space="preserve">The </w:t>
      </w:r>
      <w:r w:rsidRPr="00C90AC9">
        <w:rPr>
          <w:szCs w:val="24"/>
        </w:rPr>
        <w:t>Department</w:t>
      </w:r>
      <w:r w:rsidR="00254F7D" w:rsidRPr="00C90AC9">
        <w:rPr>
          <w:szCs w:val="24"/>
        </w:rPr>
        <w:t xml:space="preserve"> for</w:t>
      </w:r>
      <w:r w:rsidRPr="00C90AC9">
        <w:rPr>
          <w:szCs w:val="24"/>
        </w:rPr>
        <w:t xml:space="preserve"> Energy and Climate Change</w:t>
      </w:r>
    </w:p>
    <w:p w:rsidR="00254F7D" w:rsidRPr="00C90AC9" w:rsidRDefault="00254F7D" w:rsidP="00E74A74">
      <w:pPr>
        <w:spacing w:line="240" w:lineRule="auto"/>
        <w:rPr>
          <w:szCs w:val="24"/>
        </w:rPr>
      </w:pPr>
      <w:r w:rsidRPr="00C90AC9">
        <w:rPr>
          <w:szCs w:val="24"/>
        </w:rPr>
        <w:t>DTI</w:t>
      </w:r>
      <w:r w:rsidRPr="00C90AC9">
        <w:rPr>
          <w:szCs w:val="24"/>
        </w:rPr>
        <w:tab/>
      </w:r>
      <w:r w:rsidRPr="00C90AC9">
        <w:rPr>
          <w:szCs w:val="24"/>
        </w:rPr>
        <w:tab/>
      </w:r>
      <w:r w:rsidRPr="00C90AC9">
        <w:rPr>
          <w:szCs w:val="24"/>
        </w:rPr>
        <w:tab/>
      </w:r>
      <w:r w:rsidRPr="00C90AC9">
        <w:rPr>
          <w:szCs w:val="24"/>
        </w:rPr>
        <w:tab/>
        <w:t>The Department for Trade and Industry</w:t>
      </w:r>
    </w:p>
    <w:p w:rsidR="00A52775" w:rsidRPr="00C90AC9" w:rsidRDefault="00A52775" w:rsidP="00E74A74">
      <w:pPr>
        <w:spacing w:line="240" w:lineRule="auto"/>
        <w:rPr>
          <w:szCs w:val="24"/>
        </w:rPr>
      </w:pPr>
      <w:r w:rsidRPr="00C90AC9">
        <w:rPr>
          <w:szCs w:val="24"/>
        </w:rPr>
        <w:t>DNI</w:t>
      </w:r>
      <w:r w:rsidRPr="00C90AC9">
        <w:rPr>
          <w:szCs w:val="24"/>
        </w:rPr>
        <w:tab/>
      </w:r>
      <w:r w:rsidRPr="00C90AC9">
        <w:rPr>
          <w:szCs w:val="24"/>
        </w:rPr>
        <w:tab/>
      </w:r>
      <w:r w:rsidRPr="00C90AC9">
        <w:rPr>
          <w:szCs w:val="24"/>
        </w:rPr>
        <w:tab/>
      </w:r>
      <w:r w:rsidRPr="00C90AC9">
        <w:rPr>
          <w:szCs w:val="24"/>
        </w:rPr>
        <w:tab/>
        <w:t>Direct Normal Irradiation (W/m</w:t>
      </w:r>
      <w:r w:rsidRPr="00C90AC9">
        <w:rPr>
          <w:szCs w:val="24"/>
          <w:vertAlign w:val="superscript"/>
        </w:rPr>
        <w:t>2</w:t>
      </w:r>
      <w:r w:rsidRPr="00C90AC9">
        <w:rPr>
          <w:szCs w:val="24"/>
        </w:rPr>
        <w:t>)</w:t>
      </w:r>
    </w:p>
    <w:p w:rsidR="00A52775" w:rsidRPr="00C90AC9" w:rsidRDefault="00A52775" w:rsidP="00E74A74">
      <w:pPr>
        <w:spacing w:line="240" w:lineRule="auto"/>
        <w:rPr>
          <w:szCs w:val="24"/>
        </w:rPr>
      </w:pPr>
      <w:r w:rsidRPr="00C90AC9">
        <w:rPr>
          <w:szCs w:val="24"/>
        </w:rPr>
        <w:t>dT</w:t>
      </w:r>
      <w:r w:rsidRPr="00C90AC9">
        <w:rPr>
          <w:szCs w:val="24"/>
        </w:rPr>
        <w:tab/>
      </w:r>
      <w:r w:rsidRPr="00C90AC9">
        <w:rPr>
          <w:szCs w:val="24"/>
        </w:rPr>
        <w:tab/>
      </w:r>
      <w:r w:rsidRPr="00C90AC9">
        <w:rPr>
          <w:szCs w:val="24"/>
        </w:rPr>
        <w:tab/>
      </w:r>
      <w:r w:rsidRPr="00C90AC9">
        <w:rPr>
          <w:szCs w:val="24"/>
        </w:rPr>
        <w:tab/>
        <w:t xml:space="preserve">Temperature difference between required temperature and </w:t>
      </w:r>
      <w:r w:rsidRPr="00C90AC9">
        <w:rPr>
          <w:szCs w:val="24"/>
        </w:rPr>
        <w:tab/>
      </w:r>
      <w:r w:rsidRPr="00C90AC9">
        <w:rPr>
          <w:szCs w:val="24"/>
        </w:rPr>
        <w:tab/>
      </w:r>
      <w:r w:rsidRPr="00C90AC9">
        <w:rPr>
          <w:szCs w:val="24"/>
        </w:rPr>
        <w:tab/>
      </w:r>
      <w:r w:rsidRPr="00C90AC9">
        <w:rPr>
          <w:szCs w:val="24"/>
        </w:rPr>
        <w:tab/>
      </w:r>
      <w:r w:rsidR="00695446" w:rsidRPr="00C90AC9">
        <w:rPr>
          <w:szCs w:val="24"/>
        </w:rPr>
        <w:tab/>
      </w:r>
      <w:r w:rsidRPr="00C90AC9">
        <w:rPr>
          <w:szCs w:val="24"/>
        </w:rPr>
        <w:t xml:space="preserve">temperature of water as it leaves the tank </w:t>
      </w:r>
      <w:r w:rsidR="007F6E01" w:rsidRPr="00C90AC9">
        <w:rPr>
          <w:szCs w:val="24"/>
        </w:rPr>
        <w:t>(</w:t>
      </w:r>
      <w:r w:rsidR="002A3697" w:rsidRPr="00C90AC9">
        <w:rPr>
          <w:szCs w:val="24"/>
        </w:rPr>
        <w:sym w:font="Symbol" w:char="F0B0"/>
      </w:r>
      <w:r w:rsidR="007F6E01" w:rsidRPr="00C90AC9">
        <w:rPr>
          <w:szCs w:val="24"/>
        </w:rPr>
        <w:t>C)</w:t>
      </w:r>
    </w:p>
    <w:p w:rsidR="00A52775" w:rsidRPr="00C90AC9" w:rsidRDefault="00A52775" w:rsidP="00E74A74">
      <w:pPr>
        <w:spacing w:line="240" w:lineRule="auto"/>
        <w:rPr>
          <w:szCs w:val="24"/>
        </w:rPr>
      </w:pPr>
      <w:r w:rsidRPr="00C90AC9">
        <w:rPr>
          <w:szCs w:val="24"/>
        </w:rPr>
        <w:t>E</w:t>
      </w:r>
      <w:r w:rsidRPr="00C90AC9">
        <w:rPr>
          <w:szCs w:val="24"/>
          <w:vertAlign w:val="subscript"/>
        </w:rPr>
        <w:t>SAVE</w:t>
      </w:r>
      <w:r w:rsidRPr="00C90AC9">
        <w:rPr>
          <w:szCs w:val="24"/>
          <w:vertAlign w:val="subscript"/>
        </w:rPr>
        <w:tab/>
      </w:r>
      <w:r w:rsidRPr="00C90AC9">
        <w:rPr>
          <w:szCs w:val="24"/>
          <w:vertAlign w:val="subscript"/>
        </w:rPr>
        <w:tab/>
      </w:r>
      <w:r w:rsidRPr="00C90AC9">
        <w:rPr>
          <w:szCs w:val="24"/>
          <w:vertAlign w:val="subscript"/>
        </w:rPr>
        <w:tab/>
      </w:r>
      <w:r w:rsidRPr="00C90AC9">
        <w:rPr>
          <w:szCs w:val="24"/>
          <w:vertAlign w:val="superscript"/>
        </w:rPr>
        <w:tab/>
      </w:r>
      <w:r w:rsidRPr="00C90AC9">
        <w:rPr>
          <w:szCs w:val="24"/>
        </w:rPr>
        <w:t>Final energy savings from STP (£/</w:t>
      </w:r>
      <w:proofErr w:type="spellStart"/>
      <w:r w:rsidRPr="00C90AC9">
        <w:rPr>
          <w:szCs w:val="24"/>
        </w:rPr>
        <w:t>yr</w:t>
      </w:r>
      <w:proofErr w:type="spellEnd"/>
      <w:r w:rsidRPr="00C90AC9">
        <w:rPr>
          <w:szCs w:val="24"/>
        </w:rPr>
        <w:t>)</w:t>
      </w:r>
    </w:p>
    <w:p w:rsidR="00310C75" w:rsidRPr="00C90AC9" w:rsidRDefault="00310C75" w:rsidP="00E74A74">
      <w:pPr>
        <w:spacing w:line="240" w:lineRule="auto"/>
        <w:rPr>
          <w:szCs w:val="24"/>
        </w:rPr>
      </w:pPr>
      <w:r w:rsidRPr="00C90AC9">
        <w:rPr>
          <w:szCs w:val="24"/>
        </w:rPr>
        <w:t>ESTIF</w:t>
      </w:r>
      <w:r w:rsidRPr="00C90AC9">
        <w:rPr>
          <w:szCs w:val="24"/>
        </w:rPr>
        <w:tab/>
      </w:r>
      <w:r w:rsidRPr="00C90AC9">
        <w:rPr>
          <w:szCs w:val="24"/>
        </w:rPr>
        <w:tab/>
      </w:r>
      <w:r w:rsidRPr="00C90AC9">
        <w:rPr>
          <w:szCs w:val="24"/>
        </w:rPr>
        <w:tab/>
      </w:r>
      <w:r w:rsidRPr="00C90AC9">
        <w:rPr>
          <w:szCs w:val="24"/>
        </w:rPr>
        <w:tab/>
        <w:t>European Solar Thermal International Federation</w:t>
      </w:r>
    </w:p>
    <w:p w:rsidR="00A52775" w:rsidRPr="00C90AC9" w:rsidRDefault="00A52775" w:rsidP="00E74A74">
      <w:pPr>
        <w:spacing w:line="240" w:lineRule="auto"/>
        <w:rPr>
          <w:szCs w:val="24"/>
        </w:rPr>
      </w:pPr>
      <w:r w:rsidRPr="00C90AC9">
        <w:rPr>
          <w:szCs w:val="24"/>
        </w:rPr>
        <w:t>ETC</w:t>
      </w:r>
      <w:r w:rsidRPr="00C90AC9">
        <w:rPr>
          <w:szCs w:val="24"/>
        </w:rPr>
        <w:tab/>
      </w:r>
      <w:r w:rsidRPr="00C90AC9">
        <w:rPr>
          <w:szCs w:val="24"/>
        </w:rPr>
        <w:tab/>
      </w:r>
      <w:r w:rsidRPr="00C90AC9">
        <w:rPr>
          <w:szCs w:val="24"/>
        </w:rPr>
        <w:tab/>
      </w:r>
      <w:r w:rsidRPr="00C90AC9">
        <w:rPr>
          <w:szCs w:val="24"/>
        </w:rPr>
        <w:tab/>
        <w:t>Evacuated Tube Collector</w:t>
      </w:r>
    </w:p>
    <w:p w:rsidR="00033079" w:rsidRPr="00C90AC9" w:rsidRDefault="00033079" w:rsidP="00E74A74">
      <w:pPr>
        <w:spacing w:line="240" w:lineRule="auto"/>
        <w:rPr>
          <w:szCs w:val="24"/>
        </w:rPr>
      </w:pPr>
      <w:r w:rsidRPr="00C90AC9">
        <w:rPr>
          <w:szCs w:val="24"/>
        </w:rPr>
        <w:t>IEA</w:t>
      </w:r>
      <w:r w:rsidRPr="00C90AC9">
        <w:rPr>
          <w:szCs w:val="24"/>
        </w:rPr>
        <w:tab/>
      </w:r>
      <w:r w:rsidRPr="00C90AC9">
        <w:rPr>
          <w:szCs w:val="24"/>
        </w:rPr>
        <w:tab/>
      </w:r>
      <w:r w:rsidRPr="00C90AC9">
        <w:rPr>
          <w:szCs w:val="24"/>
        </w:rPr>
        <w:tab/>
      </w:r>
      <w:r w:rsidRPr="00C90AC9">
        <w:rPr>
          <w:szCs w:val="24"/>
        </w:rPr>
        <w:tab/>
      </w:r>
      <w:r w:rsidR="005E5FBA" w:rsidRPr="00C90AC9">
        <w:rPr>
          <w:szCs w:val="24"/>
        </w:rPr>
        <w:t>International Energy Agency</w:t>
      </w:r>
    </w:p>
    <w:p w:rsidR="00A52775" w:rsidRPr="00C90AC9" w:rsidRDefault="00A52775" w:rsidP="00E74A74">
      <w:pPr>
        <w:spacing w:line="240" w:lineRule="auto"/>
        <w:rPr>
          <w:szCs w:val="24"/>
        </w:rPr>
      </w:pPr>
      <w:r w:rsidRPr="00C90AC9">
        <w:rPr>
          <w:szCs w:val="24"/>
        </w:rPr>
        <w:t>FPC</w:t>
      </w:r>
      <w:r w:rsidRPr="00C90AC9">
        <w:rPr>
          <w:szCs w:val="24"/>
        </w:rPr>
        <w:tab/>
      </w:r>
      <w:r w:rsidRPr="00C90AC9">
        <w:rPr>
          <w:szCs w:val="24"/>
        </w:rPr>
        <w:tab/>
      </w:r>
      <w:r w:rsidRPr="00C90AC9">
        <w:rPr>
          <w:szCs w:val="24"/>
        </w:rPr>
        <w:tab/>
      </w:r>
      <w:r w:rsidRPr="00C90AC9">
        <w:rPr>
          <w:szCs w:val="24"/>
        </w:rPr>
        <w:tab/>
        <w:t>Flat Plate Collector</w:t>
      </w:r>
    </w:p>
    <w:p w:rsidR="00314031" w:rsidRPr="00C90AC9" w:rsidRDefault="006F0C85" w:rsidP="00E74A74">
      <w:pPr>
        <w:spacing w:line="240" w:lineRule="auto"/>
        <w:rPr>
          <w:szCs w:val="24"/>
        </w:rPr>
      </w:pPr>
      <m:oMath>
        <m:sSub>
          <m:sSubPr>
            <m:ctrlPr>
              <w:rPr>
                <w:rFonts w:ascii="Cambria Math" w:hAnsi="Cambria Math"/>
                <w:szCs w:val="24"/>
              </w:rPr>
            </m:ctrlPr>
          </m:sSubPr>
          <m:e>
            <m:r>
              <m:rPr>
                <m:sty m:val="p"/>
              </m:rPr>
              <w:rPr>
                <w:rFonts w:ascii="Cambria Math" w:hAnsi="Cambria Math"/>
                <w:szCs w:val="24"/>
              </w:rPr>
              <m:t>F</m:t>
            </m:r>
          </m:e>
          <m:sub>
            <m:r>
              <m:rPr>
                <m:sty m:val="p"/>
              </m:rPr>
              <w:rPr>
                <w:rFonts w:ascii="Cambria Math" w:hAnsi="Cambria Math"/>
                <w:szCs w:val="24"/>
              </w:rPr>
              <m:t>SOL</m:t>
            </m:r>
          </m:sub>
        </m:sSub>
      </m:oMath>
      <w:r w:rsidR="00A52775" w:rsidRPr="00C90AC9">
        <w:rPr>
          <w:szCs w:val="24"/>
        </w:rPr>
        <w:tab/>
      </w:r>
      <w:r w:rsidR="00A52775" w:rsidRPr="00C90AC9">
        <w:rPr>
          <w:szCs w:val="24"/>
        </w:rPr>
        <w:tab/>
      </w:r>
      <w:r w:rsidR="00A52775" w:rsidRPr="00C90AC9">
        <w:rPr>
          <w:szCs w:val="24"/>
        </w:rPr>
        <w:tab/>
      </w:r>
      <w:r w:rsidR="00A52775" w:rsidRPr="00C90AC9">
        <w:rPr>
          <w:szCs w:val="24"/>
        </w:rPr>
        <w:tab/>
        <w:t>Solar Fraction (-)</w:t>
      </w:r>
    </w:p>
    <w:p w:rsidR="00314031" w:rsidRPr="00C90AC9" w:rsidRDefault="00314031" w:rsidP="00E74A74">
      <w:pPr>
        <w:spacing w:line="240" w:lineRule="auto"/>
        <w:rPr>
          <w:szCs w:val="24"/>
        </w:rPr>
      </w:pPr>
      <w:r w:rsidRPr="00C90AC9">
        <w:rPr>
          <w:szCs w:val="24"/>
        </w:rPr>
        <w:t>GA</w:t>
      </w:r>
      <w:r w:rsidRPr="00C90AC9">
        <w:rPr>
          <w:szCs w:val="24"/>
        </w:rPr>
        <w:tab/>
      </w:r>
      <w:r w:rsidRPr="00C90AC9">
        <w:rPr>
          <w:szCs w:val="24"/>
        </w:rPr>
        <w:tab/>
      </w:r>
      <w:r w:rsidRPr="00C90AC9">
        <w:rPr>
          <w:szCs w:val="24"/>
        </w:rPr>
        <w:tab/>
      </w:r>
      <w:r w:rsidRPr="00C90AC9">
        <w:rPr>
          <w:szCs w:val="24"/>
        </w:rPr>
        <w:tab/>
      </w:r>
      <w:r w:rsidRPr="00C90AC9">
        <w:rPr>
          <w:rFonts w:eastAsiaTheme="majorEastAsia"/>
          <w:szCs w:val="24"/>
          <w:lang w:eastAsia="en-US"/>
        </w:rPr>
        <w:t>Genetic Algorithm</w:t>
      </w:r>
    </w:p>
    <w:p w:rsidR="00942B7E" w:rsidRPr="00C90AC9" w:rsidRDefault="00942B7E" w:rsidP="00E74A74">
      <w:pPr>
        <w:spacing w:line="240" w:lineRule="auto"/>
        <w:rPr>
          <w:szCs w:val="24"/>
        </w:rPr>
      </w:pPr>
      <w:r w:rsidRPr="00C90AC9">
        <w:rPr>
          <w:szCs w:val="24"/>
        </w:rPr>
        <w:t>GHG</w:t>
      </w:r>
      <w:r w:rsidRPr="00C90AC9">
        <w:rPr>
          <w:szCs w:val="24"/>
        </w:rPr>
        <w:tab/>
      </w:r>
      <w:r w:rsidRPr="00C90AC9">
        <w:rPr>
          <w:szCs w:val="24"/>
        </w:rPr>
        <w:tab/>
      </w:r>
      <w:r w:rsidRPr="00C90AC9">
        <w:rPr>
          <w:szCs w:val="24"/>
        </w:rPr>
        <w:tab/>
      </w:r>
      <w:r w:rsidRPr="00C90AC9">
        <w:rPr>
          <w:szCs w:val="24"/>
        </w:rPr>
        <w:tab/>
        <w:t>Green</w:t>
      </w:r>
      <w:r w:rsidR="00606BAA" w:rsidRPr="00C90AC9">
        <w:rPr>
          <w:szCs w:val="24"/>
        </w:rPr>
        <w:t>h</w:t>
      </w:r>
      <w:r w:rsidRPr="00C90AC9">
        <w:rPr>
          <w:szCs w:val="24"/>
        </w:rPr>
        <w:t>ouse Gas</w:t>
      </w:r>
    </w:p>
    <w:p w:rsidR="00A52775" w:rsidRPr="00C90AC9" w:rsidRDefault="00A52775" w:rsidP="00E74A74">
      <w:pPr>
        <w:spacing w:line="240" w:lineRule="auto"/>
        <w:rPr>
          <w:szCs w:val="24"/>
        </w:rPr>
      </w:pPr>
      <w:r w:rsidRPr="00C90AC9">
        <w:rPr>
          <w:szCs w:val="24"/>
        </w:rPr>
        <w:t>GHI</w:t>
      </w:r>
      <w:r w:rsidRPr="00C90AC9">
        <w:rPr>
          <w:szCs w:val="24"/>
        </w:rPr>
        <w:tab/>
      </w:r>
      <w:r w:rsidRPr="00C90AC9">
        <w:rPr>
          <w:szCs w:val="24"/>
        </w:rPr>
        <w:tab/>
      </w:r>
      <w:r w:rsidRPr="00C90AC9">
        <w:rPr>
          <w:szCs w:val="24"/>
        </w:rPr>
        <w:tab/>
      </w:r>
      <w:r w:rsidRPr="00C90AC9">
        <w:rPr>
          <w:szCs w:val="24"/>
        </w:rPr>
        <w:tab/>
        <w:t>Global Horizontal Irradiance (W/m</w:t>
      </w:r>
      <w:r w:rsidRPr="00C90AC9">
        <w:rPr>
          <w:szCs w:val="24"/>
          <w:vertAlign w:val="superscript"/>
        </w:rPr>
        <w:t>2</w:t>
      </w:r>
      <w:r w:rsidRPr="00C90AC9">
        <w:rPr>
          <w:szCs w:val="24"/>
        </w:rPr>
        <w:t>)</w:t>
      </w:r>
    </w:p>
    <w:p w:rsidR="00A52775" w:rsidRPr="00C90AC9" w:rsidRDefault="00A52775" w:rsidP="00E74A74">
      <w:pPr>
        <w:spacing w:line="240" w:lineRule="auto"/>
        <w:rPr>
          <w:szCs w:val="24"/>
        </w:rPr>
      </w:pPr>
      <w:r w:rsidRPr="00C90AC9">
        <w:rPr>
          <w:szCs w:val="24"/>
        </w:rPr>
        <w:t>H</w:t>
      </w:r>
      <w:r w:rsidRPr="00C90AC9">
        <w:rPr>
          <w:szCs w:val="24"/>
        </w:rPr>
        <w:tab/>
      </w:r>
      <w:r w:rsidRPr="00C90AC9">
        <w:rPr>
          <w:szCs w:val="24"/>
        </w:rPr>
        <w:tab/>
      </w:r>
      <w:r w:rsidRPr="00C90AC9">
        <w:rPr>
          <w:szCs w:val="24"/>
        </w:rPr>
        <w:tab/>
      </w:r>
      <w:r w:rsidRPr="00C90AC9">
        <w:rPr>
          <w:szCs w:val="24"/>
        </w:rPr>
        <w:tab/>
        <w:t>Solar irradiation incident per unit area (W/m</w:t>
      </w:r>
      <w:r w:rsidRPr="00C90AC9">
        <w:rPr>
          <w:szCs w:val="24"/>
          <w:vertAlign w:val="superscript"/>
        </w:rPr>
        <w:t>2</w:t>
      </w:r>
      <w:r w:rsidRPr="00C90AC9">
        <w:rPr>
          <w:szCs w:val="24"/>
        </w:rPr>
        <w:t>)</w:t>
      </w:r>
    </w:p>
    <w:p w:rsidR="00A52775" w:rsidRPr="00C90AC9" w:rsidRDefault="00A52775" w:rsidP="00E74A74">
      <w:pPr>
        <w:spacing w:line="240" w:lineRule="auto"/>
        <w:rPr>
          <w:szCs w:val="24"/>
        </w:rPr>
      </w:pPr>
      <w:r w:rsidRPr="00C90AC9">
        <w:rPr>
          <w:szCs w:val="24"/>
        </w:rPr>
        <w:t>I</w:t>
      </w:r>
      <w:r w:rsidRPr="00C90AC9">
        <w:rPr>
          <w:szCs w:val="24"/>
          <w:vertAlign w:val="subscript"/>
        </w:rPr>
        <w:t>T</w:t>
      </w:r>
      <w:r w:rsidRPr="00C90AC9">
        <w:rPr>
          <w:szCs w:val="24"/>
        </w:rPr>
        <w:tab/>
      </w:r>
      <w:r w:rsidRPr="00C90AC9">
        <w:rPr>
          <w:szCs w:val="24"/>
        </w:rPr>
        <w:tab/>
      </w:r>
      <w:r w:rsidRPr="00C90AC9">
        <w:rPr>
          <w:szCs w:val="24"/>
        </w:rPr>
        <w:tab/>
      </w:r>
      <w:r w:rsidRPr="00C90AC9">
        <w:rPr>
          <w:szCs w:val="24"/>
        </w:rPr>
        <w:tab/>
        <w:t>Total Irradiation on the STP (W/m</w:t>
      </w:r>
      <w:r w:rsidRPr="00C90AC9">
        <w:rPr>
          <w:szCs w:val="24"/>
          <w:vertAlign w:val="superscript"/>
        </w:rPr>
        <w:t>2</w:t>
      </w:r>
      <w:r w:rsidRPr="00C90AC9">
        <w:rPr>
          <w:szCs w:val="24"/>
        </w:rPr>
        <w:t>)</w:t>
      </w:r>
    </w:p>
    <w:p w:rsidR="00325A67" w:rsidRPr="00C90AC9" w:rsidRDefault="00325A67" w:rsidP="00E74A74">
      <w:pPr>
        <w:spacing w:line="240" w:lineRule="auto"/>
        <w:rPr>
          <w:szCs w:val="24"/>
        </w:rPr>
      </w:pPr>
      <w:r w:rsidRPr="00C90AC9">
        <w:rPr>
          <w:szCs w:val="24"/>
        </w:rPr>
        <w:t>KTOE</w:t>
      </w:r>
      <w:r w:rsidRPr="00C90AC9">
        <w:rPr>
          <w:szCs w:val="24"/>
        </w:rPr>
        <w:tab/>
      </w:r>
      <w:r w:rsidRPr="00C90AC9">
        <w:rPr>
          <w:szCs w:val="24"/>
        </w:rPr>
        <w:tab/>
      </w:r>
      <w:r w:rsidRPr="00C90AC9">
        <w:rPr>
          <w:szCs w:val="24"/>
        </w:rPr>
        <w:tab/>
      </w:r>
      <w:r w:rsidRPr="00C90AC9">
        <w:rPr>
          <w:szCs w:val="24"/>
        </w:rPr>
        <w:tab/>
        <w:t>Kilotons of oil equivalent</w:t>
      </w:r>
    </w:p>
    <w:p w:rsidR="00DB7E0E" w:rsidRPr="00C90AC9" w:rsidRDefault="00DB7E0E" w:rsidP="00E74A74">
      <w:pPr>
        <w:spacing w:line="240" w:lineRule="auto"/>
        <w:rPr>
          <w:szCs w:val="24"/>
        </w:rPr>
      </w:pPr>
      <w:r w:rsidRPr="00C90AC9">
        <w:rPr>
          <w:szCs w:val="24"/>
        </w:rPr>
        <w:t>LCA</w:t>
      </w:r>
      <w:r w:rsidRPr="00C90AC9">
        <w:rPr>
          <w:szCs w:val="24"/>
        </w:rPr>
        <w:tab/>
      </w:r>
      <w:r w:rsidRPr="00C90AC9">
        <w:rPr>
          <w:szCs w:val="24"/>
        </w:rPr>
        <w:tab/>
      </w:r>
      <w:r w:rsidRPr="00C90AC9">
        <w:rPr>
          <w:szCs w:val="24"/>
        </w:rPr>
        <w:tab/>
      </w:r>
      <w:r w:rsidRPr="00C90AC9">
        <w:rPr>
          <w:szCs w:val="24"/>
        </w:rPr>
        <w:tab/>
        <w:t>Life Cycle Analysis</w:t>
      </w:r>
    </w:p>
    <w:p w:rsidR="00A52775" w:rsidRPr="00C90AC9" w:rsidRDefault="00A52775" w:rsidP="00E74A74">
      <w:pPr>
        <w:spacing w:line="240" w:lineRule="auto"/>
        <w:rPr>
          <w:szCs w:val="24"/>
        </w:rPr>
      </w:pPr>
      <w:r w:rsidRPr="00C90AC9">
        <w:rPr>
          <w:szCs w:val="24"/>
        </w:rPr>
        <w:t>m</w:t>
      </w:r>
      <w:r w:rsidRPr="00C90AC9">
        <w:rPr>
          <w:szCs w:val="24"/>
        </w:rPr>
        <w:tab/>
      </w:r>
      <w:r w:rsidRPr="00C90AC9">
        <w:rPr>
          <w:szCs w:val="24"/>
        </w:rPr>
        <w:tab/>
      </w:r>
      <w:r w:rsidRPr="00C90AC9">
        <w:rPr>
          <w:szCs w:val="24"/>
        </w:rPr>
        <w:tab/>
      </w:r>
      <w:r w:rsidRPr="00C90AC9">
        <w:rPr>
          <w:szCs w:val="24"/>
        </w:rPr>
        <w:tab/>
        <w:t>Mass of water (kg)</w:t>
      </w:r>
    </w:p>
    <w:p w:rsidR="00A52775" w:rsidRPr="00C90AC9" w:rsidRDefault="00A52775" w:rsidP="00E74A74">
      <w:pPr>
        <w:spacing w:line="240" w:lineRule="auto"/>
        <w:rPr>
          <w:szCs w:val="24"/>
        </w:rPr>
      </w:pPr>
      <m:oMath>
        <m:r>
          <m:rPr>
            <m:sty m:val="p"/>
          </m:rPr>
          <w:rPr>
            <w:rFonts w:ascii="Cambria Math" w:hAnsi="Cambria Math"/>
            <w:szCs w:val="24"/>
            <w:vertAlign w:val="subscript"/>
          </w:rPr>
          <m:t>ṁ</m:t>
        </m:r>
      </m:oMath>
      <w:r w:rsidRPr="00C90AC9">
        <w:rPr>
          <w:szCs w:val="24"/>
          <w:vertAlign w:val="subscript"/>
        </w:rPr>
        <w:tab/>
      </w:r>
      <w:r w:rsidRPr="00C90AC9">
        <w:rPr>
          <w:szCs w:val="24"/>
          <w:vertAlign w:val="subscript"/>
        </w:rPr>
        <w:tab/>
      </w:r>
      <w:r w:rsidRPr="00C90AC9">
        <w:rPr>
          <w:szCs w:val="24"/>
          <w:vertAlign w:val="subscript"/>
        </w:rPr>
        <w:tab/>
      </w:r>
      <w:r w:rsidRPr="00C90AC9">
        <w:rPr>
          <w:szCs w:val="24"/>
        </w:rPr>
        <w:tab/>
        <w:t>Mass flow rate of the heating fluid (kg/s)</w:t>
      </w:r>
    </w:p>
    <w:p w:rsidR="00A52775" w:rsidRPr="00C90AC9" w:rsidRDefault="00A52775" w:rsidP="00E74A74">
      <w:pPr>
        <w:spacing w:line="240" w:lineRule="auto"/>
        <w:rPr>
          <w:szCs w:val="24"/>
        </w:rPr>
      </w:pPr>
      <w:r w:rsidRPr="00C90AC9">
        <w:rPr>
          <w:szCs w:val="24"/>
        </w:rPr>
        <w:t>MATH</w:t>
      </w:r>
      <w:r w:rsidRPr="00C90AC9">
        <w:rPr>
          <w:szCs w:val="24"/>
        </w:rPr>
        <w:tab/>
      </w:r>
      <w:r w:rsidRPr="00C90AC9">
        <w:rPr>
          <w:szCs w:val="24"/>
        </w:rPr>
        <w:tab/>
      </w:r>
      <w:r w:rsidRPr="00C90AC9">
        <w:rPr>
          <w:szCs w:val="24"/>
        </w:rPr>
        <w:tab/>
      </w:r>
      <w:r w:rsidRPr="00C90AC9">
        <w:rPr>
          <w:szCs w:val="24"/>
        </w:rPr>
        <w:tab/>
        <w:t>Model of Adoption of Technology in Households</w:t>
      </w:r>
    </w:p>
    <w:p w:rsidR="00312B1E" w:rsidRPr="00C90AC9" w:rsidRDefault="00312B1E" w:rsidP="00E74A74">
      <w:pPr>
        <w:spacing w:line="240" w:lineRule="auto"/>
        <w:rPr>
          <w:szCs w:val="24"/>
        </w:rPr>
      </w:pPr>
      <w:r w:rsidRPr="00C90AC9">
        <w:rPr>
          <w:szCs w:val="24"/>
        </w:rPr>
        <w:t>MGS</w:t>
      </w:r>
      <w:r w:rsidRPr="00C90AC9">
        <w:rPr>
          <w:szCs w:val="24"/>
        </w:rPr>
        <w:tab/>
      </w:r>
      <w:r w:rsidRPr="00C90AC9">
        <w:rPr>
          <w:szCs w:val="24"/>
        </w:rPr>
        <w:tab/>
      </w:r>
      <w:r w:rsidRPr="00C90AC9">
        <w:rPr>
          <w:szCs w:val="24"/>
        </w:rPr>
        <w:tab/>
      </w:r>
      <w:r w:rsidRPr="00C90AC9">
        <w:rPr>
          <w:szCs w:val="24"/>
        </w:rPr>
        <w:tab/>
        <w:t>Micro-Generation Strategy</w:t>
      </w:r>
    </w:p>
    <w:p w:rsidR="00844581" w:rsidRPr="00C90AC9" w:rsidRDefault="00844581" w:rsidP="00E74A74">
      <w:pPr>
        <w:spacing w:line="240" w:lineRule="auto"/>
        <w:rPr>
          <w:szCs w:val="24"/>
        </w:rPr>
      </w:pPr>
      <w:r w:rsidRPr="00C90AC9">
        <w:rPr>
          <w:szCs w:val="24"/>
        </w:rPr>
        <w:t>MTOE</w:t>
      </w:r>
      <w:r w:rsidRPr="00C90AC9">
        <w:rPr>
          <w:szCs w:val="24"/>
        </w:rPr>
        <w:tab/>
      </w:r>
      <w:r w:rsidRPr="00C90AC9">
        <w:rPr>
          <w:szCs w:val="24"/>
        </w:rPr>
        <w:tab/>
      </w:r>
      <w:r w:rsidRPr="00C90AC9">
        <w:rPr>
          <w:szCs w:val="24"/>
        </w:rPr>
        <w:tab/>
      </w:r>
      <w:r w:rsidRPr="00C90AC9">
        <w:rPr>
          <w:szCs w:val="24"/>
        </w:rPr>
        <w:tab/>
        <w:t>Mega Tons of Oil Equivalent</w:t>
      </w:r>
    </w:p>
    <w:p w:rsidR="00A52775" w:rsidRPr="00C90AC9" w:rsidRDefault="00A52775" w:rsidP="00E74A74">
      <w:pPr>
        <w:spacing w:line="240" w:lineRule="auto"/>
        <w:rPr>
          <w:szCs w:val="24"/>
        </w:rPr>
      </w:pPr>
      <w:r w:rsidRPr="00C90AC9">
        <w:rPr>
          <w:szCs w:val="24"/>
        </w:rPr>
        <w:t>n</w:t>
      </w:r>
      <w:r w:rsidRPr="00C90AC9">
        <w:rPr>
          <w:szCs w:val="24"/>
        </w:rPr>
        <w:tab/>
      </w:r>
      <w:r w:rsidRPr="00C90AC9">
        <w:rPr>
          <w:szCs w:val="24"/>
        </w:rPr>
        <w:tab/>
      </w:r>
      <w:r w:rsidRPr="00C90AC9">
        <w:rPr>
          <w:szCs w:val="24"/>
        </w:rPr>
        <w:tab/>
      </w:r>
      <w:r w:rsidRPr="00C90AC9">
        <w:rPr>
          <w:szCs w:val="24"/>
        </w:rPr>
        <w:tab/>
        <w:t>Day of year (-)</w:t>
      </w:r>
    </w:p>
    <w:p w:rsidR="00A52775" w:rsidRPr="00C90AC9" w:rsidRDefault="00A52775" w:rsidP="00E74A74">
      <w:pPr>
        <w:spacing w:line="240" w:lineRule="auto"/>
        <w:rPr>
          <w:szCs w:val="24"/>
        </w:rPr>
      </w:pPr>
      <w:r w:rsidRPr="00C90AC9">
        <w:rPr>
          <w:szCs w:val="24"/>
        </w:rPr>
        <w:t>NVIVO</w:t>
      </w:r>
      <w:r w:rsidRPr="00C90AC9">
        <w:rPr>
          <w:szCs w:val="24"/>
        </w:rPr>
        <w:tab/>
      </w:r>
      <w:r w:rsidRPr="00C90AC9">
        <w:rPr>
          <w:szCs w:val="24"/>
        </w:rPr>
        <w:tab/>
      </w:r>
      <w:r w:rsidR="00A64C09" w:rsidRPr="00C90AC9">
        <w:rPr>
          <w:szCs w:val="24"/>
        </w:rPr>
        <w:tab/>
      </w:r>
      <w:r w:rsidRPr="00C90AC9">
        <w:rPr>
          <w:szCs w:val="24"/>
        </w:rPr>
        <w:t>Software package used in the qualitative analysis</w:t>
      </w:r>
    </w:p>
    <w:p w:rsidR="00A52775" w:rsidRPr="00C90AC9" w:rsidRDefault="00A52775" w:rsidP="00E74A74">
      <w:pPr>
        <w:spacing w:line="240" w:lineRule="auto"/>
        <w:rPr>
          <w:szCs w:val="24"/>
        </w:rPr>
      </w:pPr>
      <w:r w:rsidRPr="00C90AC9">
        <w:rPr>
          <w:szCs w:val="24"/>
        </w:rPr>
        <w:t>PC</w:t>
      </w:r>
      <w:r w:rsidRPr="00C90AC9">
        <w:rPr>
          <w:szCs w:val="24"/>
        </w:rPr>
        <w:tab/>
      </w:r>
      <w:r w:rsidRPr="00C90AC9">
        <w:rPr>
          <w:szCs w:val="24"/>
        </w:rPr>
        <w:tab/>
      </w:r>
      <w:r w:rsidR="0099093E" w:rsidRPr="00C90AC9">
        <w:rPr>
          <w:szCs w:val="24"/>
        </w:rPr>
        <w:tab/>
      </w:r>
      <w:r w:rsidR="0099093E" w:rsidRPr="00C90AC9">
        <w:rPr>
          <w:szCs w:val="24"/>
        </w:rPr>
        <w:tab/>
      </w:r>
      <w:r w:rsidRPr="00C90AC9">
        <w:rPr>
          <w:szCs w:val="24"/>
        </w:rPr>
        <w:t>Plastic Collector</w:t>
      </w:r>
    </w:p>
    <w:p w:rsidR="00A52775" w:rsidRPr="00C90AC9" w:rsidRDefault="00A52775" w:rsidP="00E74A74">
      <w:pPr>
        <w:spacing w:line="240" w:lineRule="auto"/>
        <w:rPr>
          <w:szCs w:val="24"/>
        </w:rPr>
      </w:pPr>
      <w:r w:rsidRPr="00C90AC9">
        <w:rPr>
          <w:szCs w:val="24"/>
        </w:rPr>
        <w:t>PCM</w:t>
      </w:r>
      <w:r w:rsidRPr="00C90AC9">
        <w:rPr>
          <w:szCs w:val="24"/>
        </w:rPr>
        <w:tab/>
      </w:r>
      <w:r w:rsidRPr="00C90AC9">
        <w:rPr>
          <w:szCs w:val="24"/>
        </w:rPr>
        <w:tab/>
      </w:r>
      <w:r w:rsidR="0099093E" w:rsidRPr="00C90AC9">
        <w:rPr>
          <w:szCs w:val="24"/>
        </w:rPr>
        <w:tab/>
      </w:r>
      <w:r w:rsidR="0099093E" w:rsidRPr="00C90AC9">
        <w:rPr>
          <w:szCs w:val="24"/>
        </w:rPr>
        <w:tab/>
      </w:r>
      <w:r w:rsidRPr="00C90AC9">
        <w:rPr>
          <w:szCs w:val="24"/>
        </w:rPr>
        <w:t>Phase Changing Material</w:t>
      </w:r>
    </w:p>
    <w:p w:rsidR="00314031" w:rsidRPr="00C90AC9" w:rsidRDefault="00314031" w:rsidP="00E74A74">
      <w:pPr>
        <w:spacing w:line="240" w:lineRule="auto"/>
        <w:rPr>
          <w:szCs w:val="24"/>
        </w:rPr>
      </w:pPr>
      <w:r w:rsidRPr="00C90AC9">
        <w:rPr>
          <w:szCs w:val="24"/>
        </w:rPr>
        <w:lastRenderedPageBreak/>
        <w:t>PSO</w:t>
      </w:r>
      <w:r w:rsidRPr="00C90AC9">
        <w:rPr>
          <w:szCs w:val="24"/>
        </w:rPr>
        <w:tab/>
      </w:r>
      <w:r w:rsidRPr="00C90AC9">
        <w:rPr>
          <w:szCs w:val="24"/>
        </w:rPr>
        <w:tab/>
      </w:r>
      <w:r w:rsidRPr="00C90AC9">
        <w:rPr>
          <w:szCs w:val="24"/>
        </w:rPr>
        <w:tab/>
      </w:r>
      <w:r w:rsidRPr="00C90AC9">
        <w:rPr>
          <w:szCs w:val="24"/>
        </w:rPr>
        <w:tab/>
      </w:r>
      <w:r w:rsidRPr="00C90AC9">
        <w:rPr>
          <w:rFonts w:eastAsiaTheme="majorEastAsia"/>
          <w:szCs w:val="24"/>
          <w:lang w:eastAsia="en-US"/>
        </w:rPr>
        <w:t>Particle Swarm Optimisation</w:t>
      </w:r>
    </w:p>
    <w:p w:rsidR="00A52775" w:rsidRPr="00C90AC9" w:rsidRDefault="00A52775" w:rsidP="00E74A74">
      <w:pPr>
        <w:spacing w:line="240" w:lineRule="auto"/>
        <w:rPr>
          <w:szCs w:val="24"/>
        </w:rPr>
      </w:pPr>
      <w:r w:rsidRPr="00C90AC9">
        <w:rPr>
          <w:szCs w:val="24"/>
        </w:rPr>
        <w:t>PV</w:t>
      </w:r>
      <w:r w:rsidRPr="00C90AC9">
        <w:rPr>
          <w:szCs w:val="24"/>
        </w:rPr>
        <w:tab/>
      </w:r>
      <w:r w:rsidR="0099093E" w:rsidRPr="00C90AC9">
        <w:rPr>
          <w:szCs w:val="24"/>
        </w:rPr>
        <w:tab/>
      </w:r>
      <w:r w:rsidRPr="00C90AC9">
        <w:rPr>
          <w:szCs w:val="24"/>
        </w:rPr>
        <w:tab/>
      </w:r>
      <w:r w:rsidR="0099093E" w:rsidRPr="00C90AC9">
        <w:rPr>
          <w:szCs w:val="24"/>
        </w:rPr>
        <w:tab/>
      </w:r>
      <w:r w:rsidR="00B96E0B" w:rsidRPr="00C90AC9">
        <w:rPr>
          <w:szCs w:val="24"/>
        </w:rPr>
        <w:t>PV</w:t>
      </w:r>
      <w:r w:rsidRPr="00C90AC9">
        <w:rPr>
          <w:szCs w:val="24"/>
        </w:rPr>
        <w:t xml:space="preserve"> Technology</w:t>
      </w:r>
    </w:p>
    <w:p w:rsidR="00A52775" w:rsidRPr="00C90AC9" w:rsidRDefault="00A52775" w:rsidP="00E74A74">
      <w:pPr>
        <w:spacing w:line="240" w:lineRule="auto"/>
        <w:rPr>
          <w:szCs w:val="24"/>
        </w:rPr>
      </w:pPr>
      <w:r w:rsidRPr="00C90AC9">
        <w:rPr>
          <w:szCs w:val="24"/>
        </w:rPr>
        <w:t>Q</w:t>
      </w:r>
      <w:r w:rsidRPr="00C90AC9">
        <w:rPr>
          <w:szCs w:val="24"/>
          <w:vertAlign w:val="subscript"/>
        </w:rPr>
        <w:t>AUX</w:t>
      </w:r>
      <w:r w:rsidR="0099093E" w:rsidRPr="00C90AC9">
        <w:rPr>
          <w:szCs w:val="24"/>
          <w:vertAlign w:val="subscript"/>
        </w:rPr>
        <w:tab/>
      </w:r>
      <w:r w:rsidR="0099093E" w:rsidRPr="00C90AC9">
        <w:rPr>
          <w:szCs w:val="24"/>
          <w:vertAlign w:val="subscript"/>
        </w:rPr>
        <w:tab/>
      </w:r>
      <w:r w:rsidR="0099093E" w:rsidRPr="00C90AC9">
        <w:rPr>
          <w:szCs w:val="24"/>
          <w:vertAlign w:val="subscript"/>
        </w:rPr>
        <w:tab/>
      </w:r>
      <w:r w:rsidRPr="00C90AC9">
        <w:rPr>
          <w:szCs w:val="24"/>
          <w:vertAlign w:val="subscript"/>
        </w:rPr>
        <w:tab/>
      </w:r>
      <w:r w:rsidRPr="00C90AC9">
        <w:rPr>
          <w:szCs w:val="24"/>
        </w:rPr>
        <w:t>Additional energy required by auxiliary boiler (W)</w:t>
      </w:r>
    </w:p>
    <w:p w:rsidR="00A52775" w:rsidRPr="00C90AC9" w:rsidRDefault="00A52775" w:rsidP="00E74A74">
      <w:pPr>
        <w:spacing w:line="240" w:lineRule="auto"/>
        <w:rPr>
          <w:szCs w:val="24"/>
        </w:rPr>
      </w:pPr>
      <m:oMath>
        <m:r>
          <m:rPr>
            <m:sty m:val="p"/>
          </m:rPr>
          <w:rPr>
            <w:rFonts w:ascii="Cambria Math" w:hAnsi="Cambria Math"/>
            <w:szCs w:val="24"/>
          </w:rPr>
          <m:t>Q</m:t>
        </m:r>
        <m:r>
          <m:rPr>
            <m:sty m:val="p"/>
          </m:rPr>
          <w:rPr>
            <w:rFonts w:ascii="Cambria Math" w:hAnsi="Cambria Math"/>
            <w:szCs w:val="24"/>
            <w:vertAlign w:val="subscript"/>
          </w:rPr>
          <m:t>col</m:t>
        </m:r>
      </m:oMath>
      <w:r w:rsidRPr="00C90AC9">
        <w:rPr>
          <w:szCs w:val="24"/>
        </w:rPr>
        <w:t xml:space="preserve"> </w:t>
      </w:r>
      <w:r w:rsidRPr="00C90AC9">
        <w:rPr>
          <w:szCs w:val="24"/>
        </w:rPr>
        <w:tab/>
      </w:r>
      <w:r w:rsidRPr="00C90AC9">
        <w:rPr>
          <w:szCs w:val="24"/>
        </w:rPr>
        <w:tab/>
      </w:r>
      <w:r w:rsidR="0099093E" w:rsidRPr="00C90AC9">
        <w:rPr>
          <w:szCs w:val="24"/>
        </w:rPr>
        <w:tab/>
      </w:r>
      <w:r w:rsidR="0099093E" w:rsidRPr="00C90AC9">
        <w:rPr>
          <w:szCs w:val="24"/>
        </w:rPr>
        <w:tab/>
      </w:r>
      <w:r w:rsidRPr="00C90AC9">
        <w:rPr>
          <w:szCs w:val="24"/>
        </w:rPr>
        <w:t>Energy removed by the heat transfer fluid over the time period (W)</w:t>
      </w:r>
    </w:p>
    <w:p w:rsidR="00A52775" w:rsidRPr="00C90AC9" w:rsidRDefault="00A52775" w:rsidP="00E74A74">
      <w:pPr>
        <w:spacing w:line="240" w:lineRule="auto"/>
        <w:rPr>
          <w:szCs w:val="24"/>
        </w:rPr>
      </w:pPr>
      <w:proofErr w:type="spellStart"/>
      <w:r w:rsidRPr="00C90AC9">
        <w:rPr>
          <w:szCs w:val="24"/>
        </w:rPr>
        <w:t>Q</w:t>
      </w:r>
      <w:r w:rsidRPr="00C90AC9">
        <w:rPr>
          <w:szCs w:val="24"/>
          <w:vertAlign w:val="subscript"/>
        </w:rPr>
        <w:t>d</w:t>
      </w:r>
      <w:proofErr w:type="spellEnd"/>
      <w:r w:rsidRPr="00C90AC9">
        <w:rPr>
          <w:szCs w:val="24"/>
        </w:rPr>
        <w:t xml:space="preserve"> </w:t>
      </w:r>
      <w:r w:rsidRPr="00C90AC9">
        <w:rPr>
          <w:szCs w:val="24"/>
        </w:rPr>
        <w:tab/>
      </w:r>
      <w:r w:rsidR="0099093E" w:rsidRPr="00C90AC9">
        <w:rPr>
          <w:szCs w:val="24"/>
        </w:rPr>
        <w:tab/>
      </w:r>
      <w:r w:rsidRPr="00C90AC9">
        <w:rPr>
          <w:szCs w:val="24"/>
        </w:rPr>
        <w:tab/>
      </w:r>
      <w:r w:rsidR="0099093E" w:rsidRPr="00C90AC9">
        <w:rPr>
          <w:szCs w:val="24"/>
        </w:rPr>
        <w:tab/>
      </w:r>
      <w:r w:rsidRPr="00C90AC9">
        <w:rPr>
          <w:szCs w:val="24"/>
        </w:rPr>
        <w:t>Energy required to heat the required volume of water (W)</w:t>
      </w:r>
    </w:p>
    <w:p w:rsidR="00A52775" w:rsidRPr="00C90AC9" w:rsidRDefault="006F0C85" w:rsidP="00E74A74">
      <w:pPr>
        <w:spacing w:line="240" w:lineRule="auto"/>
        <w:rPr>
          <w:szCs w:val="24"/>
        </w:rPr>
      </w:pPr>
      <m:oMath>
        <m:sSub>
          <m:sSubPr>
            <m:ctrlPr>
              <w:rPr>
                <w:rFonts w:ascii="Cambria Math" w:hAnsi="Cambria Math"/>
                <w:i/>
                <w:szCs w:val="24"/>
                <w:vertAlign w:val="subscript"/>
              </w:rPr>
            </m:ctrlPr>
          </m:sSubPr>
          <m:e>
            <m:r>
              <w:rPr>
                <w:rFonts w:ascii="Cambria Math" w:hAnsi="Cambria Math"/>
                <w:szCs w:val="24"/>
                <w:vertAlign w:val="subscript"/>
              </w:rPr>
              <m:t>Q</m:t>
            </m:r>
          </m:e>
          <m:sub>
            <m:r>
              <w:rPr>
                <w:rFonts w:ascii="Cambria Math" w:hAnsi="Cambria Math"/>
                <w:szCs w:val="24"/>
                <w:vertAlign w:val="subscript"/>
              </w:rPr>
              <m:t>U</m:t>
            </m:r>
          </m:sub>
        </m:sSub>
      </m:oMath>
      <w:r w:rsidR="00A52775" w:rsidRPr="00C90AC9">
        <w:rPr>
          <w:szCs w:val="24"/>
        </w:rPr>
        <w:t xml:space="preserve"> </w:t>
      </w:r>
      <w:r w:rsidR="00A52775" w:rsidRPr="00C90AC9">
        <w:rPr>
          <w:szCs w:val="24"/>
        </w:rPr>
        <w:tab/>
      </w:r>
      <w:r w:rsidR="0099093E" w:rsidRPr="00C90AC9">
        <w:rPr>
          <w:szCs w:val="24"/>
        </w:rPr>
        <w:tab/>
      </w:r>
      <w:r w:rsidR="0099093E" w:rsidRPr="00C90AC9">
        <w:rPr>
          <w:szCs w:val="24"/>
        </w:rPr>
        <w:tab/>
      </w:r>
      <w:r w:rsidR="00A52775" w:rsidRPr="00C90AC9">
        <w:rPr>
          <w:szCs w:val="24"/>
        </w:rPr>
        <w:tab/>
        <w:t>Useful Energy into the collector (W)</w:t>
      </w:r>
      <w:r w:rsidR="00A52775" w:rsidRPr="00C90AC9">
        <w:rPr>
          <w:szCs w:val="24"/>
        </w:rPr>
        <w:tab/>
      </w:r>
    </w:p>
    <w:p w:rsidR="00A52775" w:rsidRPr="00C90AC9" w:rsidRDefault="00A52775" w:rsidP="00E74A74">
      <w:pPr>
        <w:spacing w:line="240" w:lineRule="auto"/>
        <w:rPr>
          <w:szCs w:val="24"/>
        </w:rPr>
      </w:pPr>
      <w:r w:rsidRPr="00C90AC9">
        <w:rPr>
          <w:szCs w:val="24"/>
        </w:rPr>
        <w:t>R</w:t>
      </w:r>
      <w:r w:rsidRPr="00C90AC9">
        <w:rPr>
          <w:szCs w:val="24"/>
        </w:rPr>
        <w:tab/>
      </w:r>
      <w:r w:rsidRPr="00C90AC9">
        <w:rPr>
          <w:szCs w:val="24"/>
        </w:rPr>
        <w:tab/>
      </w:r>
      <w:r w:rsidR="0099093E" w:rsidRPr="00C90AC9">
        <w:rPr>
          <w:szCs w:val="24"/>
        </w:rPr>
        <w:tab/>
      </w:r>
      <w:r w:rsidR="0099093E" w:rsidRPr="00C90AC9">
        <w:rPr>
          <w:szCs w:val="24"/>
        </w:rPr>
        <w:tab/>
      </w:r>
      <w:r w:rsidRPr="00C90AC9">
        <w:rPr>
          <w:szCs w:val="24"/>
        </w:rPr>
        <w:t>Overall Reflectance of collector (-)</w:t>
      </w:r>
    </w:p>
    <w:p w:rsidR="006A0615" w:rsidRPr="00C90AC9" w:rsidRDefault="006A0615" w:rsidP="00E74A74">
      <w:pPr>
        <w:spacing w:line="240" w:lineRule="auto"/>
        <w:rPr>
          <w:szCs w:val="24"/>
        </w:rPr>
      </w:pPr>
      <w:r w:rsidRPr="00C90AC9">
        <w:rPr>
          <w:szCs w:val="24"/>
        </w:rPr>
        <w:t>RHI</w:t>
      </w:r>
      <w:r w:rsidRPr="00C90AC9">
        <w:rPr>
          <w:szCs w:val="24"/>
        </w:rPr>
        <w:tab/>
      </w:r>
      <w:r w:rsidRPr="00C90AC9">
        <w:rPr>
          <w:szCs w:val="24"/>
        </w:rPr>
        <w:tab/>
      </w:r>
      <w:r w:rsidR="0099093E" w:rsidRPr="00C90AC9">
        <w:rPr>
          <w:szCs w:val="24"/>
        </w:rPr>
        <w:tab/>
      </w:r>
      <w:r w:rsidR="0099093E" w:rsidRPr="00C90AC9">
        <w:rPr>
          <w:szCs w:val="24"/>
        </w:rPr>
        <w:tab/>
      </w:r>
      <w:r w:rsidRPr="00C90AC9">
        <w:rPr>
          <w:rFonts w:eastAsia="Calibri"/>
          <w:szCs w:val="24"/>
          <w:lang w:eastAsia="en-US"/>
        </w:rPr>
        <w:t>Renewable Heat Incentive</w:t>
      </w:r>
    </w:p>
    <w:p w:rsidR="00A52775" w:rsidRPr="00C90AC9" w:rsidRDefault="00A52775" w:rsidP="00E74A74">
      <w:pPr>
        <w:spacing w:line="240" w:lineRule="auto"/>
        <w:rPr>
          <w:szCs w:val="24"/>
        </w:rPr>
      </w:pPr>
      <w:r w:rsidRPr="00C90AC9">
        <w:rPr>
          <w:szCs w:val="24"/>
        </w:rPr>
        <w:t>SDHWS</w:t>
      </w:r>
      <w:r w:rsidRPr="00C90AC9">
        <w:rPr>
          <w:szCs w:val="24"/>
        </w:rPr>
        <w:tab/>
      </w:r>
      <w:r w:rsidR="0099093E" w:rsidRPr="00C90AC9">
        <w:rPr>
          <w:szCs w:val="24"/>
        </w:rPr>
        <w:tab/>
      </w:r>
      <w:r w:rsidR="0099093E" w:rsidRPr="00C90AC9">
        <w:rPr>
          <w:szCs w:val="24"/>
        </w:rPr>
        <w:tab/>
      </w:r>
      <w:r w:rsidRPr="00C90AC9">
        <w:rPr>
          <w:szCs w:val="24"/>
        </w:rPr>
        <w:t>Solar Domestic Hot Water Systems</w:t>
      </w:r>
    </w:p>
    <w:p w:rsidR="00A52775" w:rsidRPr="00C90AC9" w:rsidRDefault="00A52775" w:rsidP="00E74A74">
      <w:pPr>
        <w:spacing w:line="240" w:lineRule="auto"/>
        <w:rPr>
          <w:szCs w:val="24"/>
        </w:rPr>
      </w:pPr>
      <w:r w:rsidRPr="00C90AC9">
        <w:rPr>
          <w:szCs w:val="24"/>
        </w:rPr>
        <w:t>SPSS</w:t>
      </w:r>
      <w:r w:rsidRPr="00C90AC9">
        <w:rPr>
          <w:szCs w:val="24"/>
        </w:rPr>
        <w:tab/>
      </w:r>
      <w:r w:rsidR="0099093E" w:rsidRPr="00C90AC9">
        <w:rPr>
          <w:szCs w:val="24"/>
        </w:rPr>
        <w:tab/>
      </w:r>
      <w:r w:rsidR="0099093E" w:rsidRPr="00C90AC9">
        <w:rPr>
          <w:szCs w:val="24"/>
        </w:rPr>
        <w:tab/>
      </w:r>
      <w:r w:rsidR="0099093E" w:rsidRPr="00C90AC9">
        <w:rPr>
          <w:szCs w:val="24"/>
        </w:rPr>
        <w:tab/>
      </w:r>
      <w:r w:rsidRPr="00C90AC9">
        <w:rPr>
          <w:szCs w:val="24"/>
        </w:rPr>
        <w:t xml:space="preserve">Statistical Package for the Social Sciences, Software package </w:t>
      </w:r>
      <w:r w:rsidR="0099093E" w:rsidRPr="00C90AC9">
        <w:rPr>
          <w:szCs w:val="24"/>
        </w:rPr>
        <w:tab/>
      </w:r>
      <w:r w:rsidR="0099093E" w:rsidRPr="00C90AC9">
        <w:rPr>
          <w:szCs w:val="24"/>
        </w:rPr>
        <w:tab/>
      </w:r>
      <w:r w:rsidR="0099093E" w:rsidRPr="00C90AC9">
        <w:rPr>
          <w:szCs w:val="24"/>
        </w:rPr>
        <w:tab/>
      </w:r>
      <w:r w:rsidR="00A64C09" w:rsidRPr="00C90AC9">
        <w:rPr>
          <w:szCs w:val="24"/>
        </w:rPr>
        <w:tab/>
      </w:r>
      <w:r w:rsidRPr="00C90AC9">
        <w:rPr>
          <w:szCs w:val="24"/>
        </w:rPr>
        <w:t>used in the qualitative analysis</w:t>
      </w:r>
    </w:p>
    <w:p w:rsidR="00A52775" w:rsidRPr="00C90AC9" w:rsidRDefault="00A52775" w:rsidP="00E74A74">
      <w:pPr>
        <w:spacing w:line="240" w:lineRule="auto"/>
        <w:rPr>
          <w:szCs w:val="24"/>
        </w:rPr>
      </w:pPr>
      <w:r w:rsidRPr="00C90AC9">
        <w:rPr>
          <w:szCs w:val="24"/>
        </w:rPr>
        <w:t>SSF</w:t>
      </w:r>
      <w:r w:rsidRPr="00C90AC9">
        <w:rPr>
          <w:szCs w:val="24"/>
        </w:rPr>
        <w:tab/>
      </w:r>
      <w:r w:rsidR="0099093E" w:rsidRPr="00C90AC9">
        <w:rPr>
          <w:szCs w:val="24"/>
        </w:rPr>
        <w:tab/>
      </w:r>
      <w:r w:rsidRPr="00C90AC9">
        <w:rPr>
          <w:szCs w:val="24"/>
        </w:rPr>
        <w:tab/>
      </w:r>
      <w:r w:rsidR="0099093E" w:rsidRPr="00C90AC9">
        <w:rPr>
          <w:szCs w:val="24"/>
        </w:rPr>
        <w:tab/>
      </w:r>
      <w:r w:rsidRPr="00C90AC9">
        <w:rPr>
          <w:szCs w:val="24"/>
        </w:rPr>
        <w:t>Sheffield Solar Farm (53.3810 °N 1.4861 °W)</w:t>
      </w:r>
    </w:p>
    <w:p w:rsidR="00A52775" w:rsidRPr="00C90AC9" w:rsidRDefault="006518C0" w:rsidP="00E74A74">
      <w:pPr>
        <w:spacing w:line="240" w:lineRule="auto"/>
        <w:rPr>
          <w:szCs w:val="24"/>
        </w:rPr>
      </w:pPr>
      <w:r w:rsidRPr="00C90AC9">
        <w:rPr>
          <w:szCs w:val="24"/>
        </w:rPr>
        <w:t>STPs</w:t>
      </w:r>
      <w:r w:rsidR="00216A09" w:rsidRPr="00C90AC9">
        <w:rPr>
          <w:szCs w:val="24"/>
        </w:rPr>
        <w:tab/>
      </w:r>
      <w:r w:rsidR="00373A8B" w:rsidRPr="00C90AC9">
        <w:rPr>
          <w:szCs w:val="24"/>
        </w:rPr>
        <w:tab/>
      </w:r>
      <w:r w:rsidR="0099093E" w:rsidRPr="00C90AC9">
        <w:rPr>
          <w:szCs w:val="24"/>
        </w:rPr>
        <w:tab/>
      </w:r>
      <w:r w:rsidR="0099093E" w:rsidRPr="00C90AC9">
        <w:rPr>
          <w:szCs w:val="24"/>
        </w:rPr>
        <w:tab/>
      </w:r>
      <w:r w:rsidR="00A52775" w:rsidRPr="00C90AC9">
        <w:rPr>
          <w:szCs w:val="24"/>
        </w:rPr>
        <w:t>Solar Thermal Panel</w:t>
      </w:r>
      <w:r w:rsidR="00216A09" w:rsidRPr="00C90AC9">
        <w:rPr>
          <w:szCs w:val="24"/>
        </w:rPr>
        <w:t>s</w:t>
      </w:r>
    </w:p>
    <w:p w:rsidR="00B96E0B" w:rsidRPr="00C90AC9" w:rsidRDefault="00B96E0B" w:rsidP="00E74A74">
      <w:pPr>
        <w:spacing w:line="240" w:lineRule="auto"/>
        <w:rPr>
          <w:szCs w:val="24"/>
        </w:rPr>
      </w:pPr>
      <w:r w:rsidRPr="00C90AC9">
        <w:rPr>
          <w:szCs w:val="24"/>
        </w:rPr>
        <w:t>ST</w:t>
      </w:r>
      <w:r w:rsidRPr="00C90AC9">
        <w:rPr>
          <w:szCs w:val="24"/>
        </w:rPr>
        <w:tab/>
      </w:r>
      <w:r w:rsidRPr="00C90AC9">
        <w:rPr>
          <w:szCs w:val="24"/>
        </w:rPr>
        <w:tab/>
      </w:r>
      <w:r w:rsidRPr="00C90AC9">
        <w:rPr>
          <w:szCs w:val="24"/>
        </w:rPr>
        <w:tab/>
      </w:r>
      <w:r w:rsidR="0099093E" w:rsidRPr="00C90AC9">
        <w:rPr>
          <w:szCs w:val="24"/>
        </w:rPr>
        <w:tab/>
      </w:r>
      <w:r w:rsidRPr="00C90AC9">
        <w:rPr>
          <w:szCs w:val="24"/>
        </w:rPr>
        <w:t>Solar Thermal</w:t>
      </w:r>
    </w:p>
    <w:p w:rsidR="00A64C09" w:rsidRPr="00C90AC9" w:rsidRDefault="00CE56F1" w:rsidP="00E74A74">
      <w:pPr>
        <w:spacing w:line="240" w:lineRule="auto"/>
        <w:rPr>
          <w:szCs w:val="24"/>
        </w:rPr>
      </w:pPr>
      <w:r w:rsidRPr="00C90AC9">
        <w:rPr>
          <w:szCs w:val="24"/>
        </w:rPr>
        <w:t>STS</w:t>
      </w:r>
      <w:r w:rsidR="00A64C09" w:rsidRPr="00C90AC9">
        <w:rPr>
          <w:szCs w:val="24"/>
        </w:rPr>
        <w:tab/>
      </w:r>
      <w:r w:rsidR="00A64C09" w:rsidRPr="00C90AC9">
        <w:rPr>
          <w:szCs w:val="24"/>
        </w:rPr>
        <w:tab/>
      </w:r>
      <w:r w:rsidR="00A64C09" w:rsidRPr="00C90AC9">
        <w:rPr>
          <w:szCs w:val="24"/>
        </w:rPr>
        <w:tab/>
      </w:r>
      <w:r w:rsidR="00A64C09" w:rsidRPr="00C90AC9">
        <w:rPr>
          <w:szCs w:val="24"/>
        </w:rPr>
        <w:tab/>
        <w:t>Solar Thermal Systems</w:t>
      </w:r>
    </w:p>
    <w:p w:rsidR="00A52775" w:rsidRPr="00C90AC9" w:rsidRDefault="00A52775" w:rsidP="00E74A74">
      <w:pPr>
        <w:spacing w:line="240" w:lineRule="auto"/>
        <w:rPr>
          <w:szCs w:val="24"/>
        </w:rPr>
      </w:pPr>
      <w:r w:rsidRPr="00C90AC9">
        <w:rPr>
          <w:szCs w:val="24"/>
        </w:rPr>
        <w:t>TALC</w:t>
      </w:r>
      <w:r w:rsidRPr="00C90AC9">
        <w:rPr>
          <w:szCs w:val="24"/>
        </w:rPr>
        <w:tab/>
      </w:r>
      <w:r w:rsidR="0099093E" w:rsidRPr="00C90AC9">
        <w:rPr>
          <w:szCs w:val="24"/>
        </w:rPr>
        <w:tab/>
      </w:r>
      <w:r w:rsidRPr="00C90AC9">
        <w:rPr>
          <w:szCs w:val="24"/>
        </w:rPr>
        <w:tab/>
      </w:r>
      <w:r w:rsidRPr="00C90AC9">
        <w:rPr>
          <w:szCs w:val="24"/>
        </w:rPr>
        <w:tab/>
        <w:t>Technology Adoption Life Cycle</w:t>
      </w:r>
    </w:p>
    <w:p w:rsidR="00A52775" w:rsidRPr="00C90AC9" w:rsidRDefault="00A52775" w:rsidP="00E74A74">
      <w:pPr>
        <w:spacing w:line="240" w:lineRule="auto"/>
        <w:rPr>
          <w:szCs w:val="24"/>
        </w:rPr>
      </w:pPr>
      <w:r w:rsidRPr="00C90AC9">
        <w:rPr>
          <w:szCs w:val="24"/>
        </w:rPr>
        <w:t>TAM</w:t>
      </w:r>
      <w:r w:rsidRPr="00C90AC9">
        <w:rPr>
          <w:szCs w:val="24"/>
        </w:rPr>
        <w:tab/>
      </w:r>
      <w:r w:rsidRPr="00C90AC9">
        <w:rPr>
          <w:szCs w:val="24"/>
        </w:rPr>
        <w:tab/>
      </w:r>
      <w:r w:rsidR="0099093E" w:rsidRPr="00C90AC9">
        <w:rPr>
          <w:szCs w:val="24"/>
        </w:rPr>
        <w:tab/>
      </w:r>
      <w:r w:rsidRPr="00C90AC9">
        <w:rPr>
          <w:szCs w:val="24"/>
        </w:rPr>
        <w:tab/>
        <w:t>Technology Acceptance Model</w:t>
      </w:r>
    </w:p>
    <w:p w:rsidR="00A52775" w:rsidRPr="00C90AC9" w:rsidRDefault="00A52775" w:rsidP="00E74A74">
      <w:pPr>
        <w:spacing w:line="240" w:lineRule="auto"/>
        <w:rPr>
          <w:szCs w:val="24"/>
        </w:rPr>
      </w:pPr>
      <w:r w:rsidRPr="00C90AC9">
        <w:rPr>
          <w:szCs w:val="24"/>
        </w:rPr>
        <w:t>T</w:t>
      </w:r>
      <w:r w:rsidRPr="00C90AC9">
        <w:rPr>
          <w:szCs w:val="24"/>
          <w:vertAlign w:val="subscript"/>
        </w:rPr>
        <w:t xml:space="preserve">Out </w:t>
      </w:r>
      <w:r w:rsidRPr="00C90AC9">
        <w:rPr>
          <w:szCs w:val="24"/>
        </w:rPr>
        <w:tab/>
      </w:r>
      <w:r w:rsidRPr="00C90AC9">
        <w:rPr>
          <w:szCs w:val="24"/>
        </w:rPr>
        <w:tab/>
      </w:r>
      <w:r w:rsidRPr="00C90AC9">
        <w:rPr>
          <w:szCs w:val="24"/>
        </w:rPr>
        <w:tab/>
      </w:r>
      <w:r w:rsidR="0099093E" w:rsidRPr="00C90AC9">
        <w:rPr>
          <w:szCs w:val="24"/>
        </w:rPr>
        <w:tab/>
      </w:r>
      <w:r w:rsidRPr="00C90AC9">
        <w:rPr>
          <w:szCs w:val="24"/>
        </w:rPr>
        <w:t xml:space="preserve">Fluid outlet temperature </w:t>
      </w:r>
      <w:r w:rsidR="006010E7" w:rsidRPr="00C90AC9">
        <w:rPr>
          <w:szCs w:val="24"/>
        </w:rPr>
        <w:t>(C)</w:t>
      </w:r>
    </w:p>
    <w:p w:rsidR="00A52775" w:rsidRPr="00C90AC9" w:rsidRDefault="00A52775" w:rsidP="00E74A74">
      <w:pPr>
        <w:spacing w:line="240" w:lineRule="auto"/>
        <w:rPr>
          <w:szCs w:val="24"/>
        </w:rPr>
      </w:pPr>
      <w:r w:rsidRPr="00C90AC9">
        <w:rPr>
          <w:szCs w:val="24"/>
        </w:rPr>
        <w:t>TPB</w:t>
      </w:r>
      <w:r w:rsidRPr="00C90AC9">
        <w:rPr>
          <w:szCs w:val="24"/>
        </w:rPr>
        <w:tab/>
      </w:r>
      <w:r w:rsidRPr="00C90AC9">
        <w:rPr>
          <w:szCs w:val="24"/>
        </w:rPr>
        <w:tab/>
      </w:r>
      <w:r w:rsidRPr="00C90AC9">
        <w:rPr>
          <w:szCs w:val="24"/>
        </w:rPr>
        <w:tab/>
      </w:r>
      <w:r w:rsidR="0099093E" w:rsidRPr="00C90AC9">
        <w:rPr>
          <w:szCs w:val="24"/>
        </w:rPr>
        <w:tab/>
      </w:r>
      <w:r w:rsidRPr="00C90AC9">
        <w:rPr>
          <w:szCs w:val="24"/>
        </w:rPr>
        <w:t>Theory of Planned Behaviour</w:t>
      </w:r>
    </w:p>
    <w:p w:rsidR="00A52775" w:rsidRPr="00C90AC9" w:rsidRDefault="00A52775" w:rsidP="00E74A74">
      <w:pPr>
        <w:spacing w:line="240" w:lineRule="auto"/>
        <w:rPr>
          <w:szCs w:val="24"/>
        </w:rPr>
      </w:pPr>
      <w:r w:rsidRPr="00C90AC9">
        <w:rPr>
          <w:szCs w:val="24"/>
        </w:rPr>
        <w:t>Tr</w:t>
      </w:r>
      <w:r w:rsidRPr="00C90AC9">
        <w:rPr>
          <w:szCs w:val="24"/>
        </w:rPr>
        <w:tab/>
      </w:r>
      <w:r w:rsidRPr="00C90AC9">
        <w:rPr>
          <w:szCs w:val="24"/>
        </w:rPr>
        <w:tab/>
      </w:r>
      <w:r w:rsidRPr="00C90AC9">
        <w:rPr>
          <w:szCs w:val="24"/>
        </w:rPr>
        <w:tab/>
      </w:r>
      <w:r w:rsidR="0099093E" w:rsidRPr="00C90AC9">
        <w:rPr>
          <w:szCs w:val="24"/>
        </w:rPr>
        <w:tab/>
      </w:r>
      <w:r w:rsidRPr="00C90AC9">
        <w:rPr>
          <w:szCs w:val="24"/>
        </w:rPr>
        <w:t>Transmittance of the collector (-)</w:t>
      </w:r>
    </w:p>
    <w:p w:rsidR="00A52775" w:rsidRPr="00C90AC9" w:rsidRDefault="00A52775" w:rsidP="00E74A74">
      <w:pPr>
        <w:spacing w:line="240" w:lineRule="auto"/>
        <w:rPr>
          <w:szCs w:val="24"/>
        </w:rPr>
      </w:pPr>
      <w:r w:rsidRPr="00C90AC9">
        <w:rPr>
          <w:szCs w:val="24"/>
        </w:rPr>
        <w:t>TRA</w:t>
      </w:r>
      <w:r w:rsidRPr="00C90AC9">
        <w:rPr>
          <w:szCs w:val="24"/>
        </w:rPr>
        <w:tab/>
      </w:r>
      <w:r w:rsidRPr="00C90AC9">
        <w:rPr>
          <w:szCs w:val="24"/>
        </w:rPr>
        <w:tab/>
      </w:r>
      <w:r w:rsidR="0099093E" w:rsidRPr="00C90AC9">
        <w:rPr>
          <w:szCs w:val="24"/>
        </w:rPr>
        <w:tab/>
      </w:r>
      <w:r w:rsidRPr="00C90AC9">
        <w:rPr>
          <w:szCs w:val="24"/>
        </w:rPr>
        <w:tab/>
        <w:t>Theory of Reasoned Action</w:t>
      </w:r>
    </w:p>
    <w:p w:rsidR="00AA601A" w:rsidRPr="00C90AC9" w:rsidRDefault="00A52775" w:rsidP="00E74A74">
      <w:pPr>
        <w:spacing w:line="240" w:lineRule="auto"/>
        <w:rPr>
          <w:szCs w:val="24"/>
        </w:rPr>
      </w:pPr>
      <w:r w:rsidRPr="00C90AC9">
        <w:rPr>
          <w:szCs w:val="24"/>
        </w:rPr>
        <w:t>UTAUT</w:t>
      </w:r>
      <w:r w:rsidRPr="00C90AC9">
        <w:rPr>
          <w:szCs w:val="24"/>
        </w:rPr>
        <w:tab/>
      </w:r>
      <w:r w:rsidR="0099093E" w:rsidRPr="00C90AC9">
        <w:rPr>
          <w:szCs w:val="24"/>
        </w:rPr>
        <w:tab/>
      </w:r>
      <w:r w:rsidRPr="00C90AC9">
        <w:rPr>
          <w:szCs w:val="24"/>
        </w:rPr>
        <w:tab/>
        <w:t>Unified Theory of Acceptance and Use of Technology</w:t>
      </w:r>
      <w:r w:rsidRPr="00C90AC9">
        <w:rPr>
          <w:szCs w:val="24"/>
        </w:rPr>
        <w:tab/>
      </w:r>
    </w:p>
    <w:p w:rsidR="00314031" w:rsidRPr="00C90AC9" w:rsidRDefault="00314031" w:rsidP="00E74A74">
      <w:pPr>
        <w:spacing w:line="240" w:lineRule="auto"/>
        <w:rPr>
          <w:szCs w:val="24"/>
        </w:rPr>
      </w:pPr>
    </w:p>
    <w:p w:rsidR="00A52775" w:rsidRPr="00C90AC9" w:rsidRDefault="00A52775" w:rsidP="00E74A74">
      <w:pPr>
        <w:spacing w:line="240" w:lineRule="auto"/>
        <w:rPr>
          <w:szCs w:val="24"/>
        </w:rPr>
      </w:pPr>
      <w:r w:rsidRPr="00C90AC9">
        <w:rPr>
          <w:szCs w:val="24"/>
        </w:rPr>
        <w:t>Subscripts</w:t>
      </w:r>
    </w:p>
    <w:p w:rsidR="00A52775" w:rsidRPr="00C90AC9" w:rsidRDefault="006F0C85" w:rsidP="00E74A74">
      <w:pPr>
        <w:spacing w:line="240" w:lineRule="auto"/>
        <w:rPr>
          <w:szCs w:val="24"/>
        </w:rPr>
      </w:pPr>
      <w:r>
        <w:rPr>
          <w:szCs w:val="24"/>
        </w:rPr>
        <w:pict>
          <v:rect id="_x0000_i1028" style="width:0;height:1.5pt" o:hralign="center" o:hrstd="t" o:hr="t" fillcolor="#a0a0a0" stroked="f"/>
        </w:pict>
      </w:r>
    </w:p>
    <w:p w:rsidR="00A52775" w:rsidRPr="00C90AC9" w:rsidRDefault="00A52775" w:rsidP="00E74A74">
      <w:pPr>
        <w:spacing w:line="240" w:lineRule="auto"/>
        <w:rPr>
          <w:szCs w:val="24"/>
        </w:rPr>
      </w:pPr>
      <w:r w:rsidRPr="00C90AC9">
        <w:rPr>
          <w:szCs w:val="24"/>
          <w:vertAlign w:val="subscript"/>
        </w:rPr>
        <w:t>AUX</w:t>
      </w:r>
      <w:r w:rsidRPr="00C90AC9">
        <w:rPr>
          <w:szCs w:val="24"/>
          <w:vertAlign w:val="subscript"/>
        </w:rPr>
        <w:tab/>
      </w:r>
      <w:r w:rsidRPr="00C90AC9">
        <w:rPr>
          <w:szCs w:val="24"/>
        </w:rPr>
        <w:tab/>
      </w:r>
      <w:r w:rsidRPr="00C90AC9">
        <w:rPr>
          <w:szCs w:val="24"/>
        </w:rPr>
        <w:tab/>
      </w:r>
      <w:r w:rsidRPr="00C90AC9">
        <w:rPr>
          <w:szCs w:val="24"/>
        </w:rPr>
        <w:tab/>
        <w:t>Auxiliary</w:t>
      </w:r>
    </w:p>
    <w:p w:rsidR="00A52775" w:rsidRPr="00C90AC9" w:rsidRDefault="00A52775" w:rsidP="00E74A74">
      <w:pPr>
        <w:spacing w:line="240" w:lineRule="auto"/>
        <w:rPr>
          <w:szCs w:val="24"/>
        </w:rPr>
      </w:pPr>
      <w:r w:rsidRPr="00C90AC9">
        <w:rPr>
          <w:szCs w:val="24"/>
          <w:vertAlign w:val="subscript"/>
        </w:rPr>
        <w:t>COL</w:t>
      </w:r>
      <w:r w:rsidRPr="00C90AC9">
        <w:rPr>
          <w:szCs w:val="24"/>
        </w:rPr>
        <w:tab/>
      </w:r>
      <w:r w:rsidRPr="00C90AC9">
        <w:rPr>
          <w:szCs w:val="24"/>
        </w:rPr>
        <w:tab/>
      </w:r>
      <w:r w:rsidRPr="00C90AC9">
        <w:rPr>
          <w:szCs w:val="24"/>
        </w:rPr>
        <w:tab/>
      </w:r>
      <w:r w:rsidRPr="00C90AC9">
        <w:rPr>
          <w:szCs w:val="24"/>
        </w:rPr>
        <w:tab/>
        <w:t>Collector</w:t>
      </w:r>
    </w:p>
    <w:p w:rsidR="00A52775" w:rsidRPr="00C90AC9" w:rsidRDefault="00F97E6C" w:rsidP="00E74A74">
      <w:pPr>
        <w:spacing w:line="240" w:lineRule="auto"/>
        <w:rPr>
          <w:szCs w:val="24"/>
        </w:rPr>
      </w:pPr>
      <w:r w:rsidRPr="00C90AC9">
        <w:rPr>
          <w:szCs w:val="24"/>
          <w:vertAlign w:val="subscript"/>
        </w:rPr>
        <w:t>D</w:t>
      </w:r>
      <w:r w:rsidR="00A52775" w:rsidRPr="00C90AC9">
        <w:rPr>
          <w:szCs w:val="24"/>
          <w:vertAlign w:val="subscript"/>
        </w:rPr>
        <w:tab/>
      </w:r>
      <w:r w:rsidR="00A52775" w:rsidRPr="00C90AC9">
        <w:rPr>
          <w:szCs w:val="24"/>
          <w:vertAlign w:val="subscript"/>
        </w:rPr>
        <w:tab/>
      </w:r>
      <w:r w:rsidR="00A52775" w:rsidRPr="00C90AC9">
        <w:rPr>
          <w:szCs w:val="24"/>
          <w:vertAlign w:val="subscript"/>
        </w:rPr>
        <w:tab/>
      </w:r>
      <w:r w:rsidR="00A52775" w:rsidRPr="00C90AC9">
        <w:rPr>
          <w:szCs w:val="24"/>
          <w:vertAlign w:val="subscript"/>
        </w:rPr>
        <w:tab/>
      </w:r>
      <w:r w:rsidRPr="00C90AC9">
        <w:rPr>
          <w:szCs w:val="24"/>
        </w:rPr>
        <w:t>D</w:t>
      </w:r>
      <w:r w:rsidR="00A52775" w:rsidRPr="00C90AC9">
        <w:rPr>
          <w:szCs w:val="24"/>
        </w:rPr>
        <w:t>ay</w:t>
      </w:r>
    </w:p>
    <w:p w:rsidR="00A52775" w:rsidRPr="00C90AC9" w:rsidRDefault="00A52775" w:rsidP="00E74A74">
      <w:pPr>
        <w:spacing w:line="240" w:lineRule="auto"/>
        <w:rPr>
          <w:szCs w:val="24"/>
        </w:rPr>
      </w:pPr>
      <w:r w:rsidRPr="00C90AC9">
        <w:rPr>
          <w:szCs w:val="24"/>
          <w:vertAlign w:val="subscript"/>
        </w:rPr>
        <w:t>SOL</w:t>
      </w:r>
      <w:r w:rsidRPr="00C90AC9">
        <w:rPr>
          <w:szCs w:val="24"/>
          <w:vertAlign w:val="subscript"/>
        </w:rPr>
        <w:tab/>
      </w:r>
      <w:r w:rsidRPr="00C90AC9">
        <w:rPr>
          <w:szCs w:val="24"/>
          <w:vertAlign w:val="subscript"/>
        </w:rPr>
        <w:tab/>
      </w:r>
      <w:r w:rsidRPr="00C90AC9">
        <w:rPr>
          <w:szCs w:val="24"/>
          <w:vertAlign w:val="subscript"/>
        </w:rPr>
        <w:tab/>
      </w:r>
      <w:r w:rsidRPr="00C90AC9">
        <w:rPr>
          <w:szCs w:val="24"/>
          <w:vertAlign w:val="subscript"/>
        </w:rPr>
        <w:tab/>
      </w:r>
      <w:r w:rsidRPr="00C90AC9">
        <w:rPr>
          <w:szCs w:val="24"/>
        </w:rPr>
        <w:t>Solar</w:t>
      </w:r>
    </w:p>
    <w:p w:rsidR="00A52775" w:rsidRPr="00C90AC9" w:rsidRDefault="00A52775" w:rsidP="00E74A74">
      <w:pPr>
        <w:spacing w:line="240" w:lineRule="auto"/>
        <w:rPr>
          <w:szCs w:val="24"/>
        </w:rPr>
      </w:pPr>
      <w:r w:rsidRPr="00C90AC9">
        <w:rPr>
          <w:szCs w:val="24"/>
          <w:vertAlign w:val="subscript"/>
        </w:rPr>
        <w:t>T</w:t>
      </w:r>
      <w:r w:rsidRPr="00C90AC9">
        <w:rPr>
          <w:szCs w:val="24"/>
          <w:vertAlign w:val="subscript"/>
        </w:rPr>
        <w:tab/>
      </w:r>
      <w:r w:rsidRPr="00C90AC9">
        <w:rPr>
          <w:szCs w:val="24"/>
          <w:vertAlign w:val="subscript"/>
        </w:rPr>
        <w:tab/>
      </w:r>
      <w:r w:rsidRPr="00C90AC9">
        <w:rPr>
          <w:szCs w:val="24"/>
          <w:vertAlign w:val="subscript"/>
        </w:rPr>
        <w:tab/>
      </w:r>
      <w:r w:rsidRPr="00C90AC9">
        <w:rPr>
          <w:szCs w:val="24"/>
          <w:vertAlign w:val="subscript"/>
        </w:rPr>
        <w:tab/>
      </w:r>
      <w:r w:rsidRPr="00C90AC9">
        <w:rPr>
          <w:szCs w:val="24"/>
        </w:rPr>
        <w:t>Total</w:t>
      </w:r>
    </w:p>
    <w:p w:rsidR="00A52775" w:rsidRPr="00C90AC9" w:rsidRDefault="00A52775" w:rsidP="00E74A74">
      <w:pPr>
        <w:spacing w:line="240" w:lineRule="auto"/>
        <w:rPr>
          <w:szCs w:val="24"/>
          <w:vertAlign w:val="subscript"/>
        </w:rPr>
      </w:pPr>
      <w:r w:rsidRPr="00C90AC9">
        <w:rPr>
          <w:szCs w:val="24"/>
          <w:vertAlign w:val="subscript"/>
        </w:rPr>
        <w:t>W</w:t>
      </w:r>
      <w:r w:rsidRPr="00C90AC9">
        <w:rPr>
          <w:szCs w:val="24"/>
          <w:vertAlign w:val="subscript"/>
        </w:rPr>
        <w:tab/>
      </w:r>
      <w:r w:rsidRPr="00C90AC9">
        <w:rPr>
          <w:szCs w:val="24"/>
          <w:vertAlign w:val="subscript"/>
        </w:rPr>
        <w:tab/>
      </w:r>
      <w:r w:rsidRPr="00C90AC9">
        <w:rPr>
          <w:szCs w:val="24"/>
          <w:vertAlign w:val="subscript"/>
        </w:rPr>
        <w:tab/>
      </w:r>
      <w:r w:rsidRPr="00C90AC9">
        <w:rPr>
          <w:szCs w:val="24"/>
          <w:vertAlign w:val="subscript"/>
        </w:rPr>
        <w:tab/>
      </w:r>
      <w:r w:rsidRPr="00C90AC9">
        <w:rPr>
          <w:szCs w:val="24"/>
        </w:rPr>
        <w:t>Water</w:t>
      </w:r>
    </w:p>
    <w:p w:rsidR="00A52775" w:rsidRPr="00C90AC9" w:rsidRDefault="00A52775" w:rsidP="00E74A74">
      <w:pPr>
        <w:spacing w:line="240" w:lineRule="auto"/>
        <w:rPr>
          <w:szCs w:val="24"/>
        </w:rPr>
      </w:pPr>
      <w:r w:rsidRPr="00C90AC9">
        <w:rPr>
          <w:szCs w:val="24"/>
          <w:vertAlign w:val="subscript"/>
        </w:rPr>
        <w:t>WCW</w:t>
      </w:r>
      <w:r w:rsidRPr="00C90AC9">
        <w:rPr>
          <w:szCs w:val="24"/>
          <w:vertAlign w:val="subscript"/>
        </w:rPr>
        <w:tab/>
      </w:r>
      <w:r w:rsidRPr="00C90AC9">
        <w:rPr>
          <w:szCs w:val="24"/>
          <w:vertAlign w:val="subscript"/>
        </w:rPr>
        <w:tab/>
      </w:r>
      <w:r w:rsidRPr="00C90AC9">
        <w:rPr>
          <w:szCs w:val="24"/>
          <w:vertAlign w:val="subscript"/>
        </w:rPr>
        <w:tab/>
      </w:r>
      <w:r w:rsidRPr="00C90AC9">
        <w:rPr>
          <w:szCs w:val="24"/>
        </w:rPr>
        <w:tab/>
      </w:r>
      <w:r w:rsidR="00310C75" w:rsidRPr="00C90AC9">
        <w:rPr>
          <w:szCs w:val="24"/>
        </w:rPr>
        <w:t>Water - copper – water</w:t>
      </w:r>
      <w:r w:rsidR="00310C75" w:rsidRPr="00C90AC9">
        <w:rPr>
          <w:szCs w:val="24"/>
        </w:rPr>
        <w:tab/>
      </w:r>
      <w:r w:rsidR="00310C75" w:rsidRPr="00C90AC9">
        <w:rPr>
          <w:szCs w:val="24"/>
        </w:rPr>
        <w:br/>
      </w:r>
    </w:p>
    <w:p w:rsidR="00DB7E0E" w:rsidRPr="00C90AC9" w:rsidRDefault="00DB7E0E" w:rsidP="00E74A74">
      <w:pPr>
        <w:spacing w:line="240" w:lineRule="auto"/>
        <w:rPr>
          <w:szCs w:val="24"/>
        </w:rPr>
      </w:pPr>
    </w:p>
    <w:p w:rsidR="00DB7E0E" w:rsidRPr="00C90AC9" w:rsidRDefault="00DB7E0E" w:rsidP="00E74A74">
      <w:pPr>
        <w:spacing w:line="240" w:lineRule="auto"/>
        <w:rPr>
          <w:szCs w:val="24"/>
        </w:rPr>
      </w:pPr>
    </w:p>
    <w:p w:rsidR="00DB7E0E" w:rsidRPr="00C90AC9" w:rsidRDefault="00DB7E0E" w:rsidP="00E74A74">
      <w:pPr>
        <w:spacing w:line="240" w:lineRule="auto"/>
        <w:rPr>
          <w:szCs w:val="24"/>
        </w:rPr>
      </w:pPr>
    </w:p>
    <w:p w:rsidR="006010E7" w:rsidRPr="00C90AC9" w:rsidRDefault="006010E7" w:rsidP="00E74A74">
      <w:pPr>
        <w:spacing w:line="240" w:lineRule="auto"/>
        <w:rPr>
          <w:szCs w:val="24"/>
        </w:rPr>
      </w:pPr>
    </w:p>
    <w:p w:rsidR="00A52775" w:rsidRPr="00C90AC9" w:rsidRDefault="00A52775" w:rsidP="00E74A74">
      <w:pPr>
        <w:pStyle w:val="BodyText"/>
        <w:spacing w:line="240" w:lineRule="auto"/>
        <w:rPr>
          <w:b/>
          <w:szCs w:val="24"/>
        </w:rPr>
      </w:pPr>
      <w:r w:rsidRPr="00C90AC9">
        <w:rPr>
          <w:szCs w:val="24"/>
        </w:rPr>
        <w:lastRenderedPageBreak/>
        <w:t>Greek</w:t>
      </w:r>
      <w:r w:rsidRPr="00C90AC9">
        <w:rPr>
          <w:b/>
          <w:szCs w:val="24"/>
        </w:rPr>
        <w:t xml:space="preserve"> </w:t>
      </w:r>
      <w:r w:rsidRPr="00C90AC9">
        <w:rPr>
          <w:szCs w:val="24"/>
        </w:rPr>
        <w:t>Symbols</w:t>
      </w:r>
    </w:p>
    <w:p w:rsidR="00A52775" w:rsidRPr="00C90AC9" w:rsidRDefault="006F0C85" w:rsidP="00E74A74">
      <w:pPr>
        <w:spacing w:line="240" w:lineRule="auto"/>
        <w:rPr>
          <w:szCs w:val="24"/>
        </w:rPr>
      </w:pPr>
      <w:r>
        <w:rPr>
          <w:szCs w:val="24"/>
        </w:rPr>
        <w:pict>
          <v:rect id="_x0000_i1029" style="width:0;height:1.5pt" o:hralign="center" o:hrstd="t" o:hr="t" fillcolor="#a0a0a0" stroked="f"/>
        </w:pict>
      </w:r>
    </w:p>
    <w:p w:rsidR="00A52775" w:rsidRPr="00C90AC9" w:rsidRDefault="00A52775" w:rsidP="00E74A74">
      <w:pPr>
        <w:spacing w:line="240" w:lineRule="auto"/>
        <w:rPr>
          <w:szCs w:val="24"/>
        </w:rPr>
      </w:pPr>
      <m:oMath>
        <m:r>
          <m:rPr>
            <m:sty m:val="p"/>
          </m:rPr>
          <w:rPr>
            <w:rFonts w:ascii="Cambria Math" w:hAnsi="Cambria Math"/>
            <w:szCs w:val="24"/>
          </w:rPr>
          <m:t>α</m:t>
        </m:r>
      </m:oMath>
      <w:r w:rsidRPr="00C90AC9">
        <w:rPr>
          <w:szCs w:val="24"/>
        </w:rPr>
        <w:t xml:space="preserve"> </w:t>
      </w:r>
      <w:r w:rsidRPr="00C90AC9">
        <w:rPr>
          <w:szCs w:val="24"/>
        </w:rPr>
        <w:tab/>
      </w:r>
      <w:r w:rsidRPr="00C90AC9">
        <w:rPr>
          <w:szCs w:val="24"/>
        </w:rPr>
        <w:tab/>
      </w:r>
      <w:r w:rsidRPr="00C90AC9">
        <w:rPr>
          <w:szCs w:val="24"/>
        </w:rPr>
        <w:tab/>
      </w:r>
      <w:r w:rsidRPr="00C90AC9">
        <w:rPr>
          <w:szCs w:val="24"/>
        </w:rPr>
        <w:tab/>
        <w:t>Plate Emissivity</w:t>
      </w:r>
    </w:p>
    <w:p w:rsidR="00A52775" w:rsidRPr="00C90AC9" w:rsidRDefault="006F0C85" w:rsidP="00E74A74">
      <w:pPr>
        <w:spacing w:line="240" w:lineRule="auto"/>
        <w:rPr>
          <w:szCs w:val="24"/>
        </w:rPr>
      </w:pPr>
      <m:oMath>
        <m:sSub>
          <m:sSubPr>
            <m:ctrlPr>
              <w:rPr>
                <w:rFonts w:ascii="Cambria Math" w:hAnsi="Cambria Math"/>
                <w:i/>
                <w:szCs w:val="24"/>
              </w:rPr>
            </m:ctrlPr>
          </m:sSubPr>
          <m:e>
            <m:r>
              <w:rPr>
                <w:rFonts w:ascii="Cambria Math" w:hAnsi="Cambria Math"/>
                <w:szCs w:val="24"/>
              </w:rPr>
              <m:t>δ</m:t>
            </m:r>
          </m:e>
          <m:sub>
            <m:r>
              <w:rPr>
                <w:rFonts w:ascii="Cambria Math" w:hAnsi="Cambria Math"/>
                <w:szCs w:val="24"/>
              </w:rPr>
              <m:t>S</m:t>
            </m:r>
          </m:sub>
        </m:sSub>
      </m:oMath>
      <w:r w:rsidR="00A52775" w:rsidRPr="00C90AC9">
        <w:rPr>
          <w:szCs w:val="24"/>
        </w:rPr>
        <w:tab/>
      </w:r>
      <w:r w:rsidR="00A52775" w:rsidRPr="00C90AC9">
        <w:rPr>
          <w:szCs w:val="24"/>
        </w:rPr>
        <w:tab/>
      </w:r>
      <w:r w:rsidR="00A52775" w:rsidRPr="00C90AC9">
        <w:rPr>
          <w:szCs w:val="24"/>
        </w:rPr>
        <w:tab/>
      </w:r>
      <w:r w:rsidR="00A52775" w:rsidRPr="00C90AC9">
        <w:rPr>
          <w:szCs w:val="24"/>
        </w:rPr>
        <w:tab/>
        <w:t>Solar Declination</w:t>
      </w:r>
    </w:p>
    <w:p w:rsidR="00A52775" w:rsidRPr="00C90AC9" w:rsidRDefault="00A52775" w:rsidP="00E74A74">
      <w:pPr>
        <w:spacing w:line="240" w:lineRule="auto"/>
        <w:rPr>
          <w:szCs w:val="24"/>
        </w:rPr>
      </w:pPr>
      <w:r w:rsidRPr="00C90AC9">
        <w:rPr>
          <w:szCs w:val="24"/>
        </w:rPr>
        <w:t>Λ</w:t>
      </w:r>
      <w:r w:rsidRPr="00C90AC9">
        <w:rPr>
          <w:szCs w:val="24"/>
        </w:rPr>
        <w:tab/>
      </w:r>
      <w:r w:rsidRPr="00C90AC9">
        <w:rPr>
          <w:szCs w:val="24"/>
        </w:rPr>
        <w:tab/>
      </w:r>
      <w:r w:rsidRPr="00C90AC9">
        <w:rPr>
          <w:szCs w:val="24"/>
        </w:rPr>
        <w:tab/>
      </w:r>
      <w:r w:rsidRPr="00C90AC9">
        <w:rPr>
          <w:szCs w:val="24"/>
        </w:rPr>
        <w:tab/>
        <w:t>Latitude (°)</w:t>
      </w:r>
    </w:p>
    <w:p w:rsidR="00A52775" w:rsidRPr="00C90AC9" w:rsidRDefault="006F0C85" w:rsidP="00E74A74">
      <w:pPr>
        <w:spacing w:line="240" w:lineRule="auto"/>
        <w:rPr>
          <w:szCs w:val="24"/>
        </w:rPr>
      </w:pPr>
      <m:oMath>
        <m:sSub>
          <m:sSubPr>
            <m:ctrlPr>
              <w:rPr>
                <w:rFonts w:ascii="Cambria Math" w:hAnsi="Cambria Math"/>
                <w:i/>
                <w:szCs w:val="24"/>
              </w:rPr>
            </m:ctrlPr>
          </m:sSubPr>
          <m:e>
            <m:r>
              <w:rPr>
                <w:rFonts w:ascii="Cambria Math" w:hAnsi="Cambria Math"/>
                <w:szCs w:val="24"/>
              </w:rPr>
              <m:t>η</m:t>
            </m:r>
          </m:e>
          <m:sub>
            <m:r>
              <w:rPr>
                <w:rFonts w:ascii="Cambria Math" w:hAnsi="Cambria Math"/>
                <w:szCs w:val="24"/>
              </w:rPr>
              <m:t>COL</m:t>
            </m:r>
          </m:sub>
        </m:sSub>
      </m:oMath>
      <w:r w:rsidR="00A52775" w:rsidRPr="00C90AC9">
        <w:rPr>
          <w:szCs w:val="24"/>
        </w:rPr>
        <w:tab/>
      </w:r>
      <w:r w:rsidR="00A52775" w:rsidRPr="00C90AC9">
        <w:rPr>
          <w:szCs w:val="24"/>
        </w:rPr>
        <w:tab/>
      </w:r>
      <w:r w:rsidR="00A52775" w:rsidRPr="00C90AC9">
        <w:rPr>
          <w:szCs w:val="24"/>
        </w:rPr>
        <w:tab/>
      </w:r>
      <w:r w:rsidR="00A52775" w:rsidRPr="00C90AC9">
        <w:rPr>
          <w:szCs w:val="24"/>
        </w:rPr>
        <w:tab/>
        <w:t>Efficiency of collector</w:t>
      </w:r>
      <w:r w:rsidR="00A52775" w:rsidRPr="00C90AC9">
        <w:rPr>
          <w:szCs w:val="24"/>
        </w:rPr>
        <w:tab/>
        <w:t>(-)</w:t>
      </w:r>
    </w:p>
    <w:p w:rsidR="00A52775" w:rsidRPr="00C90AC9" w:rsidRDefault="006F0C85" w:rsidP="00E74A74">
      <w:pPr>
        <w:spacing w:line="240" w:lineRule="auto"/>
        <w:rPr>
          <w:szCs w:val="24"/>
        </w:rPr>
      </w:pPr>
      <m:oMath>
        <m:sSub>
          <m:sSubPr>
            <m:ctrlPr>
              <w:rPr>
                <w:rFonts w:ascii="Cambria Math" w:hAnsi="Cambria Math"/>
                <w:i/>
                <w:szCs w:val="24"/>
              </w:rPr>
            </m:ctrlPr>
          </m:sSubPr>
          <m:e>
            <m:r>
              <w:rPr>
                <w:rFonts w:ascii="Cambria Math" w:hAnsi="Cambria Math"/>
                <w:szCs w:val="24"/>
              </w:rPr>
              <m:t>η</m:t>
            </m:r>
          </m:e>
          <m:sub>
            <m:r>
              <w:rPr>
                <w:rFonts w:ascii="Cambria Math" w:hAnsi="Cambria Math"/>
                <w:szCs w:val="24"/>
              </w:rPr>
              <m:t>0</m:t>
            </m:r>
          </m:sub>
        </m:sSub>
      </m:oMath>
      <w:r w:rsidR="00A52775" w:rsidRPr="00C90AC9">
        <w:rPr>
          <w:szCs w:val="24"/>
        </w:rPr>
        <w:tab/>
      </w:r>
      <w:r w:rsidR="00A52775" w:rsidRPr="00C90AC9">
        <w:rPr>
          <w:szCs w:val="24"/>
        </w:rPr>
        <w:tab/>
      </w:r>
      <w:r w:rsidR="00A52775" w:rsidRPr="00C90AC9">
        <w:rPr>
          <w:szCs w:val="24"/>
        </w:rPr>
        <w:tab/>
      </w:r>
      <w:r w:rsidR="00A52775" w:rsidRPr="00C90AC9">
        <w:rPr>
          <w:szCs w:val="24"/>
        </w:rPr>
        <w:tab/>
        <w:t>Zero loss collector efficiency (-)</w:t>
      </w:r>
    </w:p>
    <w:p w:rsidR="00A52775" w:rsidRPr="00C90AC9" w:rsidRDefault="00A52775" w:rsidP="00E74A74">
      <w:pPr>
        <w:spacing w:line="240" w:lineRule="auto"/>
        <w:rPr>
          <w:szCs w:val="24"/>
        </w:rPr>
      </w:pPr>
      <m:oMath>
        <m:r>
          <w:rPr>
            <w:rFonts w:ascii="Cambria Math" w:hAnsi="Cambria Math"/>
            <w:szCs w:val="24"/>
          </w:rPr>
          <m:t xml:space="preserve">ρ </m:t>
        </m:r>
      </m:oMath>
      <w:r w:rsidRPr="00C90AC9">
        <w:rPr>
          <w:szCs w:val="24"/>
        </w:rPr>
        <w:tab/>
      </w:r>
      <w:r w:rsidRPr="00C90AC9">
        <w:rPr>
          <w:szCs w:val="24"/>
        </w:rPr>
        <w:tab/>
      </w:r>
      <w:r w:rsidRPr="00C90AC9">
        <w:rPr>
          <w:szCs w:val="24"/>
        </w:rPr>
        <w:tab/>
      </w:r>
      <w:r w:rsidRPr="00C90AC9">
        <w:rPr>
          <w:szCs w:val="24"/>
        </w:rPr>
        <w:tab/>
        <w:t>Glass Surface Reflectivity (-)</w:t>
      </w:r>
    </w:p>
    <w:p w:rsidR="00A52775" w:rsidRPr="00C90AC9" w:rsidRDefault="00A52775" w:rsidP="00E74A74">
      <w:pPr>
        <w:spacing w:line="240" w:lineRule="auto"/>
        <w:rPr>
          <w:szCs w:val="24"/>
        </w:rPr>
      </w:pPr>
      <m:oMath>
        <m:r>
          <w:rPr>
            <w:rFonts w:ascii="Cambria Math" w:hAnsi="Cambria Math"/>
            <w:szCs w:val="24"/>
          </w:rPr>
          <m:t xml:space="preserve">τ </m:t>
        </m:r>
      </m:oMath>
      <w:r w:rsidRPr="00C90AC9">
        <w:rPr>
          <w:szCs w:val="24"/>
        </w:rPr>
        <w:tab/>
      </w:r>
      <w:r w:rsidRPr="00C90AC9">
        <w:rPr>
          <w:szCs w:val="24"/>
        </w:rPr>
        <w:tab/>
      </w:r>
      <w:r w:rsidRPr="00C90AC9">
        <w:rPr>
          <w:szCs w:val="24"/>
        </w:rPr>
        <w:tab/>
      </w:r>
      <w:r w:rsidRPr="00C90AC9">
        <w:rPr>
          <w:szCs w:val="24"/>
        </w:rPr>
        <w:tab/>
        <w:t>Glass Tranmissivity (-)</w:t>
      </w:r>
    </w:p>
    <w:p w:rsidR="00A16B8C" w:rsidRPr="00C90AC9" w:rsidRDefault="00A52775" w:rsidP="00E74A74">
      <w:pPr>
        <w:spacing w:line="240" w:lineRule="auto"/>
        <w:rPr>
          <w:sz w:val="22"/>
        </w:rPr>
      </w:pPr>
      <w:r w:rsidRPr="00C90AC9">
        <w:rPr>
          <w:szCs w:val="24"/>
        </w:rPr>
        <w:t>T</w:t>
      </w:r>
      <m:oMath>
        <m:r>
          <m:rPr>
            <m:sty m:val="p"/>
          </m:rPr>
          <w:rPr>
            <w:rFonts w:ascii="Cambria Math" w:hAnsi="Cambria Math"/>
            <w:szCs w:val="24"/>
          </w:rPr>
          <m:t xml:space="preserve">α </m:t>
        </m:r>
      </m:oMath>
      <w:r w:rsidRPr="00C90AC9">
        <w:rPr>
          <w:szCs w:val="24"/>
        </w:rPr>
        <w:tab/>
      </w:r>
      <w:r w:rsidRPr="00C90AC9">
        <w:rPr>
          <w:szCs w:val="24"/>
        </w:rPr>
        <w:tab/>
      </w:r>
      <w:r w:rsidRPr="00C90AC9">
        <w:rPr>
          <w:szCs w:val="24"/>
        </w:rPr>
        <w:tab/>
      </w:r>
      <w:r w:rsidRPr="00C90AC9">
        <w:rPr>
          <w:szCs w:val="24"/>
        </w:rPr>
        <w:tab/>
        <w:t>Tau-alpha product (-)</w:t>
      </w:r>
      <w:r w:rsidRPr="00C90AC9">
        <w:rPr>
          <w:sz w:val="22"/>
        </w:rPr>
        <w:br w:type="page"/>
      </w:r>
    </w:p>
    <w:p w:rsidR="00A24894" w:rsidRPr="00521573" w:rsidRDefault="00A24894" w:rsidP="00A24894">
      <w:pPr>
        <w:pStyle w:val="Heading11"/>
        <w:rPr>
          <w:rStyle w:val="SubtleEmphasis"/>
          <w:bCs/>
          <w:sz w:val="44"/>
          <w:szCs w:val="24"/>
        </w:rPr>
      </w:pPr>
      <w:bookmarkStart w:id="6" w:name="_Toc447173040"/>
      <w:r w:rsidRPr="00521573">
        <w:rPr>
          <w:rStyle w:val="SubtleEmphasis"/>
          <w:bCs/>
          <w:sz w:val="44"/>
          <w:szCs w:val="24"/>
        </w:rPr>
        <w:lastRenderedPageBreak/>
        <w:t>Table of Contents</w:t>
      </w:r>
    </w:p>
    <w:p w:rsidR="00A24894" w:rsidRPr="000C791E" w:rsidRDefault="006F0C85" w:rsidP="00A24894">
      <w:pPr>
        <w:rPr>
          <w:szCs w:val="24"/>
        </w:rPr>
      </w:pPr>
      <w:r>
        <w:rPr>
          <w:szCs w:val="24"/>
        </w:rPr>
        <w:pict>
          <v:rect id="_x0000_i1030" style="width:0;height:1.5pt" o:hralign="center" o:hrstd="t" o:hr="t" fillcolor="#a0a0a0" stroked="f"/>
        </w:pict>
      </w:r>
    </w:p>
    <w:tbl>
      <w:tblPr>
        <w:tblStyle w:val="TableGrid"/>
        <w:tblpPr w:leftFromText="180" w:rightFromText="180" w:vertAnchor="text" w:tblpY="1"/>
        <w:tblOverlap w:val="never"/>
        <w:tblW w:w="89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3"/>
        <w:gridCol w:w="7079"/>
        <w:gridCol w:w="683"/>
      </w:tblGrid>
      <w:tr w:rsidR="00A24894" w:rsidRPr="000C791E" w:rsidTr="00521573">
        <w:tc>
          <w:tcPr>
            <w:tcW w:w="1163" w:type="dxa"/>
          </w:tcPr>
          <w:p w:rsidR="00A24894" w:rsidRPr="000C791E" w:rsidRDefault="00A24894" w:rsidP="00521573">
            <w:pPr>
              <w:rPr>
                <w:rFonts w:cs="Times New Roman"/>
                <w:szCs w:val="24"/>
              </w:rPr>
            </w:pPr>
            <w:r w:rsidRPr="00A24894">
              <w:rPr>
                <w:rFonts w:cs="Times New Roman"/>
                <w:sz w:val="28"/>
                <w:szCs w:val="24"/>
              </w:rPr>
              <w:t>Section</w:t>
            </w:r>
          </w:p>
        </w:tc>
        <w:tc>
          <w:tcPr>
            <w:tcW w:w="7079" w:type="dxa"/>
          </w:tcPr>
          <w:p w:rsidR="00A24894" w:rsidRPr="000C791E" w:rsidRDefault="00A24894" w:rsidP="00521573">
            <w:pPr>
              <w:rPr>
                <w:rFonts w:cs="Times New Roman"/>
                <w:szCs w:val="24"/>
              </w:rPr>
            </w:pPr>
          </w:p>
        </w:tc>
        <w:tc>
          <w:tcPr>
            <w:tcW w:w="683" w:type="dxa"/>
          </w:tcPr>
          <w:p w:rsidR="00A24894" w:rsidRPr="000C791E" w:rsidRDefault="00A24894" w:rsidP="00521573">
            <w:pPr>
              <w:rPr>
                <w:rFonts w:cs="Times New Roman"/>
                <w:szCs w:val="24"/>
              </w:rPr>
            </w:pPr>
            <w:r w:rsidRPr="000C791E">
              <w:rPr>
                <w:rFonts w:cs="Times New Roman"/>
                <w:szCs w:val="24"/>
              </w:rPr>
              <w:t>Page</w:t>
            </w:r>
          </w:p>
        </w:tc>
      </w:tr>
      <w:tr w:rsidR="00A24894" w:rsidRPr="000C791E" w:rsidTr="00521573">
        <w:tc>
          <w:tcPr>
            <w:tcW w:w="1163" w:type="dxa"/>
          </w:tcPr>
          <w:p w:rsidR="00A24894" w:rsidRPr="000C791E" w:rsidRDefault="00A24894" w:rsidP="00521573">
            <w:pPr>
              <w:rPr>
                <w:rFonts w:cs="Times New Roman"/>
                <w:szCs w:val="24"/>
              </w:rPr>
            </w:pPr>
          </w:p>
        </w:tc>
        <w:tc>
          <w:tcPr>
            <w:tcW w:w="7079" w:type="dxa"/>
          </w:tcPr>
          <w:p w:rsidR="00A24894" w:rsidRPr="000C791E" w:rsidRDefault="00A24894" w:rsidP="00521573">
            <w:pPr>
              <w:rPr>
                <w:rFonts w:cs="Times New Roman"/>
                <w:szCs w:val="24"/>
              </w:rPr>
            </w:pPr>
          </w:p>
        </w:tc>
        <w:tc>
          <w:tcPr>
            <w:tcW w:w="683" w:type="dxa"/>
          </w:tcPr>
          <w:p w:rsidR="00A24894" w:rsidRPr="000C791E" w:rsidRDefault="00A24894" w:rsidP="00521573">
            <w:pPr>
              <w:rPr>
                <w:rFonts w:cs="Times New Roman"/>
                <w:szCs w:val="24"/>
              </w:rPr>
            </w:pP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1</w:t>
            </w:r>
          </w:p>
        </w:tc>
        <w:tc>
          <w:tcPr>
            <w:tcW w:w="7079" w:type="dxa"/>
          </w:tcPr>
          <w:p w:rsidR="00A24894" w:rsidRPr="000C791E" w:rsidRDefault="00A24894" w:rsidP="00521573">
            <w:pPr>
              <w:rPr>
                <w:rFonts w:cs="Times New Roman"/>
                <w:szCs w:val="24"/>
              </w:rPr>
            </w:pPr>
            <w:r w:rsidRPr="000C791E">
              <w:rPr>
                <w:rFonts w:cs="Times New Roman"/>
                <w:szCs w:val="24"/>
              </w:rPr>
              <w:t>CHAPTER ONE, Introduction, the case for renewable energy</w:t>
            </w:r>
          </w:p>
        </w:tc>
        <w:tc>
          <w:tcPr>
            <w:tcW w:w="683" w:type="dxa"/>
          </w:tcPr>
          <w:p w:rsidR="00A24894" w:rsidRPr="000C791E" w:rsidRDefault="00A24894" w:rsidP="00521573">
            <w:pPr>
              <w:rPr>
                <w:rFonts w:cs="Times New Roman"/>
                <w:szCs w:val="24"/>
              </w:rPr>
            </w:pPr>
            <w:r w:rsidRPr="000C791E">
              <w:rPr>
                <w:rFonts w:cs="Times New Roman"/>
                <w:szCs w:val="24"/>
              </w:rPr>
              <w:t>1</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1.1.</w:t>
            </w:r>
          </w:p>
        </w:tc>
        <w:tc>
          <w:tcPr>
            <w:tcW w:w="7079" w:type="dxa"/>
          </w:tcPr>
          <w:p w:rsidR="00A24894" w:rsidRPr="000C791E" w:rsidRDefault="00A24894" w:rsidP="00521573">
            <w:pPr>
              <w:rPr>
                <w:rFonts w:cs="Times New Roman"/>
                <w:szCs w:val="24"/>
              </w:rPr>
            </w:pPr>
            <w:r w:rsidRPr="000C791E">
              <w:rPr>
                <w:rStyle w:val="SubtleEmphasis"/>
                <w:rFonts w:cs="Times New Roman"/>
                <w:sz w:val="24"/>
                <w:szCs w:val="24"/>
              </w:rPr>
              <w:t>Defining the problem, global issues</w:t>
            </w:r>
            <w:r w:rsidRPr="000C791E">
              <w:rPr>
                <w:rFonts w:cs="Times New Roman"/>
                <w:szCs w:val="24"/>
              </w:rPr>
              <w:t xml:space="preserve"> </w:t>
            </w:r>
          </w:p>
        </w:tc>
        <w:tc>
          <w:tcPr>
            <w:tcW w:w="683" w:type="dxa"/>
          </w:tcPr>
          <w:p w:rsidR="00A24894" w:rsidRPr="000C791E" w:rsidRDefault="00A24894" w:rsidP="00521573">
            <w:pPr>
              <w:rPr>
                <w:rFonts w:cs="Times New Roman"/>
                <w:szCs w:val="24"/>
              </w:rPr>
            </w:pPr>
            <w:r w:rsidRPr="000C791E">
              <w:rPr>
                <w:rFonts w:cs="Times New Roman"/>
                <w:szCs w:val="24"/>
              </w:rPr>
              <w:t>1</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1.2.</w:t>
            </w:r>
          </w:p>
        </w:tc>
        <w:tc>
          <w:tcPr>
            <w:tcW w:w="7079" w:type="dxa"/>
          </w:tcPr>
          <w:p w:rsidR="00A24894" w:rsidRPr="000C791E" w:rsidRDefault="00A24894" w:rsidP="00521573">
            <w:pPr>
              <w:pStyle w:val="Heading1"/>
              <w:numPr>
                <w:ilvl w:val="0"/>
                <w:numId w:val="0"/>
              </w:numPr>
              <w:outlineLvl w:val="0"/>
              <w:rPr>
                <w:rStyle w:val="SubtleEmphasis"/>
                <w:sz w:val="24"/>
              </w:rPr>
            </w:pPr>
            <w:r w:rsidRPr="000C791E">
              <w:rPr>
                <w:rStyle w:val="SubtleEmphasis"/>
                <w:sz w:val="24"/>
              </w:rPr>
              <w:t>Global energy consumption by sector</w:t>
            </w:r>
          </w:p>
        </w:tc>
        <w:tc>
          <w:tcPr>
            <w:tcW w:w="683" w:type="dxa"/>
          </w:tcPr>
          <w:p w:rsidR="00A24894" w:rsidRPr="000C791E" w:rsidRDefault="00A24894" w:rsidP="00521573">
            <w:pPr>
              <w:rPr>
                <w:rFonts w:cs="Times New Roman"/>
                <w:szCs w:val="24"/>
              </w:rPr>
            </w:pPr>
            <w:r w:rsidRPr="000C791E">
              <w:rPr>
                <w:rFonts w:cs="Times New Roman"/>
                <w:szCs w:val="24"/>
              </w:rPr>
              <w:t>3</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1.3</w:t>
            </w:r>
          </w:p>
        </w:tc>
        <w:tc>
          <w:tcPr>
            <w:tcW w:w="7079" w:type="dxa"/>
          </w:tcPr>
          <w:p w:rsidR="00A24894" w:rsidRPr="000C791E" w:rsidRDefault="00A24894" w:rsidP="00521573">
            <w:pPr>
              <w:pStyle w:val="Heading1"/>
              <w:numPr>
                <w:ilvl w:val="0"/>
                <w:numId w:val="0"/>
              </w:numPr>
              <w:outlineLvl w:val="0"/>
              <w:rPr>
                <w:sz w:val="24"/>
              </w:rPr>
            </w:pPr>
            <w:r w:rsidRPr="000C791E">
              <w:rPr>
                <w:rStyle w:val="SubtleEmphasis"/>
                <w:sz w:val="24"/>
              </w:rPr>
              <w:t>The UK’s energy consumption</w:t>
            </w:r>
          </w:p>
        </w:tc>
        <w:tc>
          <w:tcPr>
            <w:tcW w:w="683" w:type="dxa"/>
          </w:tcPr>
          <w:p w:rsidR="00A24894" w:rsidRPr="000C791E" w:rsidRDefault="00A24894" w:rsidP="00521573">
            <w:pPr>
              <w:rPr>
                <w:rFonts w:cs="Times New Roman"/>
                <w:szCs w:val="24"/>
              </w:rPr>
            </w:pPr>
            <w:r w:rsidRPr="000C791E">
              <w:rPr>
                <w:rFonts w:cs="Times New Roman"/>
                <w:szCs w:val="24"/>
              </w:rPr>
              <w:t>6</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1.4</w:t>
            </w:r>
          </w:p>
        </w:tc>
        <w:tc>
          <w:tcPr>
            <w:tcW w:w="7079" w:type="dxa"/>
          </w:tcPr>
          <w:p w:rsidR="00A24894" w:rsidRPr="000C791E" w:rsidRDefault="00A24894" w:rsidP="00521573">
            <w:pPr>
              <w:rPr>
                <w:rFonts w:cs="Times New Roman"/>
                <w:szCs w:val="24"/>
              </w:rPr>
            </w:pPr>
            <w:r w:rsidRPr="000C791E">
              <w:rPr>
                <w:rFonts w:cs="Times New Roman"/>
                <w:szCs w:val="24"/>
              </w:rPr>
              <w:t>Energy consumption in UK buildings</w:t>
            </w:r>
          </w:p>
        </w:tc>
        <w:tc>
          <w:tcPr>
            <w:tcW w:w="683" w:type="dxa"/>
          </w:tcPr>
          <w:p w:rsidR="00A24894" w:rsidRPr="000C791E" w:rsidRDefault="00A24894" w:rsidP="00521573">
            <w:pPr>
              <w:rPr>
                <w:rFonts w:cs="Times New Roman"/>
                <w:szCs w:val="24"/>
              </w:rPr>
            </w:pPr>
            <w:r w:rsidRPr="000C791E">
              <w:rPr>
                <w:rFonts w:cs="Times New Roman"/>
                <w:szCs w:val="24"/>
              </w:rPr>
              <w:t>7</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1.5.</w:t>
            </w:r>
          </w:p>
        </w:tc>
        <w:tc>
          <w:tcPr>
            <w:tcW w:w="7079" w:type="dxa"/>
          </w:tcPr>
          <w:p w:rsidR="00A24894" w:rsidRPr="000C791E" w:rsidRDefault="00A24894" w:rsidP="00521573">
            <w:pPr>
              <w:rPr>
                <w:rFonts w:cs="Times New Roman"/>
                <w:szCs w:val="24"/>
              </w:rPr>
            </w:pPr>
            <w:r w:rsidRPr="000C791E">
              <w:rPr>
                <w:rFonts w:cs="Times New Roman"/>
                <w:szCs w:val="24"/>
              </w:rPr>
              <w:t>Defining the problem, a UK perspective</w:t>
            </w:r>
          </w:p>
        </w:tc>
        <w:tc>
          <w:tcPr>
            <w:tcW w:w="683" w:type="dxa"/>
          </w:tcPr>
          <w:p w:rsidR="00A24894" w:rsidRPr="000C791E" w:rsidRDefault="00A24894" w:rsidP="00521573">
            <w:pPr>
              <w:rPr>
                <w:rFonts w:cs="Times New Roman"/>
                <w:szCs w:val="24"/>
              </w:rPr>
            </w:pPr>
            <w:r w:rsidRPr="000C791E">
              <w:rPr>
                <w:rFonts w:cs="Times New Roman"/>
                <w:szCs w:val="24"/>
              </w:rPr>
              <w:t>8</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1.6.</w:t>
            </w:r>
          </w:p>
        </w:tc>
        <w:tc>
          <w:tcPr>
            <w:tcW w:w="7079" w:type="dxa"/>
          </w:tcPr>
          <w:p w:rsidR="00A24894" w:rsidRPr="000C791E" w:rsidRDefault="00A24894" w:rsidP="00521573">
            <w:pPr>
              <w:rPr>
                <w:rFonts w:cs="Times New Roman"/>
                <w:szCs w:val="24"/>
              </w:rPr>
            </w:pPr>
            <w:r w:rsidRPr="000C791E">
              <w:rPr>
                <w:rFonts w:cs="Times New Roman"/>
                <w:szCs w:val="24"/>
              </w:rPr>
              <w:t>Hot water consumption in domestic buildings in the UK</w:t>
            </w:r>
          </w:p>
        </w:tc>
        <w:tc>
          <w:tcPr>
            <w:tcW w:w="683" w:type="dxa"/>
          </w:tcPr>
          <w:p w:rsidR="00A24894" w:rsidRPr="000C791E" w:rsidRDefault="00A24894" w:rsidP="00521573">
            <w:pPr>
              <w:rPr>
                <w:rFonts w:cs="Times New Roman"/>
                <w:szCs w:val="24"/>
              </w:rPr>
            </w:pPr>
            <w:r w:rsidRPr="000C791E">
              <w:rPr>
                <w:rFonts w:cs="Times New Roman"/>
                <w:szCs w:val="24"/>
              </w:rPr>
              <w:t>9</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1.7.</w:t>
            </w:r>
          </w:p>
        </w:tc>
        <w:tc>
          <w:tcPr>
            <w:tcW w:w="7079" w:type="dxa"/>
          </w:tcPr>
          <w:p w:rsidR="00A24894" w:rsidRPr="000C791E" w:rsidRDefault="00A24894" w:rsidP="00521573">
            <w:pPr>
              <w:pStyle w:val="Heading1"/>
              <w:numPr>
                <w:ilvl w:val="0"/>
                <w:numId w:val="0"/>
              </w:numPr>
              <w:outlineLvl w:val="0"/>
              <w:rPr>
                <w:sz w:val="24"/>
              </w:rPr>
            </w:pPr>
            <w:r w:rsidRPr="000C791E">
              <w:rPr>
                <w:rStyle w:val="SubtleEmphasis"/>
                <w:sz w:val="24"/>
              </w:rPr>
              <w:t xml:space="preserve">The UK’s renewable energy market </w:t>
            </w:r>
          </w:p>
        </w:tc>
        <w:tc>
          <w:tcPr>
            <w:tcW w:w="683" w:type="dxa"/>
          </w:tcPr>
          <w:p w:rsidR="00A24894" w:rsidRPr="000C791E" w:rsidRDefault="00A24894" w:rsidP="00521573">
            <w:pPr>
              <w:rPr>
                <w:rFonts w:cs="Times New Roman"/>
                <w:szCs w:val="24"/>
              </w:rPr>
            </w:pPr>
            <w:r w:rsidRPr="000C791E">
              <w:rPr>
                <w:rFonts w:cs="Times New Roman"/>
                <w:szCs w:val="24"/>
              </w:rPr>
              <w:t>10</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1.8.</w:t>
            </w:r>
          </w:p>
        </w:tc>
        <w:tc>
          <w:tcPr>
            <w:tcW w:w="7079" w:type="dxa"/>
          </w:tcPr>
          <w:p w:rsidR="00A24894" w:rsidRPr="000C791E" w:rsidRDefault="00A24894" w:rsidP="00521573">
            <w:pPr>
              <w:pStyle w:val="Heading1"/>
              <w:numPr>
                <w:ilvl w:val="0"/>
                <w:numId w:val="0"/>
              </w:numPr>
              <w:ind w:left="720" w:hanging="720"/>
              <w:outlineLvl w:val="0"/>
              <w:rPr>
                <w:sz w:val="24"/>
              </w:rPr>
            </w:pPr>
            <w:r w:rsidRPr="000C791E">
              <w:rPr>
                <w:rStyle w:val="SubtleEmphasis"/>
                <w:sz w:val="24"/>
              </w:rPr>
              <w:t>Micro-generation Technologies</w:t>
            </w:r>
          </w:p>
        </w:tc>
        <w:tc>
          <w:tcPr>
            <w:tcW w:w="683" w:type="dxa"/>
          </w:tcPr>
          <w:p w:rsidR="00A24894" w:rsidRPr="000C791E" w:rsidRDefault="00A24894" w:rsidP="00521573">
            <w:pPr>
              <w:rPr>
                <w:rFonts w:cs="Times New Roman"/>
                <w:szCs w:val="24"/>
              </w:rPr>
            </w:pPr>
            <w:r w:rsidRPr="000C791E">
              <w:rPr>
                <w:rFonts w:cs="Times New Roman"/>
                <w:szCs w:val="24"/>
              </w:rPr>
              <w:t>12</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1.9.</w:t>
            </w:r>
          </w:p>
        </w:tc>
        <w:tc>
          <w:tcPr>
            <w:tcW w:w="7079" w:type="dxa"/>
          </w:tcPr>
          <w:p w:rsidR="00A24894" w:rsidRPr="000C791E" w:rsidRDefault="00A24894" w:rsidP="00521573">
            <w:pPr>
              <w:rPr>
                <w:rFonts w:cs="Times New Roman"/>
                <w:szCs w:val="24"/>
              </w:rPr>
            </w:pPr>
            <w:r w:rsidRPr="000C791E">
              <w:rPr>
                <w:rFonts w:cs="Times New Roman"/>
                <w:szCs w:val="24"/>
              </w:rPr>
              <w:t>Solar energy</w:t>
            </w:r>
          </w:p>
        </w:tc>
        <w:tc>
          <w:tcPr>
            <w:tcW w:w="683" w:type="dxa"/>
          </w:tcPr>
          <w:p w:rsidR="00A24894" w:rsidRPr="000C791E" w:rsidRDefault="00A24894" w:rsidP="00521573">
            <w:pPr>
              <w:rPr>
                <w:rFonts w:cs="Times New Roman"/>
                <w:szCs w:val="24"/>
              </w:rPr>
            </w:pPr>
            <w:r w:rsidRPr="000C791E">
              <w:rPr>
                <w:rFonts w:cs="Times New Roman"/>
                <w:szCs w:val="24"/>
              </w:rPr>
              <w:t>14</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1.10.</w:t>
            </w:r>
          </w:p>
        </w:tc>
        <w:tc>
          <w:tcPr>
            <w:tcW w:w="7079" w:type="dxa"/>
          </w:tcPr>
          <w:p w:rsidR="00A24894" w:rsidRPr="000C791E" w:rsidRDefault="00A24894" w:rsidP="00521573">
            <w:pPr>
              <w:rPr>
                <w:rFonts w:cs="Times New Roman"/>
                <w:szCs w:val="24"/>
              </w:rPr>
            </w:pPr>
            <w:r w:rsidRPr="000C791E">
              <w:rPr>
                <w:rStyle w:val="SubtleEmphasis"/>
                <w:rFonts w:cs="Times New Roman"/>
                <w:sz w:val="24"/>
                <w:szCs w:val="24"/>
              </w:rPr>
              <w:t>Recent advances in the solar thermal panel technology</w:t>
            </w:r>
          </w:p>
        </w:tc>
        <w:tc>
          <w:tcPr>
            <w:tcW w:w="683" w:type="dxa"/>
          </w:tcPr>
          <w:p w:rsidR="00A24894" w:rsidRPr="000C791E" w:rsidRDefault="00A24894" w:rsidP="00521573">
            <w:pPr>
              <w:rPr>
                <w:rFonts w:cs="Times New Roman"/>
                <w:szCs w:val="24"/>
              </w:rPr>
            </w:pPr>
            <w:r w:rsidRPr="000C791E">
              <w:rPr>
                <w:rFonts w:cs="Times New Roman"/>
                <w:szCs w:val="24"/>
              </w:rPr>
              <w:t>17</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1.11.</w:t>
            </w:r>
          </w:p>
        </w:tc>
        <w:tc>
          <w:tcPr>
            <w:tcW w:w="7079" w:type="dxa"/>
          </w:tcPr>
          <w:p w:rsidR="00A24894" w:rsidRPr="000C791E" w:rsidRDefault="00A24894" w:rsidP="00521573">
            <w:pPr>
              <w:pStyle w:val="Heading1"/>
              <w:numPr>
                <w:ilvl w:val="0"/>
                <w:numId w:val="0"/>
              </w:numPr>
              <w:ind w:left="720" w:hanging="720"/>
              <w:outlineLvl w:val="0"/>
              <w:rPr>
                <w:rStyle w:val="SubtleEmphasis"/>
                <w:bCs/>
                <w:sz w:val="24"/>
              </w:rPr>
            </w:pPr>
            <w:r w:rsidRPr="000C791E">
              <w:rPr>
                <w:rStyle w:val="SubtleEmphasis"/>
                <w:bCs/>
                <w:sz w:val="24"/>
              </w:rPr>
              <w:t>The effect of solar water heating on energy usage in homes</w:t>
            </w:r>
          </w:p>
          <w:p w:rsidR="00A24894" w:rsidRPr="000C791E" w:rsidRDefault="00A24894" w:rsidP="00521573">
            <w:pPr>
              <w:rPr>
                <w:rFonts w:cs="Times New Roman"/>
                <w:szCs w:val="24"/>
              </w:rPr>
            </w:pPr>
          </w:p>
          <w:p w:rsidR="00A24894" w:rsidRPr="000C791E" w:rsidRDefault="00A24894" w:rsidP="00521573">
            <w:pPr>
              <w:rPr>
                <w:rFonts w:cs="Times New Roman"/>
                <w:szCs w:val="24"/>
              </w:rPr>
            </w:pPr>
          </w:p>
        </w:tc>
        <w:tc>
          <w:tcPr>
            <w:tcW w:w="683" w:type="dxa"/>
          </w:tcPr>
          <w:p w:rsidR="00A24894" w:rsidRPr="000C791E" w:rsidRDefault="00A24894" w:rsidP="00521573">
            <w:pPr>
              <w:rPr>
                <w:rFonts w:cs="Times New Roman"/>
                <w:szCs w:val="24"/>
              </w:rPr>
            </w:pPr>
            <w:r w:rsidRPr="000C791E">
              <w:rPr>
                <w:rFonts w:cs="Times New Roman"/>
                <w:szCs w:val="24"/>
              </w:rPr>
              <w:t>19</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2</w:t>
            </w:r>
          </w:p>
        </w:tc>
        <w:tc>
          <w:tcPr>
            <w:tcW w:w="7079" w:type="dxa"/>
          </w:tcPr>
          <w:p w:rsidR="00A24894" w:rsidRPr="000C791E" w:rsidRDefault="00A24894" w:rsidP="00521573">
            <w:pPr>
              <w:rPr>
                <w:rFonts w:cs="Times New Roman"/>
                <w:szCs w:val="24"/>
              </w:rPr>
            </w:pPr>
            <w:r w:rsidRPr="000C791E">
              <w:rPr>
                <w:rFonts w:cs="Times New Roman"/>
                <w:szCs w:val="24"/>
              </w:rPr>
              <w:t>CHAPTER TWO, Literature Review</w:t>
            </w:r>
          </w:p>
        </w:tc>
        <w:tc>
          <w:tcPr>
            <w:tcW w:w="683" w:type="dxa"/>
          </w:tcPr>
          <w:p w:rsidR="00A24894" w:rsidRPr="000C791E" w:rsidRDefault="00A24894" w:rsidP="00521573">
            <w:pPr>
              <w:rPr>
                <w:rFonts w:cs="Times New Roman"/>
                <w:szCs w:val="24"/>
              </w:rPr>
            </w:pPr>
            <w:r w:rsidRPr="000C791E">
              <w:rPr>
                <w:rFonts w:cs="Times New Roman"/>
                <w:szCs w:val="24"/>
              </w:rPr>
              <w:t>22</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 xml:space="preserve">2.1. </w:t>
            </w:r>
          </w:p>
        </w:tc>
        <w:tc>
          <w:tcPr>
            <w:tcW w:w="7079" w:type="dxa"/>
          </w:tcPr>
          <w:p w:rsidR="00A24894" w:rsidRPr="000C791E" w:rsidRDefault="00A24894" w:rsidP="00521573">
            <w:pPr>
              <w:rPr>
                <w:rFonts w:cs="Times New Roman"/>
                <w:szCs w:val="24"/>
              </w:rPr>
            </w:pPr>
            <w:r w:rsidRPr="000C791E">
              <w:rPr>
                <w:rFonts w:cs="Times New Roman"/>
                <w:szCs w:val="24"/>
              </w:rPr>
              <w:t>Engineering Literature Review</w:t>
            </w:r>
          </w:p>
        </w:tc>
        <w:tc>
          <w:tcPr>
            <w:tcW w:w="683" w:type="dxa"/>
          </w:tcPr>
          <w:p w:rsidR="00A24894" w:rsidRPr="000C791E" w:rsidRDefault="00A24894" w:rsidP="00521573">
            <w:pPr>
              <w:rPr>
                <w:rFonts w:cs="Times New Roman"/>
                <w:szCs w:val="24"/>
              </w:rPr>
            </w:pPr>
            <w:r w:rsidRPr="000C791E">
              <w:rPr>
                <w:rFonts w:cs="Times New Roman"/>
                <w:szCs w:val="24"/>
              </w:rPr>
              <w:t>22</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2.2</w:t>
            </w:r>
          </w:p>
        </w:tc>
        <w:tc>
          <w:tcPr>
            <w:tcW w:w="7079" w:type="dxa"/>
          </w:tcPr>
          <w:p w:rsidR="00A24894" w:rsidRPr="000C791E" w:rsidRDefault="00A24894" w:rsidP="00521573">
            <w:pPr>
              <w:rPr>
                <w:rFonts w:cs="Times New Roman"/>
                <w:szCs w:val="24"/>
              </w:rPr>
            </w:pPr>
            <w:r w:rsidRPr="000C791E">
              <w:rPr>
                <w:rFonts w:cs="Times New Roman"/>
                <w:szCs w:val="24"/>
              </w:rPr>
              <w:t>Efficiency of various methods for heating water for domestic use</w:t>
            </w:r>
          </w:p>
        </w:tc>
        <w:tc>
          <w:tcPr>
            <w:tcW w:w="683" w:type="dxa"/>
          </w:tcPr>
          <w:p w:rsidR="00A24894" w:rsidRPr="000C791E" w:rsidRDefault="00A24894" w:rsidP="00521573">
            <w:pPr>
              <w:rPr>
                <w:rFonts w:cs="Times New Roman"/>
                <w:szCs w:val="24"/>
              </w:rPr>
            </w:pPr>
            <w:r w:rsidRPr="000C791E">
              <w:rPr>
                <w:rFonts w:cs="Times New Roman"/>
                <w:szCs w:val="24"/>
              </w:rPr>
              <w:t>24</w:t>
            </w:r>
          </w:p>
        </w:tc>
      </w:tr>
      <w:tr w:rsidR="00A24894" w:rsidRPr="000C791E" w:rsidTr="00521573">
        <w:tc>
          <w:tcPr>
            <w:tcW w:w="1163" w:type="dxa"/>
          </w:tcPr>
          <w:p w:rsidR="00A24894" w:rsidRPr="000C791E" w:rsidRDefault="00A24894" w:rsidP="00521573">
            <w:pPr>
              <w:rPr>
                <w:rFonts w:cs="Times New Roman"/>
                <w:szCs w:val="24"/>
              </w:rPr>
            </w:pPr>
            <w:r>
              <w:rPr>
                <w:rFonts w:cs="Times New Roman"/>
                <w:szCs w:val="24"/>
              </w:rPr>
              <w:t>2.3</w:t>
            </w:r>
          </w:p>
        </w:tc>
        <w:tc>
          <w:tcPr>
            <w:tcW w:w="7079" w:type="dxa"/>
          </w:tcPr>
          <w:p w:rsidR="00A24894" w:rsidRPr="000C791E" w:rsidRDefault="00A24894" w:rsidP="00521573">
            <w:pPr>
              <w:rPr>
                <w:rFonts w:cs="Times New Roman"/>
                <w:szCs w:val="24"/>
              </w:rPr>
            </w:pPr>
            <w:r>
              <w:rPr>
                <w:rFonts w:cs="Times New Roman"/>
                <w:szCs w:val="24"/>
              </w:rPr>
              <w:t>Efficiency of utilising solar thermal panels for heating water</w:t>
            </w:r>
          </w:p>
        </w:tc>
        <w:tc>
          <w:tcPr>
            <w:tcW w:w="683" w:type="dxa"/>
          </w:tcPr>
          <w:p w:rsidR="00A24894" w:rsidRPr="000C791E" w:rsidRDefault="00A24894" w:rsidP="00521573">
            <w:pPr>
              <w:rPr>
                <w:rFonts w:cs="Times New Roman"/>
                <w:szCs w:val="24"/>
              </w:rPr>
            </w:pPr>
            <w:r>
              <w:rPr>
                <w:rFonts w:cs="Times New Roman"/>
                <w:szCs w:val="24"/>
              </w:rPr>
              <w:t>27</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2.4</w:t>
            </w:r>
          </w:p>
        </w:tc>
        <w:tc>
          <w:tcPr>
            <w:tcW w:w="7079" w:type="dxa"/>
          </w:tcPr>
          <w:p w:rsidR="00A24894" w:rsidRPr="000C791E" w:rsidRDefault="00A24894" w:rsidP="00521573">
            <w:pPr>
              <w:pStyle w:val="Heading1"/>
              <w:numPr>
                <w:ilvl w:val="0"/>
                <w:numId w:val="0"/>
              </w:numPr>
              <w:outlineLvl w:val="0"/>
              <w:rPr>
                <w:iCs w:val="0"/>
                <w:sz w:val="24"/>
              </w:rPr>
            </w:pPr>
            <w:r w:rsidRPr="000C791E">
              <w:rPr>
                <w:rStyle w:val="SubtleEmphasis"/>
                <w:iCs w:val="0"/>
                <w:sz w:val="24"/>
              </w:rPr>
              <w:t>Environmental benefits of STPs</w:t>
            </w:r>
          </w:p>
        </w:tc>
        <w:tc>
          <w:tcPr>
            <w:tcW w:w="683" w:type="dxa"/>
          </w:tcPr>
          <w:p w:rsidR="00A24894" w:rsidRPr="000C791E" w:rsidRDefault="00A24894" w:rsidP="00521573">
            <w:pPr>
              <w:rPr>
                <w:rFonts w:cs="Times New Roman"/>
                <w:szCs w:val="24"/>
              </w:rPr>
            </w:pPr>
            <w:r w:rsidRPr="000C791E">
              <w:rPr>
                <w:rFonts w:cs="Times New Roman"/>
                <w:szCs w:val="24"/>
              </w:rPr>
              <w:t>2</w:t>
            </w:r>
            <w:r>
              <w:rPr>
                <w:rFonts w:cs="Times New Roman"/>
                <w:szCs w:val="24"/>
              </w:rPr>
              <w:t>7</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 xml:space="preserve">2.5. </w:t>
            </w:r>
          </w:p>
        </w:tc>
        <w:tc>
          <w:tcPr>
            <w:tcW w:w="7079" w:type="dxa"/>
          </w:tcPr>
          <w:p w:rsidR="00A24894" w:rsidRPr="000C791E" w:rsidRDefault="00A24894" w:rsidP="00521573">
            <w:pPr>
              <w:rPr>
                <w:rFonts w:cs="Times New Roman"/>
                <w:szCs w:val="24"/>
              </w:rPr>
            </w:pPr>
            <w:r w:rsidRPr="000C791E">
              <w:rPr>
                <w:rFonts w:cs="Times New Roman"/>
                <w:szCs w:val="24"/>
              </w:rPr>
              <w:t>Computer models for domestic solar applications</w:t>
            </w:r>
          </w:p>
        </w:tc>
        <w:tc>
          <w:tcPr>
            <w:tcW w:w="683" w:type="dxa"/>
          </w:tcPr>
          <w:p w:rsidR="00A24894" w:rsidRPr="000C791E" w:rsidRDefault="00A24894" w:rsidP="00521573">
            <w:pPr>
              <w:rPr>
                <w:rFonts w:cs="Times New Roman"/>
                <w:szCs w:val="24"/>
              </w:rPr>
            </w:pPr>
            <w:r w:rsidRPr="000C791E">
              <w:rPr>
                <w:rFonts w:cs="Times New Roman"/>
                <w:szCs w:val="24"/>
              </w:rPr>
              <w:t>30</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2.6.</w:t>
            </w:r>
          </w:p>
        </w:tc>
        <w:tc>
          <w:tcPr>
            <w:tcW w:w="7079" w:type="dxa"/>
          </w:tcPr>
          <w:p w:rsidR="00A24894" w:rsidRPr="000C791E" w:rsidRDefault="00A24894" w:rsidP="00521573">
            <w:pPr>
              <w:rPr>
                <w:rFonts w:cs="Times New Roman"/>
                <w:szCs w:val="24"/>
              </w:rPr>
            </w:pPr>
            <w:r w:rsidRPr="000C791E">
              <w:rPr>
                <w:rFonts w:cs="Times New Roman"/>
                <w:szCs w:val="24"/>
              </w:rPr>
              <w:t>Stratification</w:t>
            </w:r>
          </w:p>
        </w:tc>
        <w:tc>
          <w:tcPr>
            <w:tcW w:w="683" w:type="dxa"/>
          </w:tcPr>
          <w:p w:rsidR="00A24894" w:rsidRPr="000C791E" w:rsidRDefault="00A24894" w:rsidP="00521573">
            <w:pPr>
              <w:rPr>
                <w:rFonts w:cs="Times New Roman"/>
                <w:szCs w:val="24"/>
              </w:rPr>
            </w:pPr>
            <w:r w:rsidRPr="000C791E">
              <w:rPr>
                <w:rFonts w:cs="Times New Roman"/>
                <w:szCs w:val="24"/>
              </w:rPr>
              <w:t>38</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 xml:space="preserve">2.7. </w:t>
            </w:r>
          </w:p>
        </w:tc>
        <w:tc>
          <w:tcPr>
            <w:tcW w:w="7079" w:type="dxa"/>
          </w:tcPr>
          <w:p w:rsidR="00A24894" w:rsidRPr="000C791E" w:rsidRDefault="00A24894" w:rsidP="00521573">
            <w:pPr>
              <w:rPr>
                <w:rFonts w:cs="Times New Roman"/>
                <w:szCs w:val="24"/>
              </w:rPr>
            </w:pPr>
            <w:r w:rsidRPr="000C791E">
              <w:rPr>
                <w:rFonts w:cs="Times New Roman"/>
                <w:szCs w:val="24"/>
              </w:rPr>
              <w:t>The use of weather in previous studies</w:t>
            </w:r>
          </w:p>
        </w:tc>
        <w:tc>
          <w:tcPr>
            <w:tcW w:w="683" w:type="dxa"/>
          </w:tcPr>
          <w:p w:rsidR="00A24894" w:rsidRPr="000C791E" w:rsidRDefault="00A24894" w:rsidP="00521573">
            <w:pPr>
              <w:rPr>
                <w:rFonts w:cs="Times New Roman"/>
                <w:szCs w:val="24"/>
              </w:rPr>
            </w:pPr>
            <w:r w:rsidRPr="000C791E">
              <w:rPr>
                <w:rFonts w:cs="Times New Roman"/>
                <w:szCs w:val="24"/>
              </w:rPr>
              <w:t>42</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2.8</w:t>
            </w:r>
          </w:p>
        </w:tc>
        <w:tc>
          <w:tcPr>
            <w:tcW w:w="7079" w:type="dxa"/>
          </w:tcPr>
          <w:p w:rsidR="00A24894" w:rsidRPr="000C791E" w:rsidRDefault="00A24894" w:rsidP="00521573">
            <w:pPr>
              <w:rPr>
                <w:rFonts w:cs="Times New Roman"/>
                <w:szCs w:val="24"/>
              </w:rPr>
            </w:pPr>
            <w:proofErr w:type="spellStart"/>
            <w:r w:rsidRPr="000C791E">
              <w:rPr>
                <w:rFonts w:cs="Times New Roman"/>
                <w:szCs w:val="24"/>
              </w:rPr>
              <w:t>Matlab</w:t>
            </w:r>
            <w:proofErr w:type="spellEnd"/>
            <w:r w:rsidRPr="000C791E">
              <w:rPr>
                <w:rFonts w:cs="Times New Roman"/>
                <w:szCs w:val="24"/>
              </w:rPr>
              <w:t xml:space="preserve"> as a tool for simulating a solar thermal panel and the heating of a hot water tank</w:t>
            </w:r>
          </w:p>
        </w:tc>
        <w:tc>
          <w:tcPr>
            <w:tcW w:w="683" w:type="dxa"/>
          </w:tcPr>
          <w:p w:rsidR="00A24894" w:rsidRPr="000C791E" w:rsidRDefault="00A24894" w:rsidP="00521573">
            <w:pPr>
              <w:rPr>
                <w:rFonts w:cs="Times New Roman"/>
                <w:szCs w:val="24"/>
              </w:rPr>
            </w:pPr>
            <w:r w:rsidRPr="000C791E">
              <w:rPr>
                <w:rFonts w:cs="Times New Roman"/>
                <w:szCs w:val="24"/>
              </w:rPr>
              <w:t>46</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 xml:space="preserve">2.9. </w:t>
            </w:r>
          </w:p>
        </w:tc>
        <w:tc>
          <w:tcPr>
            <w:tcW w:w="7079" w:type="dxa"/>
          </w:tcPr>
          <w:p w:rsidR="00A24894" w:rsidRPr="000C791E" w:rsidRDefault="00A24894" w:rsidP="00521573">
            <w:pPr>
              <w:rPr>
                <w:rFonts w:cs="Times New Roman"/>
                <w:szCs w:val="24"/>
              </w:rPr>
            </w:pPr>
            <w:r w:rsidRPr="000C791E">
              <w:rPr>
                <w:rFonts w:cs="Times New Roman"/>
                <w:szCs w:val="24"/>
              </w:rPr>
              <w:t>Recent innovations with solar thermal panels</w:t>
            </w:r>
          </w:p>
        </w:tc>
        <w:tc>
          <w:tcPr>
            <w:tcW w:w="683" w:type="dxa"/>
          </w:tcPr>
          <w:p w:rsidR="00A24894" w:rsidRPr="000C791E" w:rsidRDefault="00A24894" w:rsidP="00521573">
            <w:pPr>
              <w:rPr>
                <w:rFonts w:cs="Times New Roman"/>
                <w:szCs w:val="24"/>
              </w:rPr>
            </w:pPr>
            <w:r w:rsidRPr="000C791E">
              <w:rPr>
                <w:rFonts w:cs="Times New Roman"/>
                <w:szCs w:val="24"/>
              </w:rPr>
              <w:t>4</w:t>
            </w:r>
            <w:r>
              <w:rPr>
                <w:rFonts w:cs="Times New Roman"/>
                <w:szCs w:val="24"/>
              </w:rPr>
              <w:t>6</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2.9.1.</w:t>
            </w:r>
          </w:p>
        </w:tc>
        <w:tc>
          <w:tcPr>
            <w:tcW w:w="7079" w:type="dxa"/>
          </w:tcPr>
          <w:p w:rsidR="00A24894" w:rsidRPr="000C791E" w:rsidRDefault="00A24894" w:rsidP="00521573">
            <w:pPr>
              <w:rPr>
                <w:rFonts w:cs="Times New Roman"/>
                <w:szCs w:val="24"/>
              </w:rPr>
            </w:pPr>
            <w:r w:rsidRPr="000C791E">
              <w:rPr>
                <w:rFonts w:cs="Times New Roman"/>
                <w:szCs w:val="24"/>
              </w:rPr>
              <w:t>Phase Changing Materials (PCM) used in solar domestic systems</w:t>
            </w:r>
          </w:p>
        </w:tc>
        <w:tc>
          <w:tcPr>
            <w:tcW w:w="683" w:type="dxa"/>
          </w:tcPr>
          <w:p w:rsidR="00A24894" w:rsidRPr="000C791E" w:rsidRDefault="00A24894" w:rsidP="00521573">
            <w:pPr>
              <w:rPr>
                <w:rFonts w:cs="Times New Roman"/>
                <w:szCs w:val="24"/>
              </w:rPr>
            </w:pPr>
            <w:r w:rsidRPr="000C791E">
              <w:rPr>
                <w:rFonts w:cs="Times New Roman"/>
                <w:szCs w:val="24"/>
              </w:rPr>
              <w:t>47</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 xml:space="preserve">2.10. </w:t>
            </w:r>
          </w:p>
        </w:tc>
        <w:tc>
          <w:tcPr>
            <w:tcW w:w="7079" w:type="dxa"/>
          </w:tcPr>
          <w:p w:rsidR="00A24894" w:rsidRPr="000C791E" w:rsidRDefault="00A24894" w:rsidP="00521573">
            <w:pPr>
              <w:rPr>
                <w:rFonts w:cs="Times New Roman"/>
                <w:szCs w:val="24"/>
              </w:rPr>
            </w:pPr>
            <w:r w:rsidRPr="000C791E">
              <w:rPr>
                <w:rFonts w:cs="Times New Roman"/>
                <w:szCs w:val="24"/>
              </w:rPr>
              <w:t>Optimum tilt of the collector to receive maximum solar gain</w:t>
            </w:r>
          </w:p>
        </w:tc>
        <w:tc>
          <w:tcPr>
            <w:tcW w:w="683" w:type="dxa"/>
          </w:tcPr>
          <w:p w:rsidR="00A24894" w:rsidRPr="000C791E" w:rsidRDefault="00A24894" w:rsidP="00521573">
            <w:pPr>
              <w:rPr>
                <w:rFonts w:cs="Times New Roman"/>
                <w:szCs w:val="24"/>
              </w:rPr>
            </w:pPr>
            <w:r w:rsidRPr="000C791E">
              <w:rPr>
                <w:rFonts w:cs="Times New Roman"/>
                <w:szCs w:val="24"/>
              </w:rPr>
              <w:t>48</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2.11.</w:t>
            </w:r>
          </w:p>
        </w:tc>
        <w:tc>
          <w:tcPr>
            <w:tcW w:w="7079" w:type="dxa"/>
          </w:tcPr>
          <w:p w:rsidR="00A24894" w:rsidRPr="000C791E" w:rsidRDefault="00A24894" w:rsidP="00521573">
            <w:pPr>
              <w:rPr>
                <w:rFonts w:cs="Times New Roman"/>
                <w:szCs w:val="24"/>
              </w:rPr>
            </w:pPr>
            <w:r w:rsidRPr="000C791E">
              <w:rPr>
                <w:rFonts w:cs="Times New Roman"/>
                <w:szCs w:val="24"/>
              </w:rPr>
              <w:t>Conclusions from the engineering literature, direction for this research</w:t>
            </w:r>
          </w:p>
        </w:tc>
        <w:tc>
          <w:tcPr>
            <w:tcW w:w="683" w:type="dxa"/>
          </w:tcPr>
          <w:p w:rsidR="00A24894" w:rsidRPr="000C791E" w:rsidRDefault="00A24894" w:rsidP="00521573">
            <w:pPr>
              <w:rPr>
                <w:rFonts w:cs="Times New Roman"/>
                <w:szCs w:val="24"/>
              </w:rPr>
            </w:pPr>
            <w:r w:rsidRPr="000C791E">
              <w:rPr>
                <w:rFonts w:cs="Times New Roman"/>
                <w:szCs w:val="24"/>
              </w:rPr>
              <w:t>54</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2.12.</w:t>
            </w:r>
          </w:p>
        </w:tc>
        <w:tc>
          <w:tcPr>
            <w:tcW w:w="7079" w:type="dxa"/>
          </w:tcPr>
          <w:p w:rsidR="00A24894" w:rsidRPr="000C791E" w:rsidRDefault="00A24894" w:rsidP="00521573">
            <w:pPr>
              <w:rPr>
                <w:rFonts w:cs="Times New Roman"/>
                <w:szCs w:val="24"/>
              </w:rPr>
            </w:pPr>
            <w:r w:rsidRPr="000C791E">
              <w:rPr>
                <w:rFonts w:cs="Times New Roman"/>
                <w:szCs w:val="24"/>
              </w:rPr>
              <w:t>Psychology Literature Review</w:t>
            </w:r>
          </w:p>
        </w:tc>
        <w:tc>
          <w:tcPr>
            <w:tcW w:w="683" w:type="dxa"/>
          </w:tcPr>
          <w:p w:rsidR="00A24894" w:rsidRPr="000C791E" w:rsidRDefault="00A24894" w:rsidP="00521573">
            <w:pPr>
              <w:rPr>
                <w:rFonts w:cs="Times New Roman"/>
                <w:szCs w:val="24"/>
              </w:rPr>
            </w:pPr>
            <w:r w:rsidRPr="000C791E">
              <w:rPr>
                <w:rFonts w:cs="Times New Roman"/>
                <w:szCs w:val="24"/>
              </w:rPr>
              <w:t>56</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2.12.1</w:t>
            </w:r>
          </w:p>
        </w:tc>
        <w:tc>
          <w:tcPr>
            <w:tcW w:w="7079" w:type="dxa"/>
          </w:tcPr>
          <w:p w:rsidR="00A24894" w:rsidRPr="000C791E" w:rsidRDefault="00A24894" w:rsidP="00521573">
            <w:pPr>
              <w:rPr>
                <w:rFonts w:cs="Times New Roman"/>
                <w:szCs w:val="24"/>
              </w:rPr>
            </w:pPr>
            <w:r w:rsidRPr="000C791E">
              <w:rPr>
                <w:rFonts w:cs="Times New Roman"/>
                <w:szCs w:val="24"/>
              </w:rPr>
              <w:t>The value of using psychological methods to better understand the opinions of key stakeholders in the STP market</w:t>
            </w:r>
          </w:p>
        </w:tc>
        <w:tc>
          <w:tcPr>
            <w:tcW w:w="683" w:type="dxa"/>
          </w:tcPr>
          <w:p w:rsidR="00A24894" w:rsidRPr="000C791E" w:rsidRDefault="00A24894" w:rsidP="00521573">
            <w:pPr>
              <w:rPr>
                <w:rFonts w:cs="Times New Roman"/>
                <w:szCs w:val="24"/>
              </w:rPr>
            </w:pPr>
            <w:r w:rsidRPr="000C791E">
              <w:rPr>
                <w:rFonts w:cs="Times New Roman"/>
                <w:szCs w:val="24"/>
              </w:rPr>
              <w:t>56</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2.13.</w:t>
            </w:r>
          </w:p>
        </w:tc>
        <w:tc>
          <w:tcPr>
            <w:tcW w:w="7079" w:type="dxa"/>
          </w:tcPr>
          <w:p w:rsidR="00A24894" w:rsidRPr="000C791E" w:rsidRDefault="00A24894" w:rsidP="00521573">
            <w:pPr>
              <w:rPr>
                <w:rFonts w:cs="Times New Roman"/>
                <w:szCs w:val="24"/>
              </w:rPr>
            </w:pPr>
            <w:r w:rsidRPr="000C791E">
              <w:rPr>
                <w:rFonts w:cs="Times New Roman"/>
                <w:szCs w:val="24"/>
              </w:rPr>
              <w:t>The Theory of Planned Behaviour (TPB)</w:t>
            </w:r>
          </w:p>
        </w:tc>
        <w:tc>
          <w:tcPr>
            <w:tcW w:w="683" w:type="dxa"/>
          </w:tcPr>
          <w:p w:rsidR="00A24894" w:rsidRPr="000C791E" w:rsidRDefault="00A24894" w:rsidP="00521573">
            <w:pPr>
              <w:rPr>
                <w:rFonts w:cs="Times New Roman"/>
                <w:szCs w:val="24"/>
              </w:rPr>
            </w:pPr>
            <w:r>
              <w:rPr>
                <w:rFonts w:cs="Times New Roman"/>
                <w:szCs w:val="24"/>
              </w:rPr>
              <w:t>59</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2.14.</w:t>
            </w:r>
          </w:p>
        </w:tc>
        <w:tc>
          <w:tcPr>
            <w:tcW w:w="7079" w:type="dxa"/>
          </w:tcPr>
          <w:p w:rsidR="00A24894" w:rsidRPr="000C791E" w:rsidRDefault="00A24894" w:rsidP="00521573">
            <w:pPr>
              <w:rPr>
                <w:rFonts w:cs="Times New Roman"/>
                <w:szCs w:val="24"/>
              </w:rPr>
            </w:pPr>
            <w:r w:rsidRPr="000C791E">
              <w:rPr>
                <w:rFonts w:cs="Times New Roman"/>
                <w:szCs w:val="24"/>
              </w:rPr>
              <w:t>The Model of Adoption of Technology in Households (MATH)</w:t>
            </w:r>
          </w:p>
        </w:tc>
        <w:tc>
          <w:tcPr>
            <w:tcW w:w="683" w:type="dxa"/>
          </w:tcPr>
          <w:p w:rsidR="00A24894" w:rsidRPr="000C791E" w:rsidRDefault="00A24894" w:rsidP="00521573">
            <w:pPr>
              <w:rPr>
                <w:rFonts w:cs="Times New Roman"/>
                <w:szCs w:val="24"/>
              </w:rPr>
            </w:pPr>
            <w:r w:rsidRPr="000C791E">
              <w:rPr>
                <w:rFonts w:cs="Times New Roman"/>
                <w:szCs w:val="24"/>
              </w:rPr>
              <w:t>6</w:t>
            </w:r>
            <w:r>
              <w:rPr>
                <w:rFonts w:cs="Times New Roman"/>
                <w:szCs w:val="24"/>
              </w:rPr>
              <w:t>0</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2.15.</w:t>
            </w:r>
          </w:p>
        </w:tc>
        <w:tc>
          <w:tcPr>
            <w:tcW w:w="7079" w:type="dxa"/>
          </w:tcPr>
          <w:p w:rsidR="00A24894" w:rsidRPr="000C791E" w:rsidRDefault="00A24894" w:rsidP="00521573">
            <w:pPr>
              <w:rPr>
                <w:rFonts w:cs="Times New Roman"/>
                <w:szCs w:val="24"/>
              </w:rPr>
            </w:pPr>
            <w:r w:rsidRPr="000C791E">
              <w:rPr>
                <w:rFonts w:cs="Times New Roman"/>
                <w:szCs w:val="24"/>
              </w:rPr>
              <w:t>The Unified Theory of Acceptance and Use of Technology (UTAUT)</w:t>
            </w:r>
          </w:p>
        </w:tc>
        <w:tc>
          <w:tcPr>
            <w:tcW w:w="683" w:type="dxa"/>
          </w:tcPr>
          <w:p w:rsidR="00A24894" w:rsidRPr="000C791E" w:rsidRDefault="00A24894" w:rsidP="00521573">
            <w:pPr>
              <w:rPr>
                <w:rFonts w:cs="Times New Roman"/>
                <w:szCs w:val="24"/>
              </w:rPr>
            </w:pPr>
            <w:r w:rsidRPr="000C791E">
              <w:rPr>
                <w:rFonts w:cs="Times New Roman"/>
                <w:szCs w:val="24"/>
              </w:rPr>
              <w:t>6</w:t>
            </w:r>
            <w:r>
              <w:rPr>
                <w:rFonts w:cs="Times New Roman"/>
                <w:szCs w:val="24"/>
              </w:rPr>
              <w:t>2</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2.16.</w:t>
            </w:r>
          </w:p>
        </w:tc>
        <w:tc>
          <w:tcPr>
            <w:tcW w:w="7079" w:type="dxa"/>
          </w:tcPr>
          <w:p w:rsidR="00A24894" w:rsidRPr="000C791E" w:rsidRDefault="00A24894" w:rsidP="00521573">
            <w:pPr>
              <w:rPr>
                <w:rFonts w:cs="Times New Roman"/>
                <w:szCs w:val="24"/>
              </w:rPr>
            </w:pPr>
            <w:r w:rsidRPr="000C791E">
              <w:rPr>
                <w:rFonts w:cs="Times New Roman"/>
                <w:szCs w:val="24"/>
              </w:rPr>
              <w:t>The Technology Adoption Model (TAM)</w:t>
            </w:r>
          </w:p>
        </w:tc>
        <w:tc>
          <w:tcPr>
            <w:tcW w:w="683" w:type="dxa"/>
          </w:tcPr>
          <w:p w:rsidR="00A24894" w:rsidRPr="000C791E" w:rsidRDefault="00A24894" w:rsidP="00521573">
            <w:pPr>
              <w:rPr>
                <w:rFonts w:cs="Times New Roman"/>
                <w:szCs w:val="24"/>
              </w:rPr>
            </w:pPr>
            <w:r w:rsidRPr="000C791E">
              <w:rPr>
                <w:rFonts w:cs="Times New Roman"/>
                <w:szCs w:val="24"/>
              </w:rPr>
              <w:t>6</w:t>
            </w:r>
            <w:r>
              <w:rPr>
                <w:rFonts w:cs="Times New Roman"/>
                <w:szCs w:val="24"/>
              </w:rPr>
              <w:t>3</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2.17.</w:t>
            </w:r>
          </w:p>
        </w:tc>
        <w:tc>
          <w:tcPr>
            <w:tcW w:w="7079" w:type="dxa"/>
          </w:tcPr>
          <w:p w:rsidR="00A24894" w:rsidRPr="000C791E" w:rsidRDefault="00A24894" w:rsidP="00521573">
            <w:pPr>
              <w:rPr>
                <w:rFonts w:cs="Times New Roman"/>
                <w:szCs w:val="24"/>
              </w:rPr>
            </w:pPr>
            <w:r w:rsidRPr="000C791E">
              <w:rPr>
                <w:rFonts w:cs="Times New Roman"/>
                <w:szCs w:val="24"/>
              </w:rPr>
              <w:t>The Technology Adoption Model + Trust (TAM + Trust)</w:t>
            </w:r>
          </w:p>
        </w:tc>
        <w:tc>
          <w:tcPr>
            <w:tcW w:w="683" w:type="dxa"/>
          </w:tcPr>
          <w:p w:rsidR="00A24894" w:rsidRPr="000C791E" w:rsidRDefault="00A24894" w:rsidP="00521573">
            <w:pPr>
              <w:rPr>
                <w:rFonts w:cs="Times New Roman"/>
                <w:szCs w:val="24"/>
              </w:rPr>
            </w:pPr>
            <w:r w:rsidRPr="000C791E">
              <w:rPr>
                <w:rFonts w:cs="Times New Roman"/>
                <w:szCs w:val="24"/>
              </w:rPr>
              <w:t>6</w:t>
            </w:r>
            <w:r>
              <w:rPr>
                <w:rFonts w:cs="Times New Roman"/>
                <w:szCs w:val="24"/>
              </w:rPr>
              <w:t>5</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2.18</w:t>
            </w:r>
          </w:p>
        </w:tc>
        <w:tc>
          <w:tcPr>
            <w:tcW w:w="7079" w:type="dxa"/>
          </w:tcPr>
          <w:p w:rsidR="00A24894" w:rsidRPr="000C791E" w:rsidRDefault="00A24894" w:rsidP="00521573">
            <w:pPr>
              <w:rPr>
                <w:rFonts w:cs="Times New Roman"/>
                <w:szCs w:val="24"/>
              </w:rPr>
            </w:pPr>
            <w:r w:rsidRPr="000C791E">
              <w:rPr>
                <w:rFonts w:cs="Times New Roman"/>
                <w:szCs w:val="24"/>
              </w:rPr>
              <w:t>Conclusions from the psychology literature review and direction for this research</w:t>
            </w:r>
          </w:p>
        </w:tc>
        <w:tc>
          <w:tcPr>
            <w:tcW w:w="683" w:type="dxa"/>
          </w:tcPr>
          <w:p w:rsidR="00A24894" w:rsidRPr="000C791E" w:rsidRDefault="00A24894" w:rsidP="00521573">
            <w:pPr>
              <w:rPr>
                <w:rFonts w:cs="Times New Roman"/>
                <w:szCs w:val="24"/>
              </w:rPr>
            </w:pPr>
            <w:r w:rsidRPr="000C791E">
              <w:rPr>
                <w:rFonts w:cs="Times New Roman"/>
                <w:szCs w:val="24"/>
              </w:rPr>
              <w:t>6</w:t>
            </w:r>
            <w:r>
              <w:rPr>
                <w:rFonts w:cs="Times New Roman"/>
                <w:szCs w:val="24"/>
              </w:rPr>
              <w:t>6</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2.19.</w:t>
            </w:r>
          </w:p>
        </w:tc>
        <w:tc>
          <w:tcPr>
            <w:tcW w:w="7079" w:type="dxa"/>
          </w:tcPr>
          <w:p w:rsidR="00A24894" w:rsidRPr="000C791E" w:rsidRDefault="00A24894" w:rsidP="00521573">
            <w:pPr>
              <w:rPr>
                <w:rFonts w:cs="Times New Roman"/>
                <w:szCs w:val="24"/>
              </w:rPr>
            </w:pPr>
            <w:r w:rsidRPr="000C791E">
              <w:rPr>
                <w:rFonts w:cs="Times New Roman"/>
                <w:szCs w:val="24"/>
              </w:rPr>
              <w:t>Final conclusions from the literature review</w:t>
            </w:r>
          </w:p>
        </w:tc>
        <w:tc>
          <w:tcPr>
            <w:tcW w:w="683" w:type="dxa"/>
          </w:tcPr>
          <w:p w:rsidR="00A24894" w:rsidRPr="000C791E" w:rsidRDefault="00A24894" w:rsidP="00521573">
            <w:pPr>
              <w:rPr>
                <w:rFonts w:cs="Times New Roman"/>
                <w:szCs w:val="24"/>
              </w:rPr>
            </w:pPr>
            <w:r w:rsidRPr="000C791E">
              <w:rPr>
                <w:rFonts w:cs="Times New Roman"/>
                <w:szCs w:val="24"/>
              </w:rPr>
              <w:t>6</w:t>
            </w:r>
            <w:r>
              <w:rPr>
                <w:rFonts w:cs="Times New Roman"/>
                <w:szCs w:val="24"/>
              </w:rPr>
              <w:t>7</w:t>
            </w:r>
          </w:p>
        </w:tc>
      </w:tr>
      <w:tr w:rsidR="00A24894" w:rsidRPr="000C791E" w:rsidTr="00521573">
        <w:tc>
          <w:tcPr>
            <w:tcW w:w="1163" w:type="dxa"/>
          </w:tcPr>
          <w:p w:rsidR="00A24894" w:rsidRPr="000C791E" w:rsidRDefault="00A24894" w:rsidP="00521573">
            <w:pPr>
              <w:rPr>
                <w:rFonts w:cs="Times New Roman"/>
                <w:szCs w:val="24"/>
              </w:rPr>
            </w:pPr>
          </w:p>
        </w:tc>
        <w:tc>
          <w:tcPr>
            <w:tcW w:w="7079" w:type="dxa"/>
          </w:tcPr>
          <w:p w:rsidR="00A24894" w:rsidRPr="000C791E" w:rsidRDefault="00A24894" w:rsidP="00521573">
            <w:pPr>
              <w:rPr>
                <w:rFonts w:cs="Times New Roman"/>
                <w:szCs w:val="24"/>
              </w:rPr>
            </w:pPr>
          </w:p>
          <w:p w:rsidR="00A24894" w:rsidRPr="000C791E" w:rsidRDefault="00A24894" w:rsidP="00521573">
            <w:pPr>
              <w:rPr>
                <w:rFonts w:cs="Times New Roman"/>
                <w:szCs w:val="24"/>
              </w:rPr>
            </w:pPr>
          </w:p>
        </w:tc>
        <w:tc>
          <w:tcPr>
            <w:tcW w:w="683" w:type="dxa"/>
          </w:tcPr>
          <w:p w:rsidR="00A24894" w:rsidRPr="000C791E" w:rsidRDefault="00A24894" w:rsidP="00521573">
            <w:pPr>
              <w:rPr>
                <w:rFonts w:cs="Times New Roman"/>
                <w:szCs w:val="24"/>
              </w:rPr>
            </w:pP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w:t>
            </w:r>
          </w:p>
        </w:tc>
        <w:tc>
          <w:tcPr>
            <w:tcW w:w="7079" w:type="dxa"/>
          </w:tcPr>
          <w:p w:rsidR="00A24894" w:rsidRPr="000C791E" w:rsidRDefault="00A24894" w:rsidP="00521573">
            <w:pPr>
              <w:rPr>
                <w:rFonts w:cs="Times New Roman"/>
                <w:szCs w:val="24"/>
              </w:rPr>
            </w:pPr>
            <w:r w:rsidRPr="000C791E">
              <w:rPr>
                <w:rFonts w:cs="Times New Roman"/>
                <w:szCs w:val="24"/>
              </w:rPr>
              <w:t>CHAPTER THREE, Computer simulations of a solar float plate collector incorporating weather predictions</w:t>
            </w:r>
          </w:p>
        </w:tc>
        <w:tc>
          <w:tcPr>
            <w:tcW w:w="683" w:type="dxa"/>
          </w:tcPr>
          <w:p w:rsidR="00A24894" w:rsidRPr="000C791E" w:rsidRDefault="00A24894" w:rsidP="00521573">
            <w:pPr>
              <w:rPr>
                <w:rFonts w:cs="Times New Roman"/>
                <w:szCs w:val="24"/>
              </w:rPr>
            </w:pPr>
            <w:r>
              <w:rPr>
                <w:rFonts w:cs="Times New Roman"/>
                <w:szCs w:val="24"/>
              </w:rPr>
              <w:t>69</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 xml:space="preserve">3.1. </w:t>
            </w:r>
          </w:p>
        </w:tc>
        <w:tc>
          <w:tcPr>
            <w:tcW w:w="7079" w:type="dxa"/>
          </w:tcPr>
          <w:p w:rsidR="00A24894" w:rsidRPr="000C791E" w:rsidRDefault="00A24894" w:rsidP="00521573">
            <w:pPr>
              <w:rPr>
                <w:rFonts w:cs="Times New Roman"/>
                <w:szCs w:val="24"/>
              </w:rPr>
            </w:pPr>
            <w:r w:rsidRPr="000C791E">
              <w:rPr>
                <w:rFonts w:cs="Times New Roman"/>
                <w:szCs w:val="24"/>
              </w:rPr>
              <w:t>Global Horizontal Irradiance (GHI) and Direct Normal Irradiance (DNI) in the UK</w:t>
            </w:r>
          </w:p>
        </w:tc>
        <w:tc>
          <w:tcPr>
            <w:tcW w:w="683" w:type="dxa"/>
          </w:tcPr>
          <w:p w:rsidR="00A24894" w:rsidRPr="000C791E" w:rsidRDefault="00A24894" w:rsidP="00521573">
            <w:pPr>
              <w:rPr>
                <w:rFonts w:cs="Times New Roman"/>
                <w:szCs w:val="24"/>
              </w:rPr>
            </w:pPr>
            <w:r>
              <w:rPr>
                <w:rFonts w:cs="Times New Roman"/>
                <w:szCs w:val="24"/>
              </w:rPr>
              <w:t>69</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lastRenderedPageBreak/>
              <w:t>3.2.</w:t>
            </w:r>
          </w:p>
        </w:tc>
        <w:tc>
          <w:tcPr>
            <w:tcW w:w="7079" w:type="dxa"/>
          </w:tcPr>
          <w:p w:rsidR="00A24894" w:rsidRPr="000C791E" w:rsidRDefault="00A24894" w:rsidP="00521573">
            <w:pPr>
              <w:rPr>
                <w:rFonts w:cs="Times New Roman"/>
                <w:szCs w:val="24"/>
              </w:rPr>
            </w:pPr>
            <w:r w:rsidRPr="000C791E">
              <w:rPr>
                <w:rFonts w:cs="Times New Roman"/>
                <w:szCs w:val="24"/>
              </w:rPr>
              <w:t>Parameters to measure when evaluating the performance of the STP system</w:t>
            </w:r>
          </w:p>
        </w:tc>
        <w:tc>
          <w:tcPr>
            <w:tcW w:w="683" w:type="dxa"/>
          </w:tcPr>
          <w:p w:rsidR="00A24894" w:rsidRPr="000C791E" w:rsidRDefault="00A24894" w:rsidP="00521573">
            <w:pPr>
              <w:rPr>
                <w:rFonts w:cs="Times New Roman"/>
                <w:szCs w:val="24"/>
              </w:rPr>
            </w:pPr>
            <w:r w:rsidRPr="000C791E">
              <w:rPr>
                <w:rFonts w:cs="Times New Roman"/>
                <w:szCs w:val="24"/>
              </w:rPr>
              <w:t>7</w:t>
            </w:r>
            <w:r>
              <w:rPr>
                <w:rFonts w:cs="Times New Roman"/>
                <w:szCs w:val="24"/>
              </w:rPr>
              <w:t>3</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3.3.</w:t>
            </w:r>
          </w:p>
        </w:tc>
        <w:tc>
          <w:tcPr>
            <w:tcW w:w="7079" w:type="dxa"/>
          </w:tcPr>
          <w:p w:rsidR="00A24894" w:rsidRPr="000C791E" w:rsidRDefault="00A24894" w:rsidP="00521573">
            <w:pPr>
              <w:rPr>
                <w:rFonts w:cs="Times New Roman"/>
                <w:szCs w:val="24"/>
              </w:rPr>
            </w:pPr>
            <w:r w:rsidRPr="000C791E">
              <w:rPr>
                <w:rFonts w:cs="Times New Roman"/>
                <w:szCs w:val="24"/>
              </w:rPr>
              <w:t>Calculation of heat into panel from the sun</w:t>
            </w:r>
          </w:p>
        </w:tc>
        <w:tc>
          <w:tcPr>
            <w:tcW w:w="683" w:type="dxa"/>
          </w:tcPr>
          <w:p w:rsidR="00A24894" w:rsidRPr="000C791E" w:rsidRDefault="00A24894" w:rsidP="00521573">
            <w:pPr>
              <w:rPr>
                <w:rFonts w:cs="Times New Roman"/>
                <w:szCs w:val="24"/>
              </w:rPr>
            </w:pPr>
            <w:r w:rsidRPr="000C791E">
              <w:rPr>
                <w:rFonts w:cs="Times New Roman"/>
                <w:szCs w:val="24"/>
              </w:rPr>
              <w:t>7</w:t>
            </w:r>
            <w:r>
              <w:rPr>
                <w:rFonts w:cs="Times New Roman"/>
                <w:szCs w:val="24"/>
              </w:rPr>
              <w:t>5</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3.4.</w:t>
            </w:r>
          </w:p>
        </w:tc>
        <w:tc>
          <w:tcPr>
            <w:tcW w:w="7079" w:type="dxa"/>
          </w:tcPr>
          <w:p w:rsidR="00A24894" w:rsidRPr="000C791E" w:rsidRDefault="00A24894" w:rsidP="00521573">
            <w:pPr>
              <w:rPr>
                <w:rFonts w:cs="Times New Roman"/>
                <w:szCs w:val="24"/>
              </w:rPr>
            </w:pPr>
            <w:r w:rsidRPr="000C791E">
              <w:rPr>
                <w:rFonts w:cs="Times New Roman"/>
                <w:szCs w:val="24"/>
              </w:rPr>
              <w:t>Additional energy required by an auxiliary boiler</w:t>
            </w:r>
          </w:p>
        </w:tc>
        <w:tc>
          <w:tcPr>
            <w:tcW w:w="683" w:type="dxa"/>
          </w:tcPr>
          <w:p w:rsidR="00A24894" w:rsidRPr="000C791E" w:rsidRDefault="00A24894" w:rsidP="00521573">
            <w:pPr>
              <w:rPr>
                <w:rFonts w:cs="Times New Roman"/>
                <w:szCs w:val="24"/>
              </w:rPr>
            </w:pPr>
            <w:r w:rsidRPr="000C791E">
              <w:rPr>
                <w:rFonts w:cs="Times New Roman"/>
                <w:szCs w:val="24"/>
              </w:rPr>
              <w:t>7</w:t>
            </w:r>
            <w:r>
              <w:rPr>
                <w:rFonts w:cs="Times New Roman"/>
                <w:szCs w:val="24"/>
              </w:rPr>
              <w:t>8</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3.5.</w:t>
            </w:r>
          </w:p>
        </w:tc>
        <w:tc>
          <w:tcPr>
            <w:tcW w:w="7079" w:type="dxa"/>
          </w:tcPr>
          <w:p w:rsidR="00A24894" w:rsidRPr="000C791E" w:rsidRDefault="00A24894" w:rsidP="00521573">
            <w:pPr>
              <w:rPr>
                <w:rFonts w:cs="Times New Roman"/>
                <w:szCs w:val="24"/>
              </w:rPr>
            </w:pPr>
            <w:r w:rsidRPr="000C791E">
              <w:rPr>
                <w:rFonts w:cs="Times New Roman"/>
                <w:szCs w:val="24"/>
              </w:rPr>
              <w:t>Cost of using an auxiliary boiler</w:t>
            </w:r>
          </w:p>
        </w:tc>
        <w:tc>
          <w:tcPr>
            <w:tcW w:w="683" w:type="dxa"/>
          </w:tcPr>
          <w:p w:rsidR="00A24894" w:rsidRPr="000C791E" w:rsidRDefault="00A24894" w:rsidP="00521573">
            <w:pPr>
              <w:rPr>
                <w:rFonts w:cs="Times New Roman"/>
                <w:szCs w:val="24"/>
              </w:rPr>
            </w:pPr>
            <w:r w:rsidRPr="000C791E">
              <w:rPr>
                <w:rFonts w:cs="Times New Roman"/>
                <w:szCs w:val="24"/>
              </w:rPr>
              <w:t>7</w:t>
            </w:r>
            <w:r>
              <w:rPr>
                <w:rFonts w:cs="Times New Roman"/>
                <w:szCs w:val="24"/>
              </w:rPr>
              <w:t>8</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3.6.</w:t>
            </w:r>
          </w:p>
        </w:tc>
        <w:tc>
          <w:tcPr>
            <w:tcW w:w="7079" w:type="dxa"/>
          </w:tcPr>
          <w:p w:rsidR="00A24894" w:rsidRPr="000C791E" w:rsidRDefault="00A24894" w:rsidP="00521573">
            <w:pPr>
              <w:rPr>
                <w:rFonts w:cs="Times New Roman"/>
                <w:szCs w:val="24"/>
              </w:rPr>
            </w:pPr>
            <w:r w:rsidRPr="000C791E">
              <w:rPr>
                <w:rFonts w:cs="Times New Roman"/>
                <w:szCs w:val="24"/>
              </w:rPr>
              <w:t>Final energy savings</w:t>
            </w:r>
          </w:p>
        </w:tc>
        <w:tc>
          <w:tcPr>
            <w:tcW w:w="683" w:type="dxa"/>
          </w:tcPr>
          <w:p w:rsidR="00A24894" w:rsidRPr="000C791E" w:rsidRDefault="00A24894" w:rsidP="00521573">
            <w:pPr>
              <w:rPr>
                <w:rFonts w:cs="Times New Roman"/>
                <w:szCs w:val="24"/>
              </w:rPr>
            </w:pPr>
            <w:r w:rsidRPr="000C791E">
              <w:rPr>
                <w:rFonts w:cs="Times New Roman"/>
                <w:szCs w:val="24"/>
              </w:rPr>
              <w:t>7</w:t>
            </w:r>
            <w:r>
              <w:rPr>
                <w:rFonts w:cs="Times New Roman"/>
                <w:szCs w:val="24"/>
              </w:rPr>
              <w:t>8</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3.7.</w:t>
            </w:r>
          </w:p>
        </w:tc>
        <w:tc>
          <w:tcPr>
            <w:tcW w:w="7079" w:type="dxa"/>
          </w:tcPr>
          <w:p w:rsidR="00A24894" w:rsidRPr="000C791E" w:rsidRDefault="00A24894" w:rsidP="00521573">
            <w:pPr>
              <w:rPr>
                <w:rFonts w:cs="Times New Roman"/>
                <w:szCs w:val="24"/>
              </w:rPr>
            </w:pPr>
            <w:r w:rsidRPr="000C791E">
              <w:rPr>
                <w:rFonts w:cs="Times New Roman"/>
                <w:szCs w:val="24"/>
              </w:rPr>
              <w:t>Final choice of parameters to measure when evaluating the performance of the STP system</w:t>
            </w:r>
          </w:p>
        </w:tc>
        <w:tc>
          <w:tcPr>
            <w:tcW w:w="683" w:type="dxa"/>
          </w:tcPr>
          <w:p w:rsidR="00A24894" w:rsidRPr="000C791E" w:rsidRDefault="00A24894" w:rsidP="00521573">
            <w:pPr>
              <w:rPr>
                <w:rFonts w:cs="Times New Roman"/>
                <w:szCs w:val="24"/>
              </w:rPr>
            </w:pPr>
            <w:r>
              <w:rPr>
                <w:rFonts w:cs="Times New Roman"/>
                <w:szCs w:val="24"/>
              </w:rPr>
              <w:t>79</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3.8.</w:t>
            </w:r>
          </w:p>
        </w:tc>
        <w:tc>
          <w:tcPr>
            <w:tcW w:w="7079" w:type="dxa"/>
          </w:tcPr>
          <w:p w:rsidR="00A24894" w:rsidRPr="000C791E" w:rsidRDefault="00A24894" w:rsidP="00521573">
            <w:pPr>
              <w:rPr>
                <w:rFonts w:cs="Times New Roman"/>
                <w:szCs w:val="24"/>
              </w:rPr>
            </w:pPr>
            <w:r w:rsidRPr="000C791E">
              <w:rPr>
                <w:rFonts w:cs="Times New Roman"/>
                <w:szCs w:val="24"/>
              </w:rPr>
              <w:t>Calculating the heat from a solar thermal panel throughout the day</w:t>
            </w:r>
          </w:p>
        </w:tc>
        <w:tc>
          <w:tcPr>
            <w:tcW w:w="683" w:type="dxa"/>
          </w:tcPr>
          <w:p w:rsidR="00A24894" w:rsidRPr="000C791E" w:rsidRDefault="00A24894" w:rsidP="00521573">
            <w:pPr>
              <w:rPr>
                <w:rFonts w:cs="Times New Roman"/>
                <w:szCs w:val="24"/>
              </w:rPr>
            </w:pPr>
            <w:r w:rsidRPr="000C791E">
              <w:rPr>
                <w:rFonts w:cs="Times New Roman"/>
                <w:szCs w:val="24"/>
              </w:rPr>
              <w:t>8</w:t>
            </w:r>
            <w:r>
              <w:rPr>
                <w:rFonts w:cs="Times New Roman"/>
                <w:szCs w:val="24"/>
              </w:rPr>
              <w:t>0</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3.9.</w:t>
            </w:r>
          </w:p>
        </w:tc>
        <w:tc>
          <w:tcPr>
            <w:tcW w:w="7079" w:type="dxa"/>
          </w:tcPr>
          <w:p w:rsidR="00A24894" w:rsidRPr="000C791E" w:rsidRDefault="00A24894" w:rsidP="00521573">
            <w:pPr>
              <w:rPr>
                <w:rFonts w:cs="Times New Roman"/>
                <w:szCs w:val="24"/>
              </w:rPr>
            </w:pPr>
            <w:r w:rsidRPr="000C791E">
              <w:rPr>
                <w:rFonts w:cs="Times New Roman"/>
                <w:szCs w:val="24"/>
              </w:rPr>
              <w:t xml:space="preserve">Final constants used in the </w:t>
            </w:r>
            <w:proofErr w:type="spellStart"/>
            <w:r w:rsidRPr="000C791E">
              <w:rPr>
                <w:rFonts w:cs="Times New Roman"/>
                <w:szCs w:val="24"/>
              </w:rPr>
              <w:t>Matlab</w:t>
            </w:r>
            <w:proofErr w:type="spellEnd"/>
            <w:r w:rsidRPr="000C791E">
              <w:rPr>
                <w:rFonts w:cs="Times New Roman"/>
                <w:szCs w:val="24"/>
              </w:rPr>
              <w:t xml:space="preserve"> program</w:t>
            </w:r>
          </w:p>
        </w:tc>
        <w:tc>
          <w:tcPr>
            <w:tcW w:w="683" w:type="dxa"/>
          </w:tcPr>
          <w:p w:rsidR="00A24894" w:rsidRPr="000C791E" w:rsidRDefault="00A24894" w:rsidP="00521573">
            <w:pPr>
              <w:rPr>
                <w:rFonts w:cs="Times New Roman"/>
                <w:szCs w:val="24"/>
              </w:rPr>
            </w:pPr>
            <w:r w:rsidRPr="000C791E">
              <w:rPr>
                <w:rFonts w:cs="Times New Roman"/>
                <w:szCs w:val="24"/>
              </w:rPr>
              <w:t>8</w:t>
            </w:r>
            <w:r>
              <w:rPr>
                <w:rFonts w:cs="Times New Roman"/>
                <w:szCs w:val="24"/>
              </w:rPr>
              <w:t>1</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3.10.</w:t>
            </w:r>
          </w:p>
        </w:tc>
        <w:tc>
          <w:tcPr>
            <w:tcW w:w="7079" w:type="dxa"/>
          </w:tcPr>
          <w:p w:rsidR="00A24894" w:rsidRPr="000C791E" w:rsidRDefault="00A24894" w:rsidP="00521573">
            <w:pPr>
              <w:rPr>
                <w:rFonts w:cs="Times New Roman"/>
                <w:szCs w:val="24"/>
              </w:rPr>
            </w:pPr>
            <w:r w:rsidRPr="000C791E">
              <w:rPr>
                <w:rFonts w:cs="Times New Roman"/>
                <w:szCs w:val="24"/>
              </w:rPr>
              <w:t>The hot water tank</w:t>
            </w:r>
          </w:p>
        </w:tc>
        <w:tc>
          <w:tcPr>
            <w:tcW w:w="683" w:type="dxa"/>
          </w:tcPr>
          <w:p w:rsidR="00A24894" w:rsidRPr="000C791E" w:rsidRDefault="00A24894" w:rsidP="00521573">
            <w:pPr>
              <w:rPr>
                <w:rFonts w:cs="Times New Roman"/>
                <w:szCs w:val="24"/>
              </w:rPr>
            </w:pPr>
            <w:r w:rsidRPr="000C791E">
              <w:rPr>
                <w:rFonts w:cs="Times New Roman"/>
                <w:szCs w:val="24"/>
              </w:rPr>
              <w:t>8</w:t>
            </w:r>
            <w:r>
              <w:rPr>
                <w:rFonts w:cs="Times New Roman"/>
                <w:szCs w:val="24"/>
              </w:rPr>
              <w:t>2</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3.11.</w:t>
            </w:r>
          </w:p>
        </w:tc>
        <w:tc>
          <w:tcPr>
            <w:tcW w:w="7079" w:type="dxa"/>
          </w:tcPr>
          <w:p w:rsidR="00A24894" w:rsidRPr="000C791E" w:rsidRDefault="00A24894" w:rsidP="00521573">
            <w:pPr>
              <w:rPr>
                <w:rFonts w:cs="Times New Roman"/>
                <w:szCs w:val="24"/>
              </w:rPr>
            </w:pPr>
            <w:r w:rsidRPr="000C791E">
              <w:rPr>
                <w:rFonts w:cs="Times New Roman"/>
                <w:szCs w:val="24"/>
              </w:rPr>
              <w:t>The heating coil</w:t>
            </w:r>
          </w:p>
        </w:tc>
        <w:tc>
          <w:tcPr>
            <w:tcW w:w="683" w:type="dxa"/>
          </w:tcPr>
          <w:p w:rsidR="00A24894" w:rsidRPr="000C791E" w:rsidRDefault="00A24894" w:rsidP="00521573">
            <w:pPr>
              <w:rPr>
                <w:rFonts w:cs="Times New Roman"/>
                <w:szCs w:val="24"/>
              </w:rPr>
            </w:pPr>
            <w:r w:rsidRPr="000C791E">
              <w:rPr>
                <w:rFonts w:cs="Times New Roman"/>
                <w:szCs w:val="24"/>
              </w:rPr>
              <w:t>8</w:t>
            </w:r>
            <w:r>
              <w:rPr>
                <w:rFonts w:cs="Times New Roman"/>
                <w:szCs w:val="24"/>
              </w:rPr>
              <w:t>3</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3.12</w:t>
            </w:r>
          </w:p>
        </w:tc>
        <w:tc>
          <w:tcPr>
            <w:tcW w:w="7079" w:type="dxa"/>
          </w:tcPr>
          <w:p w:rsidR="00A24894" w:rsidRPr="000C791E" w:rsidRDefault="00A24894" w:rsidP="00521573">
            <w:pPr>
              <w:rPr>
                <w:rFonts w:cs="Times New Roman"/>
                <w:szCs w:val="24"/>
              </w:rPr>
            </w:pPr>
            <w:r w:rsidRPr="000C791E">
              <w:rPr>
                <w:rFonts w:cs="Times New Roman"/>
                <w:szCs w:val="24"/>
              </w:rPr>
              <w:t>Calculating the heating up of the hot water tank</w:t>
            </w:r>
          </w:p>
        </w:tc>
        <w:tc>
          <w:tcPr>
            <w:tcW w:w="683" w:type="dxa"/>
          </w:tcPr>
          <w:p w:rsidR="00A24894" w:rsidRPr="000C791E" w:rsidRDefault="00A24894" w:rsidP="00521573">
            <w:pPr>
              <w:rPr>
                <w:rFonts w:cs="Times New Roman"/>
                <w:szCs w:val="24"/>
              </w:rPr>
            </w:pPr>
            <w:r w:rsidRPr="000C791E">
              <w:rPr>
                <w:rFonts w:cs="Times New Roman"/>
                <w:szCs w:val="24"/>
              </w:rPr>
              <w:t>8</w:t>
            </w:r>
            <w:r>
              <w:rPr>
                <w:rFonts w:cs="Times New Roman"/>
                <w:szCs w:val="24"/>
              </w:rPr>
              <w:t>3</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3.13.</w:t>
            </w:r>
          </w:p>
        </w:tc>
        <w:tc>
          <w:tcPr>
            <w:tcW w:w="7079" w:type="dxa"/>
          </w:tcPr>
          <w:p w:rsidR="00A24894" w:rsidRPr="000C791E" w:rsidRDefault="00A24894" w:rsidP="00521573">
            <w:pPr>
              <w:rPr>
                <w:rFonts w:cs="Times New Roman"/>
                <w:szCs w:val="24"/>
              </w:rPr>
            </w:pPr>
            <w:r w:rsidRPr="000C791E">
              <w:rPr>
                <w:rFonts w:cs="Times New Roman"/>
                <w:szCs w:val="24"/>
              </w:rPr>
              <w:t>Conduction in the tank between slices</w:t>
            </w:r>
          </w:p>
        </w:tc>
        <w:tc>
          <w:tcPr>
            <w:tcW w:w="683" w:type="dxa"/>
          </w:tcPr>
          <w:p w:rsidR="00A24894" w:rsidRPr="000C791E" w:rsidRDefault="00A24894" w:rsidP="00521573">
            <w:pPr>
              <w:rPr>
                <w:rFonts w:cs="Times New Roman"/>
                <w:szCs w:val="24"/>
              </w:rPr>
            </w:pPr>
            <w:r w:rsidRPr="000C791E">
              <w:rPr>
                <w:rFonts w:cs="Times New Roman"/>
                <w:szCs w:val="24"/>
              </w:rPr>
              <w:t>8</w:t>
            </w:r>
            <w:r>
              <w:rPr>
                <w:rFonts w:cs="Times New Roman"/>
                <w:szCs w:val="24"/>
              </w:rPr>
              <w:t>5</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3.14.</w:t>
            </w:r>
          </w:p>
        </w:tc>
        <w:tc>
          <w:tcPr>
            <w:tcW w:w="7079" w:type="dxa"/>
          </w:tcPr>
          <w:p w:rsidR="00A24894" w:rsidRPr="000C791E" w:rsidRDefault="00A24894" w:rsidP="00521573">
            <w:pPr>
              <w:rPr>
                <w:rFonts w:cs="Times New Roman"/>
                <w:szCs w:val="24"/>
              </w:rPr>
            </w:pPr>
            <w:r w:rsidRPr="000C791E">
              <w:rPr>
                <w:rFonts w:cs="Times New Roman"/>
                <w:szCs w:val="24"/>
              </w:rPr>
              <w:t xml:space="preserve">Simplifications in the </w:t>
            </w:r>
            <w:proofErr w:type="spellStart"/>
            <w:r w:rsidRPr="000C791E">
              <w:rPr>
                <w:rFonts w:cs="Times New Roman"/>
                <w:szCs w:val="24"/>
              </w:rPr>
              <w:t>Matlab</w:t>
            </w:r>
            <w:proofErr w:type="spellEnd"/>
            <w:r w:rsidRPr="000C791E">
              <w:rPr>
                <w:rFonts w:cs="Times New Roman"/>
                <w:szCs w:val="24"/>
              </w:rPr>
              <w:t xml:space="preserve"> program</w:t>
            </w:r>
          </w:p>
        </w:tc>
        <w:tc>
          <w:tcPr>
            <w:tcW w:w="683" w:type="dxa"/>
          </w:tcPr>
          <w:p w:rsidR="00A24894" w:rsidRPr="000C791E" w:rsidRDefault="00A24894" w:rsidP="00521573">
            <w:pPr>
              <w:rPr>
                <w:rFonts w:cs="Times New Roman"/>
                <w:szCs w:val="24"/>
              </w:rPr>
            </w:pPr>
            <w:r w:rsidRPr="000C791E">
              <w:rPr>
                <w:rFonts w:cs="Times New Roman"/>
                <w:szCs w:val="24"/>
              </w:rPr>
              <w:t>8</w:t>
            </w:r>
            <w:r>
              <w:rPr>
                <w:rFonts w:cs="Times New Roman"/>
                <w:szCs w:val="24"/>
              </w:rPr>
              <w:t>6</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3.15.</w:t>
            </w:r>
          </w:p>
        </w:tc>
        <w:tc>
          <w:tcPr>
            <w:tcW w:w="7079" w:type="dxa"/>
          </w:tcPr>
          <w:p w:rsidR="00A24894" w:rsidRPr="000C791E" w:rsidRDefault="00A24894" w:rsidP="00521573">
            <w:pPr>
              <w:rPr>
                <w:rFonts w:cs="Times New Roman"/>
                <w:szCs w:val="24"/>
              </w:rPr>
            </w:pPr>
            <w:r w:rsidRPr="000C791E">
              <w:rPr>
                <w:rFonts w:cs="Times New Roman"/>
                <w:szCs w:val="24"/>
              </w:rPr>
              <w:t xml:space="preserve">Flow diagram of the </w:t>
            </w:r>
            <w:proofErr w:type="spellStart"/>
            <w:r w:rsidRPr="000C791E">
              <w:rPr>
                <w:rFonts w:cs="Times New Roman"/>
                <w:szCs w:val="24"/>
              </w:rPr>
              <w:t>Matlab</w:t>
            </w:r>
            <w:proofErr w:type="spellEnd"/>
            <w:r w:rsidRPr="000C791E">
              <w:rPr>
                <w:rFonts w:cs="Times New Roman"/>
                <w:szCs w:val="24"/>
              </w:rPr>
              <w:t xml:space="preserve"> program</w:t>
            </w:r>
          </w:p>
        </w:tc>
        <w:tc>
          <w:tcPr>
            <w:tcW w:w="683" w:type="dxa"/>
          </w:tcPr>
          <w:p w:rsidR="00A24894" w:rsidRPr="000C791E" w:rsidRDefault="00A24894" w:rsidP="00521573">
            <w:pPr>
              <w:rPr>
                <w:rFonts w:cs="Times New Roman"/>
                <w:szCs w:val="24"/>
              </w:rPr>
            </w:pPr>
            <w:r w:rsidRPr="000C791E">
              <w:rPr>
                <w:rFonts w:cs="Times New Roman"/>
                <w:szCs w:val="24"/>
              </w:rPr>
              <w:t>8</w:t>
            </w:r>
            <w:r>
              <w:rPr>
                <w:rFonts w:cs="Times New Roman"/>
                <w:szCs w:val="24"/>
              </w:rPr>
              <w:t>7</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3.16.</w:t>
            </w:r>
          </w:p>
        </w:tc>
        <w:tc>
          <w:tcPr>
            <w:tcW w:w="7079" w:type="dxa"/>
          </w:tcPr>
          <w:p w:rsidR="00A24894" w:rsidRPr="000C791E" w:rsidRDefault="00A24894" w:rsidP="00521573">
            <w:pPr>
              <w:rPr>
                <w:rFonts w:cs="Times New Roman"/>
                <w:szCs w:val="24"/>
              </w:rPr>
            </w:pPr>
            <w:r w:rsidRPr="000C791E">
              <w:rPr>
                <w:rFonts w:cs="Times New Roman"/>
                <w:szCs w:val="24"/>
              </w:rPr>
              <w:t>Recorded direct, diffuse and total irradiance at Sheffield Solar Farm (SSF), between 19/02/2014 00:</w:t>
            </w:r>
            <w:proofErr w:type="gramStart"/>
            <w:r w:rsidRPr="000C791E">
              <w:rPr>
                <w:rFonts w:cs="Times New Roman"/>
                <w:szCs w:val="24"/>
              </w:rPr>
              <w:t>00  -</w:t>
            </w:r>
            <w:proofErr w:type="gramEnd"/>
            <w:r w:rsidRPr="000C791E">
              <w:rPr>
                <w:rFonts w:cs="Times New Roman"/>
                <w:szCs w:val="24"/>
              </w:rPr>
              <w:t xml:space="preserve">  19/02/2015 23:59</w:t>
            </w:r>
          </w:p>
        </w:tc>
        <w:tc>
          <w:tcPr>
            <w:tcW w:w="683" w:type="dxa"/>
          </w:tcPr>
          <w:p w:rsidR="00A24894" w:rsidRPr="000C791E" w:rsidRDefault="00A24894" w:rsidP="00521573">
            <w:pPr>
              <w:rPr>
                <w:rFonts w:cs="Times New Roman"/>
                <w:szCs w:val="24"/>
              </w:rPr>
            </w:pPr>
            <w:r w:rsidRPr="000C791E">
              <w:rPr>
                <w:rFonts w:cs="Times New Roman"/>
                <w:szCs w:val="24"/>
              </w:rPr>
              <w:t>89</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3.17.</w:t>
            </w:r>
          </w:p>
        </w:tc>
        <w:tc>
          <w:tcPr>
            <w:tcW w:w="7079" w:type="dxa"/>
          </w:tcPr>
          <w:p w:rsidR="00A24894" w:rsidRPr="000C791E" w:rsidRDefault="00A24894" w:rsidP="00521573">
            <w:pPr>
              <w:rPr>
                <w:rFonts w:cs="Times New Roman"/>
                <w:szCs w:val="24"/>
              </w:rPr>
            </w:pPr>
            <w:r w:rsidRPr="000C791E">
              <w:rPr>
                <w:rFonts w:cs="Times New Roman"/>
                <w:szCs w:val="24"/>
              </w:rPr>
              <w:t>Recorded irradiance at SSF throughout a year</w:t>
            </w:r>
          </w:p>
        </w:tc>
        <w:tc>
          <w:tcPr>
            <w:tcW w:w="683" w:type="dxa"/>
          </w:tcPr>
          <w:p w:rsidR="00A24894" w:rsidRPr="000C791E" w:rsidRDefault="00A24894" w:rsidP="00521573">
            <w:pPr>
              <w:rPr>
                <w:rFonts w:cs="Times New Roman"/>
                <w:szCs w:val="24"/>
              </w:rPr>
            </w:pPr>
            <w:r w:rsidRPr="000C791E">
              <w:rPr>
                <w:rFonts w:cs="Times New Roman"/>
                <w:szCs w:val="24"/>
              </w:rPr>
              <w:t>9</w:t>
            </w:r>
            <w:r>
              <w:rPr>
                <w:rFonts w:cs="Times New Roman"/>
                <w:szCs w:val="24"/>
              </w:rPr>
              <w:t>0</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3.18.</w:t>
            </w:r>
          </w:p>
        </w:tc>
        <w:tc>
          <w:tcPr>
            <w:tcW w:w="7079" w:type="dxa"/>
          </w:tcPr>
          <w:p w:rsidR="00A24894" w:rsidRPr="000C791E" w:rsidRDefault="00A24894" w:rsidP="00521573">
            <w:pPr>
              <w:rPr>
                <w:rFonts w:cs="Times New Roman"/>
                <w:szCs w:val="24"/>
              </w:rPr>
            </w:pPr>
            <w:r w:rsidRPr="000C791E">
              <w:rPr>
                <w:rFonts w:cs="Times New Roman"/>
                <w:szCs w:val="24"/>
              </w:rPr>
              <w:t>Options for choice of Tapping Cycle</w:t>
            </w:r>
          </w:p>
        </w:tc>
        <w:tc>
          <w:tcPr>
            <w:tcW w:w="683" w:type="dxa"/>
          </w:tcPr>
          <w:p w:rsidR="00A24894" w:rsidRPr="000C791E" w:rsidRDefault="00A24894" w:rsidP="00521573">
            <w:pPr>
              <w:rPr>
                <w:rFonts w:cs="Times New Roman"/>
                <w:szCs w:val="24"/>
              </w:rPr>
            </w:pPr>
            <w:r w:rsidRPr="000C791E">
              <w:rPr>
                <w:rFonts w:cs="Times New Roman"/>
                <w:szCs w:val="24"/>
              </w:rPr>
              <w:t>9</w:t>
            </w:r>
            <w:r>
              <w:rPr>
                <w:rFonts w:cs="Times New Roman"/>
                <w:szCs w:val="24"/>
              </w:rPr>
              <w:t>5</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3.19.</w:t>
            </w:r>
          </w:p>
        </w:tc>
        <w:tc>
          <w:tcPr>
            <w:tcW w:w="7079" w:type="dxa"/>
          </w:tcPr>
          <w:p w:rsidR="00A24894" w:rsidRPr="000C791E" w:rsidRDefault="00A24894" w:rsidP="00521573">
            <w:pPr>
              <w:rPr>
                <w:rFonts w:cs="Times New Roman"/>
                <w:szCs w:val="24"/>
              </w:rPr>
            </w:pPr>
            <w:r w:rsidRPr="000C791E">
              <w:rPr>
                <w:rFonts w:cs="Times New Roman"/>
                <w:szCs w:val="24"/>
              </w:rPr>
              <w:t xml:space="preserve">Results from </w:t>
            </w:r>
            <w:proofErr w:type="spellStart"/>
            <w:r w:rsidRPr="000C791E">
              <w:rPr>
                <w:rFonts w:cs="Times New Roman"/>
                <w:szCs w:val="24"/>
              </w:rPr>
              <w:t>Matlab</w:t>
            </w:r>
            <w:proofErr w:type="spellEnd"/>
            <w:r w:rsidRPr="000C791E">
              <w:rPr>
                <w:rFonts w:cs="Times New Roman"/>
                <w:szCs w:val="24"/>
              </w:rPr>
              <w:t xml:space="preserve"> simulations</w:t>
            </w:r>
          </w:p>
        </w:tc>
        <w:tc>
          <w:tcPr>
            <w:tcW w:w="683" w:type="dxa"/>
          </w:tcPr>
          <w:p w:rsidR="00A24894" w:rsidRPr="000C791E" w:rsidRDefault="00A24894" w:rsidP="00521573">
            <w:pPr>
              <w:rPr>
                <w:rFonts w:cs="Times New Roman"/>
                <w:szCs w:val="24"/>
              </w:rPr>
            </w:pPr>
            <w:r w:rsidRPr="000C791E">
              <w:rPr>
                <w:rFonts w:cs="Times New Roman"/>
                <w:szCs w:val="24"/>
              </w:rPr>
              <w:t>10</w:t>
            </w:r>
            <w:r>
              <w:rPr>
                <w:rFonts w:cs="Times New Roman"/>
                <w:szCs w:val="24"/>
              </w:rPr>
              <w:t>6</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3.20.</w:t>
            </w:r>
          </w:p>
        </w:tc>
        <w:tc>
          <w:tcPr>
            <w:tcW w:w="7079" w:type="dxa"/>
          </w:tcPr>
          <w:p w:rsidR="00A24894" w:rsidRPr="000C791E" w:rsidRDefault="00A24894" w:rsidP="00521573">
            <w:pPr>
              <w:rPr>
                <w:rFonts w:cs="Times New Roman"/>
                <w:szCs w:val="24"/>
              </w:rPr>
            </w:pPr>
            <w:r w:rsidRPr="000C791E">
              <w:rPr>
                <w:rFonts w:cs="Times New Roman"/>
                <w:szCs w:val="24"/>
              </w:rPr>
              <w:t xml:space="preserve">Discussion of </w:t>
            </w:r>
            <w:proofErr w:type="spellStart"/>
            <w:r w:rsidRPr="000C791E">
              <w:rPr>
                <w:rFonts w:cs="Times New Roman"/>
                <w:szCs w:val="24"/>
              </w:rPr>
              <w:t>Matlab</w:t>
            </w:r>
            <w:proofErr w:type="spellEnd"/>
            <w:r w:rsidRPr="000C791E">
              <w:rPr>
                <w:rFonts w:cs="Times New Roman"/>
                <w:szCs w:val="24"/>
              </w:rPr>
              <w:t xml:space="preserve"> results</w:t>
            </w:r>
          </w:p>
        </w:tc>
        <w:tc>
          <w:tcPr>
            <w:tcW w:w="683" w:type="dxa"/>
          </w:tcPr>
          <w:p w:rsidR="00A24894" w:rsidRPr="000C791E" w:rsidRDefault="00A24894" w:rsidP="00521573">
            <w:pPr>
              <w:rPr>
                <w:rFonts w:cs="Times New Roman"/>
                <w:szCs w:val="24"/>
              </w:rPr>
            </w:pPr>
            <w:r w:rsidRPr="000C791E">
              <w:rPr>
                <w:rFonts w:cs="Times New Roman"/>
                <w:szCs w:val="24"/>
              </w:rPr>
              <w:t>11</w:t>
            </w:r>
            <w:r>
              <w:rPr>
                <w:rFonts w:cs="Times New Roman"/>
                <w:szCs w:val="24"/>
              </w:rPr>
              <w:t>2</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3.18.</w:t>
            </w:r>
          </w:p>
        </w:tc>
        <w:tc>
          <w:tcPr>
            <w:tcW w:w="7079" w:type="dxa"/>
          </w:tcPr>
          <w:p w:rsidR="00A24894" w:rsidRPr="000C791E" w:rsidRDefault="00A24894" w:rsidP="00521573">
            <w:pPr>
              <w:rPr>
                <w:rFonts w:cs="Times New Roman"/>
                <w:szCs w:val="24"/>
              </w:rPr>
            </w:pPr>
            <w:r w:rsidRPr="000C791E">
              <w:rPr>
                <w:rFonts w:cs="Times New Roman"/>
                <w:szCs w:val="24"/>
              </w:rPr>
              <w:t>Options for choice of Tapping Cycle</w:t>
            </w:r>
          </w:p>
        </w:tc>
        <w:tc>
          <w:tcPr>
            <w:tcW w:w="683" w:type="dxa"/>
          </w:tcPr>
          <w:p w:rsidR="00A24894" w:rsidRPr="000C791E" w:rsidRDefault="00A24894" w:rsidP="00521573">
            <w:pPr>
              <w:rPr>
                <w:rFonts w:cs="Times New Roman"/>
                <w:szCs w:val="24"/>
              </w:rPr>
            </w:pPr>
            <w:r w:rsidRPr="000C791E">
              <w:rPr>
                <w:rFonts w:cs="Times New Roman"/>
                <w:szCs w:val="24"/>
              </w:rPr>
              <w:t>96</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3.19.</w:t>
            </w:r>
          </w:p>
        </w:tc>
        <w:tc>
          <w:tcPr>
            <w:tcW w:w="7079" w:type="dxa"/>
          </w:tcPr>
          <w:p w:rsidR="00A24894" w:rsidRPr="000C791E" w:rsidRDefault="00A24894" w:rsidP="00521573">
            <w:pPr>
              <w:rPr>
                <w:rFonts w:cs="Times New Roman"/>
                <w:szCs w:val="24"/>
              </w:rPr>
            </w:pPr>
            <w:r w:rsidRPr="000C791E">
              <w:rPr>
                <w:rFonts w:cs="Times New Roman"/>
                <w:szCs w:val="24"/>
              </w:rPr>
              <w:t xml:space="preserve">Results from </w:t>
            </w:r>
            <w:proofErr w:type="spellStart"/>
            <w:r w:rsidRPr="000C791E">
              <w:rPr>
                <w:rFonts w:cs="Times New Roman"/>
                <w:szCs w:val="24"/>
              </w:rPr>
              <w:t>Matlab</w:t>
            </w:r>
            <w:proofErr w:type="spellEnd"/>
            <w:r w:rsidRPr="000C791E">
              <w:rPr>
                <w:rFonts w:cs="Times New Roman"/>
                <w:szCs w:val="24"/>
              </w:rPr>
              <w:t xml:space="preserve"> simulations</w:t>
            </w:r>
          </w:p>
        </w:tc>
        <w:tc>
          <w:tcPr>
            <w:tcW w:w="683" w:type="dxa"/>
          </w:tcPr>
          <w:p w:rsidR="00A24894" w:rsidRPr="000C791E" w:rsidRDefault="00A24894" w:rsidP="00521573">
            <w:pPr>
              <w:rPr>
                <w:rFonts w:cs="Times New Roman"/>
                <w:szCs w:val="24"/>
              </w:rPr>
            </w:pPr>
            <w:r w:rsidRPr="000C791E">
              <w:rPr>
                <w:rFonts w:cs="Times New Roman"/>
                <w:szCs w:val="24"/>
              </w:rPr>
              <w:t>107</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3.17.</w:t>
            </w:r>
          </w:p>
        </w:tc>
        <w:tc>
          <w:tcPr>
            <w:tcW w:w="7079" w:type="dxa"/>
          </w:tcPr>
          <w:p w:rsidR="00A24894" w:rsidRPr="000C791E" w:rsidRDefault="00A24894" w:rsidP="00521573">
            <w:pPr>
              <w:rPr>
                <w:rFonts w:cs="Times New Roman"/>
                <w:szCs w:val="24"/>
              </w:rPr>
            </w:pPr>
            <w:r w:rsidRPr="000C791E">
              <w:rPr>
                <w:rFonts w:cs="Times New Roman"/>
                <w:szCs w:val="24"/>
              </w:rPr>
              <w:t>Recorded irradiance at SSF throughout a year</w:t>
            </w:r>
          </w:p>
        </w:tc>
        <w:tc>
          <w:tcPr>
            <w:tcW w:w="683" w:type="dxa"/>
          </w:tcPr>
          <w:p w:rsidR="00A24894" w:rsidRPr="000C791E" w:rsidRDefault="00A24894" w:rsidP="00521573">
            <w:pPr>
              <w:rPr>
                <w:rFonts w:cs="Times New Roman"/>
                <w:szCs w:val="24"/>
              </w:rPr>
            </w:pPr>
            <w:r w:rsidRPr="000C791E">
              <w:rPr>
                <w:rFonts w:cs="Times New Roman"/>
                <w:szCs w:val="24"/>
              </w:rPr>
              <w:t>91</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3.18.</w:t>
            </w:r>
          </w:p>
        </w:tc>
        <w:tc>
          <w:tcPr>
            <w:tcW w:w="7079" w:type="dxa"/>
          </w:tcPr>
          <w:p w:rsidR="00A24894" w:rsidRPr="000C791E" w:rsidRDefault="00A24894" w:rsidP="00521573">
            <w:pPr>
              <w:rPr>
                <w:rFonts w:cs="Times New Roman"/>
                <w:szCs w:val="24"/>
              </w:rPr>
            </w:pPr>
            <w:r w:rsidRPr="000C791E">
              <w:rPr>
                <w:rFonts w:cs="Times New Roman"/>
                <w:szCs w:val="24"/>
              </w:rPr>
              <w:t>Options for choice of Tapping Cycle</w:t>
            </w:r>
          </w:p>
        </w:tc>
        <w:tc>
          <w:tcPr>
            <w:tcW w:w="683" w:type="dxa"/>
          </w:tcPr>
          <w:p w:rsidR="00A24894" w:rsidRPr="000C791E" w:rsidRDefault="00A24894" w:rsidP="00521573">
            <w:pPr>
              <w:rPr>
                <w:rFonts w:cs="Times New Roman"/>
                <w:szCs w:val="24"/>
              </w:rPr>
            </w:pPr>
            <w:r w:rsidRPr="000C791E">
              <w:rPr>
                <w:rFonts w:cs="Times New Roman"/>
                <w:szCs w:val="24"/>
              </w:rPr>
              <w:t>96</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3.19.</w:t>
            </w:r>
          </w:p>
        </w:tc>
        <w:tc>
          <w:tcPr>
            <w:tcW w:w="7079" w:type="dxa"/>
          </w:tcPr>
          <w:p w:rsidR="00A24894" w:rsidRPr="000C791E" w:rsidRDefault="00A24894" w:rsidP="00521573">
            <w:pPr>
              <w:rPr>
                <w:rFonts w:cs="Times New Roman"/>
                <w:szCs w:val="24"/>
              </w:rPr>
            </w:pPr>
            <w:r w:rsidRPr="000C791E">
              <w:rPr>
                <w:rFonts w:cs="Times New Roman"/>
                <w:szCs w:val="24"/>
              </w:rPr>
              <w:t xml:space="preserve">Results from </w:t>
            </w:r>
            <w:proofErr w:type="spellStart"/>
            <w:r w:rsidRPr="000C791E">
              <w:rPr>
                <w:rFonts w:cs="Times New Roman"/>
                <w:szCs w:val="24"/>
              </w:rPr>
              <w:t>Matlab</w:t>
            </w:r>
            <w:proofErr w:type="spellEnd"/>
            <w:r w:rsidRPr="000C791E">
              <w:rPr>
                <w:rFonts w:cs="Times New Roman"/>
                <w:szCs w:val="24"/>
              </w:rPr>
              <w:t xml:space="preserve"> simulations</w:t>
            </w:r>
          </w:p>
        </w:tc>
        <w:tc>
          <w:tcPr>
            <w:tcW w:w="683" w:type="dxa"/>
          </w:tcPr>
          <w:p w:rsidR="00A24894" w:rsidRPr="000C791E" w:rsidRDefault="00A24894" w:rsidP="00521573">
            <w:pPr>
              <w:rPr>
                <w:rFonts w:cs="Times New Roman"/>
                <w:szCs w:val="24"/>
              </w:rPr>
            </w:pPr>
            <w:r w:rsidRPr="000C791E">
              <w:rPr>
                <w:rFonts w:cs="Times New Roman"/>
                <w:szCs w:val="24"/>
              </w:rPr>
              <w:t>107</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3.20.</w:t>
            </w:r>
          </w:p>
        </w:tc>
        <w:tc>
          <w:tcPr>
            <w:tcW w:w="7079" w:type="dxa"/>
          </w:tcPr>
          <w:p w:rsidR="00A24894" w:rsidRPr="000C791E" w:rsidRDefault="00A24894" w:rsidP="00521573">
            <w:pPr>
              <w:rPr>
                <w:rFonts w:cs="Times New Roman"/>
                <w:szCs w:val="24"/>
              </w:rPr>
            </w:pPr>
            <w:r w:rsidRPr="000C791E">
              <w:rPr>
                <w:rFonts w:cs="Times New Roman"/>
                <w:szCs w:val="24"/>
              </w:rPr>
              <w:t xml:space="preserve">Discussion of </w:t>
            </w:r>
            <w:proofErr w:type="spellStart"/>
            <w:r w:rsidRPr="000C791E">
              <w:rPr>
                <w:rFonts w:cs="Times New Roman"/>
                <w:szCs w:val="24"/>
              </w:rPr>
              <w:t>Matlab</w:t>
            </w:r>
            <w:proofErr w:type="spellEnd"/>
            <w:r w:rsidRPr="000C791E">
              <w:rPr>
                <w:rFonts w:cs="Times New Roman"/>
                <w:szCs w:val="24"/>
              </w:rPr>
              <w:t xml:space="preserve"> results</w:t>
            </w:r>
          </w:p>
        </w:tc>
        <w:tc>
          <w:tcPr>
            <w:tcW w:w="683" w:type="dxa"/>
          </w:tcPr>
          <w:p w:rsidR="00A24894" w:rsidRPr="000C791E" w:rsidRDefault="00A24894" w:rsidP="00521573">
            <w:pPr>
              <w:rPr>
                <w:rFonts w:cs="Times New Roman"/>
                <w:szCs w:val="24"/>
              </w:rPr>
            </w:pPr>
            <w:r w:rsidRPr="000C791E">
              <w:rPr>
                <w:rFonts w:cs="Times New Roman"/>
                <w:szCs w:val="24"/>
              </w:rPr>
              <w:t>11</w:t>
            </w:r>
            <w:r>
              <w:rPr>
                <w:rFonts w:cs="Times New Roman"/>
                <w:szCs w:val="24"/>
              </w:rPr>
              <w:t>2</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3.21.</w:t>
            </w:r>
          </w:p>
        </w:tc>
        <w:tc>
          <w:tcPr>
            <w:tcW w:w="7079" w:type="dxa"/>
          </w:tcPr>
          <w:p w:rsidR="00A24894" w:rsidRPr="000C791E" w:rsidRDefault="00A24894" w:rsidP="00521573">
            <w:pPr>
              <w:rPr>
                <w:rFonts w:cs="Times New Roman"/>
                <w:szCs w:val="24"/>
              </w:rPr>
            </w:pPr>
            <w:r w:rsidRPr="000C791E">
              <w:rPr>
                <w:rFonts w:cs="Times New Roman"/>
                <w:szCs w:val="24"/>
              </w:rPr>
              <w:t>Conclusions from engineering work and potential future directions for research</w:t>
            </w:r>
          </w:p>
        </w:tc>
        <w:tc>
          <w:tcPr>
            <w:tcW w:w="683" w:type="dxa"/>
          </w:tcPr>
          <w:p w:rsidR="00A24894" w:rsidRPr="000C791E" w:rsidRDefault="00A24894" w:rsidP="00521573">
            <w:pPr>
              <w:rPr>
                <w:rFonts w:cs="Times New Roman"/>
                <w:szCs w:val="24"/>
              </w:rPr>
            </w:pPr>
            <w:r w:rsidRPr="000C791E">
              <w:rPr>
                <w:rFonts w:cs="Times New Roman"/>
                <w:szCs w:val="24"/>
              </w:rPr>
              <w:t>11</w:t>
            </w:r>
            <w:r>
              <w:rPr>
                <w:rFonts w:cs="Times New Roman"/>
                <w:szCs w:val="24"/>
              </w:rPr>
              <w:t>3</w:t>
            </w:r>
          </w:p>
        </w:tc>
      </w:tr>
      <w:tr w:rsidR="00A24894" w:rsidRPr="000C791E" w:rsidTr="00521573">
        <w:tc>
          <w:tcPr>
            <w:tcW w:w="1163" w:type="dxa"/>
          </w:tcPr>
          <w:p w:rsidR="00A24894" w:rsidRPr="000C791E" w:rsidRDefault="00A24894" w:rsidP="00521573">
            <w:pPr>
              <w:rPr>
                <w:rFonts w:cs="Times New Roman"/>
                <w:szCs w:val="24"/>
              </w:rPr>
            </w:pPr>
          </w:p>
        </w:tc>
        <w:tc>
          <w:tcPr>
            <w:tcW w:w="7079" w:type="dxa"/>
          </w:tcPr>
          <w:p w:rsidR="00A24894" w:rsidRPr="000C791E" w:rsidRDefault="00A24894" w:rsidP="00521573">
            <w:pPr>
              <w:rPr>
                <w:rFonts w:cs="Times New Roman"/>
                <w:szCs w:val="24"/>
              </w:rPr>
            </w:pPr>
          </w:p>
          <w:p w:rsidR="00A24894" w:rsidRPr="000C791E" w:rsidRDefault="00A24894" w:rsidP="00521573">
            <w:pPr>
              <w:rPr>
                <w:rFonts w:cs="Times New Roman"/>
                <w:szCs w:val="24"/>
              </w:rPr>
            </w:pPr>
          </w:p>
        </w:tc>
        <w:tc>
          <w:tcPr>
            <w:tcW w:w="683" w:type="dxa"/>
          </w:tcPr>
          <w:p w:rsidR="00A24894" w:rsidRPr="000C791E" w:rsidRDefault="00A24894" w:rsidP="00521573">
            <w:pPr>
              <w:rPr>
                <w:rFonts w:cs="Times New Roman"/>
                <w:szCs w:val="24"/>
              </w:rPr>
            </w:pP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4</w:t>
            </w:r>
          </w:p>
        </w:tc>
        <w:tc>
          <w:tcPr>
            <w:tcW w:w="7079" w:type="dxa"/>
          </w:tcPr>
          <w:p w:rsidR="00A24894" w:rsidRPr="000C791E" w:rsidRDefault="00A24894" w:rsidP="00521573">
            <w:pPr>
              <w:rPr>
                <w:rFonts w:cs="Times New Roman"/>
                <w:szCs w:val="24"/>
              </w:rPr>
            </w:pPr>
            <w:r w:rsidRPr="000C791E">
              <w:rPr>
                <w:rFonts w:cs="Times New Roman"/>
                <w:szCs w:val="24"/>
              </w:rPr>
              <w:t>CHAPTER FOUR, Qualitative studies, using semi-structured interviews with the main actors in the solar thermal market to understand their opinions of STPs</w:t>
            </w:r>
          </w:p>
        </w:tc>
        <w:tc>
          <w:tcPr>
            <w:tcW w:w="683" w:type="dxa"/>
          </w:tcPr>
          <w:p w:rsidR="00A24894" w:rsidRPr="000C791E" w:rsidRDefault="00A24894" w:rsidP="00521573">
            <w:pPr>
              <w:rPr>
                <w:rFonts w:cs="Times New Roman"/>
                <w:szCs w:val="24"/>
              </w:rPr>
            </w:pPr>
            <w:r w:rsidRPr="000C791E">
              <w:rPr>
                <w:rFonts w:cs="Times New Roman"/>
                <w:szCs w:val="24"/>
              </w:rPr>
              <w:t>11</w:t>
            </w:r>
            <w:r>
              <w:rPr>
                <w:rFonts w:cs="Times New Roman"/>
                <w:szCs w:val="24"/>
              </w:rPr>
              <w:t>4</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4.1.</w:t>
            </w:r>
          </w:p>
        </w:tc>
        <w:tc>
          <w:tcPr>
            <w:tcW w:w="7079" w:type="dxa"/>
          </w:tcPr>
          <w:p w:rsidR="00A24894" w:rsidRPr="000C791E" w:rsidRDefault="00A24894" w:rsidP="00521573">
            <w:pPr>
              <w:rPr>
                <w:rFonts w:cs="Times New Roman"/>
                <w:szCs w:val="24"/>
              </w:rPr>
            </w:pPr>
            <w:r w:rsidRPr="000C791E">
              <w:rPr>
                <w:rFonts w:cs="Times New Roman"/>
                <w:szCs w:val="24"/>
              </w:rPr>
              <w:t>Introduction, the use of semi-structured interviews</w:t>
            </w:r>
          </w:p>
        </w:tc>
        <w:tc>
          <w:tcPr>
            <w:tcW w:w="683" w:type="dxa"/>
          </w:tcPr>
          <w:p w:rsidR="00A24894" w:rsidRPr="000C791E" w:rsidRDefault="00A24894" w:rsidP="00521573">
            <w:pPr>
              <w:rPr>
                <w:rFonts w:cs="Times New Roman"/>
                <w:szCs w:val="24"/>
              </w:rPr>
            </w:pPr>
            <w:r w:rsidRPr="000C791E">
              <w:rPr>
                <w:rFonts w:cs="Times New Roman"/>
                <w:szCs w:val="24"/>
              </w:rPr>
              <w:t>11</w:t>
            </w:r>
            <w:r>
              <w:rPr>
                <w:rFonts w:cs="Times New Roman"/>
                <w:szCs w:val="24"/>
              </w:rPr>
              <w:t>4</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4.2.</w:t>
            </w:r>
          </w:p>
        </w:tc>
        <w:tc>
          <w:tcPr>
            <w:tcW w:w="7079" w:type="dxa"/>
          </w:tcPr>
          <w:p w:rsidR="00A24894" w:rsidRPr="000C791E" w:rsidRDefault="00A24894" w:rsidP="00521573">
            <w:pPr>
              <w:rPr>
                <w:rFonts w:cs="Times New Roman"/>
                <w:szCs w:val="24"/>
              </w:rPr>
            </w:pPr>
            <w:r w:rsidRPr="000C791E">
              <w:rPr>
                <w:rFonts w:cs="Times New Roman"/>
                <w:szCs w:val="24"/>
              </w:rPr>
              <w:t>Key stakeholders in the UK domestic heat market</w:t>
            </w:r>
          </w:p>
        </w:tc>
        <w:tc>
          <w:tcPr>
            <w:tcW w:w="683" w:type="dxa"/>
          </w:tcPr>
          <w:p w:rsidR="00A24894" w:rsidRPr="000C791E" w:rsidRDefault="00A24894" w:rsidP="00521573">
            <w:pPr>
              <w:rPr>
                <w:rFonts w:cs="Times New Roman"/>
                <w:szCs w:val="24"/>
              </w:rPr>
            </w:pPr>
            <w:r w:rsidRPr="000C791E">
              <w:rPr>
                <w:rFonts w:cs="Times New Roman"/>
                <w:szCs w:val="24"/>
              </w:rPr>
              <w:t>11</w:t>
            </w:r>
            <w:r>
              <w:rPr>
                <w:rFonts w:cs="Times New Roman"/>
                <w:szCs w:val="24"/>
              </w:rPr>
              <w:t>4</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4.3.</w:t>
            </w:r>
          </w:p>
        </w:tc>
        <w:tc>
          <w:tcPr>
            <w:tcW w:w="7079" w:type="dxa"/>
          </w:tcPr>
          <w:p w:rsidR="00A24894" w:rsidRPr="000C791E" w:rsidRDefault="00A24894" w:rsidP="00521573">
            <w:pPr>
              <w:rPr>
                <w:rFonts w:cs="Times New Roman"/>
                <w:szCs w:val="24"/>
              </w:rPr>
            </w:pPr>
            <w:r w:rsidRPr="000C791E">
              <w:rPr>
                <w:rFonts w:cs="Times New Roman"/>
                <w:szCs w:val="24"/>
              </w:rPr>
              <w:t>Semi-structured interviews, methods</w:t>
            </w:r>
          </w:p>
        </w:tc>
        <w:tc>
          <w:tcPr>
            <w:tcW w:w="683" w:type="dxa"/>
          </w:tcPr>
          <w:p w:rsidR="00A24894" w:rsidRPr="000C791E" w:rsidRDefault="00A24894" w:rsidP="00521573">
            <w:pPr>
              <w:rPr>
                <w:rFonts w:cs="Times New Roman"/>
                <w:szCs w:val="24"/>
              </w:rPr>
            </w:pPr>
            <w:r w:rsidRPr="000C791E">
              <w:rPr>
                <w:rFonts w:cs="Times New Roman"/>
                <w:szCs w:val="24"/>
              </w:rPr>
              <w:t>11</w:t>
            </w:r>
            <w:r>
              <w:rPr>
                <w:rFonts w:cs="Times New Roman"/>
                <w:szCs w:val="24"/>
              </w:rPr>
              <w:t>8</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4.3.1.</w:t>
            </w:r>
          </w:p>
        </w:tc>
        <w:tc>
          <w:tcPr>
            <w:tcW w:w="7079" w:type="dxa"/>
          </w:tcPr>
          <w:p w:rsidR="00A24894" w:rsidRPr="000C791E" w:rsidRDefault="00A24894" w:rsidP="00521573">
            <w:pPr>
              <w:rPr>
                <w:rFonts w:cs="Times New Roman"/>
                <w:szCs w:val="24"/>
              </w:rPr>
            </w:pPr>
            <w:r w:rsidRPr="000C791E">
              <w:rPr>
                <w:rFonts w:cs="Times New Roman"/>
                <w:szCs w:val="24"/>
              </w:rPr>
              <w:t>Summary of participants for the semi-structured interviews in 2012 and 2015</w:t>
            </w:r>
          </w:p>
        </w:tc>
        <w:tc>
          <w:tcPr>
            <w:tcW w:w="683" w:type="dxa"/>
          </w:tcPr>
          <w:p w:rsidR="00A24894" w:rsidRPr="000C791E" w:rsidRDefault="00A24894" w:rsidP="00521573">
            <w:pPr>
              <w:rPr>
                <w:rFonts w:cs="Times New Roman"/>
                <w:szCs w:val="24"/>
              </w:rPr>
            </w:pPr>
            <w:r w:rsidRPr="000C791E">
              <w:rPr>
                <w:rFonts w:cs="Times New Roman"/>
                <w:szCs w:val="24"/>
              </w:rPr>
              <w:t>11</w:t>
            </w:r>
            <w:r>
              <w:rPr>
                <w:rFonts w:cs="Times New Roman"/>
                <w:szCs w:val="24"/>
              </w:rPr>
              <w:t>8</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4.3.2.</w:t>
            </w:r>
          </w:p>
        </w:tc>
        <w:tc>
          <w:tcPr>
            <w:tcW w:w="7079" w:type="dxa"/>
          </w:tcPr>
          <w:p w:rsidR="00A24894" w:rsidRPr="000C791E" w:rsidRDefault="00A24894" w:rsidP="00521573">
            <w:pPr>
              <w:rPr>
                <w:rFonts w:cs="Times New Roman"/>
                <w:szCs w:val="24"/>
              </w:rPr>
            </w:pPr>
            <w:r w:rsidRPr="000C791E">
              <w:rPr>
                <w:rFonts w:cs="Times New Roman"/>
                <w:szCs w:val="24"/>
              </w:rPr>
              <w:t>Sampling of main actors in the STP market in 2012 &amp; 2015</w:t>
            </w:r>
          </w:p>
        </w:tc>
        <w:tc>
          <w:tcPr>
            <w:tcW w:w="683" w:type="dxa"/>
          </w:tcPr>
          <w:p w:rsidR="00A24894" w:rsidRPr="000C791E" w:rsidRDefault="00A24894" w:rsidP="00521573">
            <w:pPr>
              <w:rPr>
                <w:rFonts w:cs="Times New Roman"/>
                <w:szCs w:val="24"/>
              </w:rPr>
            </w:pPr>
            <w:r w:rsidRPr="000C791E">
              <w:rPr>
                <w:rFonts w:cs="Times New Roman"/>
                <w:szCs w:val="24"/>
              </w:rPr>
              <w:t>12</w:t>
            </w:r>
            <w:r>
              <w:rPr>
                <w:rFonts w:cs="Times New Roman"/>
                <w:szCs w:val="24"/>
              </w:rPr>
              <w:t>0</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4.4.</w:t>
            </w:r>
          </w:p>
        </w:tc>
        <w:tc>
          <w:tcPr>
            <w:tcW w:w="7079" w:type="dxa"/>
          </w:tcPr>
          <w:p w:rsidR="00A24894" w:rsidRPr="000C791E" w:rsidRDefault="00A24894" w:rsidP="00521573">
            <w:pPr>
              <w:rPr>
                <w:rFonts w:cs="Times New Roman"/>
                <w:szCs w:val="24"/>
              </w:rPr>
            </w:pPr>
            <w:r w:rsidRPr="000C791E">
              <w:rPr>
                <w:rFonts w:cs="Times New Roman"/>
                <w:szCs w:val="24"/>
              </w:rPr>
              <w:t xml:space="preserve">Thematic analysis </w:t>
            </w:r>
          </w:p>
        </w:tc>
        <w:tc>
          <w:tcPr>
            <w:tcW w:w="683" w:type="dxa"/>
          </w:tcPr>
          <w:p w:rsidR="00A24894" w:rsidRPr="000C791E" w:rsidRDefault="00A24894" w:rsidP="00521573">
            <w:pPr>
              <w:rPr>
                <w:rFonts w:cs="Times New Roman"/>
                <w:szCs w:val="24"/>
              </w:rPr>
            </w:pPr>
            <w:r w:rsidRPr="000C791E">
              <w:rPr>
                <w:rFonts w:cs="Times New Roman"/>
                <w:szCs w:val="24"/>
              </w:rPr>
              <w:t>12</w:t>
            </w:r>
            <w:r>
              <w:rPr>
                <w:rFonts w:cs="Times New Roman"/>
                <w:szCs w:val="24"/>
              </w:rPr>
              <w:t>1</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4.5.</w:t>
            </w:r>
          </w:p>
        </w:tc>
        <w:tc>
          <w:tcPr>
            <w:tcW w:w="7079" w:type="dxa"/>
          </w:tcPr>
          <w:p w:rsidR="00A24894" w:rsidRPr="000C791E" w:rsidRDefault="00A24894" w:rsidP="00521573">
            <w:pPr>
              <w:rPr>
                <w:rFonts w:cs="Times New Roman"/>
                <w:szCs w:val="24"/>
              </w:rPr>
            </w:pPr>
            <w:r w:rsidRPr="000C791E">
              <w:rPr>
                <w:rFonts w:cs="Times New Roman"/>
                <w:szCs w:val="24"/>
              </w:rPr>
              <w:t>Results from semi-structured interviews in 2012 and 2015</w:t>
            </w:r>
          </w:p>
        </w:tc>
        <w:tc>
          <w:tcPr>
            <w:tcW w:w="683" w:type="dxa"/>
          </w:tcPr>
          <w:p w:rsidR="00A24894" w:rsidRPr="000C791E" w:rsidRDefault="00A24894" w:rsidP="00521573">
            <w:pPr>
              <w:rPr>
                <w:rFonts w:cs="Times New Roman"/>
                <w:szCs w:val="24"/>
              </w:rPr>
            </w:pPr>
            <w:r w:rsidRPr="000C791E">
              <w:rPr>
                <w:rFonts w:cs="Times New Roman"/>
                <w:szCs w:val="24"/>
              </w:rPr>
              <w:t>12</w:t>
            </w:r>
            <w:r>
              <w:rPr>
                <w:rFonts w:cs="Times New Roman"/>
                <w:szCs w:val="24"/>
              </w:rPr>
              <w:t>2</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4.5.1.</w:t>
            </w:r>
          </w:p>
        </w:tc>
        <w:tc>
          <w:tcPr>
            <w:tcW w:w="7079" w:type="dxa"/>
          </w:tcPr>
          <w:p w:rsidR="00A24894" w:rsidRPr="000C791E" w:rsidRDefault="00A24894" w:rsidP="00521573">
            <w:pPr>
              <w:rPr>
                <w:rFonts w:cs="Times New Roman"/>
                <w:szCs w:val="24"/>
              </w:rPr>
            </w:pPr>
            <w:r w:rsidRPr="000C791E">
              <w:rPr>
                <w:rFonts w:cs="Times New Roman"/>
                <w:szCs w:val="24"/>
              </w:rPr>
              <w:t>Perceived Usefulness</w:t>
            </w:r>
          </w:p>
        </w:tc>
        <w:tc>
          <w:tcPr>
            <w:tcW w:w="683" w:type="dxa"/>
          </w:tcPr>
          <w:p w:rsidR="00A24894" w:rsidRPr="000C791E" w:rsidRDefault="00A24894" w:rsidP="00521573">
            <w:pPr>
              <w:rPr>
                <w:rFonts w:cs="Times New Roman"/>
                <w:szCs w:val="24"/>
              </w:rPr>
            </w:pPr>
            <w:r w:rsidRPr="000C791E">
              <w:rPr>
                <w:rFonts w:cs="Times New Roman"/>
                <w:szCs w:val="24"/>
              </w:rPr>
              <w:t>12</w:t>
            </w:r>
            <w:r>
              <w:rPr>
                <w:rFonts w:cs="Times New Roman"/>
                <w:szCs w:val="24"/>
              </w:rPr>
              <w:t>2</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4.5.2.</w:t>
            </w:r>
          </w:p>
        </w:tc>
        <w:tc>
          <w:tcPr>
            <w:tcW w:w="7079" w:type="dxa"/>
          </w:tcPr>
          <w:p w:rsidR="00A24894" w:rsidRPr="000C791E" w:rsidRDefault="00A24894" w:rsidP="00521573">
            <w:pPr>
              <w:rPr>
                <w:rFonts w:cs="Times New Roman"/>
                <w:szCs w:val="24"/>
              </w:rPr>
            </w:pPr>
            <w:r w:rsidRPr="000C791E">
              <w:rPr>
                <w:rFonts w:cs="Times New Roman"/>
                <w:szCs w:val="24"/>
              </w:rPr>
              <w:t>Perceived ease of use</w:t>
            </w:r>
          </w:p>
        </w:tc>
        <w:tc>
          <w:tcPr>
            <w:tcW w:w="683" w:type="dxa"/>
          </w:tcPr>
          <w:p w:rsidR="00A24894" w:rsidRPr="000C791E" w:rsidRDefault="00A24894" w:rsidP="00521573">
            <w:pPr>
              <w:rPr>
                <w:rFonts w:cs="Times New Roman"/>
                <w:szCs w:val="24"/>
              </w:rPr>
            </w:pPr>
            <w:r w:rsidRPr="000C791E">
              <w:rPr>
                <w:rFonts w:cs="Times New Roman"/>
                <w:szCs w:val="24"/>
              </w:rPr>
              <w:t>12</w:t>
            </w:r>
            <w:r>
              <w:rPr>
                <w:rFonts w:cs="Times New Roman"/>
                <w:szCs w:val="24"/>
              </w:rPr>
              <w:t>3</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4.5.3.</w:t>
            </w:r>
          </w:p>
        </w:tc>
        <w:tc>
          <w:tcPr>
            <w:tcW w:w="7079" w:type="dxa"/>
          </w:tcPr>
          <w:p w:rsidR="00A24894" w:rsidRPr="000C791E" w:rsidRDefault="00A24894" w:rsidP="00521573">
            <w:pPr>
              <w:rPr>
                <w:rFonts w:cs="Times New Roman"/>
                <w:szCs w:val="24"/>
              </w:rPr>
            </w:pPr>
            <w:r w:rsidRPr="000C791E">
              <w:rPr>
                <w:rFonts w:cs="Times New Roman"/>
                <w:szCs w:val="24"/>
              </w:rPr>
              <w:t>Trust issues</w:t>
            </w:r>
          </w:p>
        </w:tc>
        <w:tc>
          <w:tcPr>
            <w:tcW w:w="683" w:type="dxa"/>
          </w:tcPr>
          <w:p w:rsidR="00A24894" w:rsidRPr="000C791E" w:rsidRDefault="00A24894" w:rsidP="00521573">
            <w:pPr>
              <w:rPr>
                <w:rFonts w:cs="Times New Roman"/>
                <w:szCs w:val="24"/>
              </w:rPr>
            </w:pPr>
            <w:r w:rsidRPr="000C791E">
              <w:rPr>
                <w:rFonts w:cs="Times New Roman"/>
                <w:szCs w:val="24"/>
              </w:rPr>
              <w:t>12</w:t>
            </w:r>
            <w:r>
              <w:rPr>
                <w:rFonts w:cs="Times New Roman"/>
                <w:szCs w:val="24"/>
              </w:rPr>
              <w:t>8</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4.6.</w:t>
            </w:r>
          </w:p>
        </w:tc>
        <w:tc>
          <w:tcPr>
            <w:tcW w:w="7079" w:type="dxa"/>
          </w:tcPr>
          <w:p w:rsidR="00A24894" w:rsidRPr="000C791E" w:rsidRDefault="00A24894" w:rsidP="00521573">
            <w:pPr>
              <w:rPr>
                <w:rFonts w:cs="Times New Roman"/>
                <w:szCs w:val="24"/>
              </w:rPr>
            </w:pPr>
            <w:r w:rsidRPr="000C791E">
              <w:rPr>
                <w:rFonts w:cs="Times New Roman"/>
                <w:szCs w:val="24"/>
              </w:rPr>
              <w:t>Discussion of results from semi-structured interviews in 2012 and 2015</w:t>
            </w:r>
          </w:p>
        </w:tc>
        <w:tc>
          <w:tcPr>
            <w:tcW w:w="683" w:type="dxa"/>
          </w:tcPr>
          <w:p w:rsidR="00A24894" w:rsidRPr="000C791E" w:rsidRDefault="00A24894" w:rsidP="00521573">
            <w:pPr>
              <w:rPr>
                <w:rFonts w:cs="Times New Roman"/>
                <w:szCs w:val="24"/>
              </w:rPr>
            </w:pPr>
            <w:r w:rsidRPr="000C791E">
              <w:rPr>
                <w:rFonts w:cs="Times New Roman"/>
                <w:szCs w:val="24"/>
              </w:rPr>
              <w:t>13</w:t>
            </w:r>
            <w:r>
              <w:rPr>
                <w:rFonts w:cs="Times New Roman"/>
                <w:szCs w:val="24"/>
              </w:rPr>
              <w:t>3</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4.7.</w:t>
            </w:r>
          </w:p>
        </w:tc>
        <w:tc>
          <w:tcPr>
            <w:tcW w:w="7079" w:type="dxa"/>
          </w:tcPr>
          <w:p w:rsidR="00A24894" w:rsidRPr="000C791E" w:rsidRDefault="00A24894" w:rsidP="00521573">
            <w:pPr>
              <w:rPr>
                <w:rFonts w:cs="Times New Roman"/>
                <w:szCs w:val="24"/>
              </w:rPr>
            </w:pPr>
            <w:r w:rsidRPr="000C791E">
              <w:rPr>
                <w:rFonts w:cs="Times New Roman"/>
                <w:szCs w:val="24"/>
              </w:rPr>
              <w:t>Conclusions of semi-structured interviews in 2012 and 2015</w:t>
            </w:r>
          </w:p>
        </w:tc>
        <w:tc>
          <w:tcPr>
            <w:tcW w:w="683" w:type="dxa"/>
          </w:tcPr>
          <w:p w:rsidR="00A24894" w:rsidRPr="000C791E" w:rsidRDefault="00A24894" w:rsidP="00521573">
            <w:pPr>
              <w:rPr>
                <w:rFonts w:cs="Times New Roman"/>
                <w:szCs w:val="24"/>
              </w:rPr>
            </w:pPr>
            <w:r w:rsidRPr="000C791E">
              <w:rPr>
                <w:rFonts w:cs="Times New Roman"/>
                <w:szCs w:val="24"/>
              </w:rPr>
              <w:t>13</w:t>
            </w:r>
            <w:r>
              <w:rPr>
                <w:rFonts w:cs="Times New Roman"/>
                <w:szCs w:val="24"/>
              </w:rPr>
              <w:t>6</w:t>
            </w:r>
          </w:p>
        </w:tc>
      </w:tr>
      <w:tr w:rsidR="00A24894" w:rsidRPr="000C791E" w:rsidTr="00521573">
        <w:tc>
          <w:tcPr>
            <w:tcW w:w="1163" w:type="dxa"/>
          </w:tcPr>
          <w:p w:rsidR="00A24894" w:rsidRPr="000C791E" w:rsidRDefault="00A24894" w:rsidP="00521573">
            <w:pPr>
              <w:rPr>
                <w:rFonts w:cs="Times New Roman"/>
                <w:szCs w:val="24"/>
              </w:rPr>
            </w:pPr>
          </w:p>
        </w:tc>
        <w:tc>
          <w:tcPr>
            <w:tcW w:w="7079" w:type="dxa"/>
          </w:tcPr>
          <w:p w:rsidR="00A24894" w:rsidRPr="000C791E" w:rsidRDefault="00A24894" w:rsidP="00521573">
            <w:pPr>
              <w:rPr>
                <w:rFonts w:cs="Times New Roman"/>
                <w:szCs w:val="24"/>
              </w:rPr>
            </w:pPr>
          </w:p>
          <w:p w:rsidR="00A24894" w:rsidRPr="000C791E" w:rsidRDefault="00A24894" w:rsidP="00521573">
            <w:pPr>
              <w:rPr>
                <w:rFonts w:cs="Times New Roman"/>
                <w:szCs w:val="24"/>
              </w:rPr>
            </w:pPr>
          </w:p>
          <w:p w:rsidR="00A24894" w:rsidRPr="000C791E" w:rsidRDefault="00A24894" w:rsidP="00521573">
            <w:pPr>
              <w:rPr>
                <w:rFonts w:cs="Times New Roman"/>
                <w:szCs w:val="24"/>
              </w:rPr>
            </w:pPr>
          </w:p>
        </w:tc>
        <w:tc>
          <w:tcPr>
            <w:tcW w:w="683" w:type="dxa"/>
          </w:tcPr>
          <w:p w:rsidR="00A24894" w:rsidRPr="000C791E" w:rsidRDefault="00A24894" w:rsidP="00521573">
            <w:pPr>
              <w:rPr>
                <w:rFonts w:cs="Times New Roman"/>
                <w:szCs w:val="24"/>
              </w:rPr>
            </w:pP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5</w:t>
            </w:r>
          </w:p>
        </w:tc>
        <w:tc>
          <w:tcPr>
            <w:tcW w:w="7079" w:type="dxa"/>
          </w:tcPr>
          <w:p w:rsidR="00A24894" w:rsidRPr="000C791E" w:rsidRDefault="00A24894" w:rsidP="00521573">
            <w:pPr>
              <w:rPr>
                <w:rFonts w:cs="Times New Roman"/>
                <w:szCs w:val="24"/>
              </w:rPr>
            </w:pPr>
            <w:r w:rsidRPr="000C791E">
              <w:rPr>
                <w:rFonts w:cs="Times New Roman"/>
                <w:szCs w:val="24"/>
              </w:rPr>
              <w:t xml:space="preserve">CHAPTER FIVE, Focus groups in 2012 and 2015 </w:t>
            </w:r>
          </w:p>
        </w:tc>
        <w:tc>
          <w:tcPr>
            <w:tcW w:w="683" w:type="dxa"/>
          </w:tcPr>
          <w:p w:rsidR="00A24894" w:rsidRPr="000C791E" w:rsidRDefault="00A24894" w:rsidP="00521573">
            <w:pPr>
              <w:rPr>
                <w:rFonts w:cs="Times New Roman"/>
                <w:szCs w:val="24"/>
              </w:rPr>
            </w:pPr>
            <w:r w:rsidRPr="000C791E">
              <w:rPr>
                <w:rFonts w:cs="Times New Roman"/>
                <w:szCs w:val="24"/>
              </w:rPr>
              <w:t>13</w:t>
            </w:r>
            <w:r>
              <w:rPr>
                <w:rFonts w:cs="Times New Roman"/>
                <w:szCs w:val="24"/>
              </w:rPr>
              <w:t>8</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5.1.</w:t>
            </w:r>
          </w:p>
        </w:tc>
        <w:tc>
          <w:tcPr>
            <w:tcW w:w="7079" w:type="dxa"/>
          </w:tcPr>
          <w:p w:rsidR="00A24894" w:rsidRPr="000C791E" w:rsidRDefault="00A24894" w:rsidP="00521573">
            <w:pPr>
              <w:rPr>
                <w:rFonts w:cs="Times New Roman"/>
                <w:szCs w:val="24"/>
              </w:rPr>
            </w:pPr>
            <w:r w:rsidRPr="000C791E">
              <w:rPr>
                <w:rFonts w:cs="Times New Roman"/>
                <w:szCs w:val="24"/>
              </w:rPr>
              <w:t>Introduction, the use of focus groups</w:t>
            </w:r>
          </w:p>
        </w:tc>
        <w:tc>
          <w:tcPr>
            <w:tcW w:w="683" w:type="dxa"/>
          </w:tcPr>
          <w:p w:rsidR="00A24894" w:rsidRPr="000C791E" w:rsidRDefault="00A24894" w:rsidP="00521573">
            <w:pPr>
              <w:rPr>
                <w:rFonts w:cs="Times New Roman"/>
                <w:szCs w:val="24"/>
              </w:rPr>
            </w:pPr>
            <w:r w:rsidRPr="000C791E">
              <w:rPr>
                <w:rFonts w:cs="Times New Roman"/>
                <w:szCs w:val="24"/>
              </w:rPr>
              <w:t>13</w:t>
            </w:r>
            <w:r>
              <w:rPr>
                <w:rFonts w:cs="Times New Roman"/>
                <w:szCs w:val="24"/>
              </w:rPr>
              <w:t>8</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5.2.</w:t>
            </w:r>
          </w:p>
        </w:tc>
        <w:tc>
          <w:tcPr>
            <w:tcW w:w="7079" w:type="dxa"/>
          </w:tcPr>
          <w:p w:rsidR="00A24894" w:rsidRPr="000C791E" w:rsidRDefault="00A24894" w:rsidP="00521573">
            <w:pPr>
              <w:rPr>
                <w:rFonts w:cs="Times New Roman"/>
                <w:szCs w:val="24"/>
              </w:rPr>
            </w:pPr>
            <w:r w:rsidRPr="000C791E">
              <w:rPr>
                <w:rFonts w:cs="Times New Roman"/>
                <w:szCs w:val="24"/>
              </w:rPr>
              <w:t>Focus groups in 2012 and 2015</w:t>
            </w:r>
          </w:p>
        </w:tc>
        <w:tc>
          <w:tcPr>
            <w:tcW w:w="683" w:type="dxa"/>
          </w:tcPr>
          <w:p w:rsidR="00A24894" w:rsidRPr="000C791E" w:rsidRDefault="00A24894" w:rsidP="00521573">
            <w:pPr>
              <w:rPr>
                <w:rFonts w:cs="Times New Roman"/>
                <w:szCs w:val="24"/>
              </w:rPr>
            </w:pPr>
            <w:r w:rsidRPr="000C791E">
              <w:rPr>
                <w:rFonts w:cs="Times New Roman"/>
                <w:szCs w:val="24"/>
              </w:rPr>
              <w:t>13</w:t>
            </w:r>
            <w:r>
              <w:rPr>
                <w:rFonts w:cs="Times New Roman"/>
                <w:szCs w:val="24"/>
              </w:rPr>
              <w:t>8</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5.2.1.</w:t>
            </w:r>
          </w:p>
        </w:tc>
        <w:tc>
          <w:tcPr>
            <w:tcW w:w="7079" w:type="dxa"/>
          </w:tcPr>
          <w:p w:rsidR="00A24894" w:rsidRPr="000C791E" w:rsidRDefault="00A24894" w:rsidP="00521573">
            <w:pPr>
              <w:rPr>
                <w:rFonts w:cs="Times New Roman"/>
                <w:szCs w:val="24"/>
              </w:rPr>
            </w:pPr>
            <w:r w:rsidRPr="000C791E">
              <w:rPr>
                <w:rFonts w:cs="Times New Roman"/>
                <w:szCs w:val="24"/>
              </w:rPr>
              <w:t>Demographics of the focus groups, 2012</w:t>
            </w:r>
          </w:p>
        </w:tc>
        <w:tc>
          <w:tcPr>
            <w:tcW w:w="683" w:type="dxa"/>
          </w:tcPr>
          <w:p w:rsidR="00A24894" w:rsidRPr="000C791E" w:rsidRDefault="00A24894" w:rsidP="00521573">
            <w:pPr>
              <w:rPr>
                <w:rFonts w:cs="Times New Roman"/>
                <w:szCs w:val="24"/>
              </w:rPr>
            </w:pPr>
            <w:r w:rsidRPr="000C791E">
              <w:rPr>
                <w:rFonts w:cs="Times New Roman"/>
                <w:szCs w:val="24"/>
              </w:rPr>
              <w:t>1</w:t>
            </w:r>
            <w:r>
              <w:rPr>
                <w:rFonts w:cs="Times New Roman"/>
                <w:szCs w:val="24"/>
              </w:rPr>
              <w:t>39</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5.2.2.</w:t>
            </w:r>
          </w:p>
        </w:tc>
        <w:tc>
          <w:tcPr>
            <w:tcW w:w="7079" w:type="dxa"/>
          </w:tcPr>
          <w:p w:rsidR="00A24894" w:rsidRPr="000C791E" w:rsidRDefault="00A24894" w:rsidP="00521573">
            <w:pPr>
              <w:rPr>
                <w:rFonts w:cs="Times New Roman"/>
                <w:szCs w:val="24"/>
              </w:rPr>
            </w:pPr>
            <w:r w:rsidRPr="000C791E">
              <w:rPr>
                <w:rFonts w:cs="Times New Roman"/>
                <w:szCs w:val="24"/>
              </w:rPr>
              <w:t>Demographics of the focus groups, 2015</w:t>
            </w:r>
          </w:p>
        </w:tc>
        <w:tc>
          <w:tcPr>
            <w:tcW w:w="683" w:type="dxa"/>
          </w:tcPr>
          <w:p w:rsidR="00A24894" w:rsidRPr="000C791E" w:rsidRDefault="00A24894" w:rsidP="00521573">
            <w:pPr>
              <w:rPr>
                <w:rFonts w:cs="Times New Roman"/>
                <w:szCs w:val="24"/>
              </w:rPr>
            </w:pPr>
            <w:r w:rsidRPr="000C791E">
              <w:rPr>
                <w:rFonts w:cs="Times New Roman"/>
                <w:szCs w:val="24"/>
              </w:rPr>
              <w:t>14</w:t>
            </w:r>
            <w:r>
              <w:rPr>
                <w:rFonts w:cs="Times New Roman"/>
                <w:szCs w:val="24"/>
              </w:rPr>
              <w:t>0</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5.3.</w:t>
            </w:r>
          </w:p>
        </w:tc>
        <w:tc>
          <w:tcPr>
            <w:tcW w:w="7079" w:type="dxa"/>
          </w:tcPr>
          <w:p w:rsidR="00A24894" w:rsidRPr="000C791E" w:rsidRDefault="00A24894" w:rsidP="00521573">
            <w:pPr>
              <w:rPr>
                <w:rFonts w:cs="Times New Roman"/>
                <w:szCs w:val="24"/>
              </w:rPr>
            </w:pPr>
            <w:r w:rsidRPr="000C791E">
              <w:rPr>
                <w:rFonts w:cs="Times New Roman"/>
                <w:szCs w:val="24"/>
              </w:rPr>
              <w:t>Focus groups, procedure</w:t>
            </w:r>
          </w:p>
        </w:tc>
        <w:tc>
          <w:tcPr>
            <w:tcW w:w="683" w:type="dxa"/>
          </w:tcPr>
          <w:p w:rsidR="00A24894" w:rsidRPr="000C791E" w:rsidRDefault="00A24894" w:rsidP="00521573">
            <w:pPr>
              <w:rPr>
                <w:rFonts w:cs="Times New Roman"/>
                <w:szCs w:val="24"/>
              </w:rPr>
            </w:pPr>
            <w:r w:rsidRPr="000C791E">
              <w:rPr>
                <w:rFonts w:cs="Times New Roman"/>
                <w:szCs w:val="24"/>
              </w:rPr>
              <w:t>14</w:t>
            </w:r>
            <w:r>
              <w:rPr>
                <w:rFonts w:cs="Times New Roman"/>
                <w:szCs w:val="24"/>
              </w:rPr>
              <w:t>0</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5.4.</w:t>
            </w:r>
          </w:p>
        </w:tc>
        <w:tc>
          <w:tcPr>
            <w:tcW w:w="7079" w:type="dxa"/>
          </w:tcPr>
          <w:p w:rsidR="00A24894" w:rsidRPr="000C791E" w:rsidRDefault="00A24894" w:rsidP="00521573">
            <w:pPr>
              <w:rPr>
                <w:rFonts w:cs="Times New Roman"/>
                <w:szCs w:val="24"/>
              </w:rPr>
            </w:pPr>
            <w:r w:rsidRPr="000C791E">
              <w:rPr>
                <w:rFonts w:cs="Times New Roman"/>
                <w:szCs w:val="24"/>
              </w:rPr>
              <w:t>Results of the focus groups in 2012</w:t>
            </w:r>
          </w:p>
        </w:tc>
        <w:tc>
          <w:tcPr>
            <w:tcW w:w="683" w:type="dxa"/>
          </w:tcPr>
          <w:p w:rsidR="00A24894" w:rsidRPr="000C791E" w:rsidRDefault="00A24894" w:rsidP="00521573">
            <w:pPr>
              <w:rPr>
                <w:rFonts w:cs="Times New Roman"/>
                <w:szCs w:val="24"/>
              </w:rPr>
            </w:pPr>
            <w:r w:rsidRPr="000C791E">
              <w:rPr>
                <w:rFonts w:cs="Times New Roman"/>
                <w:szCs w:val="24"/>
              </w:rPr>
              <w:t>14</w:t>
            </w:r>
            <w:r>
              <w:rPr>
                <w:rFonts w:cs="Times New Roman"/>
                <w:szCs w:val="24"/>
              </w:rPr>
              <w:t>2</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5.4.1.</w:t>
            </w:r>
          </w:p>
        </w:tc>
        <w:tc>
          <w:tcPr>
            <w:tcW w:w="7079" w:type="dxa"/>
          </w:tcPr>
          <w:p w:rsidR="00A24894" w:rsidRPr="000C791E" w:rsidRDefault="00A24894" w:rsidP="00521573">
            <w:pPr>
              <w:rPr>
                <w:rFonts w:cs="Times New Roman"/>
                <w:szCs w:val="24"/>
              </w:rPr>
            </w:pPr>
            <w:r w:rsidRPr="000C791E">
              <w:rPr>
                <w:rFonts w:cs="Times New Roman"/>
                <w:szCs w:val="24"/>
              </w:rPr>
              <w:t>Perceived benefits and concerns with solar thermal panels, 2012</w:t>
            </w:r>
          </w:p>
        </w:tc>
        <w:tc>
          <w:tcPr>
            <w:tcW w:w="683" w:type="dxa"/>
          </w:tcPr>
          <w:p w:rsidR="00A24894" w:rsidRPr="000C791E" w:rsidRDefault="00A24894" w:rsidP="00521573">
            <w:pPr>
              <w:rPr>
                <w:rFonts w:cs="Times New Roman"/>
                <w:szCs w:val="24"/>
              </w:rPr>
            </w:pPr>
            <w:r w:rsidRPr="000C791E">
              <w:rPr>
                <w:rFonts w:cs="Times New Roman"/>
                <w:szCs w:val="24"/>
              </w:rPr>
              <w:t>14</w:t>
            </w:r>
            <w:r>
              <w:rPr>
                <w:rFonts w:cs="Times New Roman"/>
                <w:szCs w:val="24"/>
              </w:rPr>
              <w:t>2</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5.4.2.</w:t>
            </w:r>
          </w:p>
        </w:tc>
        <w:tc>
          <w:tcPr>
            <w:tcW w:w="7079" w:type="dxa"/>
          </w:tcPr>
          <w:p w:rsidR="00A24894" w:rsidRPr="000C791E" w:rsidRDefault="00A24894" w:rsidP="00521573">
            <w:pPr>
              <w:rPr>
                <w:rFonts w:cs="Times New Roman"/>
                <w:szCs w:val="24"/>
              </w:rPr>
            </w:pPr>
            <w:r w:rsidRPr="000C791E">
              <w:rPr>
                <w:rFonts w:cs="Times New Roman"/>
                <w:szCs w:val="24"/>
              </w:rPr>
              <w:t>Reasons for adopting STPs or not adopting STPs, 2012</w:t>
            </w:r>
          </w:p>
        </w:tc>
        <w:tc>
          <w:tcPr>
            <w:tcW w:w="683" w:type="dxa"/>
          </w:tcPr>
          <w:p w:rsidR="00A24894" w:rsidRPr="000C791E" w:rsidRDefault="00A24894" w:rsidP="00521573">
            <w:pPr>
              <w:rPr>
                <w:rFonts w:cs="Times New Roman"/>
                <w:szCs w:val="24"/>
              </w:rPr>
            </w:pPr>
            <w:r w:rsidRPr="000C791E">
              <w:rPr>
                <w:rFonts w:cs="Times New Roman"/>
                <w:szCs w:val="24"/>
              </w:rPr>
              <w:t>14</w:t>
            </w:r>
            <w:r>
              <w:rPr>
                <w:rFonts w:cs="Times New Roman"/>
                <w:szCs w:val="24"/>
              </w:rPr>
              <w:t>6</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5.4.3.</w:t>
            </w:r>
          </w:p>
        </w:tc>
        <w:tc>
          <w:tcPr>
            <w:tcW w:w="7079" w:type="dxa"/>
          </w:tcPr>
          <w:p w:rsidR="00A24894" w:rsidRPr="000C791E" w:rsidRDefault="00A24894" w:rsidP="00521573">
            <w:pPr>
              <w:rPr>
                <w:rFonts w:cs="Times New Roman"/>
                <w:szCs w:val="24"/>
              </w:rPr>
            </w:pPr>
            <w:r w:rsidRPr="000C791E">
              <w:rPr>
                <w:rFonts w:cs="Times New Roman"/>
                <w:szCs w:val="24"/>
              </w:rPr>
              <w:t>Receiving information about STPs, 2012</w:t>
            </w:r>
          </w:p>
        </w:tc>
        <w:tc>
          <w:tcPr>
            <w:tcW w:w="683" w:type="dxa"/>
          </w:tcPr>
          <w:p w:rsidR="00A24894" w:rsidRPr="000C791E" w:rsidRDefault="00A24894" w:rsidP="00521573">
            <w:pPr>
              <w:rPr>
                <w:rFonts w:cs="Times New Roman"/>
                <w:szCs w:val="24"/>
              </w:rPr>
            </w:pPr>
            <w:r w:rsidRPr="000C791E">
              <w:rPr>
                <w:rFonts w:cs="Times New Roman"/>
                <w:szCs w:val="24"/>
              </w:rPr>
              <w:t>14</w:t>
            </w:r>
            <w:r>
              <w:rPr>
                <w:rFonts w:cs="Times New Roman"/>
                <w:szCs w:val="24"/>
              </w:rPr>
              <w:t>6</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5.4.4.</w:t>
            </w:r>
          </w:p>
        </w:tc>
        <w:tc>
          <w:tcPr>
            <w:tcW w:w="7079" w:type="dxa"/>
          </w:tcPr>
          <w:p w:rsidR="00A24894" w:rsidRPr="000C791E" w:rsidRDefault="00A24894" w:rsidP="00521573">
            <w:pPr>
              <w:rPr>
                <w:rFonts w:cs="Times New Roman"/>
                <w:szCs w:val="24"/>
              </w:rPr>
            </w:pPr>
            <w:r w:rsidRPr="000C791E">
              <w:rPr>
                <w:rFonts w:cs="Times New Roman"/>
                <w:szCs w:val="24"/>
              </w:rPr>
              <w:t>Trust issues, 2012</w:t>
            </w:r>
          </w:p>
        </w:tc>
        <w:tc>
          <w:tcPr>
            <w:tcW w:w="683" w:type="dxa"/>
          </w:tcPr>
          <w:p w:rsidR="00A24894" w:rsidRPr="000C791E" w:rsidRDefault="00A24894" w:rsidP="00521573">
            <w:pPr>
              <w:rPr>
                <w:rFonts w:cs="Times New Roman"/>
                <w:szCs w:val="24"/>
              </w:rPr>
            </w:pPr>
            <w:r w:rsidRPr="000C791E">
              <w:rPr>
                <w:rFonts w:cs="Times New Roman"/>
                <w:szCs w:val="24"/>
              </w:rPr>
              <w:t>14</w:t>
            </w:r>
            <w:r>
              <w:rPr>
                <w:rFonts w:cs="Times New Roman"/>
                <w:szCs w:val="24"/>
              </w:rPr>
              <w:t>8</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5.5.</w:t>
            </w:r>
          </w:p>
        </w:tc>
        <w:tc>
          <w:tcPr>
            <w:tcW w:w="7079" w:type="dxa"/>
          </w:tcPr>
          <w:p w:rsidR="00A24894" w:rsidRPr="000C791E" w:rsidRDefault="00A24894" w:rsidP="00521573">
            <w:pPr>
              <w:rPr>
                <w:rFonts w:cs="Times New Roman"/>
                <w:szCs w:val="24"/>
              </w:rPr>
            </w:pPr>
            <w:r w:rsidRPr="000C791E">
              <w:rPr>
                <w:rFonts w:cs="Times New Roman"/>
                <w:szCs w:val="24"/>
              </w:rPr>
              <w:t>Results of the focus groups in 2015</w:t>
            </w:r>
          </w:p>
        </w:tc>
        <w:tc>
          <w:tcPr>
            <w:tcW w:w="683" w:type="dxa"/>
          </w:tcPr>
          <w:p w:rsidR="00A24894" w:rsidRPr="000C791E" w:rsidRDefault="00A24894" w:rsidP="00521573">
            <w:pPr>
              <w:rPr>
                <w:rFonts w:cs="Times New Roman"/>
                <w:szCs w:val="24"/>
              </w:rPr>
            </w:pPr>
            <w:r w:rsidRPr="000C791E">
              <w:rPr>
                <w:rFonts w:cs="Times New Roman"/>
                <w:szCs w:val="24"/>
              </w:rPr>
              <w:t>1</w:t>
            </w:r>
            <w:r>
              <w:rPr>
                <w:rFonts w:cs="Times New Roman"/>
                <w:szCs w:val="24"/>
              </w:rPr>
              <w:t>49</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5.6.</w:t>
            </w:r>
          </w:p>
        </w:tc>
        <w:tc>
          <w:tcPr>
            <w:tcW w:w="7079" w:type="dxa"/>
          </w:tcPr>
          <w:p w:rsidR="00A24894" w:rsidRPr="000C791E" w:rsidRDefault="00A24894" w:rsidP="00521573">
            <w:pPr>
              <w:rPr>
                <w:rFonts w:cs="Times New Roman"/>
                <w:szCs w:val="24"/>
              </w:rPr>
            </w:pPr>
            <w:r w:rsidRPr="000C791E">
              <w:rPr>
                <w:rFonts w:cs="Times New Roman"/>
                <w:szCs w:val="24"/>
              </w:rPr>
              <w:t>Discussion of findings from focus groups, 2012 and 2015</w:t>
            </w:r>
          </w:p>
        </w:tc>
        <w:tc>
          <w:tcPr>
            <w:tcW w:w="683" w:type="dxa"/>
          </w:tcPr>
          <w:p w:rsidR="00A24894" w:rsidRPr="000C791E" w:rsidRDefault="00A24894" w:rsidP="00521573">
            <w:pPr>
              <w:rPr>
                <w:rFonts w:cs="Times New Roman"/>
                <w:szCs w:val="24"/>
              </w:rPr>
            </w:pPr>
            <w:r w:rsidRPr="000C791E">
              <w:rPr>
                <w:rFonts w:cs="Times New Roman"/>
                <w:szCs w:val="24"/>
              </w:rPr>
              <w:t>15</w:t>
            </w:r>
            <w:r>
              <w:rPr>
                <w:rFonts w:cs="Times New Roman"/>
                <w:szCs w:val="24"/>
              </w:rPr>
              <w:t>2</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5.7.</w:t>
            </w:r>
          </w:p>
        </w:tc>
        <w:tc>
          <w:tcPr>
            <w:tcW w:w="7079" w:type="dxa"/>
          </w:tcPr>
          <w:p w:rsidR="00A24894" w:rsidRPr="000C791E" w:rsidRDefault="00A24894" w:rsidP="00521573">
            <w:pPr>
              <w:rPr>
                <w:rFonts w:cs="Times New Roman"/>
                <w:szCs w:val="24"/>
              </w:rPr>
            </w:pPr>
            <w:r w:rsidRPr="000C791E">
              <w:rPr>
                <w:rFonts w:cs="Times New Roman"/>
                <w:szCs w:val="24"/>
              </w:rPr>
              <w:t>Conclusions from semi-structured interviews and focus groups 2012 and 2015</w:t>
            </w:r>
          </w:p>
        </w:tc>
        <w:tc>
          <w:tcPr>
            <w:tcW w:w="683" w:type="dxa"/>
          </w:tcPr>
          <w:p w:rsidR="00A24894" w:rsidRPr="000C791E" w:rsidRDefault="00A24894" w:rsidP="00521573">
            <w:pPr>
              <w:rPr>
                <w:rFonts w:cs="Times New Roman"/>
                <w:szCs w:val="24"/>
              </w:rPr>
            </w:pPr>
            <w:r w:rsidRPr="000C791E">
              <w:rPr>
                <w:rFonts w:cs="Times New Roman"/>
                <w:szCs w:val="24"/>
              </w:rPr>
              <w:t>15</w:t>
            </w:r>
            <w:r>
              <w:rPr>
                <w:rFonts w:cs="Times New Roman"/>
                <w:szCs w:val="24"/>
              </w:rPr>
              <w:t>3</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 xml:space="preserve">5.8. </w:t>
            </w:r>
          </w:p>
        </w:tc>
        <w:tc>
          <w:tcPr>
            <w:tcW w:w="7079" w:type="dxa"/>
          </w:tcPr>
          <w:p w:rsidR="00A24894" w:rsidRPr="000C791E" w:rsidRDefault="00A24894" w:rsidP="00521573">
            <w:pPr>
              <w:rPr>
                <w:rFonts w:cs="Times New Roman"/>
                <w:szCs w:val="24"/>
              </w:rPr>
            </w:pPr>
            <w:r w:rsidRPr="000C791E">
              <w:rPr>
                <w:rFonts w:cs="Times New Roman"/>
                <w:szCs w:val="24"/>
              </w:rPr>
              <w:t>The TAM and the TAM = Trust to describe consumer behaviour with respect to solar thermal panels</w:t>
            </w:r>
          </w:p>
        </w:tc>
        <w:tc>
          <w:tcPr>
            <w:tcW w:w="683" w:type="dxa"/>
          </w:tcPr>
          <w:p w:rsidR="00A24894" w:rsidRPr="000C791E" w:rsidRDefault="00A24894" w:rsidP="00521573">
            <w:pPr>
              <w:rPr>
                <w:rFonts w:cs="Times New Roman"/>
                <w:szCs w:val="24"/>
              </w:rPr>
            </w:pPr>
            <w:r w:rsidRPr="000C791E">
              <w:rPr>
                <w:rFonts w:cs="Times New Roman"/>
                <w:szCs w:val="24"/>
              </w:rPr>
              <w:t>15</w:t>
            </w:r>
            <w:r>
              <w:rPr>
                <w:rFonts w:cs="Times New Roman"/>
                <w:szCs w:val="24"/>
              </w:rPr>
              <w:t>4</w:t>
            </w: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5.9.</w:t>
            </w:r>
          </w:p>
        </w:tc>
        <w:tc>
          <w:tcPr>
            <w:tcW w:w="7079" w:type="dxa"/>
          </w:tcPr>
          <w:p w:rsidR="00A24894" w:rsidRPr="000C791E" w:rsidRDefault="00A24894" w:rsidP="00521573">
            <w:pPr>
              <w:rPr>
                <w:rFonts w:cs="Times New Roman"/>
                <w:szCs w:val="24"/>
              </w:rPr>
            </w:pPr>
            <w:r w:rsidRPr="000C791E">
              <w:rPr>
                <w:rFonts w:cs="Times New Roman"/>
                <w:szCs w:val="24"/>
              </w:rPr>
              <w:t>Potential direction for future research</w:t>
            </w:r>
          </w:p>
        </w:tc>
        <w:tc>
          <w:tcPr>
            <w:tcW w:w="683" w:type="dxa"/>
          </w:tcPr>
          <w:p w:rsidR="00A24894" w:rsidRPr="000C791E" w:rsidRDefault="00A24894" w:rsidP="00521573">
            <w:pPr>
              <w:rPr>
                <w:rFonts w:cs="Times New Roman"/>
                <w:szCs w:val="24"/>
              </w:rPr>
            </w:pPr>
            <w:r w:rsidRPr="000C791E">
              <w:rPr>
                <w:rFonts w:cs="Times New Roman"/>
                <w:szCs w:val="24"/>
              </w:rPr>
              <w:t>15</w:t>
            </w:r>
            <w:r>
              <w:rPr>
                <w:rFonts w:cs="Times New Roman"/>
                <w:szCs w:val="24"/>
              </w:rPr>
              <w:t>6</w:t>
            </w:r>
          </w:p>
        </w:tc>
      </w:tr>
      <w:tr w:rsidR="00A24894" w:rsidRPr="000C791E" w:rsidTr="00521573">
        <w:tc>
          <w:tcPr>
            <w:tcW w:w="1163" w:type="dxa"/>
          </w:tcPr>
          <w:p w:rsidR="00A24894" w:rsidRPr="000C791E" w:rsidRDefault="00A24894" w:rsidP="00521573">
            <w:pPr>
              <w:rPr>
                <w:rFonts w:cs="Times New Roman"/>
                <w:szCs w:val="24"/>
              </w:rPr>
            </w:pPr>
          </w:p>
        </w:tc>
        <w:tc>
          <w:tcPr>
            <w:tcW w:w="7079" w:type="dxa"/>
          </w:tcPr>
          <w:p w:rsidR="00A24894" w:rsidRPr="000C791E" w:rsidRDefault="00A24894" w:rsidP="00521573">
            <w:pPr>
              <w:rPr>
                <w:rFonts w:cs="Times New Roman"/>
                <w:szCs w:val="24"/>
              </w:rPr>
            </w:pPr>
          </w:p>
        </w:tc>
        <w:tc>
          <w:tcPr>
            <w:tcW w:w="683" w:type="dxa"/>
          </w:tcPr>
          <w:p w:rsidR="00A24894" w:rsidRPr="000C791E" w:rsidRDefault="00A24894" w:rsidP="00521573">
            <w:pPr>
              <w:rPr>
                <w:rFonts w:cs="Times New Roman"/>
                <w:szCs w:val="24"/>
              </w:rPr>
            </w:pPr>
          </w:p>
        </w:tc>
      </w:tr>
      <w:tr w:rsidR="00A24894" w:rsidRPr="000C791E" w:rsidTr="00521573">
        <w:tc>
          <w:tcPr>
            <w:tcW w:w="1163" w:type="dxa"/>
          </w:tcPr>
          <w:p w:rsidR="00A24894" w:rsidRPr="000C791E" w:rsidRDefault="00A24894" w:rsidP="00521573">
            <w:pPr>
              <w:rPr>
                <w:rFonts w:cs="Times New Roman"/>
                <w:szCs w:val="24"/>
              </w:rPr>
            </w:pPr>
          </w:p>
        </w:tc>
        <w:tc>
          <w:tcPr>
            <w:tcW w:w="7079" w:type="dxa"/>
          </w:tcPr>
          <w:p w:rsidR="00A24894" w:rsidRPr="000C791E" w:rsidRDefault="00A24894" w:rsidP="00521573">
            <w:pPr>
              <w:rPr>
                <w:rFonts w:cs="Times New Roman"/>
                <w:szCs w:val="24"/>
              </w:rPr>
            </w:pPr>
          </w:p>
        </w:tc>
        <w:tc>
          <w:tcPr>
            <w:tcW w:w="683" w:type="dxa"/>
          </w:tcPr>
          <w:p w:rsidR="00A24894" w:rsidRPr="000C791E" w:rsidRDefault="00A24894" w:rsidP="00521573">
            <w:pPr>
              <w:rPr>
                <w:rFonts w:cs="Times New Roman"/>
                <w:szCs w:val="24"/>
              </w:rPr>
            </w:pP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6</w:t>
            </w:r>
          </w:p>
        </w:tc>
        <w:tc>
          <w:tcPr>
            <w:tcW w:w="7079" w:type="dxa"/>
          </w:tcPr>
          <w:p w:rsidR="00A24894" w:rsidRPr="000C791E" w:rsidRDefault="00A24894" w:rsidP="00521573">
            <w:pPr>
              <w:rPr>
                <w:rFonts w:cs="Times New Roman"/>
                <w:szCs w:val="24"/>
              </w:rPr>
            </w:pPr>
            <w:r w:rsidRPr="000C791E">
              <w:rPr>
                <w:rFonts w:cs="Times New Roman"/>
                <w:szCs w:val="24"/>
              </w:rPr>
              <w:t xml:space="preserve">CHAPTER SIX, Concluding remarks and future direction for research </w:t>
            </w:r>
          </w:p>
        </w:tc>
        <w:tc>
          <w:tcPr>
            <w:tcW w:w="683" w:type="dxa"/>
          </w:tcPr>
          <w:p w:rsidR="00A24894" w:rsidRPr="000C791E" w:rsidRDefault="00A24894" w:rsidP="00521573">
            <w:pPr>
              <w:rPr>
                <w:rFonts w:cs="Times New Roman"/>
                <w:szCs w:val="24"/>
              </w:rPr>
            </w:pPr>
            <w:r w:rsidRPr="000C791E">
              <w:rPr>
                <w:rFonts w:cs="Times New Roman"/>
                <w:szCs w:val="24"/>
              </w:rPr>
              <w:t>15</w:t>
            </w:r>
            <w:r>
              <w:rPr>
                <w:rFonts w:cs="Times New Roman"/>
                <w:szCs w:val="24"/>
              </w:rPr>
              <w:t>7</w:t>
            </w:r>
          </w:p>
        </w:tc>
      </w:tr>
      <w:tr w:rsidR="00A24894" w:rsidRPr="000C791E" w:rsidTr="00521573">
        <w:tc>
          <w:tcPr>
            <w:tcW w:w="1163" w:type="dxa"/>
          </w:tcPr>
          <w:p w:rsidR="00A24894" w:rsidRPr="000C791E" w:rsidRDefault="00A24894" w:rsidP="00521573">
            <w:pPr>
              <w:rPr>
                <w:rFonts w:cs="Times New Roman"/>
                <w:szCs w:val="24"/>
              </w:rPr>
            </w:pPr>
          </w:p>
        </w:tc>
        <w:tc>
          <w:tcPr>
            <w:tcW w:w="7079" w:type="dxa"/>
          </w:tcPr>
          <w:p w:rsidR="00A24894" w:rsidRPr="000C791E" w:rsidRDefault="00A24894" w:rsidP="00521573">
            <w:pPr>
              <w:rPr>
                <w:rFonts w:cs="Times New Roman"/>
                <w:szCs w:val="24"/>
              </w:rPr>
            </w:pPr>
          </w:p>
        </w:tc>
        <w:tc>
          <w:tcPr>
            <w:tcW w:w="683" w:type="dxa"/>
          </w:tcPr>
          <w:p w:rsidR="00A24894" w:rsidRPr="000C791E" w:rsidRDefault="00A24894" w:rsidP="00521573">
            <w:pPr>
              <w:rPr>
                <w:rFonts w:cs="Times New Roman"/>
                <w:szCs w:val="24"/>
              </w:rPr>
            </w:pPr>
          </w:p>
        </w:tc>
      </w:tr>
      <w:tr w:rsidR="00A24894" w:rsidRPr="000C791E" w:rsidTr="00521573">
        <w:tc>
          <w:tcPr>
            <w:tcW w:w="1163" w:type="dxa"/>
          </w:tcPr>
          <w:p w:rsidR="00A24894" w:rsidRPr="000C791E" w:rsidRDefault="00A24894" w:rsidP="00521573">
            <w:pPr>
              <w:rPr>
                <w:rFonts w:cs="Times New Roman"/>
                <w:szCs w:val="24"/>
              </w:rPr>
            </w:pPr>
          </w:p>
        </w:tc>
        <w:tc>
          <w:tcPr>
            <w:tcW w:w="7079" w:type="dxa"/>
          </w:tcPr>
          <w:p w:rsidR="00A24894" w:rsidRPr="000C791E" w:rsidRDefault="00A24894" w:rsidP="00521573">
            <w:pPr>
              <w:rPr>
                <w:rFonts w:cs="Times New Roman"/>
                <w:szCs w:val="24"/>
              </w:rPr>
            </w:pPr>
          </w:p>
        </w:tc>
        <w:tc>
          <w:tcPr>
            <w:tcW w:w="683" w:type="dxa"/>
          </w:tcPr>
          <w:p w:rsidR="00A24894" w:rsidRPr="000C791E" w:rsidRDefault="00A24894" w:rsidP="00521573">
            <w:pPr>
              <w:rPr>
                <w:rFonts w:cs="Times New Roman"/>
                <w:szCs w:val="24"/>
              </w:rPr>
            </w:pPr>
          </w:p>
        </w:tc>
      </w:tr>
      <w:tr w:rsidR="00A24894" w:rsidRPr="000C791E" w:rsidTr="00521573">
        <w:tc>
          <w:tcPr>
            <w:tcW w:w="1163" w:type="dxa"/>
          </w:tcPr>
          <w:p w:rsidR="00A24894" w:rsidRPr="000C791E" w:rsidRDefault="00A24894" w:rsidP="00521573">
            <w:pPr>
              <w:rPr>
                <w:rFonts w:cs="Times New Roman"/>
                <w:szCs w:val="24"/>
              </w:rPr>
            </w:pPr>
            <w:r w:rsidRPr="000C791E">
              <w:rPr>
                <w:rFonts w:cs="Times New Roman"/>
                <w:szCs w:val="24"/>
              </w:rPr>
              <w:t>7</w:t>
            </w:r>
          </w:p>
        </w:tc>
        <w:tc>
          <w:tcPr>
            <w:tcW w:w="7079" w:type="dxa"/>
          </w:tcPr>
          <w:p w:rsidR="00A24894" w:rsidRPr="000C791E" w:rsidRDefault="00A24894" w:rsidP="00521573">
            <w:pPr>
              <w:rPr>
                <w:rFonts w:cs="Times New Roman"/>
                <w:szCs w:val="24"/>
              </w:rPr>
            </w:pPr>
            <w:r w:rsidRPr="000C791E">
              <w:rPr>
                <w:rFonts w:cs="Times New Roman"/>
                <w:szCs w:val="24"/>
              </w:rPr>
              <w:t>APPENDIX</w:t>
            </w:r>
          </w:p>
        </w:tc>
        <w:tc>
          <w:tcPr>
            <w:tcW w:w="683" w:type="dxa"/>
          </w:tcPr>
          <w:p w:rsidR="00A24894" w:rsidRPr="000C791E" w:rsidRDefault="00A24894" w:rsidP="00521573">
            <w:pPr>
              <w:rPr>
                <w:rFonts w:cs="Times New Roman"/>
                <w:szCs w:val="24"/>
              </w:rPr>
            </w:pPr>
            <w:r w:rsidRPr="000C791E">
              <w:rPr>
                <w:rFonts w:cs="Times New Roman"/>
                <w:szCs w:val="24"/>
              </w:rPr>
              <w:t>16</w:t>
            </w:r>
            <w:r>
              <w:rPr>
                <w:rFonts w:cs="Times New Roman"/>
                <w:szCs w:val="24"/>
              </w:rPr>
              <w:t>0</w:t>
            </w:r>
          </w:p>
        </w:tc>
      </w:tr>
      <w:tr w:rsidR="00A24894" w:rsidRPr="000C791E" w:rsidTr="00521573">
        <w:tc>
          <w:tcPr>
            <w:tcW w:w="1163" w:type="dxa"/>
          </w:tcPr>
          <w:p w:rsidR="00A24894" w:rsidRPr="000C791E" w:rsidRDefault="00A24894" w:rsidP="00521573">
            <w:pPr>
              <w:rPr>
                <w:rFonts w:cs="Times New Roman"/>
                <w:szCs w:val="24"/>
              </w:rPr>
            </w:pPr>
          </w:p>
        </w:tc>
        <w:tc>
          <w:tcPr>
            <w:tcW w:w="7079" w:type="dxa"/>
          </w:tcPr>
          <w:p w:rsidR="00A24894" w:rsidRPr="000C791E" w:rsidRDefault="00A24894" w:rsidP="00521573">
            <w:pPr>
              <w:rPr>
                <w:rFonts w:cs="Times New Roman"/>
                <w:szCs w:val="24"/>
              </w:rPr>
            </w:pPr>
          </w:p>
        </w:tc>
        <w:tc>
          <w:tcPr>
            <w:tcW w:w="683" w:type="dxa"/>
          </w:tcPr>
          <w:p w:rsidR="00A24894" w:rsidRPr="000C791E" w:rsidRDefault="00A24894" w:rsidP="00521573">
            <w:pPr>
              <w:rPr>
                <w:rFonts w:cs="Times New Roman"/>
                <w:szCs w:val="24"/>
              </w:rPr>
            </w:pPr>
          </w:p>
        </w:tc>
      </w:tr>
      <w:tr w:rsidR="00A24894" w:rsidRPr="000C791E" w:rsidTr="00521573">
        <w:tc>
          <w:tcPr>
            <w:tcW w:w="1163" w:type="dxa"/>
          </w:tcPr>
          <w:p w:rsidR="00A24894" w:rsidRPr="000C791E" w:rsidRDefault="00A24894" w:rsidP="00521573">
            <w:pPr>
              <w:rPr>
                <w:rFonts w:cs="Times New Roman"/>
                <w:szCs w:val="24"/>
              </w:rPr>
            </w:pPr>
          </w:p>
        </w:tc>
        <w:tc>
          <w:tcPr>
            <w:tcW w:w="7079" w:type="dxa"/>
          </w:tcPr>
          <w:p w:rsidR="00A24894" w:rsidRPr="000C791E" w:rsidRDefault="00A24894" w:rsidP="00521573">
            <w:pPr>
              <w:rPr>
                <w:rFonts w:cs="Times New Roman"/>
                <w:szCs w:val="24"/>
              </w:rPr>
            </w:pPr>
          </w:p>
        </w:tc>
        <w:tc>
          <w:tcPr>
            <w:tcW w:w="683" w:type="dxa"/>
          </w:tcPr>
          <w:p w:rsidR="00A24894" w:rsidRPr="000C791E" w:rsidRDefault="00A24894" w:rsidP="00521573">
            <w:pPr>
              <w:rPr>
                <w:rFonts w:cs="Times New Roman"/>
                <w:szCs w:val="24"/>
              </w:rPr>
            </w:pPr>
          </w:p>
        </w:tc>
      </w:tr>
      <w:tr w:rsidR="00A24894" w:rsidRPr="000C791E" w:rsidTr="00521573">
        <w:tc>
          <w:tcPr>
            <w:tcW w:w="1163" w:type="dxa"/>
          </w:tcPr>
          <w:p w:rsidR="00A24894" w:rsidRPr="000C791E" w:rsidRDefault="00A24894" w:rsidP="00521573">
            <w:pPr>
              <w:rPr>
                <w:rFonts w:cs="Times New Roman"/>
                <w:szCs w:val="24"/>
              </w:rPr>
            </w:pPr>
          </w:p>
        </w:tc>
        <w:tc>
          <w:tcPr>
            <w:tcW w:w="7079" w:type="dxa"/>
          </w:tcPr>
          <w:p w:rsidR="00A24894" w:rsidRPr="000C791E" w:rsidRDefault="00A24894" w:rsidP="00521573">
            <w:pPr>
              <w:rPr>
                <w:rFonts w:cs="Times New Roman"/>
                <w:szCs w:val="24"/>
              </w:rPr>
            </w:pPr>
          </w:p>
        </w:tc>
        <w:tc>
          <w:tcPr>
            <w:tcW w:w="683" w:type="dxa"/>
          </w:tcPr>
          <w:p w:rsidR="00A24894" w:rsidRPr="000C791E" w:rsidRDefault="00A24894" w:rsidP="00521573">
            <w:pPr>
              <w:rPr>
                <w:rFonts w:cs="Times New Roman"/>
                <w:szCs w:val="24"/>
              </w:rPr>
            </w:pPr>
          </w:p>
        </w:tc>
      </w:tr>
      <w:tr w:rsidR="00A24894" w:rsidRPr="000C791E" w:rsidTr="00521573">
        <w:tc>
          <w:tcPr>
            <w:tcW w:w="1163" w:type="dxa"/>
          </w:tcPr>
          <w:p w:rsidR="00A24894" w:rsidRPr="000C791E" w:rsidRDefault="00A24894" w:rsidP="00521573">
            <w:pPr>
              <w:rPr>
                <w:rFonts w:cs="Times New Roman"/>
                <w:szCs w:val="24"/>
              </w:rPr>
            </w:pPr>
          </w:p>
        </w:tc>
        <w:tc>
          <w:tcPr>
            <w:tcW w:w="7079" w:type="dxa"/>
          </w:tcPr>
          <w:p w:rsidR="00A24894" w:rsidRPr="000C791E" w:rsidRDefault="00A24894" w:rsidP="00521573">
            <w:pPr>
              <w:rPr>
                <w:rFonts w:cs="Times New Roman"/>
                <w:szCs w:val="24"/>
              </w:rPr>
            </w:pPr>
          </w:p>
        </w:tc>
        <w:tc>
          <w:tcPr>
            <w:tcW w:w="683" w:type="dxa"/>
          </w:tcPr>
          <w:p w:rsidR="00A24894" w:rsidRPr="000C791E" w:rsidRDefault="00A24894" w:rsidP="00521573">
            <w:pPr>
              <w:rPr>
                <w:rFonts w:cs="Times New Roman"/>
                <w:szCs w:val="24"/>
              </w:rPr>
            </w:pPr>
          </w:p>
        </w:tc>
      </w:tr>
      <w:tr w:rsidR="00A24894" w:rsidRPr="000C791E" w:rsidTr="00521573">
        <w:tc>
          <w:tcPr>
            <w:tcW w:w="1163" w:type="dxa"/>
          </w:tcPr>
          <w:p w:rsidR="00A24894" w:rsidRPr="000C791E" w:rsidRDefault="00A24894" w:rsidP="00521573">
            <w:pPr>
              <w:rPr>
                <w:rFonts w:cs="Times New Roman"/>
                <w:szCs w:val="24"/>
              </w:rPr>
            </w:pPr>
          </w:p>
        </w:tc>
        <w:tc>
          <w:tcPr>
            <w:tcW w:w="7079" w:type="dxa"/>
          </w:tcPr>
          <w:p w:rsidR="00A24894" w:rsidRPr="000C791E" w:rsidRDefault="00A24894" w:rsidP="00521573">
            <w:pPr>
              <w:rPr>
                <w:rFonts w:cs="Times New Roman"/>
                <w:szCs w:val="24"/>
              </w:rPr>
            </w:pPr>
          </w:p>
        </w:tc>
        <w:tc>
          <w:tcPr>
            <w:tcW w:w="683" w:type="dxa"/>
          </w:tcPr>
          <w:p w:rsidR="00A24894" w:rsidRPr="000C791E" w:rsidRDefault="00A24894" w:rsidP="00521573">
            <w:pPr>
              <w:rPr>
                <w:rFonts w:cs="Times New Roman"/>
                <w:szCs w:val="24"/>
              </w:rPr>
            </w:pPr>
          </w:p>
        </w:tc>
      </w:tr>
    </w:tbl>
    <w:p w:rsidR="00A24894" w:rsidRPr="000C791E" w:rsidRDefault="00A24894" w:rsidP="00A24894">
      <w:pPr>
        <w:rPr>
          <w:szCs w:val="24"/>
        </w:rPr>
      </w:pPr>
    </w:p>
    <w:p w:rsidR="00A24894" w:rsidRPr="000C791E" w:rsidRDefault="00A24894" w:rsidP="00A24894">
      <w:pPr>
        <w:rPr>
          <w:szCs w:val="24"/>
        </w:rPr>
      </w:pPr>
    </w:p>
    <w:p w:rsidR="00736506" w:rsidRPr="00C90AC9" w:rsidRDefault="00736506" w:rsidP="00B06779">
      <w:pPr>
        <w:rPr>
          <w:rStyle w:val="SubtleEmphasis"/>
          <w:rFonts w:cs="Times New Roman"/>
          <w:bCs/>
          <w:i/>
          <w:color w:val="000000" w:themeColor="text1"/>
          <w:sz w:val="24"/>
          <w:szCs w:val="24"/>
        </w:rPr>
      </w:pPr>
      <w:r w:rsidRPr="00C90AC9">
        <w:rPr>
          <w:rStyle w:val="SubtleEmphasis"/>
          <w:rFonts w:cs="Times New Roman"/>
          <w:bCs/>
          <w:i/>
          <w:sz w:val="24"/>
          <w:szCs w:val="24"/>
        </w:rPr>
        <w:br w:type="page"/>
      </w:r>
    </w:p>
    <w:p w:rsidR="00A16B8C" w:rsidRPr="00C90AC9" w:rsidRDefault="00A16B8C" w:rsidP="00B06779">
      <w:pPr>
        <w:pStyle w:val="Heading11"/>
        <w:rPr>
          <w:rStyle w:val="SubtleEmphasis"/>
          <w:rFonts w:ascii="Times New Roman" w:hAnsi="Times New Roman" w:cs="Times New Roman"/>
          <w:bCs/>
          <w:sz w:val="36"/>
          <w:szCs w:val="24"/>
        </w:rPr>
      </w:pPr>
      <w:bookmarkStart w:id="7" w:name="_Hlk528652097"/>
      <w:r w:rsidRPr="00C90AC9">
        <w:rPr>
          <w:rStyle w:val="SubtleEmphasis"/>
          <w:rFonts w:ascii="Times New Roman" w:hAnsi="Times New Roman" w:cs="Times New Roman"/>
          <w:bCs/>
          <w:sz w:val="44"/>
          <w:szCs w:val="24"/>
        </w:rPr>
        <w:lastRenderedPageBreak/>
        <w:t>List of Figures</w:t>
      </w:r>
      <w:bookmarkEnd w:id="6"/>
      <w:r w:rsidR="007868D9" w:rsidRPr="00C90AC9">
        <w:rPr>
          <w:rStyle w:val="SubtleEmphasis"/>
          <w:rFonts w:ascii="Times New Roman" w:hAnsi="Times New Roman" w:cs="Times New Roman"/>
          <w:bCs/>
          <w:sz w:val="44"/>
          <w:szCs w:val="24"/>
        </w:rPr>
        <w:tab/>
      </w:r>
    </w:p>
    <w:p w:rsidR="00E753D2" w:rsidRPr="00C90AC9" w:rsidRDefault="006F0C85" w:rsidP="00E753D2">
      <w:r>
        <w:rPr>
          <w:sz w:val="22"/>
        </w:rPr>
        <w:pict>
          <v:rect id="_x0000_i1031" style="width:0;height:1.5pt" o:hralign="center" o:hrstd="t" o:hr="t" fillcolor="#a0a0a0" stroked="f"/>
        </w:pict>
      </w:r>
    </w:p>
    <w:tbl>
      <w:tblPr>
        <w:tblStyle w:val="TableGrid"/>
        <w:tblW w:w="9583" w:type="dxa"/>
        <w:tblLook w:val="04A0" w:firstRow="1" w:lastRow="0" w:firstColumn="1" w:lastColumn="0" w:noHBand="0" w:noVBand="1"/>
      </w:tblPr>
      <w:tblGrid>
        <w:gridCol w:w="1627"/>
        <w:gridCol w:w="5994"/>
        <w:gridCol w:w="135"/>
        <w:gridCol w:w="1707"/>
        <w:gridCol w:w="120"/>
      </w:tblGrid>
      <w:tr w:rsidR="00A16B8C" w:rsidRPr="00C90AC9" w:rsidTr="00A94D8C">
        <w:trPr>
          <w:trHeight w:hRule="exact" w:val="615"/>
        </w:trPr>
        <w:tc>
          <w:tcPr>
            <w:tcW w:w="1627" w:type="dxa"/>
            <w:tcBorders>
              <w:top w:val="nil"/>
              <w:left w:val="nil"/>
              <w:bottom w:val="nil"/>
              <w:right w:val="nil"/>
            </w:tcBorders>
          </w:tcPr>
          <w:p w:rsidR="00A16B8C" w:rsidRPr="00C90AC9" w:rsidRDefault="00A16B8C" w:rsidP="00B06779">
            <w:r w:rsidRPr="00C90AC9">
              <w:t>Figure 1.1.</w:t>
            </w:r>
          </w:p>
        </w:tc>
        <w:tc>
          <w:tcPr>
            <w:tcW w:w="6129" w:type="dxa"/>
            <w:gridSpan w:val="2"/>
            <w:tcBorders>
              <w:top w:val="nil"/>
              <w:left w:val="nil"/>
              <w:bottom w:val="nil"/>
              <w:right w:val="nil"/>
            </w:tcBorders>
          </w:tcPr>
          <w:p w:rsidR="00A16B8C" w:rsidRPr="00C90AC9" w:rsidRDefault="002C4A30" w:rsidP="00B06779">
            <w:r w:rsidRPr="00C90AC9">
              <w:rPr>
                <w:rFonts w:eastAsia="Calibri"/>
              </w:rPr>
              <w:t>World Primary Energy Supply in 1973 and 2009 in Million tons of oil (MTOE) equivalent</w:t>
            </w:r>
          </w:p>
        </w:tc>
        <w:tc>
          <w:tcPr>
            <w:tcW w:w="1827" w:type="dxa"/>
            <w:gridSpan w:val="2"/>
            <w:tcBorders>
              <w:top w:val="nil"/>
              <w:left w:val="nil"/>
              <w:bottom w:val="nil"/>
              <w:right w:val="nil"/>
            </w:tcBorders>
          </w:tcPr>
          <w:p w:rsidR="00A16B8C" w:rsidRPr="00C90AC9" w:rsidRDefault="00AA601A" w:rsidP="00B06779">
            <w:r w:rsidRPr="00C90AC9">
              <w:t>2</w:t>
            </w:r>
          </w:p>
        </w:tc>
      </w:tr>
      <w:tr w:rsidR="00A16B8C" w:rsidRPr="00C90AC9" w:rsidTr="00A94D8C">
        <w:trPr>
          <w:trHeight w:hRule="exact" w:val="625"/>
        </w:trPr>
        <w:tc>
          <w:tcPr>
            <w:tcW w:w="1627" w:type="dxa"/>
            <w:tcBorders>
              <w:top w:val="nil"/>
              <w:left w:val="nil"/>
              <w:bottom w:val="nil"/>
              <w:right w:val="nil"/>
            </w:tcBorders>
          </w:tcPr>
          <w:p w:rsidR="00A16B8C" w:rsidRPr="00C90AC9" w:rsidRDefault="00A16B8C" w:rsidP="00B06779">
            <w:r w:rsidRPr="00C90AC9">
              <w:t>Figure 1.2.</w:t>
            </w:r>
          </w:p>
        </w:tc>
        <w:tc>
          <w:tcPr>
            <w:tcW w:w="6129" w:type="dxa"/>
            <w:gridSpan w:val="2"/>
            <w:tcBorders>
              <w:top w:val="nil"/>
              <w:left w:val="nil"/>
              <w:bottom w:val="nil"/>
              <w:right w:val="nil"/>
            </w:tcBorders>
          </w:tcPr>
          <w:p w:rsidR="00A16B8C" w:rsidRPr="00C90AC9" w:rsidRDefault="002C4A30" w:rsidP="00B06779">
            <w:r w:rsidRPr="00C90AC9">
              <w:rPr>
                <w:rFonts w:eastAsia="Calibri"/>
                <w:szCs w:val="24"/>
                <w:lang w:eastAsia="en-US"/>
              </w:rPr>
              <w:t xml:space="preserve">Sectoral shares of global energy consumption  </w:t>
            </w:r>
          </w:p>
        </w:tc>
        <w:tc>
          <w:tcPr>
            <w:tcW w:w="1827" w:type="dxa"/>
            <w:gridSpan w:val="2"/>
            <w:tcBorders>
              <w:top w:val="nil"/>
              <w:left w:val="nil"/>
              <w:bottom w:val="nil"/>
              <w:right w:val="nil"/>
            </w:tcBorders>
          </w:tcPr>
          <w:p w:rsidR="00A16B8C" w:rsidRPr="00C90AC9" w:rsidRDefault="00AA601A" w:rsidP="00B06779">
            <w:r w:rsidRPr="00C90AC9">
              <w:t>3</w:t>
            </w:r>
          </w:p>
        </w:tc>
      </w:tr>
      <w:tr w:rsidR="00A16B8C" w:rsidRPr="00C90AC9" w:rsidTr="00A94D8C">
        <w:trPr>
          <w:trHeight w:hRule="exact" w:val="647"/>
        </w:trPr>
        <w:tc>
          <w:tcPr>
            <w:tcW w:w="1627" w:type="dxa"/>
            <w:tcBorders>
              <w:top w:val="nil"/>
              <w:left w:val="nil"/>
              <w:bottom w:val="nil"/>
              <w:right w:val="nil"/>
            </w:tcBorders>
          </w:tcPr>
          <w:p w:rsidR="00A16B8C" w:rsidRPr="00C90AC9" w:rsidRDefault="00A16B8C" w:rsidP="00B06779">
            <w:r w:rsidRPr="00C90AC9">
              <w:t>Figure 1.3.</w:t>
            </w:r>
          </w:p>
        </w:tc>
        <w:tc>
          <w:tcPr>
            <w:tcW w:w="6129" w:type="dxa"/>
            <w:gridSpan w:val="2"/>
            <w:tcBorders>
              <w:top w:val="nil"/>
              <w:left w:val="nil"/>
              <w:bottom w:val="nil"/>
              <w:right w:val="nil"/>
            </w:tcBorders>
          </w:tcPr>
          <w:p w:rsidR="00A16B8C" w:rsidRPr="00C90AC9" w:rsidRDefault="00D60CC1" w:rsidP="00B06779">
            <w:r w:rsidRPr="00C90AC9">
              <w:rPr>
                <w:rFonts w:eastAsia="Calibri"/>
                <w:lang w:eastAsia="en-US"/>
              </w:rPr>
              <w:t>Residential energy consumption and annual growth rate in the 10 largest emitters of CO</w:t>
            </w:r>
            <w:r w:rsidRPr="00C90AC9">
              <w:rPr>
                <w:rFonts w:eastAsia="Calibri"/>
                <w:vertAlign w:val="subscript"/>
                <w:lang w:eastAsia="en-US"/>
              </w:rPr>
              <w:t>2</w:t>
            </w:r>
            <w:r w:rsidRPr="00C90AC9">
              <w:rPr>
                <w:rFonts w:eastAsia="Calibri"/>
                <w:lang w:eastAsia="en-US"/>
              </w:rPr>
              <w:t xml:space="preserve"> in 2000 and 2011</w:t>
            </w:r>
          </w:p>
        </w:tc>
        <w:tc>
          <w:tcPr>
            <w:tcW w:w="1827" w:type="dxa"/>
            <w:gridSpan w:val="2"/>
            <w:tcBorders>
              <w:top w:val="nil"/>
              <w:left w:val="nil"/>
              <w:bottom w:val="nil"/>
              <w:right w:val="nil"/>
            </w:tcBorders>
          </w:tcPr>
          <w:p w:rsidR="00A16B8C" w:rsidRPr="00C90AC9" w:rsidRDefault="00D60CC1" w:rsidP="00D60CC1">
            <w:r w:rsidRPr="00C90AC9">
              <w:t>4</w:t>
            </w:r>
          </w:p>
        </w:tc>
      </w:tr>
      <w:tr w:rsidR="00A16B8C" w:rsidRPr="00C90AC9" w:rsidTr="00A94D8C">
        <w:trPr>
          <w:trHeight w:hRule="exact" w:val="284"/>
        </w:trPr>
        <w:tc>
          <w:tcPr>
            <w:tcW w:w="1627" w:type="dxa"/>
            <w:tcBorders>
              <w:top w:val="nil"/>
              <w:left w:val="nil"/>
              <w:bottom w:val="nil"/>
              <w:right w:val="nil"/>
            </w:tcBorders>
          </w:tcPr>
          <w:p w:rsidR="00A16B8C" w:rsidRPr="00C90AC9" w:rsidRDefault="00A16B8C" w:rsidP="00B06779">
            <w:r w:rsidRPr="00C90AC9">
              <w:t>Figure 1.4.</w:t>
            </w:r>
          </w:p>
        </w:tc>
        <w:tc>
          <w:tcPr>
            <w:tcW w:w="6129" w:type="dxa"/>
            <w:gridSpan w:val="2"/>
            <w:tcBorders>
              <w:top w:val="nil"/>
              <w:left w:val="nil"/>
              <w:bottom w:val="nil"/>
              <w:right w:val="nil"/>
            </w:tcBorders>
          </w:tcPr>
          <w:p w:rsidR="00A16B8C" w:rsidRPr="00C90AC9" w:rsidRDefault="00D60CC1" w:rsidP="00B06779">
            <w:r w:rsidRPr="00C90AC9">
              <w:rPr>
                <w:rFonts w:eastAsia="Calibri"/>
                <w:bCs/>
                <w:lang w:eastAsia="en-US"/>
              </w:rPr>
              <w:t>Global growth rates of different residential energy sources (2000 – 2011)</w:t>
            </w:r>
          </w:p>
        </w:tc>
        <w:tc>
          <w:tcPr>
            <w:tcW w:w="1827" w:type="dxa"/>
            <w:gridSpan w:val="2"/>
            <w:tcBorders>
              <w:top w:val="nil"/>
              <w:left w:val="nil"/>
              <w:bottom w:val="nil"/>
              <w:right w:val="nil"/>
            </w:tcBorders>
          </w:tcPr>
          <w:p w:rsidR="00A16B8C" w:rsidRPr="00C90AC9" w:rsidRDefault="00A16B8C" w:rsidP="00B06779">
            <w:r w:rsidRPr="00C90AC9">
              <w:t>5</w:t>
            </w:r>
          </w:p>
        </w:tc>
      </w:tr>
      <w:tr w:rsidR="00A16B8C" w:rsidRPr="00C90AC9" w:rsidTr="00A94D8C">
        <w:trPr>
          <w:trHeight w:hRule="exact" w:val="556"/>
        </w:trPr>
        <w:tc>
          <w:tcPr>
            <w:tcW w:w="1627" w:type="dxa"/>
            <w:tcBorders>
              <w:top w:val="nil"/>
              <w:left w:val="nil"/>
              <w:bottom w:val="nil"/>
              <w:right w:val="nil"/>
            </w:tcBorders>
          </w:tcPr>
          <w:p w:rsidR="00A16B8C" w:rsidRPr="00C90AC9" w:rsidRDefault="00A16B8C" w:rsidP="00B06779">
            <w:r w:rsidRPr="00C90AC9">
              <w:t>Figure 1.5.</w:t>
            </w:r>
          </w:p>
        </w:tc>
        <w:tc>
          <w:tcPr>
            <w:tcW w:w="6129" w:type="dxa"/>
            <w:gridSpan w:val="2"/>
            <w:tcBorders>
              <w:top w:val="nil"/>
              <w:left w:val="nil"/>
              <w:bottom w:val="nil"/>
              <w:right w:val="nil"/>
            </w:tcBorders>
          </w:tcPr>
          <w:p w:rsidR="00A16B8C" w:rsidRPr="00C90AC9" w:rsidRDefault="00D60CC1" w:rsidP="00B06779">
            <w:r w:rsidRPr="00C90AC9">
              <w:t>Final energy consumption in the UK by sector</w:t>
            </w:r>
          </w:p>
        </w:tc>
        <w:tc>
          <w:tcPr>
            <w:tcW w:w="1827" w:type="dxa"/>
            <w:gridSpan w:val="2"/>
            <w:tcBorders>
              <w:top w:val="nil"/>
              <w:left w:val="nil"/>
              <w:bottom w:val="nil"/>
              <w:right w:val="nil"/>
            </w:tcBorders>
          </w:tcPr>
          <w:p w:rsidR="00A16B8C" w:rsidRPr="00C90AC9" w:rsidRDefault="00A16B8C" w:rsidP="00B06779">
            <w:r w:rsidRPr="00C90AC9">
              <w:t>6</w:t>
            </w:r>
          </w:p>
        </w:tc>
      </w:tr>
      <w:tr w:rsidR="00A16B8C" w:rsidRPr="00C90AC9" w:rsidTr="00A94D8C">
        <w:trPr>
          <w:trHeight w:hRule="exact" w:val="565"/>
        </w:trPr>
        <w:tc>
          <w:tcPr>
            <w:tcW w:w="1627" w:type="dxa"/>
            <w:tcBorders>
              <w:top w:val="nil"/>
              <w:left w:val="nil"/>
              <w:bottom w:val="nil"/>
              <w:right w:val="nil"/>
            </w:tcBorders>
          </w:tcPr>
          <w:p w:rsidR="00A16B8C" w:rsidRPr="00C90AC9" w:rsidRDefault="00A16B8C" w:rsidP="00B06779">
            <w:r w:rsidRPr="00C90AC9">
              <w:t>Figure 1.6.</w:t>
            </w:r>
          </w:p>
        </w:tc>
        <w:tc>
          <w:tcPr>
            <w:tcW w:w="6129" w:type="dxa"/>
            <w:gridSpan w:val="2"/>
            <w:tcBorders>
              <w:top w:val="nil"/>
              <w:left w:val="nil"/>
              <w:bottom w:val="nil"/>
              <w:right w:val="nil"/>
            </w:tcBorders>
          </w:tcPr>
          <w:p w:rsidR="00A16B8C" w:rsidRPr="00C90AC9" w:rsidRDefault="00D60CC1" w:rsidP="00B06779">
            <w:r w:rsidRPr="00C90AC9">
              <w:rPr>
                <w:rFonts w:eastAsia="Calibri"/>
                <w:lang w:eastAsia="en-US"/>
              </w:rPr>
              <w:t>Average UK domestic energy consumption by end-use and fuel type</w:t>
            </w:r>
          </w:p>
        </w:tc>
        <w:tc>
          <w:tcPr>
            <w:tcW w:w="1827" w:type="dxa"/>
            <w:gridSpan w:val="2"/>
            <w:tcBorders>
              <w:top w:val="nil"/>
              <w:left w:val="nil"/>
              <w:bottom w:val="nil"/>
              <w:right w:val="nil"/>
            </w:tcBorders>
          </w:tcPr>
          <w:p w:rsidR="00A16B8C" w:rsidRPr="00C90AC9" w:rsidRDefault="00A16B8C" w:rsidP="00B06779">
            <w:r w:rsidRPr="00C90AC9">
              <w:t>7</w:t>
            </w:r>
          </w:p>
        </w:tc>
      </w:tr>
      <w:tr w:rsidR="00A16B8C" w:rsidRPr="00C90AC9" w:rsidTr="00A94D8C">
        <w:trPr>
          <w:trHeight w:hRule="exact" w:val="558"/>
        </w:trPr>
        <w:tc>
          <w:tcPr>
            <w:tcW w:w="1627" w:type="dxa"/>
            <w:tcBorders>
              <w:top w:val="nil"/>
              <w:left w:val="nil"/>
              <w:bottom w:val="nil"/>
              <w:right w:val="nil"/>
            </w:tcBorders>
          </w:tcPr>
          <w:p w:rsidR="00A16B8C" w:rsidRPr="00C90AC9" w:rsidRDefault="00A16B8C" w:rsidP="00B06779">
            <w:r w:rsidRPr="00C90AC9">
              <w:t>Figure 1.7.</w:t>
            </w:r>
          </w:p>
        </w:tc>
        <w:tc>
          <w:tcPr>
            <w:tcW w:w="6129" w:type="dxa"/>
            <w:gridSpan w:val="2"/>
            <w:tcBorders>
              <w:top w:val="nil"/>
              <w:left w:val="nil"/>
              <w:bottom w:val="nil"/>
              <w:right w:val="nil"/>
            </w:tcBorders>
          </w:tcPr>
          <w:p w:rsidR="00A16B8C" w:rsidRPr="00C90AC9" w:rsidRDefault="00D60CC1" w:rsidP="00B06779">
            <w:r w:rsidRPr="00C90AC9">
              <w:rPr>
                <w:rFonts w:eastAsia="Calibri"/>
                <w:szCs w:val="24"/>
                <w:lang w:eastAsia="en-US"/>
              </w:rPr>
              <w:t>Share of UK domestic energy consumption by end use and domestic energy spend</w:t>
            </w:r>
          </w:p>
        </w:tc>
        <w:tc>
          <w:tcPr>
            <w:tcW w:w="1827" w:type="dxa"/>
            <w:gridSpan w:val="2"/>
            <w:tcBorders>
              <w:top w:val="nil"/>
              <w:left w:val="nil"/>
              <w:bottom w:val="nil"/>
              <w:right w:val="nil"/>
            </w:tcBorders>
          </w:tcPr>
          <w:p w:rsidR="00A16B8C" w:rsidRPr="00C90AC9" w:rsidRDefault="00A16B8C" w:rsidP="00B06779">
            <w:r w:rsidRPr="00C90AC9">
              <w:t>8</w:t>
            </w:r>
          </w:p>
        </w:tc>
      </w:tr>
      <w:tr w:rsidR="003564C2" w:rsidRPr="00C90AC9" w:rsidTr="00A94D8C">
        <w:trPr>
          <w:gridAfter w:val="1"/>
          <w:wAfter w:w="120" w:type="dxa"/>
          <w:trHeight w:hRule="exact" w:val="570"/>
        </w:trPr>
        <w:tc>
          <w:tcPr>
            <w:tcW w:w="1627" w:type="dxa"/>
            <w:tcBorders>
              <w:top w:val="nil"/>
              <w:left w:val="nil"/>
              <w:bottom w:val="nil"/>
              <w:right w:val="nil"/>
            </w:tcBorders>
          </w:tcPr>
          <w:p w:rsidR="003564C2" w:rsidRPr="00C90AC9" w:rsidRDefault="003564C2" w:rsidP="00B06779">
            <w:r w:rsidRPr="00C90AC9">
              <w:t>Figure 1.8.</w:t>
            </w:r>
          </w:p>
        </w:tc>
        <w:tc>
          <w:tcPr>
            <w:tcW w:w="5994" w:type="dxa"/>
            <w:tcBorders>
              <w:top w:val="nil"/>
              <w:left w:val="nil"/>
              <w:bottom w:val="nil"/>
              <w:right w:val="nil"/>
            </w:tcBorders>
          </w:tcPr>
          <w:p w:rsidR="003564C2" w:rsidRPr="00C90AC9" w:rsidRDefault="00D60CC1" w:rsidP="00B06779">
            <w:r w:rsidRPr="00C90AC9">
              <w:rPr>
                <w:rFonts w:eastAsia="Calibri"/>
                <w:lang w:eastAsia="en-US"/>
              </w:rPr>
              <w:t>Litres of hot water consumed per person per day in the UK</w:t>
            </w:r>
          </w:p>
        </w:tc>
        <w:tc>
          <w:tcPr>
            <w:tcW w:w="1842" w:type="dxa"/>
            <w:gridSpan w:val="2"/>
            <w:tcBorders>
              <w:top w:val="nil"/>
              <w:left w:val="nil"/>
              <w:bottom w:val="nil"/>
              <w:right w:val="nil"/>
            </w:tcBorders>
          </w:tcPr>
          <w:p w:rsidR="00D60CC1" w:rsidRPr="00C90AC9" w:rsidRDefault="00935419" w:rsidP="00D60CC1">
            <w:r w:rsidRPr="00C90AC9">
              <w:t xml:space="preserve">  </w:t>
            </w:r>
            <w:r w:rsidR="00D60CC1" w:rsidRPr="00C90AC9">
              <w:t>9</w:t>
            </w:r>
          </w:p>
        </w:tc>
      </w:tr>
      <w:tr w:rsidR="00D60CC1" w:rsidRPr="00C90AC9" w:rsidTr="009902C3">
        <w:trPr>
          <w:gridAfter w:val="1"/>
          <w:wAfter w:w="120" w:type="dxa"/>
          <w:trHeight w:hRule="exact" w:val="570"/>
        </w:trPr>
        <w:tc>
          <w:tcPr>
            <w:tcW w:w="1627" w:type="dxa"/>
            <w:tcBorders>
              <w:top w:val="nil"/>
              <w:left w:val="nil"/>
              <w:bottom w:val="nil"/>
              <w:right w:val="nil"/>
            </w:tcBorders>
          </w:tcPr>
          <w:p w:rsidR="00D60CC1" w:rsidRPr="00C90AC9" w:rsidRDefault="00D60CC1" w:rsidP="009902C3">
            <w:r w:rsidRPr="00C90AC9">
              <w:t>Figure 1.9.</w:t>
            </w:r>
          </w:p>
        </w:tc>
        <w:tc>
          <w:tcPr>
            <w:tcW w:w="5994" w:type="dxa"/>
            <w:tcBorders>
              <w:top w:val="nil"/>
              <w:left w:val="nil"/>
              <w:bottom w:val="nil"/>
              <w:right w:val="nil"/>
            </w:tcBorders>
          </w:tcPr>
          <w:p w:rsidR="00D60CC1" w:rsidRPr="00C90AC9" w:rsidRDefault="00D60CC1" w:rsidP="009902C3">
            <w:r w:rsidRPr="00C90AC9">
              <w:rPr>
                <w:rFonts w:eastAsia="Calibri"/>
                <w:lang w:eastAsia="en-US"/>
              </w:rPr>
              <w:t>The Earth’s Energy Budget</w:t>
            </w:r>
          </w:p>
        </w:tc>
        <w:tc>
          <w:tcPr>
            <w:tcW w:w="1842" w:type="dxa"/>
            <w:gridSpan w:val="2"/>
            <w:tcBorders>
              <w:top w:val="nil"/>
              <w:left w:val="nil"/>
              <w:bottom w:val="nil"/>
              <w:right w:val="nil"/>
            </w:tcBorders>
          </w:tcPr>
          <w:p w:rsidR="00D60CC1" w:rsidRPr="00C90AC9" w:rsidRDefault="00D60CC1" w:rsidP="009902C3">
            <w:r w:rsidRPr="00C90AC9">
              <w:t xml:space="preserve">  14</w:t>
            </w:r>
          </w:p>
        </w:tc>
      </w:tr>
      <w:tr w:rsidR="00D60CC1" w:rsidRPr="00C90AC9" w:rsidTr="009902C3">
        <w:trPr>
          <w:gridAfter w:val="1"/>
          <w:wAfter w:w="120" w:type="dxa"/>
          <w:trHeight w:hRule="exact" w:val="570"/>
        </w:trPr>
        <w:tc>
          <w:tcPr>
            <w:tcW w:w="1627" w:type="dxa"/>
            <w:tcBorders>
              <w:top w:val="nil"/>
              <w:left w:val="nil"/>
              <w:bottom w:val="nil"/>
              <w:right w:val="nil"/>
            </w:tcBorders>
          </w:tcPr>
          <w:p w:rsidR="00D60CC1" w:rsidRPr="00C90AC9" w:rsidRDefault="00D60CC1" w:rsidP="009902C3">
            <w:r w:rsidRPr="00C90AC9">
              <w:t>Figure 1.9.</w:t>
            </w:r>
          </w:p>
        </w:tc>
        <w:tc>
          <w:tcPr>
            <w:tcW w:w="5994" w:type="dxa"/>
            <w:tcBorders>
              <w:top w:val="nil"/>
              <w:left w:val="nil"/>
              <w:bottom w:val="nil"/>
              <w:right w:val="nil"/>
            </w:tcBorders>
          </w:tcPr>
          <w:p w:rsidR="00D60CC1" w:rsidRPr="00C90AC9" w:rsidRDefault="00D60CC1" w:rsidP="009902C3">
            <w:r w:rsidRPr="00C90AC9">
              <w:rPr>
                <w:rFonts w:eastAsia="Calibri"/>
                <w:lang w:eastAsia="en-US"/>
              </w:rPr>
              <w:t>An Evacuated Tube Collector (l) and a Solar Thermal Panel (r)</w:t>
            </w:r>
          </w:p>
        </w:tc>
        <w:tc>
          <w:tcPr>
            <w:tcW w:w="1842" w:type="dxa"/>
            <w:gridSpan w:val="2"/>
            <w:tcBorders>
              <w:top w:val="nil"/>
              <w:left w:val="nil"/>
              <w:bottom w:val="nil"/>
              <w:right w:val="nil"/>
            </w:tcBorders>
          </w:tcPr>
          <w:p w:rsidR="00D60CC1" w:rsidRPr="00C90AC9" w:rsidRDefault="00D60CC1" w:rsidP="009902C3">
            <w:r w:rsidRPr="00C90AC9">
              <w:t xml:space="preserve">  17</w:t>
            </w:r>
          </w:p>
        </w:tc>
      </w:tr>
      <w:tr w:rsidR="00D60CC1" w:rsidRPr="00C90AC9" w:rsidTr="009902C3">
        <w:trPr>
          <w:gridAfter w:val="1"/>
          <w:wAfter w:w="120" w:type="dxa"/>
          <w:trHeight w:hRule="exact" w:val="570"/>
        </w:trPr>
        <w:tc>
          <w:tcPr>
            <w:tcW w:w="1627" w:type="dxa"/>
            <w:tcBorders>
              <w:top w:val="nil"/>
              <w:left w:val="nil"/>
              <w:bottom w:val="nil"/>
              <w:right w:val="nil"/>
            </w:tcBorders>
          </w:tcPr>
          <w:p w:rsidR="00D60CC1" w:rsidRPr="00C90AC9" w:rsidRDefault="00D60CC1" w:rsidP="00D60CC1">
            <w:r w:rsidRPr="00C90AC9">
              <w:t>Figure 1.10.</w:t>
            </w:r>
          </w:p>
        </w:tc>
        <w:tc>
          <w:tcPr>
            <w:tcW w:w="5994" w:type="dxa"/>
            <w:tcBorders>
              <w:top w:val="nil"/>
              <w:left w:val="nil"/>
              <w:bottom w:val="nil"/>
              <w:right w:val="nil"/>
            </w:tcBorders>
          </w:tcPr>
          <w:p w:rsidR="00D60CC1" w:rsidRPr="00C90AC9" w:rsidRDefault="00D60CC1" w:rsidP="009902C3">
            <w:r w:rsidRPr="00C90AC9">
              <w:rPr>
                <w:rFonts w:eastAsia="Calibri"/>
                <w:lang w:eastAsia="en-US"/>
              </w:rPr>
              <w:t>The construction layers of a typical STP</w:t>
            </w:r>
          </w:p>
        </w:tc>
        <w:tc>
          <w:tcPr>
            <w:tcW w:w="1842" w:type="dxa"/>
            <w:gridSpan w:val="2"/>
            <w:tcBorders>
              <w:top w:val="nil"/>
              <w:left w:val="nil"/>
              <w:bottom w:val="nil"/>
              <w:right w:val="nil"/>
            </w:tcBorders>
          </w:tcPr>
          <w:p w:rsidR="00D60CC1" w:rsidRPr="00C90AC9" w:rsidRDefault="00D60CC1" w:rsidP="00D60CC1">
            <w:r w:rsidRPr="00C90AC9">
              <w:t xml:space="preserve">  17</w:t>
            </w:r>
          </w:p>
        </w:tc>
      </w:tr>
      <w:tr w:rsidR="003564C2" w:rsidRPr="00C90AC9" w:rsidTr="00A94D8C">
        <w:trPr>
          <w:trHeight w:hRule="exact" w:val="570"/>
        </w:trPr>
        <w:tc>
          <w:tcPr>
            <w:tcW w:w="1627" w:type="dxa"/>
            <w:tcBorders>
              <w:top w:val="nil"/>
              <w:left w:val="nil"/>
              <w:bottom w:val="nil"/>
              <w:right w:val="nil"/>
            </w:tcBorders>
          </w:tcPr>
          <w:p w:rsidR="003564C2" w:rsidRPr="00C90AC9" w:rsidRDefault="003564C2" w:rsidP="00B06779">
            <w:r w:rsidRPr="00C90AC9">
              <w:t>Figure 2.1.</w:t>
            </w:r>
          </w:p>
        </w:tc>
        <w:tc>
          <w:tcPr>
            <w:tcW w:w="6129" w:type="dxa"/>
            <w:gridSpan w:val="2"/>
            <w:tcBorders>
              <w:top w:val="nil"/>
              <w:left w:val="nil"/>
              <w:bottom w:val="nil"/>
              <w:right w:val="nil"/>
            </w:tcBorders>
          </w:tcPr>
          <w:p w:rsidR="003564C2" w:rsidRPr="00C90AC9" w:rsidRDefault="003564C2" w:rsidP="00B06779">
            <w:r w:rsidRPr="00C90AC9">
              <w:t>Components of a solar water heater 10 largest emitters in 2000 and 2011</w:t>
            </w:r>
          </w:p>
        </w:tc>
        <w:tc>
          <w:tcPr>
            <w:tcW w:w="1827" w:type="dxa"/>
            <w:gridSpan w:val="2"/>
            <w:tcBorders>
              <w:top w:val="nil"/>
              <w:left w:val="nil"/>
              <w:bottom w:val="nil"/>
              <w:right w:val="nil"/>
            </w:tcBorders>
          </w:tcPr>
          <w:p w:rsidR="003564C2" w:rsidRPr="00C90AC9" w:rsidRDefault="003564C2" w:rsidP="00B06779">
            <w:r w:rsidRPr="00C90AC9">
              <w:t>18</w:t>
            </w:r>
          </w:p>
        </w:tc>
      </w:tr>
      <w:tr w:rsidR="003564C2" w:rsidRPr="00C90AC9" w:rsidTr="00A94D8C">
        <w:trPr>
          <w:trHeight w:hRule="exact" w:val="284"/>
        </w:trPr>
        <w:tc>
          <w:tcPr>
            <w:tcW w:w="1627" w:type="dxa"/>
            <w:tcBorders>
              <w:top w:val="nil"/>
              <w:left w:val="nil"/>
              <w:bottom w:val="nil"/>
              <w:right w:val="nil"/>
            </w:tcBorders>
          </w:tcPr>
          <w:p w:rsidR="003564C2" w:rsidRPr="00C90AC9" w:rsidRDefault="003564C2" w:rsidP="00B06779">
            <w:r w:rsidRPr="00C90AC9">
              <w:t>Figure 2.2.</w:t>
            </w:r>
          </w:p>
        </w:tc>
        <w:tc>
          <w:tcPr>
            <w:tcW w:w="6129" w:type="dxa"/>
            <w:gridSpan w:val="2"/>
            <w:tcBorders>
              <w:top w:val="nil"/>
              <w:left w:val="nil"/>
              <w:bottom w:val="nil"/>
              <w:right w:val="nil"/>
            </w:tcBorders>
          </w:tcPr>
          <w:p w:rsidR="003564C2" w:rsidRPr="00C90AC9" w:rsidRDefault="003564C2" w:rsidP="00B06779">
            <w:r w:rsidRPr="00C90AC9">
              <w:t>The life cycle of solar thermal systems</w:t>
            </w:r>
          </w:p>
        </w:tc>
        <w:tc>
          <w:tcPr>
            <w:tcW w:w="1827" w:type="dxa"/>
            <w:gridSpan w:val="2"/>
            <w:tcBorders>
              <w:top w:val="nil"/>
              <w:left w:val="nil"/>
              <w:bottom w:val="nil"/>
              <w:right w:val="nil"/>
            </w:tcBorders>
          </w:tcPr>
          <w:p w:rsidR="003564C2" w:rsidRPr="00C90AC9" w:rsidRDefault="003564C2" w:rsidP="00B06779">
            <w:r w:rsidRPr="00C90AC9">
              <w:t>19</w:t>
            </w:r>
          </w:p>
        </w:tc>
      </w:tr>
      <w:tr w:rsidR="003564C2" w:rsidRPr="00C90AC9" w:rsidTr="00A94D8C">
        <w:trPr>
          <w:trHeight w:hRule="exact" w:val="568"/>
        </w:trPr>
        <w:tc>
          <w:tcPr>
            <w:tcW w:w="1627" w:type="dxa"/>
            <w:tcBorders>
              <w:top w:val="nil"/>
              <w:left w:val="nil"/>
              <w:bottom w:val="nil"/>
              <w:right w:val="nil"/>
            </w:tcBorders>
          </w:tcPr>
          <w:p w:rsidR="003564C2" w:rsidRPr="00C90AC9" w:rsidRDefault="003564C2" w:rsidP="00B06779">
            <w:r w:rsidRPr="00C90AC9">
              <w:t>Figure 2.3.</w:t>
            </w:r>
          </w:p>
        </w:tc>
        <w:tc>
          <w:tcPr>
            <w:tcW w:w="6129" w:type="dxa"/>
            <w:gridSpan w:val="2"/>
            <w:tcBorders>
              <w:top w:val="nil"/>
              <w:left w:val="nil"/>
              <w:bottom w:val="nil"/>
              <w:right w:val="nil"/>
            </w:tcBorders>
          </w:tcPr>
          <w:p w:rsidR="003564C2" w:rsidRPr="00C90AC9" w:rsidRDefault="003564C2" w:rsidP="00B06779">
            <w:r w:rsidRPr="00C90AC9">
              <w:rPr>
                <w:rFonts w:eastAsiaTheme="minorHAnsi"/>
                <w:lang w:eastAsia="en-US"/>
              </w:rPr>
              <w:t>The heat output of solar collectors at two different angles 20° and 60°</w:t>
            </w:r>
          </w:p>
        </w:tc>
        <w:tc>
          <w:tcPr>
            <w:tcW w:w="1827" w:type="dxa"/>
            <w:gridSpan w:val="2"/>
            <w:tcBorders>
              <w:top w:val="nil"/>
              <w:left w:val="nil"/>
              <w:bottom w:val="nil"/>
              <w:right w:val="nil"/>
            </w:tcBorders>
          </w:tcPr>
          <w:p w:rsidR="003564C2" w:rsidRPr="00C90AC9" w:rsidRDefault="003564C2" w:rsidP="00B06779">
            <w:r w:rsidRPr="00C90AC9">
              <w:t>20</w:t>
            </w:r>
          </w:p>
        </w:tc>
      </w:tr>
      <w:tr w:rsidR="003564C2" w:rsidRPr="00C90AC9" w:rsidTr="00A94D8C">
        <w:trPr>
          <w:trHeight w:hRule="exact" w:val="415"/>
        </w:trPr>
        <w:tc>
          <w:tcPr>
            <w:tcW w:w="1627" w:type="dxa"/>
            <w:tcBorders>
              <w:top w:val="nil"/>
              <w:left w:val="nil"/>
              <w:bottom w:val="nil"/>
              <w:right w:val="nil"/>
            </w:tcBorders>
          </w:tcPr>
          <w:p w:rsidR="003564C2" w:rsidRPr="00C90AC9" w:rsidRDefault="003564C2" w:rsidP="00B06779">
            <w:r w:rsidRPr="00C90AC9">
              <w:t>Figure 2.4.</w:t>
            </w:r>
          </w:p>
        </w:tc>
        <w:tc>
          <w:tcPr>
            <w:tcW w:w="6129" w:type="dxa"/>
            <w:gridSpan w:val="2"/>
            <w:tcBorders>
              <w:top w:val="nil"/>
              <w:left w:val="nil"/>
              <w:bottom w:val="nil"/>
              <w:right w:val="nil"/>
            </w:tcBorders>
          </w:tcPr>
          <w:p w:rsidR="003564C2" w:rsidRPr="00C90AC9" w:rsidRDefault="003564C2" w:rsidP="00B06779">
            <w:r w:rsidRPr="00C90AC9">
              <w:rPr>
                <w:rFonts w:eastAsiaTheme="minorHAnsi"/>
                <w:lang w:eastAsia="en-US"/>
              </w:rPr>
              <w:t>The variation of solar fraction with collector orientation</w:t>
            </w:r>
          </w:p>
        </w:tc>
        <w:tc>
          <w:tcPr>
            <w:tcW w:w="1827" w:type="dxa"/>
            <w:gridSpan w:val="2"/>
            <w:tcBorders>
              <w:top w:val="nil"/>
              <w:left w:val="nil"/>
              <w:bottom w:val="nil"/>
              <w:right w:val="nil"/>
            </w:tcBorders>
          </w:tcPr>
          <w:p w:rsidR="003564C2" w:rsidRPr="00C90AC9" w:rsidRDefault="003564C2" w:rsidP="00B06779">
            <w:r w:rsidRPr="00C90AC9">
              <w:t>21</w:t>
            </w:r>
          </w:p>
        </w:tc>
      </w:tr>
      <w:tr w:rsidR="003564C2" w:rsidRPr="00C90AC9" w:rsidTr="00A94D8C">
        <w:trPr>
          <w:trHeight w:hRule="exact" w:val="566"/>
        </w:trPr>
        <w:tc>
          <w:tcPr>
            <w:tcW w:w="1627" w:type="dxa"/>
            <w:tcBorders>
              <w:top w:val="nil"/>
              <w:left w:val="nil"/>
              <w:bottom w:val="nil"/>
              <w:right w:val="nil"/>
            </w:tcBorders>
          </w:tcPr>
          <w:p w:rsidR="003564C2" w:rsidRPr="00C90AC9" w:rsidRDefault="003564C2" w:rsidP="00B06779">
            <w:r w:rsidRPr="00C90AC9">
              <w:t>Figure 2.5.</w:t>
            </w:r>
          </w:p>
        </w:tc>
        <w:tc>
          <w:tcPr>
            <w:tcW w:w="6129" w:type="dxa"/>
            <w:gridSpan w:val="2"/>
            <w:tcBorders>
              <w:top w:val="nil"/>
              <w:left w:val="nil"/>
              <w:bottom w:val="nil"/>
              <w:right w:val="nil"/>
            </w:tcBorders>
          </w:tcPr>
          <w:p w:rsidR="003564C2" w:rsidRPr="00C90AC9" w:rsidRDefault="003564C2" w:rsidP="00B06779">
            <w:r w:rsidRPr="00C90AC9">
              <w:rPr>
                <w:rFonts w:eastAsiaTheme="majorEastAsia"/>
                <w:lang w:eastAsia="en-US"/>
              </w:rPr>
              <w:t xml:space="preserve">The Solar Domestic Heating System investigated by </w:t>
            </w:r>
            <w:proofErr w:type="spellStart"/>
            <w:r w:rsidRPr="00C90AC9">
              <w:rPr>
                <w:rFonts w:eastAsiaTheme="majorEastAsia"/>
                <w:lang w:eastAsia="en-US"/>
              </w:rPr>
              <w:t>Biaou</w:t>
            </w:r>
            <w:proofErr w:type="spellEnd"/>
          </w:p>
        </w:tc>
        <w:tc>
          <w:tcPr>
            <w:tcW w:w="1827" w:type="dxa"/>
            <w:gridSpan w:val="2"/>
            <w:tcBorders>
              <w:top w:val="nil"/>
              <w:left w:val="nil"/>
              <w:bottom w:val="nil"/>
              <w:right w:val="nil"/>
            </w:tcBorders>
          </w:tcPr>
          <w:p w:rsidR="003564C2" w:rsidRPr="00C90AC9" w:rsidRDefault="003564C2" w:rsidP="00B06779">
            <w:r w:rsidRPr="00C90AC9">
              <w:t>22</w:t>
            </w:r>
          </w:p>
        </w:tc>
      </w:tr>
      <w:tr w:rsidR="003564C2" w:rsidRPr="00C90AC9" w:rsidTr="00A94D8C">
        <w:trPr>
          <w:trHeight w:hRule="exact" w:val="284"/>
        </w:trPr>
        <w:tc>
          <w:tcPr>
            <w:tcW w:w="1627" w:type="dxa"/>
            <w:tcBorders>
              <w:top w:val="nil"/>
              <w:left w:val="nil"/>
              <w:bottom w:val="nil"/>
              <w:right w:val="nil"/>
            </w:tcBorders>
          </w:tcPr>
          <w:p w:rsidR="003564C2" w:rsidRPr="00C90AC9" w:rsidRDefault="003564C2" w:rsidP="00B06779">
            <w:r w:rsidRPr="00C90AC9">
              <w:t>Figure 2.6</w:t>
            </w:r>
          </w:p>
        </w:tc>
        <w:tc>
          <w:tcPr>
            <w:tcW w:w="6129" w:type="dxa"/>
            <w:gridSpan w:val="2"/>
            <w:tcBorders>
              <w:top w:val="nil"/>
              <w:left w:val="nil"/>
              <w:bottom w:val="nil"/>
              <w:right w:val="nil"/>
            </w:tcBorders>
          </w:tcPr>
          <w:p w:rsidR="003564C2" w:rsidRPr="00C90AC9" w:rsidRDefault="003564C2" w:rsidP="00B06779">
            <w:r w:rsidRPr="00C90AC9">
              <w:t xml:space="preserve">The investigated hot water tanks by </w:t>
            </w:r>
            <w:proofErr w:type="spellStart"/>
            <w:r w:rsidRPr="00C90AC9">
              <w:t>Furbo</w:t>
            </w:r>
            <w:proofErr w:type="spellEnd"/>
            <w:r w:rsidRPr="00C90AC9">
              <w:t xml:space="preserve"> (2005)</w:t>
            </w:r>
          </w:p>
        </w:tc>
        <w:tc>
          <w:tcPr>
            <w:tcW w:w="1827" w:type="dxa"/>
            <w:gridSpan w:val="2"/>
            <w:tcBorders>
              <w:top w:val="nil"/>
              <w:left w:val="nil"/>
              <w:bottom w:val="nil"/>
              <w:right w:val="nil"/>
            </w:tcBorders>
          </w:tcPr>
          <w:p w:rsidR="003564C2" w:rsidRPr="00C90AC9" w:rsidRDefault="009B1471" w:rsidP="00B06779">
            <w:r w:rsidRPr="00C90AC9">
              <w:t>24</w:t>
            </w:r>
          </w:p>
        </w:tc>
      </w:tr>
      <w:tr w:rsidR="003564C2" w:rsidRPr="00C90AC9" w:rsidTr="00A94D8C">
        <w:trPr>
          <w:trHeight w:hRule="exact" w:val="277"/>
        </w:trPr>
        <w:tc>
          <w:tcPr>
            <w:tcW w:w="1627" w:type="dxa"/>
            <w:tcBorders>
              <w:top w:val="nil"/>
              <w:left w:val="nil"/>
              <w:bottom w:val="nil"/>
              <w:right w:val="nil"/>
            </w:tcBorders>
          </w:tcPr>
          <w:p w:rsidR="003564C2" w:rsidRPr="00C90AC9" w:rsidRDefault="003564C2" w:rsidP="00B06779">
            <w:r w:rsidRPr="00C90AC9">
              <w:t>Figure 2.7</w:t>
            </w:r>
          </w:p>
        </w:tc>
        <w:tc>
          <w:tcPr>
            <w:tcW w:w="6129" w:type="dxa"/>
            <w:gridSpan w:val="2"/>
            <w:tcBorders>
              <w:top w:val="nil"/>
              <w:left w:val="nil"/>
              <w:bottom w:val="nil"/>
              <w:right w:val="nil"/>
            </w:tcBorders>
          </w:tcPr>
          <w:p w:rsidR="003564C2" w:rsidRPr="00C90AC9" w:rsidRDefault="003564C2" w:rsidP="00B06779">
            <w:r w:rsidRPr="00C90AC9">
              <w:rPr>
                <w:rFonts w:eastAsiaTheme="majorEastAsia"/>
                <w:lang w:eastAsia="en-US"/>
              </w:rPr>
              <w:t>The meteorological data for Zurich, Switzerland</w:t>
            </w:r>
          </w:p>
        </w:tc>
        <w:tc>
          <w:tcPr>
            <w:tcW w:w="1827" w:type="dxa"/>
            <w:gridSpan w:val="2"/>
            <w:tcBorders>
              <w:top w:val="nil"/>
              <w:left w:val="nil"/>
              <w:bottom w:val="nil"/>
              <w:right w:val="nil"/>
            </w:tcBorders>
          </w:tcPr>
          <w:p w:rsidR="003564C2" w:rsidRPr="00C90AC9" w:rsidRDefault="003564C2" w:rsidP="00B06779">
            <w:r w:rsidRPr="00C90AC9">
              <w:t>2</w:t>
            </w:r>
            <w:r w:rsidR="00AA601A" w:rsidRPr="00C90AC9">
              <w:t>7</w:t>
            </w:r>
          </w:p>
        </w:tc>
      </w:tr>
      <w:tr w:rsidR="003564C2" w:rsidRPr="00C90AC9" w:rsidTr="00A94D8C">
        <w:trPr>
          <w:trHeight w:hRule="exact" w:val="294"/>
        </w:trPr>
        <w:tc>
          <w:tcPr>
            <w:tcW w:w="1627" w:type="dxa"/>
            <w:tcBorders>
              <w:top w:val="nil"/>
              <w:left w:val="nil"/>
              <w:bottom w:val="nil"/>
              <w:right w:val="nil"/>
            </w:tcBorders>
          </w:tcPr>
          <w:p w:rsidR="003564C2" w:rsidRPr="00C90AC9" w:rsidRDefault="003564C2" w:rsidP="00B06779">
            <w:r w:rsidRPr="00C90AC9">
              <w:t>Figure 2.8</w:t>
            </w:r>
          </w:p>
        </w:tc>
        <w:tc>
          <w:tcPr>
            <w:tcW w:w="6129" w:type="dxa"/>
            <w:gridSpan w:val="2"/>
            <w:tcBorders>
              <w:top w:val="nil"/>
              <w:left w:val="nil"/>
              <w:bottom w:val="nil"/>
              <w:right w:val="nil"/>
            </w:tcBorders>
          </w:tcPr>
          <w:p w:rsidR="003564C2" w:rsidRPr="00C90AC9" w:rsidRDefault="003564C2" w:rsidP="00B06779">
            <w:r w:rsidRPr="00C90AC9">
              <w:rPr>
                <w:rFonts w:eastAsiaTheme="majorEastAsia"/>
                <w:lang w:eastAsia="en-US"/>
              </w:rPr>
              <w:t xml:space="preserve">The hot water system considered by </w:t>
            </w:r>
            <w:proofErr w:type="spellStart"/>
            <w:r w:rsidRPr="00C90AC9">
              <w:rPr>
                <w:rFonts w:eastAsiaTheme="majorEastAsia"/>
                <w:lang w:eastAsia="en-US"/>
              </w:rPr>
              <w:t>Prud’homme</w:t>
            </w:r>
            <w:proofErr w:type="spellEnd"/>
            <w:r w:rsidRPr="00C90AC9">
              <w:rPr>
                <w:rFonts w:eastAsiaTheme="majorEastAsia"/>
                <w:lang w:eastAsia="en-US"/>
              </w:rPr>
              <w:t xml:space="preserve"> (2001)</w:t>
            </w:r>
          </w:p>
        </w:tc>
        <w:tc>
          <w:tcPr>
            <w:tcW w:w="1827" w:type="dxa"/>
            <w:gridSpan w:val="2"/>
            <w:tcBorders>
              <w:top w:val="nil"/>
              <w:left w:val="nil"/>
              <w:bottom w:val="nil"/>
              <w:right w:val="nil"/>
            </w:tcBorders>
          </w:tcPr>
          <w:p w:rsidR="003564C2" w:rsidRPr="00C90AC9" w:rsidRDefault="00AA601A" w:rsidP="00B06779">
            <w:r w:rsidRPr="00C90AC9">
              <w:t>28</w:t>
            </w:r>
          </w:p>
        </w:tc>
      </w:tr>
      <w:tr w:rsidR="003564C2" w:rsidRPr="00C90AC9" w:rsidTr="00A94D8C">
        <w:trPr>
          <w:trHeight w:hRule="exact" w:val="284"/>
        </w:trPr>
        <w:tc>
          <w:tcPr>
            <w:tcW w:w="1627" w:type="dxa"/>
            <w:tcBorders>
              <w:top w:val="nil"/>
              <w:left w:val="nil"/>
              <w:bottom w:val="nil"/>
              <w:right w:val="nil"/>
            </w:tcBorders>
          </w:tcPr>
          <w:p w:rsidR="003564C2" w:rsidRPr="00C90AC9" w:rsidRDefault="003564C2" w:rsidP="00B06779">
            <w:r w:rsidRPr="00C90AC9">
              <w:t>Figure 2.9</w:t>
            </w:r>
          </w:p>
        </w:tc>
        <w:tc>
          <w:tcPr>
            <w:tcW w:w="6129" w:type="dxa"/>
            <w:gridSpan w:val="2"/>
            <w:tcBorders>
              <w:top w:val="nil"/>
              <w:left w:val="nil"/>
              <w:bottom w:val="nil"/>
              <w:right w:val="nil"/>
            </w:tcBorders>
          </w:tcPr>
          <w:p w:rsidR="003564C2" w:rsidRPr="00C90AC9" w:rsidRDefault="003564C2" w:rsidP="00B06779">
            <w:r w:rsidRPr="00C90AC9">
              <w:rPr>
                <w:rFonts w:eastAsiaTheme="majorEastAsia"/>
                <w:lang w:eastAsia="en-US"/>
              </w:rPr>
              <w:t xml:space="preserve">The predictive model used by </w:t>
            </w:r>
            <w:proofErr w:type="spellStart"/>
            <w:r w:rsidRPr="00C90AC9">
              <w:rPr>
                <w:rFonts w:eastAsiaTheme="majorEastAsia"/>
                <w:lang w:eastAsia="en-US"/>
              </w:rPr>
              <w:t>Prud’homme</w:t>
            </w:r>
            <w:proofErr w:type="spellEnd"/>
            <w:r w:rsidRPr="00C90AC9">
              <w:rPr>
                <w:rFonts w:eastAsiaTheme="majorEastAsia"/>
                <w:lang w:eastAsia="en-US"/>
              </w:rPr>
              <w:t xml:space="preserve"> (2001)</w:t>
            </w:r>
          </w:p>
        </w:tc>
        <w:tc>
          <w:tcPr>
            <w:tcW w:w="1827" w:type="dxa"/>
            <w:gridSpan w:val="2"/>
            <w:tcBorders>
              <w:top w:val="nil"/>
              <w:left w:val="nil"/>
              <w:bottom w:val="nil"/>
              <w:right w:val="nil"/>
            </w:tcBorders>
          </w:tcPr>
          <w:p w:rsidR="003564C2" w:rsidRPr="00C90AC9" w:rsidRDefault="00AA601A" w:rsidP="00B06779">
            <w:r w:rsidRPr="00C90AC9">
              <w:t>29</w:t>
            </w:r>
          </w:p>
        </w:tc>
      </w:tr>
      <w:tr w:rsidR="003564C2" w:rsidRPr="00C90AC9" w:rsidTr="00A94D8C">
        <w:trPr>
          <w:trHeight w:hRule="exact" w:val="275"/>
        </w:trPr>
        <w:tc>
          <w:tcPr>
            <w:tcW w:w="1627" w:type="dxa"/>
            <w:tcBorders>
              <w:top w:val="nil"/>
              <w:left w:val="nil"/>
              <w:bottom w:val="nil"/>
              <w:right w:val="nil"/>
            </w:tcBorders>
          </w:tcPr>
          <w:p w:rsidR="003564C2" w:rsidRPr="00C90AC9" w:rsidRDefault="003564C2" w:rsidP="00B06779">
            <w:r w:rsidRPr="00C90AC9">
              <w:t>Figure 2.10</w:t>
            </w:r>
          </w:p>
        </w:tc>
        <w:tc>
          <w:tcPr>
            <w:tcW w:w="6129" w:type="dxa"/>
            <w:gridSpan w:val="2"/>
            <w:tcBorders>
              <w:top w:val="nil"/>
              <w:left w:val="nil"/>
              <w:bottom w:val="nil"/>
              <w:right w:val="nil"/>
            </w:tcBorders>
          </w:tcPr>
          <w:p w:rsidR="003564C2" w:rsidRPr="00C90AC9" w:rsidRDefault="003564C2" w:rsidP="00B06779">
            <w:r w:rsidRPr="00C90AC9">
              <w:rPr>
                <w:lang w:eastAsia="zh-CN"/>
              </w:rPr>
              <w:t>The position of the earth at different times of the year</w:t>
            </w:r>
          </w:p>
        </w:tc>
        <w:tc>
          <w:tcPr>
            <w:tcW w:w="1827" w:type="dxa"/>
            <w:gridSpan w:val="2"/>
            <w:tcBorders>
              <w:top w:val="nil"/>
              <w:left w:val="nil"/>
              <w:bottom w:val="nil"/>
              <w:right w:val="nil"/>
            </w:tcBorders>
          </w:tcPr>
          <w:p w:rsidR="003564C2" w:rsidRPr="00C90AC9" w:rsidRDefault="003564C2" w:rsidP="00B06779">
            <w:r w:rsidRPr="00C90AC9">
              <w:t>3</w:t>
            </w:r>
            <w:r w:rsidR="00AA601A" w:rsidRPr="00C90AC9">
              <w:t>2</w:t>
            </w:r>
          </w:p>
        </w:tc>
      </w:tr>
      <w:tr w:rsidR="003564C2" w:rsidRPr="00C90AC9" w:rsidTr="00A94D8C">
        <w:trPr>
          <w:trHeight w:hRule="exact" w:val="576"/>
        </w:trPr>
        <w:tc>
          <w:tcPr>
            <w:tcW w:w="1627" w:type="dxa"/>
            <w:tcBorders>
              <w:top w:val="nil"/>
              <w:left w:val="nil"/>
              <w:bottom w:val="nil"/>
              <w:right w:val="nil"/>
            </w:tcBorders>
          </w:tcPr>
          <w:p w:rsidR="003564C2" w:rsidRPr="00C90AC9" w:rsidRDefault="003564C2" w:rsidP="00B06779">
            <w:r w:rsidRPr="00C90AC9">
              <w:t>Figure 2.11</w:t>
            </w:r>
          </w:p>
        </w:tc>
        <w:tc>
          <w:tcPr>
            <w:tcW w:w="6129" w:type="dxa"/>
            <w:gridSpan w:val="2"/>
            <w:tcBorders>
              <w:top w:val="nil"/>
              <w:left w:val="nil"/>
              <w:bottom w:val="nil"/>
              <w:right w:val="nil"/>
            </w:tcBorders>
          </w:tcPr>
          <w:p w:rsidR="003564C2" w:rsidRPr="00C90AC9" w:rsidRDefault="003564C2" w:rsidP="00B06779">
            <w:r w:rsidRPr="00C90AC9">
              <w:rPr>
                <w:rFonts w:eastAsiaTheme="minorHAnsi"/>
              </w:rPr>
              <w:t>T</w:t>
            </w:r>
            <w:r w:rsidRPr="00C90AC9">
              <w:rPr>
                <w:rFonts w:eastAsiaTheme="minorHAnsi"/>
                <w:lang w:eastAsia="en-US"/>
              </w:rPr>
              <w:t>he Declination Angle (δ) throughout the year using Eq. (2)</w:t>
            </w:r>
          </w:p>
        </w:tc>
        <w:tc>
          <w:tcPr>
            <w:tcW w:w="1827" w:type="dxa"/>
            <w:gridSpan w:val="2"/>
            <w:tcBorders>
              <w:top w:val="nil"/>
              <w:left w:val="nil"/>
              <w:bottom w:val="nil"/>
              <w:right w:val="nil"/>
            </w:tcBorders>
          </w:tcPr>
          <w:p w:rsidR="003564C2" w:rsidRPr="00C90AC9" w:rsidRDefault="00CB394A" w:rsidP="00B06779">
            <w:r w:rsidRPr="00C90AC9">
              <w:t>34</w:t>
            </w:r>
          </w:p>
        </w:tc>
      </w:tr>
      <w:tr w:rsidR="003564C2" w:rsidRPr="00C90AC9" w:rsidTr="00A94D8C">
        <w:trPr>
          <w:trHeight w:hRule="exact" w:val="284"/>
        </w:trPr>
        <w:tc>
          <w:tcPr>
            <w:tcW w:w="1627" w:type="dxa"/>
            <w:tcBorders>
              <w:top w:val="nil"/>
              <w:left w:val="nil"/>
              <w:bottom w:val="nil"/>
              <w:right w:val="nil"/>
            </w:tcBorders>
          </w:tcPr>
          <w:p w:rsidR="003564C2" w:rsidRPr="00C90AC9" w:rsidRDefault="003564C2" w:rsidP="00B06779">
            <w:r w:rsidRPr="00C90AC9">
              <w:t>Figure 2.12</w:t>
            </w:r>
          </w:p>
        </w:tc>
        <w:tc>
          <w:tcPr>
            <w:tcW w:w="6129" w:type="dxa"/>
            <w:gridSpan w:val="2"/>
            <w:tcBorders>
              <w:top w:val="nil"/>
              <w:left w:val="nil"/>
              <w:bottom w:val="nil"/>
              <w:right w:val="nil"/>
            </w:tcBorders>
          </w:tcPr>
          <w:p w:rsidR="003564C2" w:rsidRPr="00C90AC9" w:rsidRDefault="003564C2" w:rsidP="00B06779">
            <w:pPr>
              <w:rPr>
                <w:rFonts w:eastAsiaTheme="minorHAnsi"/>
                <w:b/>
                <w:lang w:eastAsia="en-US"/>
              </w:rPr>
            </w:pPr>
            <w:r w:rsidRPr="00C90AC9">
              <w:rPr>
                <w:rFonts w:eastAsiaTheme="minorHAnsi"/>
                <w:lang w:eastAsia="en-US"/>
              </w:rPr>
              <w:t>The Theory of Planned Behaviour (TPB)</w:t>
            </w:r>
          </w:p>
        </w:tc>
        <w:tc>
          <w:tcPr>
            <w:tcW w:w="1827" w:type="dxa"/>
            <w:gridSpan w:val="2"/>
            <w:tcBorders>
              <w:top w:val="nil"/>
              <w:left w:val="nil"/>
              <w:bottom w:val="nil"/>
              <w:right w:val="nil"/>
            </w:tcBorders>
          </w:tcPr>
          <w:p w:rsidR="003564C2" w:rsidRPr="00C90AC9" w:rsidRDefault="003564C2" w:rsidP="00B06779">
            <w:r w:rsidRPr="00C90AC9">
              <w:t>3</w:t>
            </w:r>
            <w:r w:rsidR="00CB394A" w:rsidRPr="00C90AC9">
              <w:t>7</w:t>
            </w:r>
          </w:p>
        </w:tc>
      </w:tr>
      <w:tr w:rsidR="003564C2" w:rsidRPr="00C90AC9" w:rsidTr="00A94D8C">
        <w:trPr>
          <w:trHeight w:hRule="exact" w:val="284"/>
        </w:trPr>
        <w:tc>
          <w:tcPr>
            <w:tcW w:w="1627" w:type="dxa"/>
            <w:tcBorders>
              <w:top w:val="nil"/>
              <w:left w:val="nil"/>
              <w:bottom w:val="nil"/>
              <w:right w:val="nil"/>
            </w:tcBorders>
          </w:tcPr>
          <w:p w:rsidR="003564C2" w:rsidRPr="00C90AC9" w:rsidRDefault="003564C2" w:rsidP="00B06779">
            <w:r w:rsidRPr="00C90AC9">
              <w:t>Figure 2.13.</w:t>
            </w:r>
          </w:p>
        </w:tc>
        <w:tc>
          <w:tcPr>
            <w:tcW w:w="6129" w:type="dxa"/>
            <w:gridSpan w:val="2"/>
            <w:tcBorders>
              <w:top w:val="nil"/>
              <w:left w:val="nil"/>
              <w:bottom w:val="nil"/>
              <w:right w:val="nil"/>
            </w:tcBorders>
          </w:tcPr>
          <w:p w:rsidR="003564C2" w:rsidRPr="00C90AC9" w:rsidRDefault="003564C2" w:rsidP="00B06779">
            <w:r w:rsidRPr="00C90AC9">
              <w:t>The Model of Adoption in Households (MATH)</w:t>
            </w:r>
          </w:p>
        </w:tc>
        <w:tc>
          <w:tcPr>
            <w:tcW w:w="1827" w:type="dxa"/>
            <w:gridSpan w:val="2"/>
            <w:tcBorders>
              <w:top w:val="nil"/>
              <w:left w:val="nil"/>
              <w:bottom w:val="nil"/>
              <w:right w:val="nil"/>
            </w:tcBorders>
          </w:tcPr>
          <w:p w:rsidR="003564C2" w:rsidRPr="00C90AC9" w:rsidRDefault="00CB394A" w:rsidP="00B06779">
            <w:r w:rsidRPr="00C90AC9">
              <w:t>39</w:t>
            </w:r>
          </w:p>
        </w:tc>
      </w:tr>
      <w:tr w:rsidR="003564C2" w:rsidRPr="00C90AC9" w:rsidTr="00A94D8C">
        <w:trPr>
          <w:trHeight w:hRule="exact" w:val="545"/>
        </w:trPr>
        <w:tc>
          <w:tcPr>
            <w:tcW w:w="1627" w:type="dxa"/>
            <w:tcBorders>
              <w:top w:val="nil"/>
              <w:left w:val="nil"/>
              <w:bottom w:val="nil"/>
              <w:right w:val="nil"/>
            </w:tcBorders>
          </w:tcPr>
          <w:p w:rsidR="003564C2" w:rsidRPr="00C90AC9" w:rsidRDefault="003564C2" w:rsidP="00B06779">
            <w:r w:rsidRPr="00C90AC9">
              <w:t>Figure 2.14.</w:t>
            </w:r>
          </w:p>
        </w:tc>
        <w:tc>
          <w:tcPr>
            <w:tcW w:w="6129" w:type="dxa"/>
            <w:gridSpan w:val="2"/>
            <w:tcBorders>
              <w:top w:val="nil"/>
              <w:left w:val="nil"/>
              <w:bottom w:val="nil"/>
              <w:right w:val="nil"/>
            </w:tcBorders>
          </w:tcPr>
          <w:p w:rsidR="003564C2" w:rsidRPr="00C90AC9" w:rsidRDefault="003564C2" w:rsidP="00B06779">
            <w:r w:rsidRPr="00C90AC9">
              <w:t>T</w:t>
            </w:r>
            <w:r w:rsidRPr="00C90AC9">
              <w:rPr>
                <w:rFonts w:eastAsiaTheme="minorHAnsi"/>
                <w:lang w:eastAsia="en-US"/>
              </w:rPr>
              <w:t>he U</w:t>
            </w:r>
            <w:r w:rsidR="00417CCD" w:rsidRPr="00C90AC9">
              <w:rPr>
                <w:rFonts w:eastAsiaTheme="minorHAnsi"/>
                <w:lang w:eastAsia="en-US"/>
              </w:rPr>
              <w:t xml:space="preserve">nified </w:t>
            </w:r>
            <w:r w:rsidRPr="00C90AC9">
              <w:rPr>
                <w:rFonts w:eastAsiaTheme="minorHAnsi"/>
                <w:lang w:eastAsia="en-US"/>
              </w:rPr>
              <w:t>T</w:t>
            </w:r>
            <w:r w:rsidR="00417CCD" w:rsidRPr="00C90AC9">
              <w:rPr>
                <w:rFonts w:eastAsiaTheme="minorHAnsi"/>
                <w:lang w:eastAsia="en-US"/>
              </w:rPr>
              <w:t xml:space="preserve">heory of </w:t>
            </w:r>
            <w:r w:rsidRPr="00C90AC9">
              <w:rPr>
                <w:rFonts w:eastAsiaTheme="minorHAnsi"/>
                <w:lang w:eastAsia="en-US"/>
              </w:rPr>
              <w:t>A</w:t>
            </w:r>
            <w:r w:rsidR="00417CCD" w:rsidRPr="00C90AC9">
              <w:rPr>
                <w:rFonts w:eastAsiaTheme="minorHAnsi"/>
                <w:lang w:eastAsia="en-US"/>
              </w:rPr>
              <w:t xml:space="preserve">doption of </w:t>
            </w:r>
            <w:r w:rsidRPr="00C90AC9">
              <w:rPr>
                <w:rFonts w:eastAsiaTheme="minorHAnsi"/>
                <w:lang w:eastAsia="en-US"/>
              </w:rPr>
              <w:t>U</w:t>
            </w:r>
            <w:r w:rsidR="00417CCD" w:rsidRPr="00C90AC9">
              <w:rPr>
                <w:rFonts w:eastAsiaTheme="minorHAnsi"/>
                <w:lang w:eastAsia="en-US"/>
              </w:rPr>
              <w:t xml:space="preserve">se of </w:t>
            </w:r>
            <w:r w:rsidRPr="00C90AC9">
              <w:rPr>
                <w:rFonts w:eastAsiaTheme="minorHAnsi"/>
                <w:lang w:eastAsia="en-US"/>
              </w:rPr>
              <w:t>T</w:t>
            </w:r>
            <w:r w:rsidR="00417CCD" w:rsidRPr="00C90AC9">
              <w:rPr>
                <w:rFonts w:eastAsiaTheme="minorHAnsi"/>
                <w:lang w:eastAsia="en-US"/>
              </w:rPr>
              <w:t>echnology (UTAUT)</w:t>
            </w:r>
          </w:p>
        </w:tc>
        <w:tc>
          <w:tcPr>
            <w:tcW w:w="1827" w:type="dxa"/>
            <w:gridSpan w:val="2"/>
            <w:tcBorders>
              <w:top w:val="nil"/>
              <w:left w:val="nil"/>
              <w:bottom w:val="nil"/>
              <w:right w:val="nil"/>
            </w:tcBorders>
          </w:tcPr>
          <w:p w:rsidR="003564C2" w:rsidRPr="00C90AC9" w:rsidRDefault="00CB394A" w:rsidP="00B06779">
            <w:r w:rsidRPr="00C90AC9">
              <w:t>40</w:t>
            </w:r>
          </w:p>
        </w:tc>
      </w:tr>
      <w:tr w:rsidR="003564C2" w:rsidRPr="00C90AC9" w:rsidTr="00A94D8C">
        <w:trPr>
          <w:trHeight w:hRule="exact" w:val="284"/>
        </w:trPr>
        <w:tc>
          <w:tcPr>
            <w:tcW w:w="1627" w:type="dxa"/>
            <w:tcBorders>
              <w:top w:val="nil"/>
              <w:left w:val="nil"/>
              <w:bottom w:val="nil"/>
              <w:right w:val="nil"/>
            </w:tcBorders>
          </w:tcPr>
          <w:p w:rsidR="003564C2" w:rsidRPr="00C90AC9" w:rsidRDefault="003564C2" w:rsidP="00B06779">
            <w:r w:rsidRPr="00C90AC9">
              <w:t>Figure 2.15.</w:t>
            </w:r>
          </w:p>
        </w:tc>
        <w:tc>
          <w:tcPr>
            <w:tcW w:w="6129" w:type="dxa"/>
            <w:gridSpan w:val="2"/>
            <w:tcBorders>
              <w:top w:val="nil"/>
              <w:left w:val="nil"/>
              <w:bottom w:val="nil"/>
              <w:right w:val="nil"/>
            </w:tcBorders>
          </w:tcPr>
          <w:p w:rsidR="003564C2" w:rsidRPr="00C90AC9" w:rsidRDefault="003564C2" w:rsidP="00B06779">
            <w:r w:rsidRPr="00C90AC9">
              <w:rPr>
                <w:rFonts w:eastAsiaTheme="minorHAnsi"/>
                <w:lang w:eastAsia="en-US"/>
              </w:rPr>
              <w:t>The Technology Adoption Model (TAM)</w:t>
            </w:r>
          </w:p>
        </w:tc>
        <w:tc>
          <w:tcPr>
            <w:tcW w:w="1827" w:type="dxa"/>
            <w:gridSpan w:val="2"/>
            <w:tcBorders>
              <w:top w:val="nil"/>
              <w:left w:val="nil"/>
              <w:bottom w:val="nil"/>
              <w:right w:val="nil"/>
            </w:tcBorders>
          </w:tcPr>
          <w:p w:rsidR="003564C2" w:rsidRPr="00C90AC9" w:rsidRDefault="00CB394A" w:rsidP="00B06779">
            <w:r w:rsidRPr="00C90AC9">
              <w:t>41</w:t>
            </w:r>
          </w:p>
        </w:tc>
      </w:tr>
      <w:tr w:rsidR="003564C2" w:rsidRPr="00C90AC9" w:rsidTr="00A94D8C">
        <w:trPr>
          <w:trHeight w:hRule="exact" w:val="556"/>
        </w:trPr>
        <w:tc>
          <w:tcPr>
            <w:tcW w:w="1627" w:type="dxa"/>
            <w:tcBorders>
              <w:top w:val="nil"/>
              <w:left w:val="nil"/>
              <w:bottom w:val="nil"/>
              <w:right w:val="nil"/>
            </w:tcBorders>
          </w:tcPr>
          <w:p w:rsidR="003564C2" w:rsidRPr="00C90AC9" w:rsidRDefault="003564C2" w:rsidP="00B06779">
            <w:r w:rsidRPr="00C90AC9">
              <w:t>Figure 3.1.</w:t>
            </w:r>
          </w:p>
        </w:tc>
        <w:tc>
          <w:tcPr>
            <w:tcW w:w="6129" w:type="dxa"/>
            <w:gridSpan w:val="2"/>
            <w:tcBorders>
              <w:top w:val="nil"/>
              <w:left w:val="nil"/>
              <w:bottom w:val="nil"/>
              <w:right w:val="nil"/>
            </w:tcBorders>
          </w:tcPr>
          <w:p w:rsidR="003564C2" w:rsidRPr="00C90AC9" w:rsidRDefault="003564C2" w:rsidP="00B06779">
            <w:r w:rsidRPr="00C90AC9">
              <w:rPr>
                <w:rFonts w:eastAsiaTheme="minorHAnsi"/>
                <w:lang w:eastAsia="en-US"/>
              </w:rPr>
              <w:t>The average annual sum for the Global Horizontal Irradiation (GHI) for the UK over the period 1994 – 2013</w:t>
            </w:r>
          </w:p>
        </w:tc>
        <w:tc>
          <w:tcPr>
            <w:tcW w:w="1827" w:type="dxa"/>
            <w:gridSpan w:val="2"/>
            <w:tcBorders>
              <w:top w:val="nil"/>
              <w:left w:val="nil"/>
              <w:bottom w:val="nil"/>
              <w:right w:val="nil"/>
            </w:tcBorders>
          </w:tcPr>
          <w:p w:rsidR="003564C2" w:rsidRPr="00C90AC9" w:rsidRDefault="00CB394A" w:rsidP="00B06779">
            <w:r w:rsidRPr="00C90AC9">
              <w:t>44</w:t>
            </w:r>
          </w:p>
        </w:tc>
      </w:tr>
      <w:tr w:rsidR="003564C2" w:rsidRPr="00C90AC9" w:rsidTr="00A94D8C">
        <w:trPr>
          <w:trHeight w:hRule="exact" w:val="580"/>
        </w:trPr>
        <w:tc>
          <w:tcPr>
            <w:tcW w:w="1627" w:type="dxa"/>
            <w:tcBorders>
              <w:top w:val="nil"/>
              <w:left w:val="nil"/>
              <w:bottom w:val="nil"/>
              <w:right w:val="nil"/>
            </w:tcBorders>
          </w:tcPr>
          <w:p w:rsidR="003564C2" w:rsidRPr="00C90AC9" w:rsidRDefault="003564C2" w:rsidP="00B06779">
            <w:r w:rsidRPr="00C90AC9">
              <w:t>Figure 3.2.</w:t>
            </w:r>
          </w:p>
        </w:tc>
        <w:tc>
          <w:tcPr>
            <w:tcW w:w="6129" w:type="dxa"/>
            <w:gridSpan w:val="2"/>
            <w:tcBorders>
              <w:top w:val="nil"/>
              <w:left w:val="nil"/>
              <w:bottom w:val="nil"/>
              <w:right w:val="nil"/>
            </w:tcBorders>
          </w:tcPr>
          <w:p w:rsidR="003564C2" w:rsidRPr="00C90AC9" w:rsidRDefault="003564C2" w:rsidP="00B06779">
            <w:r w:rsidRPr="00C90AC9">
              <w:rPr>
                <w:rFonts w:eastAsiaTheme="minorHAnsi"/>
                <w:lang w:eastAsia="en-US"/>
              </w:rPr>
              <w:t>The average annual sum for the Direct Normal Irradiation (DNI) for the UK over the period 1994 – 2013</w:t>
            </w:r>
          </w:p>
        </w:tc>
        <w:tc>
          <w:tcPr>
            <w:tcW w:w="1827" w:type="dxa"/>
            <w:gridSpan w:val="2"/>
            <w:tcBorders>
              <w:top w:val="nil"/>
              <w:left w:val="nil"/>
              <w:bottom w:val="nil"/>
              <w:right w:val="nil"/>
            </w:tcBorders>
          </w:tcPr>
          <w:p w:rsidR="003564C2" w:rsidRPr="00C90AC9" w:rsidRDefault="00CB394A" w:rsidP="00B06779">
            <w:r w:rsidRPr="00C90AC9">
              <w:t>45</w:t>
            </w:r>
          </w:p>
        </w:tc>
      </w:tr>
      <w:tr w:rsidR="003564C2" w:rsidRPr="00C90AC9" w:rsidTr="00A94D8C">
        <w:trPr>
          <w:trHeight w:hRule="exact" w:val="560"/>
        </w:trPr>
        <w:tc>
          <w:tcPr>
            <w:tcW w:w="1627" w:type="dxa"/>
            <w:tcBorders>
              <w:top w:val="nil"/>
              <w:left w:val="nil"/>
              <w:bottom w:val="nil"/>
              <w:right w:val="nil"/>
            </w:tcBorders>
          </w:tcPr>
          <w:p w:rsidR="003564C2" w:rsidRPr="00C90AC9" w:rsidRDefault="003564C2" w:rsidP="00B06779">
            <w:r w:rsidRPr="00C90AC9">
              <w:lastRenderedPageBreak/>
              <w:t>Figure 3.3.</w:t>
            </w:r>
          </w:p>
        </w:tc>
        <w:tc>
          <w:tcPr>
            <w:tcW w:w="6129" w:type="dxa"/>
            <w:gridSpan w:val="2"/>
            <w:tcBorders>
              <w:top w:val="nil"/>
              <w:left w:val="nil"/>
              <w:bottom w:val="nil"/>
              <w:right w:val="nil"/>
            </w:tcBorders>
          </w:tcPr>
          <w:p w:rsidR="003564C2" w:rsidRPr="00C90AC9" w:rsidRDefault="003564C2" w:rsidP="00B06779">
            <w:r w:rsidRPr="00C90AC9">
              <w:rPr>
                <w:rFonts w:eastAsiaTheme="minorHAnsi"/>
                <w:lang w:eastAsia="en-US"/>
              </w:rPr>
              <w:t>A pyrometer similar to the one used at the Sheffield Solar Farm</w:t>
            </w:r>
            <w:r w:rsidR="00285BAE" w:rsidRPr="00C90AC9">
              <w:rPr>
                <w:rFonts w:eastAsiaTheme="minorHAnsi"/>
                <w:vertAlign w:val="superscript"/>
                <w:lang w:eastAsia="en-US"/>
              </w:rPr>
              <w:t>4</w:t>
            </w:r>
          </w:p>
        </w:tc>
        <w:tc>
          <w:tcPr>
            <w:tcW w:w="1827" w:type="dxa"/>
            <w:gridSpan w:val="2"/>
            <w:tcBorders>
              <w:top w:val="nil"/>
              <w:left w:val="nil"/>
              <w:bottom w:val="nil"/>
              <w:right w:val="nil"/>
            </w:tcBorders>
          </w:tcPr>
          <w:p w:rsidR="003564C2" w:rsidRPr="00C90AC9" w:rsidRDefault="00CB394A" w:rsidP="00B06779">
            <w:r w:rsidRPr="00C90AC9">
              <w:t>46</w:t>
            </w:r>
          </w:p>
        </w:tc>
      </w:tr>
      <w:tr w:rsidR="003564C2" w:rsidRPr="00C90AC9" w:rsidTr="00A94D8C">
        <w:trPr>
          <w:trHeight w:hRule="exact" w:val="284"/>
        </w:trPr>
        <w:tc>
          <w:tcPr>
            <w:tcW w:w="1627" w:type="dxa"/>
            <w:tcBorders>
              <w:top w:val="nil"/>
              <w:left w:val="nil"/>
              <w:bottom w:val="nil"/>
              <w:right w:val="nil"/>
            </w:tcBorders>
          </w:tcPr>
          <w:p w:rsidR="003564C2" w:rsidRPr="00C90AC9" w:rsidRDefault="003564C2" w:rsidP="00B06779">
            <w:r w:rsidRPr="00C90AC9">
              <w:t>Figure 3.4.</w:t>
            </w:r>
          </w:p>
        </w:tc>
        <w:tc>
          <w:tcPr>
            <w:tcW w:w="6129" w:type="dxa"/>
            <w:gridSpan w:val="2"/>
            <w:tcBorders>
              <w:top w:val="nil"/>
              <w:left w:val="nil"/>
              <w:bottom w:val="nil"/>
              <w:right w:val="nil"/>
            </w:tcBorders>
          </w:tcPr>
          <w:p w:rsidR="003564C2" w:rsidRPr="00C90AC9" w:rsidRDefault="003564C2" w:rsidP="00B06779">
            <w:r w:rsidRPr="00C90AC9">
              <w:t>The proposed hot water tank</w:t>
            </w:r>
          </w:p>
        </w:tc>
        <w:tc>
          <w:tcPr>
            <w:tcW w:w="1827" w:type="dxa"/>
            <w:gridSpan w:val="2"/>
            <w:tcBorders>
              <w:top w:val="nil"/>
              <w:left w:val="nil"/>
              <w:bottom w:val="nil"/>
              <w:right w:val="nil"/>
            </w:tcBorders>
          </w:tcPr>
          <w:p w:rsidR="003564C2" w:rsidRPr="00C90AC9" w:rsidRDefault="003564C2" w:rsidP="00B06779">
            <w:r w:rsidRPr="00C90AC9">
              <w:t>56</w:t>
            </w:r>
          </w:p>
        </w:tc>
      </w:tr>
      <w:tr w:rsidR="003564C2" w:rsidRPr="00C90AC9" w:rsidTr="00A94D8C">
        <w:trPr>
          <w:trHeight w:hRule="exact" w:val="284"/>
        </w:trPr>
        <w:tc>
          <w:tcPr>
            <w:tcW w:w="1627" w:type="dxa"/>
            <w:tcBorders>
              <w:top w:val="nil"/>
              <w:left w:val="nil"/>
              <w:bottom w:val="nil"/>
              <w:right w:val="nil"/>
            </w:tcBorders>
          </w:tcPr>
          <w:p w:rsidR="003564C2" w:rsidRPr="00C90AC9" w:rsidRDefault="003564C2" w:rsidP="00B06779">
            <w:r w:rsidRPr="00C90AC9">
              <w:t>Figure 3.5.</w:t>
            </w:r>
          </w:p>
        </w:tc>
        <w:tc>
          <w:tcPr>
            <w:tcW w:w="6129" w:type="dxa"/>
            <w:gridSpan w:val="2"/>
            <w:tcBorders>
              <w:top w:val="nil"/>
              <w:left w:val="nil"/>
              <w:bottom w:val="nil"/>
              <w:right w:val="nil"/>
            </w:tcBorders>
          </w:tcPr>
          <w:p w:rsidR="003564C2" w:rsidRPr="00C90AC9" w:rsidRDefault="003564C2" w:rsidP="00B06779">
            <w:r w:rsidRPr="00C90AC9">
              <w:rPr>
                <w:rFonts w:eastAsiaTheme="minorHAnsi"/>
                <w:lang w:eastAsia="en-US"/>
              </w:rPr>
              <w:t>The heating coil in the hot water tank</w:t>
            </w:r>
          </w:p>
        </w:tc>
        <w:tc>
          <w:tcPr>
            <w:tcW w:w="1827" w:type="dxa"/>
            <w:gridSpan w:val="2"/>
            <w:tcBorders>
              <w:top w:val="nil"/>
              <w:left w:val="nil"/>
              <w:bottom w:val="nil"/>
              <w:right w:val="nil"/>
            </w:tcBorders>
          </w:tcPr>
          <w:p w:rsidR="003564C2" w:rsidRPr="00C90AC9" w:rsidRDefault="003564C2" w:rsidP="00B06779">
            <w:r w:rsidRPr="00C90AC9">
              <w:t>58</w:t>
            </w:r>
          </w:p>
        </w:tc>
      </w:tr>
      <w:tr w:rsidR="003564C2" w:rsidRPr="00C90AC9" w:rsidTr="00A94D8C">
        <w:trPr>
          <w:trHeight w:hRule="exact" w:val="562"/>
        </w:trPr>
        <w:tc>
          <w:tcPr>
            <w:tcW w:w="1627" w:type="dxa"/>
            <w:tcBorders>
              <w:top w:val="nil"/>
              <w:left w:val="nil"/>
              <w:bottom w:val="nil"/>
              <w:right w:val="nil"/>
            </w:tcBorders>
          </w:tcPr>
          <w:p w:rsidR="003564C2" w:rsidRPr="00C90AC9" w:rsidRDefault="003564C2" w:rsidP="00B06779">
            <w:r w:rsidRPr="00C90AC9">
              <w:t>Figure 3.6.</w:t>
            </w:r>
          </w:p>
        </w:tc>
        <w:tc>
          <w:tcPr>
            <w:tcW w:w="6129" w:type="dxa"/>
            <w:gridSpan w:val="2"/>
            <w:tcBorders>
              <w:top w:val="nil"/>
              <w:left w:val="nil"/>
              <w:bottom w:val="nil"/>
              <w:right w:val="nil"/>
            </w:tcBorders>
          </w:tcPr>
          <w:p w:rsidR="003564C2" w:rsidRPr="00C90AC9" w:rsidRDefault="003564C2" w:rsidP="00B06779">
            <w:r w:rsidRPr="00C90AC9">
              <w:rPr>
                <w:rFonts w:eastAsiaTheme="minorHAnsi"/>
                <w:lang w:eastAsia="en-US"/>
              </w:rPr>
              <w:t xml:space="preserve">Conduction from warmer slices to cooler slices of water within the </w:t>
            </w:r>
            <w:r w:rsidR="006B13D1" w:rsidRPr="00C90AC9">
              <w:rPr>
                <w:rFonts w:eastAsiaTheme="minorHAnsi"/>
                <w:lang w:eastAsia="en-US"/>
              </w:rPr>
              <w:t xml:space="preserve">hot water </w:t>
            </w:r>
            <w:r w:rsidRPr="00C90AC9">
              <w:rPr>
                <w:rFonts w:eastAsiaTheme="minorHAnsi"/>
                <w:lang w:eastAsia="en-US"/>
              </w:rPr>
              <w:t>tank</w:t>
            </w:r>
          </w:p>
        </w:tc>
        <w:tc>
          <w:tcPr>
            <w:tcW w:w="1827" w:type="dxa"/>
            <w:gridSpan w:val="2"/>
            <w:tcBorders>
              <w:top w:val="nil"/>
              <w:left w:val="nil"/>
              <w:bottom w:val="nil"/>
              <w:right w:val="nil"/>
            </w:tcBorders>
          </w:tcPr>
          <w:p w:rsidR="003564C2" w:rsidRPr="00C90AC9" w:rsidRDefault="003564C2" w:rsidP="00B06779">
            <w:r w:rsidRPr="00C90AC9">
              <w:t>59</w:t>
            </w:r>
          </w:p>
        </w:tc>
      </w:tr>
      <w:tr w:rsidR="003564C2" w:rsidRPr="00C90AC9" w:rsidTr="00A94D8C">
        <w:trPr>
          <w:trHeight w:hRule="exact" w:val="284"/>
        </w:trPr>
        <w:tc>
          <w:tcPr>
            <w:tcW w:w="1627" w:type="dxa"/>
            <w:tcBorders>
              <w:top w:val="nil"/>
              <w:left w:val="nil"/>
              <w:bottom w:val="nil"/>
              <w:right w:val="nil"/>
            </w:tcBorders>
          </w:tcPr>
          <w:p w:rsidR="003564C2" w:rsidRPr="00C90AC9" w:rsidRDefault="003564C2" w:rsidP="00B06779">
            <w:r w:rsidRPr="00C90AC9">
              <w:t>Figure 3.7.</w:t>
            </w:r>
          </w:p>
        </w:tc>
        <w:tc>
          <w:tcPr>
            <w:tcW w:w="6129" w:type="dxa"/>
            <w:gridSpan w:val="2"/>
            <w:tcBorders>
              <w:top w:val="nil"/>
              <w:left w:val="nil"/>
              <w:bottom w:val="nil"/>
              <w:right w:val="nil"/>
            </w:tcBorders>
          </w:tcPr>
          <w:p w:rsidR="003564C2" w:rsidRPr="00C90AC9" w:rsidRDefault="003564C2" w:rsidP="00B06779">
            <w:r w:rsidRPr="00C90AC9">
              <w:rPr>
                <w:rFonts w:eastAsiaTheme="minorHAnsi"/>
                <w:lang w:eastAsia="en-US"/>
              </w:rPr>
              <w:t xml:space="preserve">Flow diagram of the </w:t>
            </w:r>
            <w:proofErr w:type="spellStart"/>
            <w:r w:rsidRPr="00C90AC9">
              <w:rPr>
                <w:rFonts w:eastAsiaTheme="minorHAnsi"/>
                <w:lang w:eastAsia="en-US"/>
              </w:rPr>
              <w:t>Matlab</w:t>
            </w:r>
            <w:proofErr w:type="spellEnd"/>
            <w:r w:rsidRPr="00C90AC9">
              <w:rPr>
                <w:rFonts w:eastAsiaTheme="minorHAnsi"/>
                <w:lang w:eastAsia="en-US"/>
              </w:rPr>
              <w:t xml:space="preserve"> program</w:t>
            </w:r>
          </w:p>
        </w:tc>
        <w:tc>
          <w:tcPr>
            <w:tcW w:w="1827" w:type="dxa"/>
            <w:gridSpan w:val="2"/>
            <w:tcBorders>
              <w:top w:val="nil"/>
              <w:left w:val="nil"/>
              <w:bottom w:val="nil"/>
              <w:right w:val="nil"/>
            </w:tcBorders>
          </w:tcPr>
          <w:p w:rsidR="003564C2" w:rsidRPr="00C90AC9" w:rsidRDefault="003564C2" w:rsidP="00B06779">
            <w:r w:rsidRPr="00C90AC9">
              <w:t>61</w:t>
            </w:r>
          </w:p>
        </w:tc>
      </w:tr>
      <w:tr w:rsidR="003564C2" w:rsidRPr="00C90AC9" w:rsidTr="00A94D8C">
        <w:trPr>
          <w:trHeight w:hRule="exact" w:val="561"/>
        </w:trPr>
        <w:tc>
          <w:tcPr>
            <w:tcW w:w="1627" w:type="dxa"/>
            <w:tcBorders>
              <w:top w:val="nil"/>
              <w:left w:val="nil"/>
              <w:bottom w:val="nil"/>
              <w:right w:val="nil"/>
            </w:tcBorders>
          </w:tcPr>
          <w:p w:rsidR="003564C2" w:rsidRPr="00C90AC9" w:rsidRDefault="003564C2" w:rsidP="00B06779">
            <w:r w:rsidRPr="00C90AC9">
              <w:t>Figure 3.8.</w:t>
            </w:r>
          </w:p>
        </w:tc>
        <w:tc>
          <w:tcPr>
            <w:tcW w:w="6129" w:type="dxa"/>
            <w:gridSpan w:val="2"/>
            <w:tcBorders>
              <w:top w:val="nil"/>
              <w:left w:val="nil"/>
              <w:bottom w:val="nil"/>
              <w:right w:val="nil"/>
            </w:tcBorders>
          </w:tcPr>
          <w:p w:rsidR="003564C2" w:rsidRPr="00C90AC9" w:rsidRDefault="003564C2" w:rsidP="00B06779">
            <w:r w:rsidRPr="00C90AC9">
              <w:rPr>
                <w:rFonts w:eastAsiaTheme="minorHAnsi"/>
                <w:lang w:eastAsia="en-US"/>
              </w:rPr>
              <w:t>Direct, Diffuse and Total Irradiance as measured at the Sheffield Solar Farm</w:t>
            </w:r>
            <w:proofErr w:type="gramStart"/>
            <w:r w:rsidR="00285BAE" w:rsidRPr="00C90AC9">
              <w:rPr>
                <w:rFonts w:eastAsiaTheme="minorHAnsi"/>
                <w:vertAlign w:val="superscript"/>
                <w:lang w:eastAsia="en-US"/>
              </w:rPr>
              <w:t>4</w:t>
            </w:r>
            <w:r w:rsidRPr="00C90AC9">
              <w:rPr>
                <w:rFonts w:eastAsiaTheme="minorHAnsi"/>
                <w:lang w:eastAsia="en-US"/>
              </w:rPr>
              <w:t xml:space="preserve"> ,</w:t>
            </w:r>
            <w:proofErr w:type="gramEnd"/>
            <w:r w:rsidRPr="00C90AC9">
              <w:rPr>
                <w:rFonts w:eastAsiaTheme="minorHAnsi"/>
                <w:lang w:eastAsia="en-US"/>
              </w:rPr>
              <w:t xml:space="preserve"> 53.38 °N 1.48 °W, 19/02/2015 - 19/02/2015</w:t>
            </w:r>
          </w:p>
        </w:tc>
        <w:tc>
          <w:tcPr>
            <w:tcW w:w="1827" w:type="dxa"/>
            <w:gridSpan w:val="2"/>
            <w:tcBorders>
              <w:top w:val="nil"/>
              <w:left w:val="nil"/>
              <w:bottom w:val="nil"/>
              <w:right w:val="nil"/>
            </w:tcBorders>
          </w:tcPr>
          <w:p w:rsidR="003564C2" w:rsidRPr="00C90AC9" w:rsidRDefault="003564C2" w:rsidP="00B06779">
            <w:r w:rsidRPr="00C90AC9">
              <w:t>63</w:t>
            </w:r>
          </w:p>
        </w:tc>
      </w:tr>
      <w:tr w:rsidR="003564C2" w:rsidRPr="00C90AC9" w:rsidTr="00A94D8C">
        <w:trPr>
          <w:trHeight w:hRule="exact" w:val="569"/>
        </w:trPr>
        <w:tc>
          <w:tcPr>
            <w:tcW w:w="1627" w:type="dxa"/>
            <w:tcBorders>
              <w:top w:val="nil"/>
              <w:left w:val="nil"/>
              <w:bottom w:val="nil"/>
              <w:right w:val="nil"/>
            </w:tcBorders>
          </w:tcPr>
          <w:p w:rsidR="003564C2" w:rsidRPr="00C90AC9" w:rsidRDefault="003564C2" w:rsidP="00B06779">
            <w:r w:rsidRPr="00C90AC9">
              <w:t>Figure 3.9.</w:t>
            </w:r>
          </w:p>
        </w:tc>
        <w:tc>
          <w:tcPr>
            <w:tcW w:w="6129" w:type="dxa"/>
            <w:gridSpan w:val="2"/>
            <w:tcBorders>
              <w:top w:val="nil"/>
              <w:left w:val="nil"/>
              <w:bottom w:val="nil"/>
              <w:right w:val="nil"/>
            </w:tcBorders>
          </w:tcPr>
          <w:p w:rsidR="003564C2" w:rsidRPr="00C90AC9" w:rsidRDefault="003564C2" w:rsidP="00B06779">
            <w:r w:rsidRPr="00C90AC9">
              <w:rPr>
                <w:rFonts w:eastAsiaTheme="minorHAnsi"/>
                <w:lang w:eastAsia="en-US"/>
              </w:rPr>
              <w:t>Direct, Diffuse and Total Irradiance as predicted by the MET Office +0Hrs</w:t>
            </w:r>
          </w:p>
        </w:tc>
        <w:tc>
          <w:tcPr>
            <w:tcW w:w="1827" w:type="dxa"/>
            <w:gridSpan w:val="2"/>
            <w:tcBorders>
              <w:top w:val="nil"/>
              <w:left w:val="nil"/>
              <w:bottom w:val="nil"/>
              <w:right w:val="nil"/>
            </w:tcBorders>
          </w:tcPr>
          <w:p w:rsidR="003564C2" w:rsidRPr="00C90AC9" w:rsidRDefault="003564C2" w:rsidP="00B06779">
            <w:r w:rsidRPr="00C90AC9">
              <w:t>64</w:t>
            </w:r>
          </w:p>
        </w:tc>
      </w:tr>
      <w:tr w:rsidR="003564C2" w:rsidRPr="00C90AC9" w:rsidTr="00A94D8C">
        <w:trPr>
          <w:trHeight w:hRule="exact" w:val="567"/>
        </w:trPr>
        <w:tc>
          <w:tcPr>
            <w:tcW w:w="1627" w:type="dxa"/>
            <w:tcBorders>
              <w:top w:val="nil"/>
              <w:left w:val="nil"/>
              <w:bottom w:val="nil"/>
              <w:right w:val="nil"/>
            </w:tcBorders>
          </w:tcPr>
          <w:p w:rsidR="003564C2" w:rsidRPr="00C90AC9" w:rsidRDefault="003564C2" w:rsidP="00B06779">
            <w:r w:rsidRPr="00C90AC9">
              <w:t>Figure 3.10.</w:t>
            </w:r>
          </w:p>
        </w:tc>
        <w:tc>
          <w:tcPr>
            <w:tcW w:w="6129" w:type="dxa"/>
            <w:gridSpan w:val="2"/>
            <w:tcBorders>
              <w:top w:val="nil"/>
              <w:left w:val="nil"/>
              <w:bottom w:val="nil"/>
              <w:right w:val="nil"/>
            </w:tcBorders>
          </w:tcPr>
          <w:p w:rsidR="003564C2" w:rsidRPr="00C90AC9" w:rsidRDefault="003564C2" w:rsidP="00B06779">
            <w:r w:rsidRPr="00C90AC9">
              <w:rPr>
                <w:rFonts w:eastAsiaTheme="minorHAnsi"/>
                <w:lang w:eastAsia="en-US"/>
              </w:rPr>
              <w:t>Direct, Diffuse and Total Irradiance as predicted by the MET Office +24Hrs</w:t>
            </w:r>
          </w:p>
        </w:tc>
        <w:tc>
          <w:tcPr>
            <w:tcW w:w="1827" w:type="dxa"/>
            <w:gridSpan w:val="2"/>
            <w:tcBorders>
              <w:top w:val="nil"/>
              <w:left w:val="nil"/>
              <w:bottom w:val="nil"/>
              <w:right w:val="nil"/>
            </w:tcBorders>
          </w:tcPr>
          <w:p w:rsidR="003564C2" w:rsidRPr="00C90AC9" w:rsidRDefault="003564C2" w:rsidP="00B06779">
            <w:r w:rsidRPr="00C90AC9">
              <w:t>65</w:t>
            </w:r>
          </w:p>
        </w:tc>
      </w:tr>
      <w:tr w:rsidR="003564C2" w:rsidRPr="00C90AC9" w:rsidTr="00A94D8C">
        <w:trPr>
          <w:trHeight w:hRule="exact" w:val="562"/>
        </w:trPr>
        <w:tc>
          <w:tcPr>
            <w:tcW w:w="1627" w:type="dxa"/>
            <w:tcBorders>
              <w:top w:val="nil"/>
              <w:left w:val="nil"/>
              <w:bottom w:val="nil"/>
              <w:right w:val="nil"/>
            </w:tcBorders>
          </w:tcPr>
          <w:p w:rsidR="003564C2" w:rsidRPr="00C90AC9" w:rsidRDefault="003564C2" w:rsidP="00B06779">
            <w:r w:rsidRPr="00C90AC9">
              <w:t>Figure 3.11.</w:t>
            </w:r>
          </w:p>
        </w:tc>
        <w:tc>
          <w:tcPr>
            <w:tcW w:w="6129" w:type="dxa"/>
            <w:gridSpan w:val="2"/>
            <w:tcBorders>
              <w:top w:val="nil"/>
              <w:left w:val="nil"/>
              <w:bottom w:val="nil"/>
              <w:right w:val="nil"/>
            </w:tcBorders>
          </w:tcPr>
          <w:p w:rsidR="003564C2" w:rsidRPr="00C90AC9" w:rsidRDefault="003564C2" w:rsidP="00B06779">
            <w:pPr>
              <w:rPr>
                <w:rFonts w:eastAsiaTheme="minorHAnsi"/>
                <w:lang w:eastAsia="en-US"/>
              </w:rPr>
            </w:pPr>
            <w:r w:rsidRPr="00C90AC9">
              <w:rPr>
                <w:rFonts w:eastAsiaTheme="minorHAnsi"/>
                <w:lang w:eastAsia="en-US"/>
              </w:rPr>
              <w:t xml:space="preserve">Figure 3.11. Direct, Diffuse and Total Irradiance at </w:t>
            </w:r>
            <w:r w:rsidR="006B13D1" w:rsidRPr="00C90AC9">
              <w:rPr>
                <w:rFonts w:eastAsiaTheme="minorHAnsi"/>
                <w:lang w:eastAsia="en-US"/>
              </w:rPr>
              <w:t>Sheffield Solar Farm</w:t>
            </w:r>
            <w:r w:rsidR="00285BAE" w:rsidRPr="00C90AC9">
              <w:rPr>
                <w:rFonts w:eastAsiaTheme="minorHAnsi"/>
                <w:lang w:eastAsia="en-US"/>
              </w:rPr>
              <w:t xml:space="preserve"> </w:t>
            </w:r>
            <w:r w:rsidR="00285BAE" w:rsidRPr="00C90AC9">
              <w:rPr>
                <w:rFonts w:eastAsiaTheme="minorHAnsi"/>
                <w:vertAlign w:val="superscript"/>
                <w:lang w:eastAsia="en-US"/>
              </w:rPr>
              <w:t>4</w:t>
            </w:r>
            <w:r w:rsidR="006B13D1" w:rsidRPr="00C90AC9">
              <w:rPr>
                <w:rFonts w:eastAsiaTheme="minorHAnsi"/>
                <w:lang w:eastAsia="en-US"/>
              </w:rPr>
              <w:t xml:space="preserve"> </w:t>
            </w:r>
            <w:r w:rsidRPr="00C90AC9">
              <w:rPr>
                <w:rFonts w:eastAsiaTheme="minorHAnsi"/>
                <w:lang w:eastAsia="en-US"/>
              </w:rPr>
              <w:t>00:00 - 23:</w:t>
            </w:r>
            <w:proofErr w:type="gramStart"/>
            <w:r w:rsidRPr="00C90AC9">
              <w:rPr>
                <w:rFonts w:eastAsiaTheme="minorHAnsi"/>
                <w:lang w:eastAsia="en-US"/>
              </w:rPr>
              <w:t>59  19</w:t>
            </w:r>
            <w:proofErr w:type="gramEnd"/>
            <w:r w:rsidRPr="00C90AC9">
              <w:rPr>
                <w:rFonts w:eastAsiaTheme="minorHAnsi"/>
                <w:lang w:eastAsia="en-US"/>
              </w:rPr>
              <w:t xml:space="preserve">/02/2014 </w:t>
            </w:r>
          </w:p>
        </w:tc>
        <w:tc>
          <w:tcPr>
            <w:tcW w:w="1827" w:type="dxa"/>
            <w:gridSpan w:val="2"/>
            <w:tcBorders>
              <w:top w:val="nil"/>
              <w:left w:val="nil"/>
              <w:bottom w:val="nil"/>
              <w:right w:val="nil"/>
            </w:tcBorders>
          </w:tcPr>
          <w:p w:rsidR="003564C2" w:rsidRPr="00C90AC9" w:rsidRDefault="003564C2" w:rsidP="00B06779">
            <w:r w:rsidRPr="00C90AC9">
              <w:t>66</w:t>
            </w:r>
          </w:p>
        </w:tc>
      </w:tr>
      <w:tr w:rsidR="003564C2" w:rsidRPr="00C90AC9" w:rsidTr="00A94D8C">
        <w:trPr>
          <w:trHeight w:hRule="exact" w:val="583"/>
        </w:trPr>
        <w:tc>
          <w:tcPr>
            <w:tcW w:w="1627" w:type="dxa"/>
            <w:tcBorders>
              <w:top w:val="nil"/>
              <w:left w:val="nil"/>
              <w:bottom w:val="nil"/>
              <w:right w:val="nil"/>
            </w:tcBorders>
          </w:tcPr>
          <w:p w:rsidR="003564C2" w:rsidRPr="00C90AC9" w:rsidRDefault="003564C2" w:rsidP="00B06779">
            <w:r w:rsidRPr="00C90AC9">
              <w:t>Figure 3.12.</w:t>
            </w:r>
          </w:p>
        </w:tc>
        <w:tc>
          <w:tcPr>
            <w:tcW w:w="6129" w:type="dxa"/>
            <w:gridSpan w:val="2"/>
            <w:tcBorders>
              <w:top w:val="nil"/>
              <w:left w:val="nil"/>
              <w:bottom w:val="nil"/>
              <w:right w:val="nil"/>
            </w:tcBorders>
          </w:tcPr>
          <w:p w:rsidR="003564C2" w:rsidRPr="00C90AC9" w:rsidRDefault="003564C2" w:rsidP="00B06779">
            <w:r w:rsidRPr="00C90AC9">
              <w:rPr>
                <w:rFonts w:eastAsiaTheme="minorHAnsi"/>
                <w:lang w:eastAsia="en-US"/>
              </w:rPr>
              <w:t>Temperature of the heating coil from the STP 00:00- 23:59 19/02/2014</w:t>
            </w:r>
          </w:p>
        </w:tc>
        <w:tc>
          <w:tcPr>
            <w:tcW w:w="1827" w:type="dxa"/>
            <w:gridSpan w:val="2"/>
            <w:tcBorders>
              <w:top w:val="nil"/>
              <w:left w:val="nil"/>
              <w:bottom w:val="nil"/>
              <w:right w:val="nil"/>
            </w:tcBorders>
          </w:tcPr>
          <w:p w:rsidR="003564C2" w:rsidRPr="00C90AC9" w:rsidRDefault="003564C2" w:rsidP="00B06779">
            <w:r w:rsidRPr="00C90AC9">
              <w:t>66</w:t>
            </w:r>
          </w:p>
        </w:tc>
      </w:tr>
      <w:tr w:rsidR="003564C2" w:rsidRPr="00C90AC9" w:rsidTr="00A94D8C">
        <w:trPr>
          <w:trHeight w:hRule="exact" w:val="563"/>
        </w:trPr>
        <w:tc>
          <w:tcPr>
            <w:tcW w:w="1627" w:type="dxa"/>
            <w:tcBorders>
              <w:top w:val="nil"/>
              <w:left w:val="nil"/>
              <w:bottom w:val="nil"/>
              <w:right w:val="nil"/>
            </w:tcBorders>
          </w:tcPr>
          <w:p w:rsidR="003564C2" w:rsidRPr="00C90AC9" w:rsidRDefault="003564C2" w:rsidP="00B06779">
            <w:r w:rsidRPr="00C90AC9">
              <w:t>Figure 3.13.</w:t>
            </w:r>
          </w:p>
        </w:tc>
        <w:tc>
          <w:tcPr>
            <w:tcW w:w="6129" w:type="dxa"/>
            <w:gridSpan w:val="2"/>
            <w:tcBorders>
              <w:top w:val="nil"/>
              <w:left w:val="nil"/>
              <w:bottom w:val="nil"/>
              <w:right w:val="nil"/>
            </w:tcBorders>
          </w:tcPr>
          <w:p w:rsidR="003564C2" w:rsidRPr="00C90AC9" w:rsidRDefault="003564C2" w:rsidP="00B06779">
            <w:r w:rsidRPr="00C90AC9">
              <w:rPr>
                <w:rFonts w:eastAsiaTheme="minorHAnsi"/>
                <w:lang w:eastAsia="en-US"/>
              </w:rPr>
              <w:t>Direct, Diffuse and Total Irradiance at S</w:t>
            </w:r>
            <w:r w:rsidR="006B13D1" w:rsidRPr="00C90AC9">
              <w:rPr>
                <w:rFonts w:eastAsiaTheme="minorHAnsi"/>
                <w:lang w:eastAsia="en-US"/>
              </w:rPr>
              <w:t xml:space="preserve">heffield </w:t>
            </w:r>
            <w:r w:rsidRPr="00C90AC9">
              <w:rPr>
                <w:rFonts w:eastAsiaTheme="minorHAnsi"/>
                <w:lang w:eastAsia="en-US"/>
              </w:rPr>
              <w:t>S</w:t>
            </w:r>
            <w:r w:rsidR="006B13D1" w:rsidRPr="00C90AC9">
              <w:rPr>
                <w:rFonts w:eastAsiaTheme="minorHAnsi"/>
                <w:lang w:eastAsia="en-US"/>
              </w:rPr>
              <w:t xml:space="preserve">olar </w:t>
            </w:r>
            <w:r w:rsidRPr="00C90AC9">
              <w:rPr>
                <w:rFonts w:eastAsiaTheme="minorHAnsi"/>
                <w:lang w:eastAsia="en-US"/>
              </w:rPr>
              <w:t>F</w:t>
            </w:r>
            <w:r w:rsidR="006B13D1" w:rsidRPr="00C90AC9">
              <w:rPr>
                <w:rFonts w:eastAsiaTheme="minorHAnsi"/>
                <w:lang w:eastAsia="en-US"/>
              </w:rPr>
              <w:t>arm</w:t>
            </w:r>
            <w:r w:rsidR="00285BAE" w:rsidRPr="00C90AC9">
              <w:rPr>
                <w:rFonts w:eastAsiaTheme="minorHAnsi"/>
                <w:vertAlign w:val="superscript"/>
                <w:lang w:eastAsia="en-US"/>
              </w:rPr>
              <w:t>4</w:t>
            </w:r>
            <w:r w:rsidRPr="00C90AC9">
              <w:rPr>
                <w:rFonts w:eastAsiaTheme="minorHAnsi"/>
                <w:lang w:eastAsia="en-US"/>
              </w:rPr>
              <w:t xml:space="preserve"> 00:00 - 23:59 19/05/2014</w:t>
            </w:r>
          </w:p>
        </w:tc>
        <w:tc>
          <w:tcPr>
            <w:tcW w:w="1827" w:type="dxa"/>
            <w:gridSpan w:val="2"/>
            <w:tcBorders>
              <w:top w:val="nil"/>
              <w:left w:val="nil"/>
              <w:bottom w:val="nil"/>
              <w:right w:val="nil"/>
            </w:tcBorders>
          </w:tcPr>
          <w:p w:rsidR="003564C2" w:rsidRPr="00C90AC9" w:rsidRDefault="003564C2" w:rsidP="00B06779">
            <w:r w:rsidRPr="00C90AC9">
              <w:t>67</w:t>
            </w:r>
          </w:p>
        </w:tc>
      </w:tr>
      <w:tr w:rsidR="003564C2" w:rsidRPr="00C90AC9" w:rsidTr="00A94D8C">
        <w:trPr>
          <w:trHeight w:hRule="exact" w:val="556"/>
        </w:trPr>
        <w:tc>
          <w:tcPr>
            <w:tcW w:w="1627" w:type="dxa"/>
            <w:tcBorders>
              <w:top w:val="nil"/>
              <w:left w:val="nil"/>
              <w:bottom w:val="nil"/>
              <w:right w:val="nil"/>
            </w:tcBorders>
          </w:tcPr>
          <w:p w:rsidR="003564C2" w:rsidRPr="00C90AC9" w:rsidRDefault="003564C2" w:rsidP="00B06779">
            <w:r w:rsidRPr="00C90AC9">
              <w:t>Figure 3.14.</w:t>
            </w:r>
          </w:p>
        </w:tc>
        <w:tc>
          <w:tcPr>
            <w:tcW w:w="6129" w:type="dxa"/>
            <w:gridSpan w:val="2"/>
            <w:tcBorders>
              <w:top w:val="nil"/>
              <w:left w:val="nil"/>
              <w:bottom w:val="nil"/>
              <w:right w:val="nil"/>
            </w:tcBorders>
          </w:tcPr>
          <w:p w:rsidR="003564C2" w:rsidRPr="00C90AC9" w:rsidRDefault="003564C2" w:rsidP="00B06779">
            <w:pPr>
              <w:rPr>
                <w:rFonts w:eastAsiaTheme="minorHAnsi"/>
                <w:lang w:eastAsia="en-US"/>
              </w:rPr>
            </w:pPr>
            <w:r w:rsidRPr="00C90AC9">
              <w:rPr>
                <w:rFonts w:eastAsiaTheme="minorHAnsi"/>
                <w:lang w:eastAsia="en-US"/>
              </w:rPr>
              <w:t>Temperature of the heating coil from the STP 00:00- 23:59 19/02/2014</w:t>
            </w:r>
          </w:p>
        </w:tc>
        <w:tc>
          <w:tcPr>
            <w:tcW w:w="1827" w:type="dxa"/>
            <w:gridSpan w:val="2"/>
            <w:tcBorders>
              <w:top w:val="nil"/>
              <w:left w:val="nil"/>
              <w:bottom w:val="nil"/>
              <w:right w:val="nil"/>
            </w:tcBorders>
          </w:tcPr>
          <w:p w:rsidR="003564C2" w:rsidRPr="00C90AC9" w:rsidRDefault="003564C2" w:rsidP="00B06779">
            <w:r w:rsidRPr="00C90AC9">
              <w:t>67</w:t>
            </w:r>
          </w:p>
        </w:tc>
      </w:tr>
      <w:tr w:rsidR="003564C2" w:rsidRPr="00C90AC9" w:rsidTr="00A94D8C">
        <w:trPr>
          <w:trHeight w:hRule="exact" w:val="564"/>
        </w:trPr>
        <w:tc>
          <w:tcPr>
            <w:tcW w:w="1627" w:type="dxa"/>
            <w:tcBorders>
              <w:top w:val="nil"/>
              <w:left w:val="nil"/>
              <w:bottom w:val="nil"/>
              <w:right w:val="nil"/>
            </w:tcBorders>
          </w:tcPr>
          <w:p w:rsidR="003564C2" w:rsidRPr="00C90AC9" w:rsidRDefault="003564C2" w:rsidP="00B06779">
            <w:r w:rsidRPr="00C90AC9">
              <w:t>Figure 3.15.</w:t>
            </w:r>
          </w:p>
        </w:tc>
        <w:tc>
          <w:tcPr>
            <w:tcW w:w="6129" w:type="dxa"/>
            <w:gridSpan w:val="2"/>
            <w:tcBorders>
              <w:top w:val="nil"/>
              <w:left w:val="nil"/>
              <w:bottom w:val="nil"/>
              <w:right w:val="nil"/>
            </w:tcBorders>
          </w:tcPr>
          <w:p w:rsidR="003564C2" w:rsidRPr="00C90AC9" w:rsidRDefault="003564C2" w:rsidP="00B06779">
            <w:pPr>
              <w:rPr>
                <w:rFonts w:eastAsiaTheme="minorHAnsi"/>
                <w:lang w:eastAsia="en-US"/>
              </w:rPr>
            </w:pPr>
            <w:r w:rsidRPr="00C90AC9">
              <w:rPr>
                <w:rFonts w:eastAsiaTheme="minorHAnsi"/>
                <w:lang w:eastAsia="en-US"/>
              </w:rPr>
              <w:t xml:space="preserve">Direct, Diffuse and Total Irradiance at </w:t>
            </w:r>
            <w:r w:rsidR="006B13D1" w:rsidRPr="00C90AC9">
              <w:rPr>
                <w:rFonts w:eastAsiaTheme="minorHAnsi"/>
                <w:lang w:eastAsia="en-US"/>
              </w:rPr>
              <w:t>Sheffield Solar Farm</w:t>
            </w:r>
            <w:r w:rsidR="00285BAE" w:rsidRPr="00C90AC9">
              <w:rPr>
                <w:rFonts w:eastAsiaTheme="minorHAnsi"/>
                <w:vertAlign w:val="superscript"/>
                <w:lang w:eastAsia="en-US"/>
              </w:rPr>
              <w:t>4</w:t>
            </w:r>
            <w:r w:rsidR="006B13D1" w:rsidRPr="00C90AC9">
              <w:rPr>
                <w:rFonts w:eastAsiaTheme="minorHAnsi"/>
                <w:lang w:eastAsia="en-US"/>
              </w:rPr>
              <w:t xml:space="preserve"> </w:t>
            </w:r>
            <w:r w:rsidRPr="00C90AC9">
              <w:rPr>
                <w:rFonts w:eastAsiaTheme="minorHAnsi"/>
                <w:lang w:eastAsia="en-US"/>
              </w:rPr>
              <w:t>00:00 - 23:59 19/08/2014</w:t>
            </w:r>
          </w:p>
        </w:tc>
        <w:tc>
          <w:tcPr>
            <w:tcW w:w="1827" w:type="dxa"/>
            <w:gridSpan w:val="2"/>
            <w:tcBorders>
              <w:top w:val="nil"/>
              <w:left w:val="nil"/>
              <w:bottom w:val="nil"/>
              <w:right w:val="nil"/>
            </w:tcBorders>
          </w:tcPr>
          <w:p w:rsidR="003564C2" w:rsidRPr="00C90AC9" w:rsidRDefault="003564C2" w:rsidP="00B06779">
            <w:r w:rsidRPr="00C90AC9">
              <w:t>68</w:t>
            </w:r>
          </w:p>
        </w:tc>
      </w:tr>
      <w:tr w:rsidR="003564C2" w:rsidRPr="00C90AC9" w:rsidTr="00A94D8C">
        <w:trPr>
          <w:trHeight w:hRule="exact" w:val="284"/>
        </w:trPr>
        <w:tc>
          <w:tcPr>
            <w:tcW w:w="1627" w:type="dxa"/>
            <w:tcBorders>
              <w:top w:val="nil"/>
              <w:left w:val="nil"/>
              <w:bottom w:val="nil"/>
              <w:right w:val="nil"/>
            </w:tcBorders>
          </w:tcPr>
          <w:p w:rsidR="003564C2" w:rsidRPr="00C90AC9" w:rsidRDefault="003564C2" w:rsidP="00B06779">
            <w:r w:rsidRPr="00C90AC9">
              <w:t>Figure 3.16.</w:t>
            </w:r>
          </w:p>
        </w:tc>
        <w:tc>
          <w:tcPr>
            <w:tcW w:w="6129" w:type="dxa"/>
            <w:gridSpan w:val="2"/>
            <w:tcBorders>
              <w:top w:val="nil"/>
              <w:left w:val="nil"/>
              <w:bottom w:val="nil"/>
              <w:right w:val="nil"/>
            </w:tcBorders>
          </w:tcPr>
          <w:p w:rsidR="003564C2" w:rsidRPr="00C90AC9" w:rsidRDefault="003564C2" w:rsidP="00B06779">
            <w:r w:rsidRPr="00C90AC9">
              <w:rPr>
                <w:rFonts w:eastAsiaTheme="minorHAnsi"/>
                <w:lang w:eastAsia="en-US"/>
              </w:rPr>
              <w:t>Temperature of the heating coil from the STP 00:00- 23:59 19/08/2014</w:t>
            </w:r>
          </w:p>
        </w:tc>
        <w:tc>
          <w:tcPr>
            <w:tcW w:w="1827" w:type="dxa"/>
            <w:gridSpan w:val="2"/>
            <w:tcBorders>
              <w:top w:val="nil"/>
              <w:left w:val="nil"/>
              <w:bottom w:val="nil"/>
              <w:right w:val="nil"/>
            </w:tcBorders>
          </w:tcPr>
          <w:p w:rsidR="003564C2" w:rsidRPr="00C90AC9" w:rsidRDefault="003564C2" w:rsidP="00B06779">
            <w:r w:rsidRPr="00C90AC9">
              <w:t>69</w:t>
            </w:r>
          </w:p>
        </w:tc>
      </w:tr>
      <w:tr w:rsidR="003564C2" w:rsidRPr="00C90AC9" w:rsidTr="00A94D8C">
        <w:trPr>
          <w:trHeight w:hRule="exact" w:val="543"/>
        </w:trPr>
        <w:tc>
          <w:tcPr>
            <w:tcW w:w="1627" w:type="dxa"/>
            <w:tcBorders>
              <w:top w:val="nil"/>
              <w:left w:val="nil"/>
              <w:bottom w:val="nil"/>
              <w:right w:val="nil"/>
            </w:tcBorders>
          </w:tcPr>
          <w:p w:rsidR="003564C2" w:rsidRPr="00C90AC9" w:rsidRDefault="003564C2" w:rsidP="00B06779">
            <w:r w:rsidRPr="00C90AC9">
              <w:t>Figure 3.17.</w:t>
            </w:r>
          </w:p>
        </w:tc>
        <w:tc>
          <w:tcPr>
            <w:tcW w:w="6129" w:type="dxa"/>
            <w:gridSpan w:val="2"/>
            <w:tcBorders>
              <w:top w:val="nil"/>
              <w:left w:val="nil"/>
              <w:bottom w:val="nil"/>
              <w:right w:val="nil"/>
            </w:tcBorders>
          </w:tcPr>
          <w:p w:rsidR="003564C2" w:rsidRPr="00C90AC9" w:rsidRDefault="003564C2" w:rsidP="00B06779">
            <w:r w:rsidRPr="00C90AC9">
              <w:rPr>
                <w:rFonts w:eastAsiaTheme="minorHAnsi"/>
                <w:lang w:eastAsia="en-US"/>
              </w:rPr>
              <w:t xml:space="preserve">Direct, Diffuse and Total Irradiance at </w:t>
            </w:r>
            <w:r w:rsidR="006B13D1" w:rsidRPr="00C90AC9">
              <w:rPr>
                <w:rFonts w:eastAsiaTheme="minorHAnsi"/>
                <w:lang w:eastAsia="en-US"/>
              </w:rPr>
              <w:t>Sheffield Solar Farm</w:t>
            </w:r>
            <w:r w:rsidR="00285BAE" w:rsidRPr="00C90AC9">
              <w:rPr>
                <w:rFonts w:eastAsiaTheme="minorHAnsi"/>
                <w:vertAlign w:val="superscript"/>
                <w:lang w:eastAsia="en-US"/>
              </w:rPr>
              <w:t>4</w:t>
            </w:r>
            <w:r w:rsidR="006B13D1" w:rsidRPr="00C90AC9">
              <w:rPr>
                <w:rFonts w:eastAsiaTheme="minorHAnsi"/>
                <w:lang w:eastAsia="en-US"/>
              </w:rPr>
              <w:t xml:space="preserve"> </w:t>
            </w:r>
            <w:r w:rsidRPr="00C90AC9">
              <w:rPr>
                <w:rFonts w:eastAsiaTheme="minorHAnsi"/>
                <w:lang w:eastAsia="en-US"/>
              </w:rPr>
              <w:t>00:00 - 23:59 19/02/2015</w:t>
            </w:r>
          </w:p>
        </w:tc>
        <w:tc>
          <w:tcPr>
            <w:tcW w:w="1827" w:type="dxa"/>
            <w:gridSpan w:val="2"/>
            <w:tcBorders>
              <w:top w:val="nil"/>
              <w:left w:val="nil"/>
              <w:bottom w:val="nil"/>
              <w:right w:val="nil"/>
            </w:tcBorders>
          </w:tcPr>
          <w:p w:rsidR="003564C2" w:rsidRPr="00C90AC9" w:rsidRDefault="003564C2" w:rsidP="00B06779">
            <w:r w:rsidRPr="00C90AC9">
              <w:t>70</w:t>
            </w:r>
          </w:p>
        </w:tc>
      </w:tr>
      <w:tr w:rsidR="003564C2" w:rsidRPr="00C90AC9" w:rsidTr="00A94D8C">
        <w:trPr>
          <w:trHeight w:hRule="exact" w:val="532"/>
        </w:trPr>
        <w:tc>
          <w:tcPr>
            <w:tcW w:w="1627" w:type="dxa"/>
            <w:tcBorders>
              <w:top w:val="nil"/>
              <w:left w:val="nil"/>
              <w:bottom w:val="nil"/>
              <w:right w:val="nil"/>
            </w:tcBorders>
          </w:tcPr>
          <w:p w:rsidR="003564C2" w:rsidRPr="00C90AC9" w:rsidRDefault="003564C2" w:rsidP="00B06779">
            <w:r w:rsidRPr="00C90AC9">
              <w:t>Figure 3.18.</w:t>
            </w:r>
          </w:p>
        </w:tc>
        <w:tc>
          <w:tcPr>
            <w:tcW w:w="6129" w:type="dxa"/>
            <w:gridSpan w:val="2"/>
            <w:tcBorders>
              <w:top w:val="nil"/>
              <w:left w:val="nil"/>
              <w:bottom w:val="nil"/>
              <w:right w:val="nil"/>
            </w:tcBorders>
          </w:tcPr>
          <w:p w:rsidR="003564C2" w:rsidRPr="00C90AC9" w:rsidRDefault="003564C2" w:rsidP="00B06779">
            <w:r w:rsidRPr="00C90AC9">
              <w:rPr>
                <w:rFonts w:eastAsiaTheme="minorHAnsi"/>
                <w:lang w:eastAsia="en-US"/>
              </w:rPr>
              <w:t>Temperature of the heating coil from the STP 00:00- 23:59 19/02/2015</w:t>
            </w:r>
          </w:p>
        </w:tc>
        <w:tc>
          <w:tcPr>
            <w:tcW w:w="1827" w:type="dxa"/>
            <w:gridSpan w:val="2"/>
            <w:tcBorders>
              <w:top w:val="nil"/>
              <w:left w:val="nil"/>
              <w:bottom w:val="nil"/>
              <w:right w:val="nil"/>
            </w:tcBorders>
          </w:tcPr>
          <w:p w:rsidR="003564C2" w:rsidRPr="00C90AC9" w:rsidRDefault="003564C2" w:rsidP="00B06779">
            <w:r w:rsidRPr="00C90AC9">
              <w:t>70</w:t>
            </w:r>
          </w:p>
        </w:tc>
      </w:tr>
      <w:tr w:rsidR="003564C2" w:rsidRPr="00C90AC9" w:rsidTr="00A94D8C">
        <w:trPr>
          <w:trHeight w:hRule="exact" w:val="284"/>
        </w:trPr>
        <w:tc>
          <w:tcPr>
            <w:tcW w:w="1627" w:type="dxa"/>
            <w:tcBorders>
              <w:top w:val="nil"/>
              <w:left w:val="nil"/>
              <w:bottom w:val="nil"/>
              <w:right w:val="nil"/>
            </w:tcBorders>
          </w:tcPr>
          <w:p w:rsidR="003564C2" w:rsidRPr="00C90AC9" w:rsidRDefault="003564C2" w:rsidP="00B06779">
            <w:r w:rsidRPr="00C90AC9">
              <w:t>Figure 3.19.</w:t>
            </w:r>
          </w:p>
        </w:tc>
        <w:tc>
          <w:tcPr>
            <w:tcW w:w="6129" w:type="dxa"/>
            <w:gridSpan w:val="2"/>
            <w:tcBorders>
              <w:top w:val="nil"/>
              <w:left w:val="nil"/>
              <w:bottom w:val="nil"/>
              <w:right w:val="nil"/>
            </w:tcBorders>
          </w:tcPr>
          <w:p w:rsidR="003564C2" w:rsidRPr="00C90AC9" w:rsidRDefault="003564C2" w:rsidP="00B06779">
            <w:r w:rsidRPr="00C90AC9">
              <w:rPr>
                <w:rFonts w:eastAsiaTheme="minorHAnsi"/>
                <w:lang w:eastAsia="en-US"/>
              </w:rPr>
              <w:t>The TAM</w:t>
            </w:r>
          </w:p>
        </w:tc>
        <w:tc>
          <w:tcPr>
            <w:tcW w:w="1827" w:type="dxa"/>
            <w:gridSpan w:val="2"/>
            <w:tcBorders>
              <w:top w:val="nil"/>
              <w:left w:val="nil"/>
              <w:bottom w:val="nil"/>
              <w:right w:val="nil"/>
            </w:tcBorders>
          </w:tcPr>
          <w:p w:rsidR="003564C2" w:rsidRPr="00C90AC9" w:rsidRDefault="003564C2" w:rsidP="00B06779">
            <w:r w:rsidRPr="00C90AC9">
              <w:t>85</w:t>
            </w:r>
          </w:p>
          <w:p w:rsidR="003564C2" w:rsidRPr="00C90AC9" w:rsidRDefault="003564C2" w:rsidP="00B06779"/>
        </w:tc>
      </w:tr>
      <w:tr w:rsidR="003564C2" w:rsidRPr="00C90AC9" w:rsidTr="00A94D8C">
        <w:trPr>
          <w:trHeight w:hRule="exact" w:val="682"/>
        </w:trPr>
        <w:tc>
          <w:tcPr>
            <w:tcW w:w="1627" w:type="dxa"/>
            <w:tcBorders>
              <w:top w:val="nil"/>
              <w:left w:val="nil"/>
              <w:bottom w:val="nil"/>
              <w:right w:val="nil"/>
            </w:tcBorders>
          </w:tcPr>
          <w:p w:rsidR="003564C2" w:rsidRPr="00C90AC9" w:rsidRDefault="003564C2" w:rsidP="00B06779">
            <w:r w:rsidRPr="00C90AC9">
              <w:t xml:space="preserve">Figure </w:t>
            </w:r>
            <w:r w:rsidR="00CA6E7E" w:rsidRPr="00C90AC9">
              <w:t>6.1.</w:t>
            </w:r>
          </w:p>
        </w:tc>
        <w:tc>
          <w:tcPr>
            <w:tcW w:w="6129" w:type="dxa"/>
            <w:gridSpan w:val="2"/>
            <w:tcBorders>
              <w:top w:val="nil"/>
              <w:left w:val="nil"/>
              <w:bottom w:val="nil"/>
              <w:right w:val="nil"/>
            </w:tcBorders>
          </w:tcPr>
          <w:p w:rsidR="003564C2" w:rsidRPr="00C90AC9" w:rsidRDefault="003564C2" w:rsidP="00B06779">
            <w:r w:rsidRPr="00C90AC9">
              <w:rPr>
                <w:rFonts w:eastAsiaTheme="minorHAnsi"/>
                <w:lang w:eastAsia="en-US"/>
              </w:rPr>
              <w:t>Volume of water tapped throughout a 24Hr period, Tapping Cycles #1, #2 &amp; #3</w:t>
            </w:r>
          </w:p>
        </w:tc>
        <w:tc>
          <w:tcPr>
            <w:tcW w:w="1827" w:type="dxa"/>
            <w:gridSpan w:val="2"/>
            <w:tcBorders>
              <w:top w:val="nil"/>
              <w:left w:val="nil"/>
              <w:bottom w:val="nil"/>
              <w:right w:val="nil"/>
            </w:tcBorders>
          </w:tcPr>
          <w:p w:rsidR="003564C2" w:rsidRPr="00C90AC9" w:rsidRDefault="003564C2" w:rsidP="00B06779"/>
        </w:tc>
      </w:tr>
      <w:tr w:rsidR="003564C2" w:rsidRPr="00C90AC9" w:rsidTr="00A94D8C">
        <w:trPr>
          <w:trHeight w:hRule="exact" w:val="763"/>
        </w:trPr>
        <w:tc>
          <w:tcPr>
            <w:tcW w:w="1627" w:type="dxa"/>
            <w:tcBorders>
              <w:top w:val="nil"/>
              <w:left w:val="nil"/>
              <w:bottom w:val="nil"/>
              <w:right w:val="nil"/>
            </w:tcBorders>
          </w:tcPr>
          <w:p w:rsidR="003564C2" w:rsidRPr="00C90AC9" w:rsidRDefault="003564C2" w:rsidP="00B06779">
            <w:r w:rsidRPr="00C90AC9">
              <w:t xml:space="preserve">Figure </w:t>
            </w:r>
            <w:r w:rsidR="00901E1C" w:rsidRPr="00C90AC9">
              <w:t>6</w:t>
            </w:r>
            <w:r w:rsidRPr="00C90AC9">
              <w:t>.</w:t>
            </w:r>
            <w:r w:rsidR="00CA6E7E" w:rsidRPr="00C90AC9">
              <w:t>2.</w:t>
            </w:r>
          </w:p>
        </w:tc>
        <w:tc>
          <w:tcPr>
            <w:tcW w:w="6129" w:type="dxa"/>
            <w:gridSpan w:val="2"/>
            <w:tcBorders>
              <w:top w:val="nil"/>
              <w:left w:val="nil"/>
              <w:bottom w:val="nil"/>
              <w:right w:val="nil"/>
            </w:tcBorders>
          </w:tcPr>
          <w:p w:rsidR="003564C2" w:rsidRPr="00C90AC9" w:rsidRDefault="003564C2" w:rsidP="00B06779">
            <w:pPr>
              <w:rPr>
                <w:rFonts w:eastAsiaTheme="minorHAnsi"/>
              </w:rPr>
            </w:pPr>
            <w:r w:rsidRPr="00C90AC9">
              <w:rPr>
                <w:rFonts w:eastAsiaTheme="minorHAnsi"/>
              </w:rPr>
              <w:t>The cost of using a 90% efficient auxiliary boiler throughout a 24Hr period, Tapping Cycles #1, #2 &amp; #</w:t>
            </w:r>
          </w:p>
          <w:p w:rsidR="003564C2" w:rsidRPr="00C90AC9" w:rsidRDefault="003564C2" w:rsidP="00B06779"/>
        </w:tc>
        <w:tc>
          <w:tcPr>
            <w:tcW w:w="1827" w:type="dxa"/>
            <w:gridSpan w:val="2"/>
            <w:tcBorders>
              <w:top w:val="nil"/>
              <w:left w:val="nil"/>
              <w:bottom w:val="nil"/>
              <w:right w:val="nil"/>
            </w:tcBorders>
          </w:tcPr>
          <w:p w:rsidR="003564C2" w:rsidRPr="00C90AC9" w:rsidRDefault="003564C2" w:rsidP="00B06779"/>
        </w:tc>
      </w:tr>
    </w:tbl>
    <w:p w:rsidR="006B13D1" w:rsidRPr="00C90AC9" w:rsidRDefault="006B13D1" w:rsidP="00784616">
      <w:pPr>
        <w:pStyle w:val="Heading1"/>
        <w:numPr>
          <w:ilvl w:val="0"/>
          <w:numId w:val="0"/>
        </w:numPr>
        <w:ind w:left="720"/>
      </w:pPr>
    </w:p>
    <w:p w:rsidR="006B13D1" w:rsidRPr="00C90AC9" w:rsidRDefault="006B13D1" w:rsidP="00B06779">
      <w:pPr>
        <w:rPr>
          <w:rFonts w:eastAsiaTheme="majorEastAsia"/>
        </w:rPr>
      </w:pPr>
      <w:r w:rsidRPr="00C90AC9">
        <w:br w:type="page"/>
      </w:r>
    </w:p>
    <w:p w:rsidR="008976EB" w:rsidRPr="008976EB" w:rsidRDefault="008976EB" w:rsidP="008976EB">
      <w:pPr>
        <w:pStyle w:val="Heading11"/>
        <w:rPr>
          <w:rStyle w:val="SubtleEmphasis"/>
          <w:rFonts w:ascii="Times New Roman" w:hAnsi="Times New Roman" w:cs="Times New Roman"/>
          <w:bCs/>
          <w:sz w:val="44"/>
          <w:szCs w:val="24"/>
        </w:rPr>
      </w:pPr>
      <w:bookmarkStart w:id="8" w:name="_Toc447173041"/>
      <w:bookmarkEnd w:id="7"/>
      <w:r w:rsidRPr="008976EB">
        <w:rPr>
          <w:rStyle w:val="SubtleEmphasis"/>
          <w:rFonts w:ascii="Times New Roman" w:hAnsi="Times New Roman" w:cs="Times New Roman"/>
          <w:bCs/>
          <w:sz w:val="44"/>
          <w:szCs w:val="24"/>
        </w:rPr>
        <w:lastRenderedPageBreak/>
        <w:t>List of Tables</w:t>
      </w:r>
      <w:bookmarkEnd w:id="8"/>
    </w:p>
    <w:p w:rsidR="008976EB" w:rsidRPr="005766E7" w:rsidRDefault="006F0C85" w:rsidP="008976EB">
      <w:pPr>
        <w:rPr>
          <w:szCs w:val="24"/>
        </w:rPr>
      </w:pPr>
      <w:r>
        <w:rPr>
          <w:szCs w:val="24"/>
        </w:rPr>
        <w:pict>
          <v:rect id="_x0000_i1032" style="width:0;height:1.5pt" o:hralign="center" o:hrstd="t" o:hr="t" fillcolor="#a0a0a0" stroked="f"/>
        </w:pict>
      </w:r>
    </w:p>
    <w:tbl>
      <w:tblPr>
        <w:tblStyle w:val="TableGrid"/>
        <w:tblW w:w="9606" w:type="dxa"/>
        <w:tblLook w:val="04A0" w:firstRow="1" w:lastRow="0" w:firstColumn="1" w:lastColumn="0" w:noHBand="0" w:noVBand="1"/>
      </w:tblPr>
      <w:tblGrid>
        <w:gridCol w:w="1668"/>
        <w:gridCol w:w="6378"/>
        <w:gridCol w:w="1560"/>
      </w:tblGrid>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1.1.</w:t>
            </w:r>
          </w:p>
        </w:tc>
        <w:tc>
          <w:tcPr>
            <w:tcW w:w="6378" w:type="dxa"/>
            <w:tcBorders>
              <w:top w:val="nil"/>
              <w:left w:val="nil"/>
              <w:bottom w:val="nil"/>
              <w:right w:val="nil"/>
            </w:tcBorders>
          </w:tcPr>
          <w:p w:rsidR="008976EB" w:rsidRPr="005766E7" w:rsidRDefault="008976EB" w:rsidP="00521573">
            <w:pPr>
              <w:rPr>
                <w:szCs w:val="24"/>
              </w:rPr>
            </w:pPr>
            <w:r w:rsidRPr="005766E7">
              <w:rPr>
                <w:szCs w:val="24"/>
              </w:rPr>
              <w:t>Comparative advantages and disadvantages of solar thermal technology</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16</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1.2.</w:t>
            </w:r>
          </w:p>
        </w:tc>
        <w:tc>
          <w:tcPr>
            <w:tcW w:w="6378" w:type="dxa"/>
            <w:tcBorders>
              <w:top w:val="nil"/>
              <w:left w:val="nil"/>
              <w:bottom w:val="nil"/>
              <w:right w:val="nil"/>
            </w:tcBorders>
          </w:tcPr>
          <w:p w:rsidR="008976EB" w:rsidRPr="005766E7" w:rsidRDefault="008976EB" w:rsidP="00521573">
            <w:pPr>
              <w:rPr>
                <w:szCs w:val="24"/>
              </w:rPr>
            </w:pPr>
            <w:r w:rsidRPr="005766E7">
              <w:rPr>
                <w:rFonts w:eastAsia="Calibri"/>
                <w:szCs w:val="24"/>
                <w:lang w:eastAsia="en-US"/>
              </w:rPr>
              <w:t xml:space="preserve">Typical characteristics of a Flat Plate Collector  </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17</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1.3.</w:t>
            </w:r>
          </w:p>
        </w:tc>
        <w:tc>
          <w:tcPr>
            <w:tcW w:w="6378" w:type="dxa"/>
            <w:tcBorders>
              <w:top w:val="nil"/>
              <w:left w:val="nil"/>
              <w:bottom w:val="nil"/>
              <w:right w:val="nil"/>
            </w:tcBorders>
          </w:tcPr>
          <w:p w:rsidR="008976EB" w:rsidRPr="005766E7" w:rsidRDefault="008976EB" w:rsidP="00521573">
            <w:pPr>
              <w:rPr>
                <w:szCs w:val="24"/>
              </w:rPr>
            </w:pPr>
            <w:r w:rsidRPr="005766E7">
              <w:rPr>
                <w:rFonts w:eastAsia="Calibri"/>
                <w:szCs w:val="24"/>
                <w:lang w:eastAsia="en-US"/>
              </w:rPr>
              <w:t>Various methods to involve final users in the design process</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20</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2.1.</w:t>
            </w:r>
          </w:p>
        </w:tc>
        <w:tc>
          <w:tcPr>
            <w:tcW w:w="6378" w:type="dxa"/>
            <w:tcBorders>
              <w:top w:val="nil"/>
              <w:left w:val="nil"/>
              <w:bottom w:val="nil"/>
              <w:right w:val="nil"/>
            </w:tcBorders>
          </w:tcPr>
          <w:p w:rsidR="008976EB" w:rsidRPr="005766E7" w:rsidRDefault="008976EB" w:rsidP="00521573">
            <w:pPr>
              <w:rPr>
                <w:szCs w:val="24"/>
              </w:rPr>
            </w:pPr>
            <w:r w:rsidRPr="00C90AC9">
              <w:rPr>
                <w:rFonts w:eastAsiaTheme="minorHAnsi"/>
                <w:lang w:eastAsia="en-US"/>
              </w:rPr>
              <w:t xml:space="preserve">“Rules of Thumb” guide to daily hot water consumption  </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2</w:t>
            </w:r>
            <w:r>
              <w:rPr>
                <w:szCs w:val="24"/>
              </w:rPr>
              <w:t>4</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2.2.</w:t>
            </w:r>
          </w:p>
        </w:tc>
        <w:tc>
          <w:tcPr>
            <w:tcW w:w="6378" w:type="dxa"/>
            <w:tcBorders>
              <w:top w:val="nil"/>
              <w:left w:val="nil"/>
              <w:bottom w:val="nil"/>
              <w:right w:val="nil"/>
            </w:tcBorders>
          </w:tcPr>
          <w:p w:rsidR="008976EB" w:rsidRPr="005766E7" w:rsidRDefault="008976EB" w:rsidP="00521573">
            <w:pPr>
              <w:rPr>
                <w:szCs w:val="24"/>
              </w:rPr>
            </w:pPr>
            <w:r w:rsidRPr="00C90AC9">
              <w:rPr>
                <w:rFonts w:eastAsiaTheme="minorHAnsi"/>
                <w:lang w:eastAsia="en-US"/>
              </w:rPr>
              <w:t xml:space="preserve">The various heating methods employed in the UK to heat domestic hot water  </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16</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2.3.</w:t>
            </w:r>
          </w:p>
        </w:tc>
        <w:tc>
          <w:tcPr>
            <w:tcW w:w="6378" w:type="dxa"/>
            <w:tcBorders>
              <w:top w:val="nil"/>
              <w:left w:val="nil"/>
              <w:bottom w:val="nil"/>
              <w:right w:val="nil"/>
            </w:tcBorders>
          </w:tcPr>
          <w:p w:rsidR="008976EB" w:rsidRPr="005766E7" w:rsidRDefault="008976EB" w:rsidP="00521573">
            <w:pPr>
              <w:rPr>
                <w:szCs w:val="24"/>
              </w:rPr>
            </w:pPr>
            <w:r w:rsidRPr="005766E7">
              <w:rPr>
                <w:szCs w:val="24"/>
              </w:rPr>
              <w:t>Stratification findings from various studies</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40</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2.4.</w:t>
            </w:r>
          </w:p>
        </w:tc>
        <w:tc>
          <w:tcPr>
            <w:tcW w:w="6378" w:type="dxa"/>
            <w:tcBorders>
              <w:top w:val="nil"/>
              <w:left w:val="nil"/>
              <w:bottom w:val="nil"/>
              <w:right w:val="nil"/>
            </w:tcBorders>
          </w:tcPr>
          <w:p w:rsidR="008976EB" w:rsidRPr="005766E7" w:rsidRDefault="008976EB" w:rsidP="00521573">
            <w:pPr>
              <w:rPr>
                <w:szCs w:val="24"/>
              </w:rPr>
            </w:pPr>
            <w:r w:rsidRPr="005766E7">
              <w:rPr>
                <w:szCs w:val="24"/>
              </w:rPr>
              <w:t>PCM materials and their properties</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47</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2.5.</w:t>
            </w:r>
          </w:p>
        </w:tc>
        <w:tc>
          <w:tcPr>
            <w:tcW w:w="6378" w:type="dxa"/>
            <w:tcBorders>
              <w:top w:val="nil"/>
              <w:left w:val="nil"/>
              <w:bottom w:val="nil"/>
              <w:right w:val="nil"/>
            </w:tcBorders>
          </w:tcPr>
          <w:p w:rsidR="008976EB" w:rsidRPr="005766E7" w:rsidRDefault="008976EB" w:rsidP="00521573">
            <w:pPr>
              <w:rPr>
                <w:szCs w:val="24"/>
              </w:rPr>
            </w:pPr>
            <w:r w:rsidRPr="005766E7">
              <w:rPr>
                <w:szCs w:val="24"/>
              </w:rPr>
              <w:t>The optimum tilt angle for maximum solar density, Northern Hemispheres</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51</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2.6.</w:t>
            </w:r>
          </w:p>
        </w:tc>
        <w:tc>
          <w:tcPr>
            <w:tcW w:w="6378" w:type="dxa"/>
            <w:tcBorders>
              <w:top w:val="nil"/>
              <w:left w:val="nil"/>
              <w:bottom w:val="nil"/>
              <w:right w:val="nil"/>
            </w:tcBorders>
          </w:tcPr>
          <w:p w:rsidR="008976EB" w:rsidRPr="005766E7" w:rsidRDefault="008976EB" w:rsidP="00521573">
            <w:pPr>
              <w:rPr>
                <w:szCs w:val="24"/>
              </w:rPr>
            </w:pPr>
            <w:r w:rsidRPr="005766E7">
              <w:rPr>
                <w:rFonts w:eastAsiaTheme="minorHAnsi"/>
                <w:szCs w:val="24"/>
                <w:lang w:eastAsia="en-US"/>
              </w:rPr>
              <w:t xml:space="preserve">The Energy, </w:t>
            </w:r>
            <w:r w:rsidRPr="005766E7">
              <w:rPr>
                <w:rFonts w:eastAsia="Calibri"/>
                <w:szCs w:val="24"/>
                <w:lang w:eastAsia="en-US"/>
              </w:rPr>
              <w:t>CO</w:t>
            </w:r>
            <w:r w:rsidRPr="005766E7">
              <w:rPr>
                <w:rFonts w:eastAsia="Calibri"/>
                <w:szCs w:val="24"/>
                <w:vertAlign w:val="subscript"/>
                <w:lang w:eastAsia="en-US"/>
              </w:rPr>
              <w:t>2</w:t>
            </w:r>
            <w:r w:rsidRPr="005766E7">
              <w:rPr>
                <w:rFonts w:eastAsiaTheme="minorHAnsi"/>
                <w:szCs w:val="24"/>
                <w:lang w:eastAsia="en-US"/>
              </w:rPr>
              <w:t xml:space="preserve"> and economic pay-back times (in years) of a solar panel</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56</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3.</w:t>
            </w:r>
            <w:r>
              <w:rPr>
                <w:szCs w:val="24"/>
              </w:rPr>
              <w:t>1</w:t>
            </w:r>
            <w:r w:rsidRPr="005766E7">
              <w:rPr>
                <w:szCs w:val="24"/>
              </w:rPr>
              <w:t>.</w:t>
            </w:r>
          </w:p>
        </w:tc>
        <w:tc>
          <w:tcPr>
            <w:tcW w:w="6378" w:type="dxa"/>
            <w:tcBorders>
              <w:top w:val="nil"/>
              <w:left w:val="nil"/>
              <w:bottom w:val="nil"/>
              <w:right w:val="nil"/>
            </w:tcBorders>
          </w:tcPr>
          <w:p w:rsidR="008976EB" w:rsidRPr="005766E7" w:rsidRDefault="008976EB" w:rsidP="00521573">
            <w:pPr>
              <w:rPr>
                <w:szCs w:val="24"/>
              </w:rPr>
            </w:pPr>
            <w:r w:rsidRPr="005766E7">
              <w:rPr>
                <w:szCs w:val="24"/>
              </w:rPr>
              <w:t xml:space="preserve">The final constants used in the </w:t>
            </w:r>
            <w:proofErr w:type="spellStart"/>
            <w:r w:rsidRPr="005766E7">
              <w:rPr>
                <w:szCs w:val="24"/>
              </w:rPr>
              <w:t>Matlab</w:t>
            </w:r>
            <w:proofErr w:type="spellEnd"/>
            <w:r w:rsidRPr="005766E7">
              <w:rPr>
                <w:szCs w:val="24"/>
              </w:rPr>
              <w:t xml:space="preserve"> program, their values and units</w:t>
            </w:r>
          </w:p>
        </w:tc>
        <w:tc>
          <w:tcPr>
            <w:tcW w:w="1560" w:type="dxa"/>
            <w:tcBorders>
              <w:top w:val="nil"/>
              <w:left w:val="nil"/>
              <w:bottom w:val="nil"/>
              <w:right w:val="nil"/>
            </w:tcBorders>
          </w:tcPr>
          <w:p w:rsidR="008976EB" w:rsidRPr="005766E7" w:rsidRDefault="008976EB" w:rsidP="00521573">
            <w:pPr>
              <w:rPr>
                <w:szCs w:val="24"/>
              </w:rPr>
            </w:pPr>
            <w:r>
              <w:rPr>
                <w:szCs w:val="24"/>
              </w:rPr>
              <w:t>81</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3.</w:t>
            </w:r>
            <w:r>
              <w:rPr>
                <w:szCs w:val="24"/>
              </w:rPr>
              <w:t>2</w:t>
            </w:r>
            <w:r w:rsidRPr="005766E7">
              <w:rPr>
                <w:szCs w:val="24"/>
              </w:rPr>
              <w:t>.</w:t>
            </w:r>
          </w:p>
        </w:tc>
        <w:tc>
          <w:tcPr>
            <w:tcW w:w="6378" w:type="dxa"/>
            <w:tcBorders>
              <w:top w:val="nil"/>
              <w:left w:val="nil"/>
              <w:bottom w:val="nil"/>
              <w:right w:val="nil"/>
            </w:tcBorders>
          </w:tcPr>
          <w:p w:rsidR="008976EB" w:rsidRPr="005766E7" w:rsidRDefault="008976EB" w:rsidP="00521573">
            <w:pPr>
              <w:rPr>
                <w:szCs w:val="24"/>
              </w:rPr>
            </w:pPr>
            <w:r w:rsidRPr="005766E7">
              <w:rPr>
                <w:szCs w:val="24"/>
              </w:rPr>
              <w:t>Options for Tapping Cycle choice</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96</w:t>
            </w:r>
          </w:p>
        </w:tc>
      </w:tr>
      <w:tr w:rsidR="008976EB" w:rsidRPr="005766E7" w:rsidTr="00521573">
        <w:trPr>
          <w:trHeight w:val="515"/>
        </w:trPr>
        <w:tc>
          <w:tcPr>
            <w:tcW w:w="1668" w:type="dxa"/>
            <w:tcBorders>
              <w:top w:val="nil"/>
              <w:left w:val="nil"/>
              <w:bottom w:val="nil"/>
              <w:right w:val="nil"/>
            </w:tcBorders>
          </w:tcPr>
          <w:p w:rsidR="008976EB" w:rsidRPr="005766E7" w:rsidRDefault="008976EB" w:rsidP="00521573">
            <w:pPr>
              <w:rPr>
                <w:szCs w:val="24"/>
              </w:rPr>
            </w:pPr>
            <w:r w:rsidRPr="005766E7">
              <w:rPr>
                <w:szCs w:val="24"/>
              </w:rPr>
              <w:t>Table 4.1.</w:t>
            </w:r>
          </w:p>
        </w:tc>
        <w:tc>
          <w:tcPr>
            <w:tcW w:w="6378" w:type="dxa"/>
            <w:tcBorders>
              <w:top w:val="nil"/>
              <w:left w:val="nil"/>
              <w:bottom w:val="nil"/>
              <w:right w:val="nil"/>
            </w:tcBorders>
          </w:tcPr>
          <w:p w:rsidR="008976EB" w:rsidRPr="005766E7" w:rsidRDefault="008976EB" w:rsidP="00521573">
            <w:pPr>
              <w:rPr>
                <w:szCs w:val="24"/>
              </w:rPr>
            </w:pPr>
            <w:r w:rsidRPr="005766E7">
              <w:rPr>
                <w:szCs w:val="24"/>
              </w:rPr>
              <w:t>Summary of participants for the semi-structured interviews in 2012 and 2015</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1</w:t>
            </w:r>
            <w:r>
              <w:rPr>
                <w:szCs w:val="24"/>
              </w:rPr>
              <w:t>19</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5.1.</w:t>
            </w:r>
          </w:p>
        </w:tc>
        <w:tc>
          <w:tcPr>
            <w:tcW w:w="6378" w:type="dxa"/>
            <w:tcBorders>
              <w:top w:val="nil"/>
              <w:left w:val="nil"/>
              <w:bottom w:val="nil"/>
              <w:right w:val="nil"/>
            </w:tcBorders>
          </w:tcPr>
          <w:p w:rsidR="008976EB" w:rsidRPr="005766E7" w:rsidRDefault="008976EB" w:rsidP="00521573">
            <w:pPr>
              <w:rPr>
                <w:szCs w:val="24"/>
              </w:rPr>
            </w:pPr>
            <w:r w:rsidRPr="005766E7">
              <w:rPr>
                <w:szCs w:val="24"/>
              </w:rPr>
              <w:t>The demographics for each focus group in 2012</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1</w:t>
            </w:r>
            <w:r>
              <w:rPr>
                <w:szCs w:val="24"/>
              </w:rPr>
              <w:t>39</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5.2.</w:t>
            </w:r>
          </w:p>
        </w:tc>
        <w:tc>
          <w:tcPr>
            <w:tcW w:w="6378" w:type="dxa"/>
            <w:tcBorders>
              <w:top w:val="nil"/>
              <w:left w:val="nil"/>
              <w:bottom w:val="nil"/>
              <w:right w:val="nil"/>
            </w:tcBorders>
          </w:tcPr>
          <w:p w:rsidR="008976EB" w:rsidRPr="005766E7" w:rsidRDefault="008976EB" w:rsidP="00521573">
            <w:pPr>
              <w:rPr>
                <w:szCs w:val="24"/>
              </w:rPr>
            </w:pPr>
            <w:r w:rsidRPr="005766E7">
              <w:rPr>
                <w:szCs w:val="24"/>
              </w:rPr>
              <w:t>The demographics for each focus group in 2015</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14</w:t>
            </w:r>
            <w:r>
              <w:rPr>
                <w:szCs w:val="24"/>
              </w:rPr>
              <w:t>0</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7.1.</w:t>
            </w:r>
          </w:p>
        </w:tc>
        <w:tc>
          <w:tcPr>
            <w:tcW w:w="6378" w:type="dxa"/>
            <w:tcBorders>
              <w:top w:val="nil"/>
              <w:left w:val="nil"/>
              <w:bottom w:val="nil"/>
              <w:right w:val="nil"/>
            </w:tcBorders>
          </w:tcPr>
          <w:p w:rsidR="008976EB" w:rsidRPr="005766E7" w:rsidRDefault="008976EB" w:rsidP="00521573">
            <w:pPr>
              <w:rPr>
                <w:szCs w:val="24"/>
              </w:rPr>
            </w:pPr>
            <w:r w:rsidRPr="005766E7">
              <w:rPr>
                <w:szCs w:val="24"/>
              </w:rPr>
              <w:t>Tapping Cycle #1</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16</w:t>
            </w:r>
            <w:r>
              <w:rPr>
                <w:szCs w:val="24"/>
              </w:rPr>
              <w:t>0</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7.2.</w:t>
            </w:r>
          </w:p>
        </w:tc>
        <w:tc>
          <w:tcPr>
            <w:tcW w:w="6378" w:type="dxa"/>
            <w:tcBorders>
              <w:top w:val="nil"/>
              <w:left w:val="nil"/>
              <w:bottom w:val="nil"/>
              <w:right w:val="nil"/>
            </w:tcBorders>
          </w:tcPr>
          <w:p w:rsidR="008976EB" w:rsidRPr="005766E7" w:rsidRDefault="008976EB" w:rsidP="00521573">
            <w:pPr>
              <w:rPr>
                <w:szCs w:val="24"/>
              </w:rPr>
            </w:pPr>
            <w:r w:rsidRPr="005766E7">
              <w:rPr>
                <w:szCs w:val="24"/>
              </w:rPr>
              <w:t>Tapping Cycle #2</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16</w:t>
            </w:r>
            <w:r>
              <w:rPr>
                <w:szCs w:val="24"/>
              </w:rPr>
              <w:t>1</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7.3.</w:t>
            </w:r>
          </w:p>
        </w:tc>
        <w:tc>
          <w:tcPr>
            <w:tcW w:w="6378" w:type="dxa"/>
            <w:tcBorders>
              <w:top w:val="nil"/>
              <w:left w:val="nil"/>
              <w:bottom w:val="nil"/>
              <w:right w:val="nil"/>
            </w:tcBorders>
          </w:tcPr>
          <w:p w:rsidR="008976EB" w:rsidRPr="005766E7" w:rsidRDefault="008976EB" w:rsidP="00521573">
            <w:pPr>
              <w:rPr>
                <w:szCs w:val="24"/>
              </w:rPr>
            </w:pPr>
            <w:r w:rsidRPr="005766E7">
              <w:rPr>
                <w:szCs w:val="24"/>
              </w:rPr>
              <w:t>Tapping Cycle #3</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16</w:t>
            </w:r>
            <w:r>
              <w:rPr>
                <w:szCs w:val="24"/>
              </w:rPr>
              <w:t>2</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7.4.</w:t>
            </w:r>
          </w:p>
        </w:tc>
        <w:tc>
          <w:tcPr>
            <w:tcW w:w="6378" w:type="dxa"/>
            <w:tcBorders>
              <w:top w:val="nil"/>
              <w:left w:val="nil"/>
              <w:bottom w:val="nil"/>
              <w:right w:val="nil"/>
            </w:tcBorders>
          </w:tcPr>
          <w:p w:rsidR="008976EB" w:rsidRPr="005766E7" w:rsidRDefault="008976EB" w:rsidP="00521573">
            <w:pPr>
              <w:rPr>
                <w:szCs w:val="24"/>
              </w:rPr>
            </w:pPr>
            <w:r w:rsidRPr="005766E7">
              <w:rPr>
                <w:rFonts w:eastAsiaTheme="minorHAnsi"/>
                <w:szCs w:val="24"/>
                <w:lang w:eastAsia="en-US"/>
              </w:rPr>
              <w:t>The various weather symbols predicted by the MET Office for the next (0Hrs) from 19/02/2014 00:00:00 – 26/06/2015 23:50:00</w:t>
            </w:r>
            <w:r w:rsidRPr="005766E7">
              <w:rPr>
                <w:szCs w:val="24"/>
              </w:rPr>
              <w:t>The demographics for each focus group in 2015</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16</w:t>
            </w:r>
            <w:r>
              <w:rPr>
                <w:szCs w:val="24"/>
              </w:rPr>
              <w:t>3</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7.5.</w:t>
            </w:r>
          </w:p>
        </w:tc>
        <w:tc>
          <w:tcPr>
            <w:tcW w:w="6378" w:type="dxa"/>
            <w:tcBorders>
              <w:top w:val="nil"/>
              <w:left w:val="nil"/>
              <w:bottom w:val="nil"/>
              <w:right w:val="nil"/>
            </w:tcBorders>
          </w:tcPr>
          <w:p w:rsidR="008976EB" w:rsidRPr="005766E7" w:rsidRDefault="008976EB" w:rsidP="00521573">
            <w:pPr>
              <w:pStyle w:val="BodyText"/>
              <w:rPr>
                <w:rFonts w:eastAsiaTheme="minorHAnsi"/>
                <w:szCs w:val="24"/>
                <w:lang w:eastAsia="en-US"/>
              </w:rPr>
            </w:pPr>
            <w:r w:rsidRPr="005766E7">
              <w:rPr>
                <w:rFonts w:eastAsiaTheme="minorHAnsi"/>
                <w:szCs w:val="24"/>
                <w:lang w:eastAsia="en-US"/>
              </w:rPr>
              <w:t xml:space="preserve">The various weather symbols predicted by the MET Office for the day after tomorrow (24 hours) from 19/02/2014 – 26/06/2015 </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16</w:t>
            </w:r>
            <w:r>
              <w:rPr>
                <w:szCs w:val="24"/>
              </w:rPr>
              <w:t>4</w:t>
            </w:r>
          </w:p>
        </w:tc>
      </w:tr>
      <w:tr w:rsidR="008976EB" w:rsidRPr="005766E7" w:rsidTr="00521573">
        <w:trPr>
          <w:trHeight w:val="1008"/>
        </w:trPr>
        <w:tc>
          <w:tcPr>
            <w:tcW w:w="1668" w:type="dxa"/>
            <w:tcBorders>
              <w:top w:val="nil"/>
              <w:left w:val="nil"/>
              <w:bottom w:val="nil"/>
              <w:right w:val="nil"/>
            </w:tcBorders>
          </w:tcPr>
          <w:p w:rsidR="008976EB" w:rsidRPr="005766E7" w:rsidRDefault="008976EB" w:rsidP="00521573">
            <w:pPr>
              <w:rPr>
                <w:szCs w:val="24"/>
              </w:rPr>
            </w:pPr>
            <w:r w:rsidRPr="005766E7">
              <w:rPr>
                <w:szCs w:val="24"/>
              </w:rPr>
              <w:t>Table 7.6.</w:t>
            </w:r>
          </w:p>
        </w:tc>
        <w:tc>
          <w:tcPr>
            <w:tcW w:w="6378" w:type="dxa"/>
            <w:tcBorders>
              <w:top w:val="nil"/>
              <w:left w:val="nil"/>
              <w:bottom w:val="nil"/>
              <w:right w:val="nil"/>
            </w:tcBorders>
          </w:tcPr>
          <w:p w:rsidR="008976EB" w:rsidRPr="005073F5" w:rsidRDefault="008976EB" w:rsidP="00521573">
            <w:pPr>
              <w:pStyle w:val="BodyText"/>
              <w:rPr>
                <w:rFonts w:eastAsiaTheme="minorHAnsi"/>
                <w:szCs w:val="24"/>
                <w:lang w:eastAsia="en-US"/>
              </w:rPr>
            </w:pPr>
            <w:r w:rsidRPr="005766E7">
              <w:rPr>
                <w:rFonts w:eastAsiaTheme="minorHAnsi"/>
                <w:szCs w:val="24"/>
                <w:lang w:eastAsia="en-US"/>
              </w:rPr>
              <w:t xml:space="preserve">The three Tapping Cycles, the auxiliary heat required by a 90% efficient boiler per °K throughout a 24-hour period and the associated cost </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16</w:t>
            </w:r>
            <w:r>
              <w:rPr>
                <w:szCs w:val="24"/>
              </w:rPr>
              <w:t>5</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7.7.</w:t>
            </w:r>
          </w:p>
        </w:tc>
        <w:tc>
          <w:tcPr>
            <w:tcW w:w="6378" w:type="dxa"/>
            <w:tcBorders>
              <w:top w:val="nil"/>
              <w:left w:val="nil"/>
              <w:bottom w:val="nil"/>
              <w:right w:val="nil"/>
            </w:tcBorders>
          </w:tcPr>
          <w:p w:rsidR="008976EB" w:rsidRPr="005766E7" w:rsidRDefault="008976EB" w:rsidP="00521573">
            <w:pPr>
              <w:rPr>
                <w:szCs w:val="24"/>
              </w:rPr>
            </w:pPr>
            <w:proofErr w:type="spellStart"/>
            <w:r w:rsidRPr="005766E7">
              <w:rPr>
                <w:rFonts w:eastAsiaTheme="minorHAnsi"/>
                <w:szCs w:val="24"/>
                <w:lang w:eastAsia="en-US"/>
              </w:rPr>
              <w:t>Baxi</w:t>
            </w:r>
            <w:proofErr w:type="spellEnd"/>
            <w:r w:rsidRPr="005766E7">
              <w:rPr>
                <w:rFonts w:eastAsiaTheme="minorHAnsi"/>
                <w:szCs w:val="24"/>
                <w:lang w:eastAsia="en-US"/>
              </w:rPr>
              <w:t xml:space="preserve"> and </w:t>
            </w:r>
            <w:proofErr w:type="spellStart"/>
            <w:r w:rsidRPr="005766E7">
              <w:rPr>
                <w:rFonts w:eastAsiaTheme="minorHAnsi"/>
                <w:szCs w:val="24"/>
                <w:lang w:eastAsia="en-US"/>
              </w:rPr>
              <w:t>Akverterm</w:t>
            </w:r>
            <w:proofErr w:type="spellEnd"/>
            <w:r w:rsidRPr="005766E7">
              <w:rPr>
                <w:rFonts w:eastAsiaTheme="minorHAnsi"/>
                <w:szCs w:val="24"/>
                <w:lang w:eastAsia="en-US"/>
              </w:rPr>
              <w:t xml:space="preserve"> product specifications of STPs</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16</w:t>
            </w:r>
            <w:r>
              <w:rPr>
                <w:szCs w:val="24"/>
              </w:rPr>
              <w:t>6</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7.8.</w:t>
            </w:r>
          </w:p>
        </w:tc>
        <w:tc>
          <w:tcPr>
            <w:tcW w:w="6378" w:type="dxa"/>
            <w:tcBorders>
              <w:top w:val="nil"/>
              <w:left w:val="nil"/>
              <w:bottom w:val="nil"/>
              <w:right w:val="nil"/>
            </w:tcBorders>
          </w:tcPr>
          <w:p w:rsidR="008976EB" w:rsidRPr="005766E7" w:rsidRDefault="008976EB" w:rsidP="00521573">
            <w:pPr>
              <w:pStyle w:val="BodyText"/>
              <w:rPr>
                <w:rFonts w:eastAsiaTheme="minorHAnsi"/>
                <w:szCs w:val="24"/>
                <w:lang w:eastAsia="en-US"/>
              </w:rPr>
            </w:pPr>
            <w:proofErr w:type="spellStart"/>
            <w:r w:rsidRPr="005766E7">
              <w:rPr>
                <w:rFonts w:eastAsiaTheme="minorHAnsi"/>
                <w:szCs w:val="24"/>
                <w:lang w:eastAsia="en-US"/>
              </w:rPr>
              <w:t>KingSpan</w:t>
            </w:r>
            <w:proofErr w:type="spellEnd"/>
            <w:r w:rsidRPr="005766E7">
              <w:rPr>
                <w:rFonts w:eastAsiaTheme="minorHAnsi"/>
                <w:szCs w:val="24"/>
                <w:lang w:eastAsia="en-US"/>
              </w:rPr>
              <w:t xml:space="preserve"> and Worcester Bosch specifications of hot water tanks </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16</w:t>
            </w:r>
            <w:r>
              <w:rPr>
                <w:szCs w:val="24"/>
              </w:rPr>
              <w:t>6</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7.9.</w:t>
            </w:r>
          </w:p>
        </w:tc>
        <w:tc>
          <w:tcPr>
            <w:tcW w:w="6378" w:type="dxa"/>
            <w:tcBorders>
              <w:top w:val="nil"/>
              <w:left w:val="nil"/>
              <w:bottom w:val="nil"/>
              <w:right w:val="nil"/>
            </w:tcBorders>
          </w:tcPr>
          <w:p w:rsidR="008976EB" w:rsidRPr="005766E7" w:rsidRDefault="008976EB" w:rsidP="00521573">
            <w:pPr>
              <w:pStyle w:val="BodyText"/>
              <w:rPr>
                <w:rFonts w:eastAsiaTheme="minorHAnsi"/>
                <w:szCs w:val="24"/>
                <w:lang w:eastAsia="en-US"/>
              </w:rPr>
            </w:pPr>
            <w:r w:rsidRPr="005766E7">
              <w:rPr>
                <w:rFonts w:eastAsiaTheme="minorHAnsi"/>
                <w:szCs w:val="24"/>
                <w:lang w:eastAsia="en-US"/>
              </w:rPr>
              <w:t>The inter-coder reliability for the 2012 focus groups</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168</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7.10.</w:t>
            </w:r>
          </w:p>
        </w:tc>
        <w:tc>
          <w:tcPr>
            <w:tcW w:w="6378" w:type="dxa"/>
            <w:tcBorders>
              <w:top w:val="nil"/>
              <w:left w:val="nil"/>
              <w:bottom w:val="nil"/>
              <w:right w:val="nil"/>
            </w:tcBorders>
          </w:tcPr>
          <w:p w:rsidR="008976EB" w:rsidRPr="005766E7" w:rsidRDefault="008976EB" w:rsidP="00521573">
            <w:pPr>
              <w:pStyle w:val="BodyText"/>
              <w:rPr>
                <w:rFonts w:eastAsiaTheme="minorHAnsi"/>
                <w:szCs w:val="24"/>
                <w:lang w:eastAsia="en-US"/>
              </w:rPr>
            </w:pPr>
            <w:r w:rsidRPr="005766E7">
              <w:rPr>
                <w:rFonts w:eastAsiaTheme="majorEastAsia"/>
                <w:szCs w:val="24"/>
                <w:lang w:eastAsia="en-US"/>
              </w:rPr>
              <w:t>The inter-coder reliability for the 2015 focus groups</w:t>
            </w:r>
            <w:r w:rsidRPr="005766E7">
              <w:rPr>
                <w:rFonts w:eastAsiaTheme="minorHAnsi"/>
                <w:szCs w:val="24"/>
                <w:lang w:eastAsia="en-US"/>
              </w:rPr>
              <w:t xml:space="preserve"> </w:t>
            </w:r>
          </w:p>
          <w:p w:rsidR="008976EB" w:rsidRPr="005766E7" w:rsidRDefault="008976EB" w:rsidP="00521573">
            <w:pPr>
              <w:rPr>
                <w:szCs w:val="24"/>
              </w:rPr>
            </w:pPr>
          </w:p>
        </w:tc>
        <w:tc>
          <w:tcPr>
            <w:tcW w:w="1560" w:type="dxa"/>
            <w:tcBorders>
              <w:top w:val="nil"/>
              <w:left w:val="nil"/>
              <w:bottom w:val="nil"/>
              <w:right w:val="nil"/>
            </w:tcBorders>
          </w:tcPr>
          <w:p w:rsidR="008976EB" w:rsidRPr="005766E7" w:rsidRDefault="008976EB" w:rsidP="00521573">
            <w:pPr>
              <w:rPr>
                <w:szCs w:val="24"/>
              </w:rPr>
            </w:pPr>
            <w:r w:rsidRPr="005766E7">
              <w:rPr>
                <w:szCs w:val="24"/>
              </w:rPr>
              <w:t>1</w:t>
            </w:r>
            <w:r>
              <w:rPr>
                <w:szCs w:val="24"/>
              </w:rPr>
              <w:t>73</w:t>
            </w:r>
          </w:p>
        </w:tc>
      </w:tr>
      <w:tr w:rsidR="008976EB" w:rsidRPr="005766E7" w:rsidTr="00521573">
        <w:tc>
          <w:tcPr>
            <w:tcW w:w="1668" w:type="dxa"/>
            <w:tcBorders>
              <w:top w:val="nil"/>
              <w:left w:val="nil"/>
              <w:bottom w:val="nil"/>
              <w:right w:val="nil"/>
            </w:tcBorders>
          </w:tcPr>
          <w:p w:rsidR="008976EB" w:rsidRPr="005766E7" w:rsidRDefault="008976EB" w:rsidP="00521573">
            <w:pPr>
              <w:rPr>
                <w:szCs w:val="24"/>
              </w:rPr>
            </w:pPr>
            <w:r w:rsidRPr="005766E7">
              <w:rPr>
                <w:szCs w:val="24"/>
              </w:rPr>
              <w:t>Table 7.11</w:t>
            </w:r>
          </w:p>
        </w:tc>
        <w:tc>
          <w:tcPr>
            <w:tcW w:w="6378" w:type="dxa"/>
            <w:tcBorders>
              <w:top w:val="nil"/>
              <w:left w:val="nil"/>
              <w:bottom w:val="nil"/>
              <w:right w:val="nil"/>
            </w:tcBorders>
          </w:tcPr>
          <w:p w:rsidR="008976EB" w:rsidRPr="005766E7" w:rsidRDefault="008976EB" w:rsidP="00521573">
            <w:pPr>
              <w:pStyle w:val="BodyText"/>
              <w:rPr>
                <w:rFonts w:eastAsiaTheme="majorEastAsia"/>
                <w:szCs w:val="24"/>
                <w:lang w:eastAsia="en-US"/>
              </w:rPr>
            </w:pPr>
            <w:r w:rsidRPr="005766E7">
              <w:rPr>
                <w:rFonts w:eastAsiaTheme="minorHAnsi"/>
                <w:szCs w:val="24"/>
                <w:lang w:eastAsia="en-US"/>
              </w:rPr>
              <w:t>The Declination Angle (δ) for days in the middle of each month</w:t>
            </w:r>
          </w:p>
        </w:tc>
        <w:tc>
          <w:tcPr>
            <w:tcW w:w="1560" w:type="dxa"/>
            <w:tcBorders>
              <w:top w:val="nil"/>
              <w:left w:val="nil"/>
              <w:bottom w:val="nil"/>
              <w:right w:val="nil"/>
            </w:tcBorders>
          </w:tcPr>
          <w:p w:rsidR="008976EB" w:rsidRPr="005766E7" w:rsidRDefault="008976EB" w:rsidP="00521573">
            <w:pPr>
              <w:rPr>
                <w:szCs w:val="24"/>
              </w:rPr>
            </w:pPr>
            <w:r w:rsidRPr="005766E7">
              <w:rPr>
                <w:szCs w:val="24"/>
              </w:rPr>
              <w:t>17</w:t>
            </w:r>
            <w:r>
              <w:rPr>
                <w:szCs w:val="24"/>
              </w:rPr>
              <w:t>4</w:t>
            </w:r>
          </w:p>
        </w:tc>
      </w:tr>
    </w:tbl>
    <w:p w:rsidR="008976EB" w:rsidRPr="005766E7" w:rsidRDefault="008976EB" w:rsidP="008976EB">
      <w:pPr>
        <w:rPr>
          <w:rFonts w:eastAsiaTheme="majorEastAsia"/>
          <w:szCs w:val="24"/>
        </w:rPr>
      </w:pPr>
      <w:r w:rsidRPr="005766E7">
        <w:rPr>
          <w:szCs w:val="24"/>
        </w:rPr>
        <w:br w:type="page"/>
      </w:r>
    </w:p>
    <w:p w:rsidR="00E90BA8" w:rsidRPr="00C90AC9" w:rsidRDefault="00E90BA8" w:rsidP="00B06779">
      <w:pPr>
        <w:pStyle w:val="BodyText"/>
        <w:sectPr w:rsidR="00E90BA8" w:rsidRPr="00C90AC9" w:rsidSect="00DB7E0E">
          <w:footerReference w:type="default" r:id="rId8"/>
          <w:type w:val="continuous"/>
          <w:pgSz w:w="11906" w:h="16838"/>
          <w:pgMar w:top="1276" w:right="1274" w:bottom="1134" w:left="1440" w:header="708" w:footer="708" w:gutter="0"/>
          <w:pgNumType w:fmt="lowerRoman"/>
          <w:cols w:space="720"/>
          <w:docGrid w:linePitch="299"/>
        </w:sectPr>
      </w:pPr>
    </w:p>
    <w:p w:rsidR="00A16B8C" w:rsidRPr="00C90AC9" w:rsidRDefault="00A16B8C" w:rsidP="00D526E8">
      <w:pPr>
        <w:pStyle w:val="Heading5"/>
        <w:jc w:val="center"/>
        <w:rPr>
          <w:rFonts w:ascii="Times New Roman" w:eastAsia="Calibri" w:hAnsi="Times New Roman" w:cs="Times New Roman"/>
          <w:color w:val="auto"/>
          <w:sz w:val="72"/>
          <w:szCs w:val="72"/>
        </w:rPr>
      </w:pPr>
      <w:r w:rsidRPr="00C90AC9">
        <w:rPr>
          <w:rFonts w:ascii="Times New Roman" w:eastAsia="Calibri" w:hAnsi="Times New Roman" w:cs="Times New Roman"/>
          <w:color w:val="auto"/>
          <w:sz w:val="72"/>
          <w:szCs w:val="72"/>
        </w:rPr>
        <w:lastRenderedPageBreak/>
        <w:t>Chapter 1</w:t>
      </w:r>
    </w:p>
    <w:p w:rsidR="00A16B8C" w:rsidRPr="00C90AC9" w:rsidRDefault="002A3697" w:rsidP="007574AE">
      <w:pPr>
        <w:pStyle w:val="Heading2"/>
        <w:rPr>
          <w:rStyle w:val="SubtleEmphasis"/>
          <w:sz w:val="32"/>
        </w:rPr>
      </w:pPr>
      <w:r w:rsidRPr="00C90AC9">
        <w:rPr>
          <w:rFonts w:eastAsia="Calibri"/>
          <w:noProof/>
        </w:rPr>
        <mc:AlternateContent>
          <mc:Choice Requires="wps">
            <w:drawing>
              <wp:anchor distT="0" distB="0" distL="114300" distR="114300" simplePos="0" relativeHeight="251925504" behindDoc="0" locked="0" layoutInCell="1" allowOverlap="1" wp14:anchorId="314B4E33" wp14:editId="3103D99D">
                <wp:simplePos x="0" y="0"/>
                <wp:positionH relativeFrom="margin">
                  <wp:posOffset>-267335</wp:posOffset>
                </wp:positionH>
                <wp:positionV relativeFrom="paragraph">
                  <wp:posOffset>409575</wp:posOffset>
                </wp:positionV>
                <wp:extent cx="6162675" cy="2898140"/>
                <wp:effectExtent l="0" t="0" r="28575" b="1651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62675" cy="2898140"/>
                        </a:xfrm>
                        <a:prstGeom prst="rect">
                          <a:avLst/>
                        </a:prstGeom>
                        <a:solidFill>
                          <a:srgbClr val="4F81BD">
                            <a:alpha val="20000"/>
                          </a:srgbClr>
                        </a:solidFill>
                        <a:ln w="9525">
                          <a:solidFill>
                            <a:srgbClr val="4F81BD"/>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25621F6" id="Rectangle 13" o:spid="_x0000_s1026" style="position:absolute;margin-left:-21.05pt;margin-top:32.25pt;width:485.25pt;height:228.2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" fillcolor="#4f81bd" strokecolor="#4f81bd">
                <v:fill opacity="13107f"/>
                <v:path arrowok="t"/>
                <w10:wrap anchorx="margin"/>
              </v:rect>
            </w:pict>
          </mc:Fallback>
        </mc:AlternateContent>
      </w:r>
      <w:r w:rsidR="00A16B8C" w:rsidRPr="00C90AC9">
        <w:rPr>
          <w:rStyle w:val="SubtleEmphasis"/>
          <w:sz w:val="32"/>
        </w:rPr>
        <w:t>Introduction, the case for renewable energy</w:t>
      </w:r>
    </w:p>
    <w:p w:rsidR="00D8618A" w:rsidRPr="00C90AC9" w:rsidRDefault="005F6571" w:rsidP="00B06779">
      <w:pPr>
        <w:rPr>
          <w:rFonts w:eastAsia="Calibri"/>
          <w:lang w:eastAsia="en-US"/>
        </w:rPr>
      </w:pPr>
      <w:r w:rsidRPr="00C90AC9">
        <w:rPr>
          <w:rFonts w:eastAsia="Calibri"/>
          <w:lang w:eastAsia="en-US"/>
        </w:rPr>
        <w:br/>
      </w:r>
      <w:r w:rsidR="007A3242" w:rsidRPr="00C90AC9">
        <w:rPr>
          <w:rFonts w:eastAsia="Calibri"/>
          <w:lang w:eastAsia="en-US"/>
        </w:rPr>
        <w:tab/>
      </w:r>
      <w:r w:rsidR="00D8618A" w:rsidRPr="00C90AC9">
        <w:rPr>
          <w:rFonts w:eastAsia="Calibri"/>
          <w:lang w:eastAsia="en-US"/>
        </w:rPr>
        <w:t>The work contained in this dissertation describes a novel heating method for domestic hot water utilizing solar thermal panel</w:t>
      </w:r>
      <w:r w:rsidR="00403388" w:rsidRPr="00C90AC9">
        <w:rPr>
          <w:rFonts w:eastAsia="Calibri"/>
          <w:lang w:eastAsia="en-US"/>
        </w:rPr>
        <w:t>s</w:t>
      </w:r>
      <w:r w:rsidR="00D8618A" w:rsidRPr="00C90AC9">
        <w:rPr>
          <w:rFonts w:eastAsia="Calibri"/>
          <w:lang w:eastAsia="en-US"/>
        </w:rPr>
        <w:t xml:space="preserve">. </w:t>
      </w:r>
      <w:r w:rsidR="00691391" w:rsidRPr="00C90AC9">
        <w:rPr>
          <w:rFonts w:eastAsia="Calibri"/>
          <w:lang w:eastAsia="en-US"/>
        </w:rPr>
        <w:t xml:space="preserve">It assesses not only </w:t>
      </w:r>
      <w:r w:rsidR="00D8618A" w:rsidRPr="00C90AC9">
        <w:rPr>
          <w:rFonts w:eastAsia="Calibri"/>
          <w:lang w:eastAsia="en-US"/>
        </w:rPr>
        <w:t>the technological benefits of employing a novel heating method</w:t>
      </w:r>
      <w:r w:rsidR="00403388" w:rsidRPr="00C90AC9">
        <w:rPr>
          <w:rFonts w:eastAsia="Calibri"/>
          <w:lang w:eastAsia="en-US"/>
        </w:rPr>
        <w:t>,</w:t>
      </w:r>
      <w:r w:rsidR="00D8618A" w:rsidRPr="00C90AC9">
        <w:rPr>
          <w:rFonts w:eastAsia="Calibri"/>
          <w:lang w:eastAsia="en-US"/>
        </w:rPr>
        <w:t xml:space="preserve"> </w:t>
      </w:r>
      <w:r w:rsidR="00691391" w:rsidRPr="00C90AC9">
        <w:rPr>
          <w:rFonts w:eastAsia="Calibri"/>
          <w:lang w:eastAsia="en-US"/>
        </w:rPr>
        <w:t xml:space="preserve">but also </w:t>
      </w:r>
      <w:r w:rsidR="00D8618A" w:rsidRPr="00C90AC9">
        <w:rPr>
          <w:rFonts w:eastAsia="Calibri"/>
          <w:lang w:eastAsia="en-US"/>
        </w:rPr>
        <w:t xml:space="preserve">the opinions of the </w:t>
      </w:r>
      <w:r w:rsidR="00E82522" w:rsidRPr="00C90AC9">
        <w:rPr>
          <w:rFonts w:eastAsia="Calibri"/>
          <w:lang w:eastAsia="en-US"/>
        </w:rPr>
        <w:t>main</w:t>
      </w:r>
      <w:r w:rsidR="00D8618A" w:rsidRPr="00C90AC9">
        <w:rPr>
          <w:rFonts w:eastAsia="Calibri"/>
          <w:lang w:eastAsia="en-US"/>
        </w:rPr>
        <w:t xml:space="preserve"> actors within the solar thermal panel market</w:t>
      </w:r>
      <w:r w:rsidR="00B46A2F" w:rsidRPr="00C90AC9">
        <w:rPr>
          <w:rFonts w:eastAsia="Calibri"/>
          <w:lang w:eastAsia="en-US"/>
        </w:rPr>
        <w:t>. Their opinions</w:t>
      </w:r>
      <w:r w:rsidR="00D8618A" w:rsidRPr="00C90AC9">
        <w:rPr>
          <w:rFonts w:eastAsia="Calibri"/>
          <w:lang w:eastAsia="en-US"/>
        </w:rPr>
        <w:t xml:space="preserve"> are also considered </w:t>
      </w:r>
      <w:r w:rsidR="00B46A2F" w:rsidRPr="00C90AC9">
        <w:rPr>
          <w:rFonts w:eastAsia="Calibri"/>
          <w:lang w:eastAsia="en-US"/>
        </w:rPr>
        <w:t xml:space="preserve">to </w:t>
      </w:r>
      <w:r w:rsidR="00691391" w:rsidRPr="00C90AC9">
        <w:rPr>
          <w:rFonts w:eastAsia="Calibri"/>
          <w:lang w:eastAsia="en-US"/>
        </w:rPr>
        <w:t xml:space="preserve">evaluate </w:t>
      </w:r>
      <w:r w:rsidR="00D8618A" w:rsidRPr="00C90AC9">
        <w:rPr>
          <w:rFonts w:eastAsia="Calibri"/>
          <w:lang w:eastAsia="en-US"/>
        </w:rPr>
        <w:t>consumer motivations and barriers to adopting solar thermal panels in Sheffield</w:t>
      </w:r>
      <w:r w:rsidR="00403388" w:rsidRPr="00C90AC9">
        <w:rPr>
          <w:rFonts w:eastAsia="Calibri"/>
          <w:lang w:eastAsia="en-US"/>
        </w:rPr>
        <w:t>,</w:t>
      </w:r>
      <w:r w:rsidR="00D8618A" w:rsidRPr="00C90AC9">
        <w:rPr>
          <w:rFonts w:eastAsia="Calibri"/>
          <w:lang w:eastAsia="en-US"/>
        </w:rPr>
        <w:t xml:space="preserve"> UK. </w:t>
      </w:r>
    </w:p>
    <w:p w:rsidR="000D1256" w:rsidRPr="00C90AC9" w:rsidRDefault="00D8618A" w:rsidP="007574AE">
      <w:pPr>
        <w:pStyle w:val="BodyText"/>
        <w:rPr>
          <w:rFonts w:eastAsia="Calibri"/>
          <w:lang w:eastAsia="en-US"/>
        </w:rPr>
      </w:pPr>
      <w:r w:rsidRPr="00C90AC9">
        <w:rPr>
          <w:rFonts w:eastAsia="Calibri"/>
          <w:lang w:eastAsia="en-US"/>
        </w:rPr>
        <w:t xml:space="preserve">The dissertation begins by describing the </w:t>
      </w:r>
      <w:r w:rsidR="008F33AF" w:rsidRPr="00C90AC9">
        <w:rPr>
          <w:rFonts w:eastAsia="Calibri"/>
          <w:lang w:eastAsia="en-US"/>
        </w:rPr>
        <w:t xml:space="preserve">global problem of </w:t>
      </w:r>
      <w:r w:rsidRPr="00C90AC9">
        <w:rPr>
          <w:rFonts w:eastAsia="Calibri"/>
          <w:lang w:eastAsia="en-US"/>
        </w:rPr>
        <w:t>anthropoge</w:t>
      </w:r>
      <w:r w:rsidR="008F33AF" w:rsidRPr="00C90AC9">
        <w:rPr>
          <w:rFonts w:eastAsia="Calibri"/>
          <w:lang w:eastAsia="en-US"/>
        </w:rPr>
        <w:t xml:space="preserve">nic climate change. </w:t>
      </w:r>
      <w:r w:rsidRPr="00C90AC9">
        <w:rPr>
          <w:rFonts w:eastAsia="Calibri"/>
          <w:lang w:eastAsia="en-US"/>
        </w:rPr>
        <w:t xml:space="preserve">Particular attention is given to the situation in the UK including the internationally binding agreements to reduce </w:t>
      </w:r>
      <w:r w:rsidR="007E00BF" w:rsidRPr="00C90AC9">
        <w:rPr>
          <w:rFonts w:eastAsia="Calibri"/>
          <w:lang w:eastAsia="en-US"/>
        </w:rPr>
        <w:t>CO</w:t>
      </w:r>
      <w:r w:rsidR="007E00BF" w:rsidRPr="00C90AC9">
        <w:rPr>
          <w:rFonts w:eastAsia="Calibri"/>
          <w:vertAlign w:val="subscript"/>
          <w:lang w:eastAsia="en-US"/>
        </w:rPr>
        <w:t>2</w:t>
      </w:r>
      <w:r w:rsidRPr="00C90AC9">
        <w:rPr>
          <w:rFonts w:eastAsia="Calibri"/>
          <w:lang w:eastAsia="en-US"/>
        </w:rPr>
        <w:t xml:space="preserve"> emissions. The chapter then focuses on the use of hot water in domestic properties as being an area that has had less research attention in recent years and thus provides an opportunity for the current research.</w:t>
      </w:r>
      <w:r w:rsidR="009871AE" w:rsidRPr="00C90AC9">
        <w:rPr>
          <w:rFonts w:eastAsia="Calibri"/>
          <w:lang w:eastAsia="en-US"/>
        </w:rPr>
        <w:t xml:space="preserve"> </w:t>
      </w:r>
      <w:r w:rsidR="0099093E" w:rsidRPr="00C90AC9">
        <w:rPr>
          <w:rFonts w:eastAsia="Calibri"/>
          <w:lang w:eastAsia="en-US"/>
        </w:rPr>
        <w:tab/>
      </w:r>
    </w:p>
    <w:p w:rsidR="007574AE" w:rsidRPr="00C90AC9" w:rsidRDefault="000D1256" w:rsidP="007574AE">
      <w:pPr>
        <w:pStyle w:val="BodyText"/>
        <w:rPr>
          <w:rFonts w:eastAsia="Calibri"/>
          <w:lang w:eastAsia="en-US"/>
        </w:rPr>
      </w:pPr>
      <w:r w:rsidRPr="00C90AC9">
        <w:rPr>
          <w:rFonts w:eastAsia="Calibri"/>
          <w:lang w:eastAsia="en-US"/>
        </w:rPr>
        <w:t>The chapte</w:t>
      </w:r>
      <w:r w:rsidR="00691391" w:rsidRPr="00C90AC9">
        <w:rPr>
          <w:rFonts w:eastAsia="Calibri"/>
          <w:lang w:eastAsia="en-US"/>
        </w:rPr>
        <w:t>r finishes by highlighting the reasons for adopting a socio-technical a</w:t>
      </w:r>
      <w:r w:rsidRPr="00C90AC9">
        <w:rPr>
          <w:rFonts w:eastAsia="Calibri"/>
          <w:lang w:eastAsia="en-US"/>
        </w:rPr>
        <w:t xml:space="preserve">pproach </w:t>
      </w:r>
      <w:bookmarkStart w:id="9" w:name="_Toc376996825"/>
      <w:bookmarkStart w:id="10" w:name="_Toc377005507"/>
      <w:bookmarkStart w:id="11" w:name="_Toc447173042"/>
      <w:r w:rsidR="00863C7C" w:rsidRPr="00C90AC9">
        <w:rPr>
          <w:rFonts w:eastAsia="Calibri"/>
          <w:lang w:eastAsia="en-US"/>
        </w:rPr>
        <w:t>which</w:t>
      </w:r>
      <w:r w:rsidR="00691391" w:rsidRPr="00C90AC9">
        <w:rPr>
          <w:rFonts w:eastAsia="Calibri"/>
          <w:lang w:eastAsia="en-US"/>
        </w:rPr>
        <w:t xml:space="preserve"> was used for this research.</w:t>
      </w:r>
    </w:p>
    <w:p w:rsidR="00691391" w:rsidRPr="00C90AC9" w:rsidRDefault="00691391" w:rsidP="007574AE">
      <w:pPr>
        <w:pStyle w:val="BodyText"/>
        <w:rPr>
          <w:rStyle w:val="SubtleEmphasis"/>
          <w:bCs/>
          <w:i/>
        </w:rPr>
      </w:pPr>
    </w:p>
    <w:p w:rsidR="00A16B8C" w:rsidRPr="00C90AC9" w:rsidRDefault="00FD78AC" w:rsidP="00CA6E35">
      <w:pPr>
        <w:pStyle w:val="Heading1"/>
        <w:numPr>
          <w:ilvl w:val="1"/>
          <w:numId w:val="22"/>
        </w:numPr>
        <w:rPr>
          <w:rStyle w:val="SubtleEmphasis"/>
          <w:rFonts w:cstheme="minorBidi"/>
          <w:szCs w:val="22"/>
        </w:rPr>
      </w:pPr>
      <w:r w:rsidRPr="00C90AC9">
        <w:rPr>
          <w:rStyle w:val="SubtleEmphasis"/>
          <w:rFonts w:cstheme="minorBidi"/>
          <w:szCs w:val="22"/>
        </w:rPr>
        <w:t>Defining</w:t>
      </w:r>
      <w:r w:rsidR="00A16B8C" w:rsidRPr="00C90AC9">
        <w:rPr>
          <w:rStyle w:val="SubtleEmphasis"/>
          <w:rFonts w:cstheme="minorBidi"/>
          <w:szCs w:val="22"/>
        </w:rPr>
        <w:t xml:space="preserve"> the problem, global issues</w:t>
      </w:r>
      <w:bookmarkEnd w:id="9"/>
      <w:bookmarkEnd w:id="10"/>
      <w:bookmarkEnd w:id="11"/>
    </w:p>
    <w:p w:rsidR="008F33AF" w:rsidRPr="00C90AC9" w:rsidRDefault="00D8618A" w:rsidP="002A2645">
      <w:pPr>
        <w:pStyle w:val="BodyTextFirstIndent"/>
        <w:spacing w:line="360" w:lineRule="auto"/>
        <w:ind w:firstLine="357"/>
        <w:rPr>
          <w:rFonts w:eastAsia="Calibri"/>
        </w:rPr>
      </w:pPr>
      <w:r w:rsidRPr="00C90AC9">
        <w:rPr>
          <w:rFonts w:eastAsia="Calibri"/>
        </w:rPr>
        <w:t>The technological advancements of the last fifty years</w:t>
      </w:r>
      <w:r w:rsidR="00147E1D" w:rsidRPr="00C90AC9">
        <w:rPr>
          <w:rFonts w:eastAsia="Calibri"/>
        </w:rPr>
        <w:t>,</w:t>
      </w:r>
      <w:r w:rsidR="00610360" w:rsidRPr="00C90AC9">
        <w:rPr>
          <w:rFonts w:eastAsia="Calibri"/>
        </w:rPr>
        <w:t xml:space="preserve"> which have addressed many of the world’s problems</w:t>
      </w:r>
      <w:r w:rsidR="00147E1D" w:rsidRPr="00C90AC9">
        <w:rPr>
          <w:rFonts w:eastAsia="Calibri"/>
        </w:rPr>
        <w:t>,</w:t>
      </w:r>
      <w:r w:rsidRPr="00C90AC9">
        <w:rPr>
          <w:rFonts w:eastAsia="Calibri"/>
        </w:rPr>
        <w:t xml:space="preserve"> have been achieved </w:t>
      </w:r>
      <w:r w:rsidR="00E772A2" w:rsidRPr="00C90AC9">
        <w:rPr>
          <w:rFonts w:eastAsia="Calibri"/>
        </w:rPr>
        <w:t xml:space="preserve">in </w:t>
      </w:r>
      <w:r w:rsidR="00610360" w:rsidRPr="00C90AC9">
        <w:rPr>
          <w:rFonts w:eastAsia="Calibri"/>
        </w:rPr>
        <w:t>p</w:t>
      </w:r>
      <w:r w:rsidR="00E772A2" w:rsidRPr="00C90AC9">
        <w:rPr>
          <w:rFonts w:eastAsia="Calibri"/>
        </w:rPr>
        <w:t xml:space="preserve">art </w:t>
      </w:r>
      <w:r w:rsidRPr="00C90AC9">
        <w:rPr>
          <w:rFonts w:eastAsia="Calibri"/>
        </w:rPr>
        <w:t xml:space="preserve">through the </w:t>
      </w:r>
      <w:r w:rsidR="007A0E9A" w:rsidRPr="00C90AC9">
        <w:rPr>
          <w:rFonts w:eastAsia="Calibri"/>
        </w:rPr>
        <w:t xml:space="preserve">increased </w:t>
      </w:r>
      <w:r w:rsidR="00A8043A" w:rsidRPr="00C90AC9">
        <w:rPr>
          <w:rFonts w:eastAsia="Calibri"/>
        </w:rPr>
        <w:t>use of energy</w:t>
      </w:r>
      <w:r w:rsidR="007407CD" w:rsidRPr="00C90AC9">
        <w:rPr>
          <w:rFonts w:eastAsia="Calibri"/>
        </w:rPr>
        <w:t xml:space="preserve"> </w:t>
      </w:r>
      <w:sdt>
        <w:sdtPr>
          <w:rPr>
            <w:rFonts w:eastAsia="Calibri"/>
            <w:iCs/>
          </w:rPr>
          <w:alias w:val="Don't edit this field"/>
          <w:tag w:val="CitaviPlaceholder#72705b6c-3917-4048-ad68-72c97d21327f"/>
          <w:id w:val="405114097"/>
        </w:sdtPr>
        <w:sdtEndPr/>
        <w:sdtContent>
          <w:r w:rsidR="007407CD" w:rsidRPr="00C90AC9">
            <w:rPr>
              <w:rFonts w:eastAsia="Calibri"/>
              <w:iCs/>
            </w:rPr>
            <w:fldChar w:fldCharType="begin"/>
          </w:r>
          <w:r w:rsidR="007407CD" w:rsidRPr="00C90AC9">
            <w:rPr>
              <w:rFonts w:eastAsia="Calibri"/>
              <w:iCs/>
            </w:rPr>
            <w:instrText>ADDIN CitaviPlaceholder{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}</w:instrText>
          </w:r>
          <w:r w:rsidR="007407CD" w:rsidRPr="00C90AC9">
            <w:rPr>
              <w:rFonts w:eastAsia="Calibri"/>
              <w:iCs/>
            </w:rPr>
            <w:fldChar w:fldCharType="separate"/>
          </w:r>
          <w:r w:rsidR="007407CD" w:rsidRPr="00C90AC9">
            <w:rPr>
              <w:rFonts w:eastAsia="Calibri"/>
              <w:iCs/>
            </w:rPr>
            <w:t>(Angel et al. 2011)</w:t>
          </w:r>
          <w:r w:rsidR="007407CD" w:rsidRPr="00C90AC9">
            <w:rPr>
              <w:rFonts w:eastAsia="Calibri"/>
              <w:iCs/>
            </w:rPr>
            <w:fldChar w:fldCharType="end"/>
          </w:r>
        </w:sdtContent>
      </w:sdt>
      <w:r w:rsidR="00147E1D" w:rsidRPr="00C90AC9">
        <w:rPr>
          <w:rFonts w:eastAsia="Calibri"/>
          <w:iCs/>
        </w:rPr>
        <w:t>.</w:t>
      </w:r>
      <w:r w:rsidR="00E772A2" w:rsidRPr="00C90AC9">
        <w:rPr>
          <w:rFonts w:eastAsia="Calibri"/>
        </w:rPr>
        <w:t xml:space="preserve"> </w:t>
      </w:r>
      <w:r w:rsidRPr="00C90AC9">
        <w:rPr>
          <w:rFonts w:eastAsia="Calibri"/>
        </w:rPr>
        <w:t>Advancements in medicines, healthcare, education as well as improving the global food supply is predicted to swell the global population to beyond 9.5 billion peoples by 2050 with 6.4 billion living in urban areas</w:t>
      </w:r>
      <w:r w:rsidR="00BD50B3" w:rsidRPr="00C90AC9">
        <w:rPr>
          <w:rFonts w:eastAsia="Calibri"/>
        </w:rPr>
        <w:t xml:space="preserve"> </w:t>
      </w:r>
      <w:sdt>
        <w:sdtPr>
          <w:rPr>
            <w:rFonts w:eastAsia="Calibri"/>
          </w:rPr>
          <w:alias w:val="Don't edit this field"/>
          <w:tag w:val="CitaviPlaceholder#14bae026-bc16-4484-a1cc-3191ddc8eaf5"/>
          <w:id w:val="1394076945"/>
        </w:sdtPr>
        <w:sdtEndPr/>
        <w:sdtContent>
          <w:r w:rsidR="005B1ABC" w:rsidRPr="00C90AC9">
            <w:rPr>
              <w:rFonts w:eastAsia="Calibri"/>
            </w:rPr>
            <w:fldChar w:fldCharType="begin"/>
          </w:r>
          <w:r w:rsidR="005B1ABC" w:rsidRPr="00C90AC9">
            <w:rPr>
              <w:rFonts w:eastAsia="Calibri"/>
            </w:rPr>
            <w:instrText>ADDIN CitaviPlaceholder{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}</w:instrText>
          </w:r>
          <w:r w:rsidR="005B1ABC" w:rsidRPr="00C90AC9">
            <w:rPr>
              <w:rFonts w:eastAsia="Calibri"/>
            </w:rPr>
            <w:fldChar w:fldCharType="separate"/>
          </w:r>
          <w:r w:rsidR="007835E8" w:rsidRPr="00C90AC9">
            <w:rPr>
              <w:rFonts w:eastAsia="Calibri"/>
            </w:rPr>
            <w:t>(Angel et al. 2011)</w:t>
          </w:r>
          <w:r w:rsidR="005B1ABC" w:rsidRPr="00C90AC9">
            <w:rPr>
              <w:rFonts w:eastAsia="Calibri"/>
            </w:rPr>
            <w:fldChar w:fldCharType="end"/>
          </w:r>
        </w:sdtContent>
      </w:sdt>
      <w:r w:rsidR="00E753D2" w:rsidRPr="00C90AC9">
        <w:rPr>
          <w:rFonts w:eastAsia="Calibri"/>
          <w:iCs/>
        </w:rPr>
        <w:t xml:space="preserve">. </w:t>
      </w:r>
      <w:r w:rsidRPr="00C90AC9">
        <w:rPr>
          <w:rFonts w:eastAsia="Calibri"/>
          <w:iCs/>
        </w:rPr>
        <w:t xml:space="preserve">However, </w:t>
      </w:r>
      <w:r w:rsidR="00E753D2" w:rsidRPr="00C90AC9">
        <w:rPr>
          <w:rFonts w:eastAsia="Calibri"/>
          <w:iCs/>
        </w:rPr>
        <w:t xml:space="preserve">with </w:t>
      </w:r>
      <w:r w:rsidRPr="00C90AC9">
        <w:rPr>
          <w:rFonts w:eastAsia="Calibri"/>
          <w:iCs/>
        </w:rPr>
        <w:t>a</w:t>
      </w:r>
      <w:r w:rsidRPr="00C90AC9">
        <w:rPr>
          <w:rFonts w:eastAsia="Calibri"/>
        </w:rPr>
        <w:t xml:space="preserve">n increasing global population and individual nations wanting to </w:t>
      </w:r>
      <w:r w:rsidR="007A0E9A" w:rsidRPr="00C90AC9">
        <w:rPr>
          <w:rFonts w:eastAsia="Calibri"/>
        </w:rPr>
        <w:t>take advantage of economic development</w:t>
      </w:r>
      <w:r w:rsidRPr="00C90AC9">
        <w:rPr>
          <w:rFonts w:eastAsia="Calibri"/>
        </w:rPr>
        <w:t xml:space="preserve"> through increased energy usage, </w:t>
      </w:r>
      <w:r w:rsidR="00A8043A" w:rsidRPr="00C90AC9">
        <w:rPr>
          <w:rFonts w:eastAsia="Calibri"/>
        </w:rPr>
        <w:t>inevitably there will be</w:t>
      </w:r>
      <w:r w:rsidRPr="00C90AC9">
        <w:rPr>
          <w:rFonts w:eastAsia="Calibri"/>
        </w:rPr>
        <w:t xml:space="preserve"> </w:t>
      </w:r>
      <w:r w:rsidR="00A8043A" w:rsidRPr="00C90AC9">
        <w:rPr>
          <w:rFonts w:eastAsia="Calibri"/>
        </w:rPr>
        <w:t xml:space="preserve">a </w:t>
      </w:r>
      <w:r w:rsidRPr="00C90AC9">
        <w:rPr>
          <w:rFonts w:eastAsia="Calibri"/>
        </w:rPr>
        <w:t>result</w:t>
      </w:r>
      <w:r w:rsidR="00A8043A" w:rsidRPr="00C90AC9">
        <w:rPr>
          <w:rFonts w:eastAsia="Calibri"/>
        </w:rPr>
        <w:t>ing</w:t>
      </w:r>
      <w:r w:rsidR="007A0E9A" w:rsidRPr="00C90AC9">
        <w:rPr>
          <w:rFonts w:eastAsia="Calibri"/>
        </w:rPr>
        <w:t xml:space="preserve"> </w:t>
      </w:r>
      <w:r w:rsidR="00A8043A" w:rsidRPr="00C90AC9">
        <w:rPr>
          <w:rFonts w:eastAsia="Calibri"/>
        </w:rPr>
        <w:t xml:space="preserve">increase in global </w:t>
      </w:r>
      <w:r w:rsidRPr="00C90AC9">
        <w:rPr>
          <w:rFonts w:eastAsia="Calibri"/>
        </w:rPr>
        <w:t xml:space="preserve">energy </w:t>
      </w:r>
      <w:r w:rsidR="00A8043A" w:rsidRPr="00C90AC9">
        <w:rPr>
          <w:rFonts w:eastAsia="Calibri"/>
        </w:rPr>
        <w:t>demand</w:t>
      </w:r>
      <w:r w:rsidRPr="00C90AC9">
        <w:rPr>
          <w:rFonts w:eastAsia="Calibri"/>
        </w:rPr>
        <w:t xml:space="preserve"> </w:t>
      </w:r>
      <w:sdt>
        <w:sdtPr>
          <w:rPr>
            <w:rFonts w:eastAsia="Calibri"/>
          </w:rPr>
          <w:alias w:val="Don't edit this field"/>
          <w:tag w:val="CitaviPlaceholder#b9d24347-4b37-4b1f-ab55-ba0cd0cc7d63"/>
          <w:id w:val="912668884"/>
        </w:sdtPr>
        <w:sdtEndPr/>
        <w:sdtContent>
          <w:r w:rsidR="00C05E2B" w:rsidRPr="00C90AC9">
            <w:rPr>
              <w:rFonts w:eastAsia="Calibri"/>
            </w:rPr>
            <w:fldChar w:fldCharType="begin"/>
          </w:r>
          <w:r w:rsidR="007835E8" w:rsidRPr="00C90AC9">
            <w:rPr>
              <w:rFonts w:eastAsia="Calibri"/>
            </w:rPr>
            <w:instrText>ADDIN CitaviPlaceholder{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}</w:instrText>
          </w:r>
          <w:r w:rsidR="00C05E2B" w:rsidRPr="00C90AC9">
            <w:rPr>
              <w:rFonts w:eastAsia="Calibri"/>
            </w:rPr>
            <w:fldChar w:fldCharType="separate"/>
          </w:r>
          <w:r w:rsidR="007835E8" w:rsidRPr="00C90AC9">
            <w:rPr>
              <w:rFonts w:eastAsia="Calibri"/>
            </w:rPr>
            <w:t>(Angel et al. 2011)</w:t>
          </w:r>
          <w:r w:rsidR="00C05E2B" w:rsidRPr="00C90AC9">
            <w:rPr>
              <w:rFonts w:eastAsia="Calibri"/>
            </w:rPr>
            <w:fldChar w:fldCharType="end"/>
          </w:r>
        </w:sdtContent>
      </w:sdt>
      <w:r w:rsidR="007407CD" w:rsidRPr="00C90AC9">
        <w:rPr>
          <w:rFonts w:eastAsia="Calibri"/>
        </w:rPr>
        <w:t>.</w:t>
      </w:r>
      <w:r w:rsidRPr="00C90AC9">
        <w:rPr>
          <w:rFonts w:eastAsia="Calibri"/>
        </w:rPr>
        <w:t xml:space="preserve"> </w:t>
      </w:r>
      <w:r w:rsidR="002A2645" w:rsidRPr="00C90AC9">
        <w:rPr>
          <w:rFonts w:eastAsia="Calibri"/>
        </w:rPr>
        <w:t xml:space="preserve"> </w:t>
      </w:r>
      <w:r w:rsidRPr="00C90AC9">
        <w:rPr>
          <w:rFonts w:eastAsia="Calibri"/>
        </w:rPr>
        <w:t>Global energy demand at present predominantly comprises of fossil fuels</w:t>
      </w:r>
      <w:r w:rsidR="00BA0596" w:rsidRPr="00C90AC9">
        <w:rPr>
          <w:rFonts w:eastAsia="Calibri"/>
        </w:rPr>
        <w:t xml:space="preserve"> (oil, gas and coal)</w:t>
      </w:r>
      <w:r w:rsidRPr="00C90AC9">
        <w:rPr>
          <w:rFonts w:eastAsia="Calibri"/>
        </w:rPr>
        <w:t xml:space="preserve"> with the burning of these finite resources resulting in the release of greenhouse gases (GHG) which has widely been accepted to contribute to global warming </w:t>
      </w:r>
      <w:r w:rsidR="00EF4BE3" w:rsidRPr="00C90AC9">
        <w:rPr>
          <w:rFonts w:eastAsia="Calibri"/>
        </w:rPr>
        <w:fldChar w:fldCharType="begin"/>
      </w:r>
      <w:r w:rsidR="00EF4BE3" w:rsidRPr="00C90AC9">
        <w:rPr>
          <w:rFonts w:eastAsia="Calibri"/>
        </w:rPr>
        <w:instrText xml:space="preserve"> ADDIN EN.CITE &lt;EndNote&gt;&lt;Cite&gt;&lt;Author&gt;Sindico&lt;/Author&gt;&lt;Year&gt;2016&lt;/Year&gt;&lt;RecNum&gt;188&lt;/RecNum&gt;&lt;DisplayText&gt;(Duyck, 2015; Sindico, 2016)&lt;/DisplayText&gt;&lt;record&gt;&lt;rec-number&gt;188&lt;/rec-number&gt;&lt;foreign-keys&gt;&lt;key app="EN" db-id="50wxdpzd9vd5r7e9t5b595djrfpttrxw9avp" timestamp="1525076335"&gt;188&lt;/key&gt;&lt;/foreign-keys&gt;&lt;ref-type name="Journal Article"&gt;17&lt;/ref-type&gt;&lt;contributors&gt;&lt;authors&gt;&lt;author&gt;Sindico, F.&lt;/author&gt;&lt;/authors&gt;&lt;/contributors&gt;&lt;titles&gt;&lt;title&gt;Paris, climate change, and sustainable development&lt;/title&gt;&lt;secondary-title&gt;Climate Law&lt;/secondary-title&gt;&lt;short-title&gt;Sindico 2016 – Paris, climate change&lt;/short-title&gt;&lt;/titles&gt;&lt;pages&gt;p. 130-141&lt;/pages&gt;&lt;volume&gt;6&lt;/volume&gt;&lt;number&gt;(1-2)&lt;/number&gt;&lt;dates&gt;&lt;year&gt;2016&lt;/year&gt;&lt;/dates&gt;&lt;urls&gt;&lt;/urls&gt;&lt;/record&gt;&lt;/Cite&gt;&lt;Cite&gt;&lt;Author&gt;Duyck&lt;/Author&gt;&lt;Year&gt;2015&lt;/Year&gt;&lt;RecNum&gt;280&lt;/RecNum&gt;&lt;record&gt;&lt;rec-number&gt;280&lt;/rec-number&gt;&lt;foreign-keys&gt;&lt;key app="EN" db-id="50wxdpzd9vd5r7e9t5b595djrfpttrxw9avp" timestamp="1526625319"&gt;280&lt;/key&gt;&lt;/foreign-keys&gt;&lt;ref-type name="Journal Article"&gt;17&lt;/ref-type&gt;&lt;contributors&gt;&lt;authors&gt;&lt;author&gt;Duyck, Sébastien&lt;/author&gt;&lt;/authors&gt;&lt;/contributors&gt;&lt;titles&gt;&lt;title&gt;The Paris Climate Agreement and the Protection of Human Rights in a Changing Climate&lt;/title&gt;&lt;secondary-title&gt;Yearbook of International Environmental Law&lt;/secondary-title&gt;&lt;/titles&gt;&lt;pages&gt;3-45&lt;/pages&gt;&lt;volume&gt;26&lt;/volume&gt;&lt;dates&gt;&lt;year&gt;2015&lt;/year&gt;&lt;/dates&gt;&lt;isbn&gt;0965-1721&lt;/isbn&gt;&lt;urls&gt;&lt;related-urls&gt;&lt;url&gt;http://dx.doi.org/10.1093/yiel/yvx011&lt;/url&gt;&lt;/related-urls&gt;&lt;/urls&gt;&lt;electronic-resource-num&gt;10.1093/yiel/yvx011&lt;/electronic-resource-num&gt;&lt;/record&gt;&lt;/Cite&gt;&lt;/EndNote&gt;</w:instrText>
      </w:r>
      <w:r w:rsidR="00EF4BE3" w:rsidRPr="00C90AC9">
        <w:rPr>
          <w:rFonts w:eastAsia="Calibri"/>
        </w:rPr>
        <w:fldChar w:fldCharType="separate"/>
      </w:r>
      <w:r w:rsidR="00EF4BE3" w:rsidRPr="00C90AC9">
        <w:rPr>
          <w:rFonts w:eastAsia="Calibri"/>
        </w:rPr>
        <w:t>(Duyck, 2015; Sindico, 2016)</w:t>
      </w:r>
      <w:r w:rsidR="00EF4BE3" w:rsidRPr="00C90AC9">
        <w:rPr>
          <w:rFonts w:eastAsia="Calibri"/>
        </w:rPr>
        <w:fldChar w:fldCharType="end"/>
      </w:r>
      <w:r w:rsidR="007407CD" w:rsidRPr="00C90AC9">
        <w:rPr>
          <w:rFonts w:eastAsia="Calibri"/>
          <w:iCs/>
        </w:rPr>
        <w:t>.</w:t>
      </w:r>
      <w:r w:rsidRPr="00C90AC9">
        <w:rPr>
          <w:rFonts w:eastAsia="Calibri"/>
        </w:rPr>
        <w:t xml:space="preserve"> </w:t>
      </w:r>
      <w:r w:rsidR="00A16B8C" w:rsidRPr="00C90AC9">
        <w:rPr>
          <w:rFonts w:eastAsia="Calibri"/>
          <w:lang w:eastAsia="en-US"/>
        </w:rPr>
        <w:t>The Internatio</w:t>
      </w:r>
      <w:r w:rsidR="00685559" w:rsidRPr="00C90AC9">
        <w:rPr>
          <w:rFonts w:eastAsia="Calibri"/>
          <w:lang w:eastAsia="en-US"/>
        </w:rPr>
        <w:t>nal Energy Agency (IEA) predicted</w:t>
      </w:r>
      <w:r w:rsidR="004540B8" w:rsidRPr="00C90AC9">
        <w:rPr>
          <w:rFonts w:eastAsia="Calibri"/>
          <w:lang w:eastAsia="en-US"/>
        </w:rPr>
        <w:t xml:space="preserve"> in their 2015</w:t>
      </w:r>
      <w:r w:rsidR="00A16B8C" w:rsidRPr="00C90AC9">
        <w:rPr>
          <w:rFonts w:eastAsia="Calibri"/>
          <w:lang w:eastAsia="en-US"/>
        </w:rPr>
        <w:t xml:space="preserve"> World Energy Outlook report that the world is expected to increase energy demand by one third from 2010 to 2035 and that the world is:</w:t>
      </w:r>
    </w:p>
    <w:p w:rsidR="00A6508A" w:rsidRPr="00C90AC9" w:rsidRDefault="00A16B8C" w:rsidP="00A6508A">
      <w:pPr>
        <w:jc w:val="center"/>
        <w:rPr>
          <w:rFonts w:eastAsia="Times New Roman"/>
          <w:i/>
          <w:lang w:eastAsia="en-US"/>
        </w:rPr>
      </w:pPr>
      <w:bookmarkStart w:id="12" w:name="_Toc447173043"/>
      <w:r w:rsidRPr="00C90AC9">
        <w:rPr>
          <w:rFonts w:eastAsia="Times New Roman"/>
          <w:i/>
          <w:lang w:eastAsia="en-US"/>
        </w:rPr>
        <w:t>“…failing to put the global energy system onto a more sustainable path.”</w:t>
      </w:r>
      <w:bookmarkEnd w:id="12"/>
    </w:p>
    <w:p w:rsidR="008E49B0" w:rsidRPr="00C90AC9" w:rsidRDefault="00691391" w:rsidP="00691391">
      <w:pPr>
        <w:jc w:val="right"/>
        <w:rPr>
          <w:rFonts w:eastAsia="Calibri"/>
          <w:i/>
        </w:rPr>
      </w:pPr>
      <w:r w:rsidRPr="00C90AC9">
        <w:rPr>
          <w:rFonts w:eastAsia="Times New Roman"/>
          <w:i/>
          <w:lang w:eastAsia="en-US"/>
        </w:rPr>
        <w:t xml:space="preserve"> </w:t>
      </w:r>
      <w:sdt>
        <w:sdtPr>
          <w:rPr>
            <w:rFonts w:eastAsia="Calibri"/>
          </w:rPr>
          <w:alias w:val="Don't edit this field"/>
          <w:tag w:val="CitaviPlaceholder#9d0b8797-d3fa-416a-a2a7-99d76283246e"/>
          <w:id w:val="-2134231849"/>
        </w:sdtPr>
        <w:sdtEndPr/>
        <w:sdtContent>
          <w:r w:rsidR="00C05E2B" w:rsidRPr="00C90AC9">
            <w:rPr>
              <w:rFonts w:eastAsia="Calibri"/>
            </w:rPr>
            <w:fldChar w:fldCharType="begin"/>
          </w:r>
          <w:r w:rsidR="007835E8" w:rsidRPr="00C90AC9">
            <w:rPr>
              <w:rFonts w:eastAsia="Calibri"/>
            </w:rPr>
            <w:instrText>ADDIN CitaviPlaceholder{eyIkaWQiOiIxIiwiRW50cmllcyI6W3siJGlkIjoiMiIsIkhhc1RlbXBvcmFyeVJlZmVyZW5jZSI6dHJ1ZSwiSWQiOiI2MmM0ZGE5YS03YzM3LTRmYTAtODMyNS1jMmZlZDE3ZDQ5MjgiLCJSYW5nZUxlbmd0aCI6MjcsIlJlZmVyZW5jZUlkIjoiOTZkZTlhZTAtNTgzOC00NjZlLTkyZTUtMzJhMDJmY2FhZTkx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}</w:instrText>
          </w:r>
          <w:r w:rsidR="00C05E2B" w:rsidRPr="00C90AC9">
            <w:rPr>
              <w:rFonts w:eastAsia="Calibri"/>
            </w:rPr>
            <w:fldChar w:fldCharType="separate"/>
          </w:r>
          <w:r w:rsidR="007835E8" w:rsidRPr="00C90AC9">
            <w:rPr>
              <w:rFonts w:eastAsia="Calibri"/>
            </w:rPr>
            <w:t>(World Energy Outlook 2015)</w:t>
          </w:r>
          <w:r w:rsidR="00C05E2B" w:rsidRPr="00C90AC9">
            <w:rPr>
              <w:rFonts w:eastAsia="Calibri"/>
            </w:rPr>
            <w:fldChar w:fldCharType="end"/>
          </w:r>
        </w:sdtContent>
      </w:sdt>
    </w:p>
    <w:p w:rsidR="008E22B4" w:rsidRPr="00C90AC9" w:rsidRDefault="00B35A6E" w:rsidP="00B35A6E">
      <w:pPr>
        <w:pStyle w:val="BodyTextFirstIndent"/>
        <w:spacing w:line="360" w:lineRule="auto"/>
        <w:ind w:firstLine="357"/>
        <w:rPr>
          <w:rFonts w:eastAsia="Calibri"/>
        </w:rPr>
      </w:pPr>
      <w:r w:rsidRPr="00C90AC9">
        <w:rPr>
          <w:rFonts w:eastAsia="Calibri"/>
        </w:rPr>
        <w:lastRenderedPageBreak/>
        <w:t>Against this backdrop of unsustainable energy use th</w:t>
      </w:r>
      <w:r w:rsidR="002A2645" w:rsidRPr="00C90AC9">
        <w:rPr>
          <w:rFonts w:eastAsia="Calibri"/>
        </w:rPr>
        <w:t>ere</w:t>
      </w:r>
      <w:r w:rsidR="008E22B4" w:rsidRPr="00C90AC9">
        <w:rPr>
          <w:rFonts w:eastAsia="Calibri"/>
        </w:rPr>
        <w:t xml:space="preserve"> have been a number of i</w:t>
      </w:r>
      <w:r w:rsidR="00D8618A" w:rsidRPr="00C90AC9">
        <w:rPr>
          <w:rFonts w:eastAsia="Calibri"/>
        </w:rPr>
        <w:t xml:space="preserve">nternational </w:t>
      </w:r>
      <w:r w:rsidR="008E22B4" w:rsidRPr="00C90AC9">
        <w:rPr>
          <w:rFonts w:eastAsia="Calibri"/>
        </w:rPr>
        <w:t>a</w:t>
      </w:r>
      <w:r w:rsidR="00D8618A" w:rsidRPr="00C90AC9">
        <w:rPr>
          <w:rFonts w:eastAsia="Calibri"/>
        </w:rPr>
        <w:t>greements (Kyoto 1997, Rio 2012, Paris 2016</w:t>
      </w:r>
      <w:r w:rsidR="000E49EA" w:rsidRPr="00C90AC9">
        <w:rPr>
          <w:rFonts w:eastAsia="Calibri"/>
        </w:rPr>
        <w:t xml:space="preserve"> etc.)</w:t>
      </w:r>
      <w:r w:rsidR="008E22B4" w:rsidRPr="00C90AC9">
        <w:rPr>
          <w:rFonts w:eastAsia="Calibri"/>
        </w:rPr>
        <w:t xml:space="preserve"> which have </w:t>
      </w:r>
      <w:r w:rsidR="00D8618A" w:rsidRPr="00C90AC9">
        <w:rPr>
          <w:rFonts w:eastAsia="Calibri"/>
        </w:rPr>
        <w:t>att</w:t>
      </w:r>
      <w:r w:rsidR="008E22B4" w:rsidRPr="00C90AC9">
        <w:rPr>
          <w:rFonts w:eastAsia="Calibri"/>
        </w:rPr>
        <w:t>empted to address the</w:t>
      </w:r>
      <w:r w:rsidR="007A0E9A" w:rsidRPr="00C90AC9">
        <w:rPr>
          <w:rFonts w:eastAsia="Calibri"/>
        </w:rPr>
        <w:t xml:space="preserve"> problem </w:t>
      </w:r>
      <w:r w:rsidR="002A2645" w:rsidRPr="00C90AC9">
        <w:rPr>
          <w:rFonts w:eastAsia="Calibri"/>
        </w:rPr>
        <w:t xml:space="preserve">of unsustainable energy usage </w:t>
      </w:r>
      <w:r w:rsidR="007A0E9A" w:rsidRPr="00C90AC9">
        <w:rPr>
          <w:rFonts w:eastAsia="Calibri"/>
        </w:rPr>
        <w:t>by</w:t>
      </w:r>
      <w:r w:rsidR="00D8618A" w:rsidRPr="00C90AC9">
        <w:rPr>
          <w:rFonts w:eastAsia="Calibri"/>
        </w:rPr>
        <w:t xml:space="preserve"> compell</w:t>
      </w:r>
      <w:r w:rsidR="007A0E9A" w:rsidRPr="00C90AC9">
        <w:rPr>
          <w:rFonts w:eastAsia="Calibri"/>
        </w:rPr>
        <w:t>ing</w:t>
      </w:r>
      <w:r w:rsidR="00D8618A" w:rsidRPr="00C90AC9">
        <w:rPr>
          <w:rFonts w:eastAsia="Calibri"/>
        </w:rPr>
        <w:t xml:space="preserve"> individual governments to make </w:t>
      </w:r>
      <w:r w:rsidR="008E22B4" w:rsidRPr="00C90AC9">
        <w:rPr>
          <w:rFonts w:eastAsia="Calibri"/>
        </w:rPr>
        <w:t xml:space="preserve">significant </w:t>
      </w:r>
      <w:r w:rsidR="00D8618A" w:rsidRPr="00C90AC9">
        <w:rPr>
          <w:rFonts w:eastAsia="Calibri"/>
        </w:rPr>
        <w:t xml:space="preserve">reductions </w:t>
      </w:r>
      <w:r w:rsidR="007A0E9A" w:rsidRPr="00C90AC9">
        <w:rPr>
          <w:rFonts w:eastAsia="Calibri"/>
        </w:rPr>
        <w:t>to</w:t>
      </w:r>
      <w:r w:rsidR="00D8618A" w:rsidRPr="00C90AC9">
        <w:rPr>
          <w:rFonts w:eastAsia="Calibri"/>
        </w:rPr>
        <w:t xml:space="preserve"> </w:t>
      </w:r>
      <w:r w:rsidR="00610360" w:rsidRPr="00C90AC9">
        <w:rPr>
          <w:rFonts w:eastAsia="Calibri"/>
        </w:rPr>
        <w:t xml:space="preserve">their </w:t>
      </w:r>
      <w:r w:rsidR="000E49EA" w:rsidRPr="00C90AC9">
        <w:rPr>
          <w:rFonts w:eastAsia="Calibri"/>
        </w:rPr>
        <w:t>GHG emissions</w:t>
      </w:r>
      <w:r w:rsidR="007A0E9A" w:rsidRPr="00C90AC9">
        <w:rPr>
          <w:rFonts w:eastAsia="Calibri"/>
        </w:rPr>
        <w:t xml:space="preserve"> </w:t>
      </w:r>
      <w:r w:rsidR="00EF4BE3" w:rsidRPr="00C90AC9">
        <w:rPr>
          <w:rFonts w:eastAsia="Calibri"/>
        </w:rPr>
        <w:fldChar w:fldCharType="begin"/>
      </w:r>
      <w:r w:rsidR="00EF4BE3" w:rsidRPr="00C90AC9">
        <w:rPr>
          <w:rFonts w:eastAsia="Calibri"/>
        </w:rPr>
        <w:instrText xml:space="preserve"> ADDIN EN.CITE &lt;EndNote&gt;&lt;Cite&gt;&lt;Author&gt;Sindico&lt;/Author&gt;&lt;Year&gt;2016&lt;/Year&gt;&lt;RecNum&gt;188&lt;/RecNum&gt;&lt;DisplayText&gt;(Sindico, 2016)&lt;/DisplayText&gt;&lt;record&gt;&lt;rec-number&gt;188&lt;/rec-number&gt;&lt;foreign-keys&gt;&lt;key app="EN" db-id="50wxdpzd9vd5r7e9t5b595djrfpttrxw9avp" timestamp="1525076335"&gt;188&lt;/key&gt;&lt;/foreign-keys&gt;&lt;ref-type name="Journal Article"&gt;17&lt;/ref-type&gt;&lt;contributors&gt;&lt;authors&gt;&lt;author&gt;Sindico, F.&lt;/author&gt;&lt;/authors&gt;&lt;/contributors&gt;&lt;titles&gt;&lt;title&gt;Paris, climate change, and sustainable development&lt;/title&gt;&lt;secondary-title&gt;Climate Law&lt;/secondary-title&gt;&lt;short-title&gt;Sindico 2016 – Paris, climate change&lt;/short-title&gt;&lt;/titles&gt;&lt;pages&gt;p. 130-141&lt;/pages&gt;&lt;volume&gt;6&lt;/volume&gt;&lt;number&gt;(1-2)&lt;/number&gt;&lt;dates&gt;&lt;year&gt;2016&lt;/year&gt;&lt;/dates&gt;&lt;urls&gt;&lt;/urls&gt;&lt;/record&gt;&lt;/Cite&gt;&lt;/EndNote&gt;</w:instrText>
      </w:r>
      <w:r w:rsidR="00EF4BE3" w:rsidRPr="00C90AC9">
        <w:rPr>
          <w:rFonts w:eastAsia="Calibri"/>
        </w:rPr>
        <w:fldChar w:fldCharType="separate"/>
      </w:r>
      <w:r w:rsidR="00EF4BE3" w:rsidRPr="00C90AC9">
        <w:rPr>
          <w:rFonts w:eastAsia="Calibri"/>
        </w:rPr>
        <w:t>(Sindico, 2016)</w:t>
      </w:r>
      <w:r w:rsidR="00EF4BE3" w:rsidRPr="00C90AC9">
        <w:rPr>
          <w:rFonts w:eastAsia="Calibri"/>
        </w:rPr>
        <w:fldChar w:fldCharType="end"/>
      </w:r>
      <w:r w:rsidR="00590413" w:rsidRPr="00C90AC9">
        <w:rPr>
          <w:rFonts w:eastAsia="Calibri"/>
        </w:rPr>
        <w:t xml:space="preserve">; </w:t>
      </w:r>
      <w:r w:rsidR="00EF4BE3" w:rsidRPr="00C90AC9">
        <w:rPr>
          <w:rFonts w:eastAsia="Calibri"/>
        </w:rPr>
        <w:fldChar w:fldCharType="begin">
          <w:fldData xml:space="preserve">PEVuZE5vdGU+PENpdGU+PEF1dGhvcj5JUENDPC9BdXRob3I+PFllYXI+MjAxMzwvWWVhcj48UmVj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</w:fldData>
        </w:fldChar>
      </w:r>
      <w:r w:rsidR="00EF4BE3" w:rsidRPr="00C90AC9">
        <w:rPr>
          <w:rFonts w:eastAsia="Calibri"/>
        </w:rPr>
        <w:instrText xml:space="preserve"> ADDIN EN.CITE </w:instrText>
      </w:r>
      <w:r w:rsidR="00EF4BE3" w:rsidRPr="00C90AC9">
        <w:rPr>
          <w:rFonts w:eastAsia="Calibri"/>
        </w:rPr>
        <w:fldChar w:fldCharType="begin">
          <w:fldData xml:space="preserve">PEVuZE5vdGU+PENpdGU+PEF1dGhvcj5JUENDPC9BdXRob3I+PFllYXI+MjAxMzwvWWVhcj48UmVj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</w:fldData>
        </w:fldChar>
      </w:r>
      <w:r w:rsidR="00EF4BE3" w:rsidRPr="00C90AC9">
        <w:rPr>
          <w:rFonts w:eastAsia="Calibri"/>
        </w:rPr>
        <w:instrText xml:space="preserve"> ADDIN EN.CITE.DATA </w:instrText>
      </w:r>
      <w:r w:rsidR="00EF4BE3" w:rsidRPr="00C90AC9">
        <w:rPr>
          <w:rFonts w:eastAsia="Calibri"/>
        </w:rPr>
      </w:r>
      <w:r w:rsidR="00EF4BE3" w:rsidRPr="00C90AC9">
        <w:rPr>
          <w:rFonts w:eastAsia="Calibri"/>
        </w:rPr>
        <w:fldChar w:fldCharType="end"/>
      </w:r>
      <w:r w:rsidR="00EF4BE3" w:rsidRPr="00C90AC9">
        <w:rPr>
          <w:rFonts w:eastAsia="Calibri"/>
        </w:rPr>
      </w:r>
      <w:r w:rsidR="00EF4BE3" w:rsidRPr="00C90AC9">
        <w:rPr>
          <w:rFonts w:eastAsia="Calibri"/>
        </w:rPr>
        <w:fldChar w:fldCharType="separate"/>
      </w:r>
      <w:r w:rsidR="00EF4BE3" w:rsidRPr="00C90AC9">
        <w:rPr>
          <w:rFonts w:eastAsia="Calibri"/>
        </w:rPr>
        <w:t>(Duyck, 2015</w:t>
      </w:r>
      <w:r w:rsidR="00590413" w:rsidRPr="00C90AC9">
        <w:rPr>
          <w:rFonts w:eastAsia="Calibri"/>
        </w:rPr>
        <w:t>;</w:t>
      </w:r>
      <w:r w:rsidR="00EF4BE3" w:rsidRPr="00C90AC9">
        <w:rPr>
          <w:rFonts w:eastAsia="Calibri"/>
        </w:rPr>
        <w:t xml:space="preserve"> IPCC, 2013)</w:t>
      </w:r>
      <w:r w:rsidR="00EF4BE3" w:rsidRPr="00C90AC9">
        <w:rPr>
          <w:rFonts w:eastAsia="Calibri"/>
        </w:rPr>
        <w:fldChar w:fldCharType="end"/>
      </w:r>
      <w:r w:rsidR="00D2139D" w:rsidRPr="00C90AC9">
        <w:rPr>
          <w:rFonts w:eastAsia="Calibri"/>
        </w:rPr>
        <w:t xml:space="preserve"> The</w:t>
      </w:r>
      <w:r w:rsidR="002C2EFC" w:rsidRPr="00C90AC9">
        <w:rPr>
          <w:rFonts w:eastAsia="Calibri"/>
        </w:rPr>
        <w:t>se</w:t>
      </w:r>
      <w:r w:rsidR="00D2139D" w:rsidRPr="00C90AC9">
        <w:rPr>
          <w:rFonts w:eastAsia="Calibri"/>
        </w:rPr>
        <w:t xml:space="preserve"> binding targets require a reduction in GHGS of at least 80% by 2050 which will limit global warming to 2°C, </w:t>
      </w:r>
      <w:r w:rsidR="00610360" w:rsidRPr="00C90AC9">
        <w:rPr>
          <w:rFonts w:eastAsia="Calibri"/>
        </w:rPr>
        <w:t xml:space="preserve">the widely </w:t>
      </w:r>
      <w:r w:rsidR="00D2139D" w:rsidRPr="00C90AC9">
        <w:rPr>
          <w:rFonts w:eastAsia="Calibri"/>
        </w:rPr>
        <w:t xml:space="preserve">accepted temperature rise which needs to be prevented to avoid catastrophic climate change </w:t>
      </w:r>
      <w:sdt>
        <w:sdtPr>
          <w:rPr>
            <w:rFonts w:eastAsia="Calibri"/>
          </w:rPr>
          <w:alias w:val="Don't edit this field"/>
          <w:tag w:val="CitaviPlaceholder#92fcfa09-f237-482c-979e-84d0bcafa112"/>
          <w:id w:val="25690525"/>
        </w:sdtPr>
        <w:sdtEndPr/>
        <w:sdtContent>
          <w:r w:rsidR="00C05E2B" w:rsidRPr="00C90AC9">
            <w:rPr>
              <w:rFonts w:eastAsia="Calibri"/>
            </w:rPr>
            <w:fldChar w:fldCharType="begin"/>
          </w:r>
          <w:r w:rsidR="007835E8" w:rsidRPr="00C90AC9">
            <w:rPr>
              <w:rFonts w:eastAsia="Calibri"/>
            </w:rPr>
            <w:instrText>ADDIN CitaviPlaceholder{eyIkaWQiOiIxIiwiRW50cmllcyI6W3siJGlkIjoiMiIsIkhhc1RlbXBvcmFyeVJlZmVyZW5jZSI6dHJ1ZSwiSWQiOiI0NWMxNjJmYS0yOTdkLTQwMzktYWFhMy1iZDQ1OGQ4NWEzZTMiLCJSYW5nZUxlbmd0aCI6MjYsIlJlZmVyZW5jZUlkIjoiNDcwYTM4MjYtMTU3NS00NDZkLWJlMTUtNjA5NWMwNDk4YWUy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}</w:instrText>
          </w:r>
          <w:r w:rsidR="00C05E2B" w:rsidRPr="00C90AC9">
            <w:rPr>
              <w:rFonts w:eastAsia="Calibri"/>
            </w:rPr>
            <w:fldChar w:fldCharType="separate"/>
          </w:r>
          <w:r w:rsidR="007835E8" w:rsidRPr="00C90AC9">
            <w:rPr>
              <w:rFonts w:eastAsia="Calibri"/>
            </w:rPr>
            <w:t>(World Energy Outlook 2013; World Energy Outlook 2015)</w:t>
          </w:r>
          <w:r w:rsidR="00C05E2B" w:rsidRPr="00C90AC9">
            <w:rPr>
              <w:rFonts w:eastAsia="Calibri"/>
            </w:rPr>
            <w:fldChar w:fldCharType="end"/>
          </w:r>
        </w:sdtContent>
      </w:sdt>
      <w:r w:rsidR="007407CD" w:rsidRPr="00C90AC9">
        <w:rPr>
          <w:rFonts w:eastAsia="Calibri"/>
        </w:rPr>
        <w:t>.</w:t>
      </w:r>
      <w:r w:rsidR="00D8618A" w:rsidRPr="00C90AC9">
        <w:rPr>
          <w:rFonts w:eastAsia="Calibri"/>
        </w:rPr>
        <w:t xml:space="preserve"> </w:t>
      </w:r>
      <w:r w:rsidR="00207F34" w:rsidRPr="00C90AC9">
        <w:rPr>
          <w:rFonts w:eastAsia="Calibri"/>
        </w:rPr>
        <w:t>These international agreements</w:t>
      </w:r>
      <w:r w:rsidR="00F84059" w:rsidRPr="00C90AC9">
        <w:rPr>
          <w:rFonts w:eastAsia="Calibri"/>
        </w:rPr>
        <w:t xml:space="preserve"> have</w:t>
      </w:r>
      <w:r w:rsidR="008E22B4" w:rsidRPr="00C90AC9">
        <w:rPr>
          <w:rFonts w:eastAsia="Calibri"/>
        </w:rPr>
        <w:t>,</w:t>
      </w:r>
      <w:r w:rsidR="00F84059" w:rsidRPr="00C90AC9">
        <w:rPr>
          <w:rFonts w:eastAsia="Calibri"/>
        </w:rPr>
        <w:t xml:space="preserve"> by their very nature</w:t>
      </w:r>
      <w:r w:rsidR="008E22B4" w:rsidRPr="00C90AC9">
        <w:rPr>
          <w:rFonts w:eastAsia="Calibri"/>
        </w:rPr>
        <w:t>,</w:t>
      </w:r>
      <w:r w:rsidR="00F84059" w:rsidRPr="00C90AC9">
        <w:rPr>
          <w:rFonts w:eastAsia="Calibri"/>
        </w:rPr>
        <w:t xml:space="preserve"> affected the fuel share globally</w:t>
      </w:r>
      <w:r w:rsidR="008E22B4" w:rsidRPr="00C90AC9">
        <w:rPr>
          <w:rFonts w:eastAsia="Calibri"/>
        </w:rPr>
        <w:t xml:space="preserve"> as governments have increased the use of renewable energy systems</w:t>
      </w:r>
      <w:r w:rsidR="00BA0596" w:rsidRPr="00C90AC9">
        <w:rPr>
          <w:rFonts w:eastAsia="Calibri"/>
        </w:rPr>
        <w:t xml:space="preserve"> and reduced their reliance on fossil fuels</w:t>
      </w:r>
      <w:r w:rsidR="008E22B4" w:rsidRPr="00C90AC9">
        <w:rPr>
          <w:rFonts w:eastAsia="Calibri"/>
        </w:rPr>
        <w:t>.</w:t>
      </w:r>
      <w:r w:rsidR="00F84059" w:rsidRPr="00C90AC9">
        <w:rPr>
          <w:rFonts w:eastAsia="Calibri"/>
        </w:rPr>
        <w:t xml:space="preserve"> </w:t>
      </w:r>
      <w:r w:rsidR="00D2139D" w:rsidRPr="00C90AC9">
        <w:rPr>
          <w:rFonts w:eastAsia="Calibri"/>
        </w:rPr>
        <w:t>R</w:t>
      </w:r>
      <w:r w:rsidR="002A2645" w:rsidRPr="00C90AC9">
        <w:rPr>
          <w:rFonts w:eastAsia="Calibri"/>
        </w:rPr>
        <w:t xml:space="preserve">enewable energy sources today </w:t>
      </w:r>
      <w:r w:rsidR="00D2139D" w:rsidRPr="00C90AC9">
        <w:rPr>
          <w:rFonts w:eastAsia="Calibri"/>
        </w:rPr>
        <w:t xml:space="preserve">are </w:t>
      </w:r>
      <w:r w:rsidR="00610360" w:rsidRPr="00C90AC9">
        <w:rPr>
          <w:rFonts w:eastAsia="Calibri"/>
        </w:rPr>
        <w:t xml:space="preserve">more </w:t>
      </w:r>
      <w:r w:rsidR="00BA0596" w:rsidRPr="00C90AC9">
        <w:rPr>
          <w:rFonts w:eastAsia="Calibri"/>
        </w:rPr>
        <w:t xml:space="preserve">viable and </w:t>
      </w:r>
      <w:r w:rsidR="008E22B4" w:rsidRPr="00C90AC9">
        <w:rPr>
          <w:rFonts w:eastAsia="Calibri"/>
        </w:rPr>
        <w:t xml:space="preserve">sustainable </w:t>
      </w:r>
      <w:r w:rsidR="00610360" w:rsidRPr="00C90AC9">
        <w:rPr>
          <w:rFonts w:eastAsia="Calibri"/>
        </w:rPr>
        <w:t xml:space="preserve">as technological advancements have enabled nations to harvest the greatest amount of available energy from the local environment </w:t>
      </w:r>
      <w:sdt>
        <w:sdtPr>
          <w:rPr>
            <w:rFonts w:eastAsia="Calibri"/>
          </w:rPr>
          <w:alias w:val="Don't edit this field"/>
          <w:tag w:val="CitaviPlaceholder#35678ef5-d52c-49d0-9e18-d04db94d3878"/>
          <w:id w:val="-28344436"/>
        </w:sdtPr>
        <w:sdtEndPr/>
        <w:sdtContent>
          <w:r w:rsidR="00C05E2B" w:rsidRPr="00C90AC9">
            <w:rPr>
              <w:rFonts w:eastAsia="Calibri"/>
            </w:rPr>
            <w:fldChar w:fldCharType="begin"/>
          </w:r>
          <w:r w:rsidR="007835E8" w:rsidRPr="00C90AC9">
            <w:rPr>
              <w:rFonts w:eastAsia="Calibri"/>
            </w:rPr>
            <w:instrText>ADDIN CitaviPlaceholder{eyIkaWQiOiIxIiwiRW50cmllcyI6W3siJGlkIjoiMiIsIkhhc1RlbXBvcmFyeVJlZmVyZW5jZSI6dHJ1ZSwiSWQiOiI2ODhlN2NhMS04MDVjLTRhZjgtYWUyYS1lMDBhY2IzOWIwOTUiLCJSYW5nZUxlbmd0aCI6MjcsIlJlZmVyZW5jZUlkIjoiOTZkZTlhZTAtNTgzOC00NjZlLTkyZTUtMzJhMDJmY2FhZTkx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}</w:instrText>
          </w:r>
          <w:r w:rsidR="00C05E2B" w:rsidRPr="00C90AC9">
            <w:rPr>
              <w:rFonts w:eastAsia="Calibri"/>
            </w:rPr>
            <w:fldChar w:fldCharType="separate"/>
          </w:r>
          <w:r w:rsidR="007835E8" w:rsidRPr="00C90AC9">
            <w:rPr>
              <w:rFonts w:eastAsia="Calibri"/>
            </w:rPr>
            <w:t>(World Energy Outlook 2015)</w:t>
          </w:r>
          <w:r w:rsidR="00C05E2B" w:rsidRPr="00C90AC9">
            <w:rPr>
              <w:rFonts w:eastAsia="Calibri"/>
            </w:rPr>
            <w:fldChar w:fldCharType="end"/>
          </w:r>
        </w:sdtContent>
      </w:sdt>
      <w:r w:rsidR="007407CD" w:rsidRPr="00C90AC9">
        <w:rPr>
          <w:rFonts w:eastAsia="Calibri"/>
        </w:rPr>
        <w:t>.</w:t>
      </w:r>
    </w:p>
    <w:p w:rsidR="006D78D2" w:rsidRPr="00C90AC9" w:rsidRDefault="00F84059" w:rsidP="00D01EBF">
      <w:pPr>
        <w:pStyle w:val="BodyTextFirstIndent"/>
        <w:spacing w:line="360" w:lineRule="auto"/>
        <w:ind w:firstLine="357"/>
        <w:rPr>
          <w:rFonts w:eastAsia="Calibri"/>
        </w:rPr>
      </w:pPr>
      <w:r w:rsidRPr="00C90AC9">
        <w:rPr>
          <w:rFonts w:eastAsia="Calibri"/>
        </w:rPr>
        <w:t xml:space="preserve"> However,</w:t>
      </w:r>
      <w:r w:rsidR="000E49EA" w:rsidRPr="00C90AC9">
        <w:rPr>
          <w:rFonts w:eastAsia="Calibri"/>
        </w:rPr>
        <w:t xml:space="preserve"> </w:t>
      </w:r>
      <w:r w:rsidR="008E22B4" w:rsidRPr="00C90AC9">
        <w:rPr>
          <w:rFonts w:eastAsia="Calibri"/>
        </w:rPr>
        <w:t xml:space="preserve">despite the recent growth in renewable energy the </w:t>
      </w:r>
      <w:r w:rsidR="00D2139D" w:rsidRPr="00C90AC9">
        <w:rPr>
          <w:rFonts w:eastAsia="Calibri"/>
        </w:rPr>
        <w:t xml:space="preserve">overall </w:t>
      </w:r>
      <w:r w:rsidR="000E49EA" w:rsidRPr="00C90AC9">
        <w:rPr>
          <w:rFonts w:eastAsia="Calibri"/>
        </w:rPr>
        <w:t>contribution</w:t>
      </w:r>
      <w:r w:rsidRPr="00C90AC9">
        <w:rPr>
          <w:rFonts w:eastAsia="Calibri"/>
        </w:rPr>
        <w:t xml:space="preserve"> of renewable energy </w:t>
      </w:r>
      <w:r w:rsidR="00BA0596" w:rsidRPr="00C90AC9">
        <w:rPr>
          <w:rFonts w:eastAsia="Calibri"/>
        </w:rPr>
        <w:t>as a proportion of</w:t>
      </w:r>
      <w:r w:rsidRPr="00C90AC9">
        <w:rPr>
          <w:rFonts w:eastAsia="Calibri"/>
        </w:rPr>
        <w:t xml:space="preserve"> the total energy supply system is </w:t>
      </w:r>
      <w:r w:rsidR="00D2139D" w:rsidRPr="00C90AC9">
        <w:rPr>
          <w:rFonts w:eastAsia="Calibri"/>
        </w:rPr>
        <w:t xml:space="preserve">still </w:t>
      </w:r>
      <w:r w:rsidRPr="00C90AC9">
        <w:rPr>
          <w:rFonts w:eastAsia="Calibri"/>
        </w:rPr>
        <w:t>small</w:t>
      </w:r>
      <w:r w:rsidR="008E22B4" w:rsidRPr="00C90AC9">
        <w:rPr>
          <w:rFonts w:eastAsia="Calibri"/>
        </w:rPr>
        <w:t>,</w:t>
      </w:r>
      <w:r w:rsidRPr="00C90AC9">
        <w:rPr>
          <w:rFonts w:eastAsia="Calibri"/>
        </w:rPr>
        <w:t xml:space="preserve"> as shown by Figure </w:t>
      </w:r>
      <w:r w:rsidR="00D8618A" w:rsidRPr="00C90AC9">
        <w:rPr>
          <w:rFonts w:eastAsia="Calibri"/>
        </w:rPr>
        <w:t>1.1.</w:t>
      </w:r>
      <w:r w:rsidR="008E22B4" w:rsidRPr="00C90AC9">
        <w:rPr>
          <w:rFonts w:eastAsia="Calibri"/>
        </w:rPr>
        <w:t xml:space="preserve"> The move from fossil fuels </w:t>
      </w:r>
      <w:r w:rsidR="00BA0596" w:rsidRPr="00C90AC9">
        <w:rPr>
          <w:rFonts w:eastAsia="Calibri"/>
        </w:rPr>
        <w:t xml:space="preserve">to renewable sources of energy </w:t>
      </w:r>
      <w:r w:rsidR="006F4316" w:rsidRPr="00C90AC9">
        <w:rPr>
          <w:rFonts w:eastAsia="Calibri"/>
        </w:rPr>
        <w:t xml:space="preserve">from 1973-2009 </w:t>
      </w:r>
      <w:r w:rsidR="00BA0596" w:rsidRPr="00C90AC9">
        <w:rPr>
          <w:rFonts w:eastAsia="Calibri"/>
        </w:rPr>
        <w:t>has</w:t>
      </w:r>
      <w:r w:rsidR="008E22B4" w:rsidRPr="00C90AC9">
        <w:rPr>
          <w:rFonts w:eastAsia="Calibri"/>
        </w:rPr>
        <w:t xml:space="preserve"> </w:t>
      </w:r>
      <w:r w:rsidR="00D8618A" w:rsidRPr="00C90AC9">
        <w:rPr>
          <w:rFonts w:eastAsia="Calibri"/>
        </w:rPr>
        <w:t xml:space="preserve">also </w:t>
      </w:r>
      <w:r w:rsidR="00BA0596" w:rsidRPr="00C90AC9">
        <w:rPr>
          <w:rFonts w:eastAsia="Calibri"/>
        </w:rPr>
        <w:t>increased</w:t>
      </w:r>
      <w:r w:rsidR="008E22B4" w:rsidRPr="00C90AC9">
        <w:rPr>
          <w:rFonts w:eastAsia="Calibri"/>
        </w:rPr>
        <w:t xml:space="preserve"> </w:t>
      </w:r>
      <w:r w:rsidR="00D8618A" w:rsidRPr="00C90AC9">
        <w:rPr>
          <w:rFonts w:eastAsia="Calibri"/>
        </w:rPr>
        <w:t>fuel security</w:t>
      </w:r>
      <w:r w:rsidR="008E22B4" w:rsidRPr="00C90AC9">
        <w:rPr>
          <w:rFonts w:eastAsia="Calibri"/>
        </w:rPr>
        <w:t xml:space="preserve"> as peoples are able to access energy </w:t>
      </w:r>
      <w:r w:rsidR="00BA0596" w:rsidRPr="00C90AC9">
        <w:rPr>
          <w:rFonts w:eastAsia="Calibri"/>
        </w:rPr>
        <w:t>directly</w:t>
      </w:r>
      <w:r w:rsidR="006F4316" w:rsidRPr="00C90AC9">
        <w:rPr>
          <w:rFonts w:eastAsia="Calibri"/>
        </w:rPr>
        <w:t xml:space="preserve"> where it is required</w:t>
      </w:r>
      <w:r w:rsidR="00BA0596" w:rsidRPr="00C90AC9">
        <w:rPr>
          <w:rFonts w:eastAsia="Calibri"/>
        </w:rPr>
        <w:t xml:space="preserve"> rather than </w:t>
      </w:r>
      <w:r w:rsidR="006F4316" w:rsidRPr="00C90AC9">
        <w:rPr>
          <w:rFonts w:eastAsia="Calibri"/>
        </w:rPr>
        <w:t xml:space="preserve">having </w:t>
      </w:r>
      <w:r w:rsidR="00BA0596" w:rsidRPr="00C90AC9">
        <w:rPr>
          <w:rFonts w:eastAsia="Calibri"/>
        </w:rPr>
        <w:t xml:space="preserve">companies or governments </w:t>
      </w:r>
      <w:r w:rsidR="006F4316" w:rsidRPr="00C90AC9">
        <w:rPr>
          <w:rFonts w:eastAsia="Calibri"/>
        </w:rPr>
        <w:t>supplying energy as it is demanded</w:t>
      </w:r>
      <w:r w:rsidR="00D8618A" w:rsidRPr="00C90AC9">
        <w:rPr>
          <w:rFonts w:eastAsia="Calibri"/>
        </w:rPr>
        <w:t xml:space="preserve"> </w:t>
      </w:r>
      <w:sdt>
        <w:sdtPr>
          <w:rPr>
            <w:rFonts w:eastAsia="Calibri"/>
          </w:rPr>
          <w:alias w:val="Don't edit this field"/>
          <w:tag w:val="CitaviPlaceholder#a7c6b0e2-9e14-4366-b1b7-448fd3dcaf6c"/>
          <w:id w:val="274994790"/>
        </w:sdtPr>
        <w:sdtEndPr/>
        <w:sdtContent>
          <w:r w:rsidR="00C05E2B" w:rsidRPr="00C90AC9">
            <w:rPr>
              <w:rFonts w:eastAsia="Calibri"/>
            </w:rPr>
            <w:fldChar w:fldCharType="begin"/>
          </w:r>
          <w:r w:rsidR="007835E8" w:rsidRPr="00C90AC9">
            <w:rPr>
              <w:rFonts w:eastAsia="Calibri"/>
            </w:rPr>
            <w:instrText>ADDIN CitaviPlaceholder{eyIkaWQiOiIxIiwiRW50cmllcyI6W3siJGlkIjoiMiIsIkhhc1RlbXBvcmFyeVJlZmVyZW5jZSI6dHJ1ZSwiSWQiOiIxZTg3MmMxOS1lNzc5LTQwOGUtYjQ5NC1jNzM0MTAxNDQ2MDAiLCJSYW5nZUxlbmd0aCI6MjYsIlJlZmVyZW5jZUlkIjoiZDQ3Yzg2ZjAtMzk5OC00YTQwLTkwODUtMWE2OGZkOWRkODlj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}</w:instrText>
          </w:r>
          <w:r w:rsidR="00C05E2B" w:rsidRPr="00C90AC9">
            <w:rPr>
              <w:rFonts w:eastAsia="Calibri"/>
            </w:rPr>
            <w:fldChar w:fldCharType="separate"/>
          </w:r>
          <w:r w:rsidR="007835E8" w:rsidRPr="00C90AC9">
            <w:rPr>
              <w:rFonts w:eastAsia="Calibri"/>
            </w:rPr>
            <w:t>(World Energy Outlook 2013; World Energy Outlook 2015)</w:t>
          </w:r>
          <w:r w:rsidR="00C05E2B" w:rsidRPr="00C90AC9">
            <w:rPr>
              <w:rFonts w:eastAsia="Calibri"/>
            </w:rPr>
            <w:fldChar w:fldCharType="end"/>
          </w:r>
        </w:sdtContent>
      </w:sdt>
      <w:r w:rsidR="00271D0C" w:rsidRPr="00C90AC9">
        <w:rPr>
          <w:rFonts w:eastAsia="Calibri"/>
        </w:rPr>
        <w:t>.</w:t>
      </w:r>
      <w:r w:rsidR="00310C75" w:rsidRPr="00C90AC9">
        <w:rPr>
          <w:rFonts w:eastAsia="Calibri"/>
        </w:rPr>
        <w:t xml:space="preserve"> </w:t>
      </w:r>
    </w:p>
    <w:p w:rsidR="008E49B0" w:rsidRPr="00C90AC9" w:rsidRDefault="0094013A" w:rsidP="00D01EBF">
      <w:pPr>
        <w:ind w:firstLine="720"/>
        <w:rPr>
          <w:rFonts w:eastAsia="Calibri"/>
        </w:rPr>
      </w:pPr>
      <w:r w:rsidRPr="00C90AC9">
        <w:rPr>
          <w:noProof/>
          <w:sz w:val="28"/>
        </w:rPr>
        <w:drawing>
          <wp:anchor distT="0" distB="0" distL="114300" distR="114300" simplePos="0" relativeHeight="251949056" behindDoc="0" locked="0" layoutInCell="1" allowOverlap="1" wp14:anchorId="7BC022C4" wp14:editId="1502A507">
            <wp:simplePos x="0" y="0"/>
            <wp:positionH relativeFrom="margin">
              <wp:posOffset>10160</wp:posOffset>
            </wp:positionH>
            <wp:positionV relativeFrom="paragraph">
              <wp:posOffset>786130</wp:posOffset>
            </wp:positionV>
            <wp:extent cx="5648325" cy="3147060"/>
            <wp:effectExtent l="19050" t="19050" r="28575" b="15240"/>
            <wp:wrapSquare wrapText="bothSides"/>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20112" t="25461" r="49575" b="22171"/>
                    <a:stretch/>
                  </pic:blipFill>
                  <pic:spPr bwMode="auto">
                    <a:xfrm>
                      <a:off x="0" y="0"/>
                      <a:ext cx="5648325" cy="314706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618A" w:rsidRPr="00C90AC9">
        <w:rPr>
          <w:rFonts w:eastAsia="Calibri"/>
        </w:rPr>
        <w:t>Figure 1.1.  World Primary Energy Supply in 1973 and 2009 in Million tons of oil (</w:t>
      </w:r>
      <w:r w:rsidR="00844581" w:rsidRPr="00C90AC9">
        <w:rPr>
          <w:rFonts w:eastAsia="Calibri"/>
        </w:rPr>
        <w:t>MTOE</w:t>
      </w:r>
      <w:r w:rsidR="00D8618A" w:rsidRPr="00C90AC9">
        <w:rPr>
          <w:rFonts w:eastAsia="Calibri"/>
        </w:rPr>
        <w:t>) equivalent. “Other” includes: Wind; Solar; Geothermal and</w:t>
      </w:r>
      <w:r w:rsidR="00271D0C" w:rsidRPr="00C90AC9">
        <w:rPr>
          <w:rFonts w:eastAsia="Calibri"/>
        </w:rPr>
        <w:t xml:space="preserve"> other renewable sources</w:t>
      </w:r>
      <w:r w:rsidR="006435AC" w:rsidRPr="00C90AC9">
        <w:rPr>
          <w:rFonts w:eastAsia="Calibri"/>
          <w:sz w:val="22"/>
        </w:rPr>
        <w:t xml:space="preserve"> </w:t>
      </w:r>
      <w:sdt>
        <w:sdtPr>
          <w:rPr>
            <w:rFonts w:eastAsia="Calibri"/>
          </w:rPr>
          <w:alias w:val="Don't edit this field"/>
          <w:tag w:val="CitaviPlaceholder#6f4acf35-5642-49a5-842a-d9d27b36a83c"/>
          <w:id w:val="-800300005"/>
        </w:sdtPr>
        <w:sdtEndPr/>
        <w:sdtContent>
          <w:r w:rsidR="008E49B0" w:rsidRPr="00C90AC9">
            <w:rPr>
              <w:rFonts w:eastAsia="Calibri"/>
            </w:rPr>
            <w:fldChar w:fldCharType="begin"/>
          </w:r>
          <w:r w:rsidR="008E49B0" w:rsidRPr="00C90AC9">
            <w:rPr>
              <w:rFonts w:eastAsia="Calibri"/>
            </w:rPr>
            <w:instrText>ADDIN CitaviPlaceholder{eyIkaWQiOiIxIiwiRW50cmllcyI6W3siJGlkIjoiMiIsIkhhc1RlbXBvcmFyeVJlZmVyZW5jZSI6dHJ1ZSwiSWQiOiI5ZWVhYTM4NC0xYmQ0LTQ5YTAtYWY5Ny1lZmIwZGE0OTZmOWQiLCJSYW5nZUxlbmd0aCI6MjcsIlJlZmVyZW5jZUlkIjoiOTZkZTlhZTAtNTgzOC00NjZlLTkyZTUtMzJhMDJmY2FhZTkx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}</w:instrText>
          </w:r>
          <w:r w:rsidR="008E49B0" w:rsidRPr="00C90AC9">
            <w:rPr>
              <w:rFonts w:eastAsia="Calibri"/>
            </w:rPr>
            <w:fldChar w:fldCharType="separate"/>
          </w:r>
          <w:r w:rsidR="008E49B0" w:rsidRPr="00C90AC9">
            <w:rPr>
              <w:rFonts w:eastAsia="Calibri"/>
            </w:rPr>
            <w:t>(World Energy Outlook 2015)</w:t>
          </w:r>
          <w:r w:rsidR="008E49B0" w:rsidRPr="00C90AC9">
            <w:rPr>
              <w:rFonts w:eastAsia="Calibri"/>
            </w:rPr>
            <w:fldChar w:fldCharType="end"/>
          </w:r>
        </w:sdtContent>
      </w:sdt>
    </w:p>
    <w:p w:rsidR="002C2EFC" w:rsidRPr="00C90AC9" w:rsidRDefault="007F2748" w:rsidP="002C2EFC">
      <w:pPr>
        <w:pStyle w:val="BodyTextFirstIndent"/>
        <w:spacing w:line="360" w:lineRule="auto"/>
        <w:ind w:firstLine="357"/>
        <w:rPr>
          <w:rFonts w:eastAsia="Calibri"/>
          <w:lang w:eastAsia="en-US"/>
        </w:rPr>
      </w:pPr>
      <w:r w:rsidRPr="00C90AC9">
        <w:rPr>
          <w:rFonts w:eastAsia="Calibri"/>
        </w:rPr>
        <w:lastRenderedPageBreak/>
        <w:t xml:space="preserve">Figure 1.1. also </w:t>
      </w:r>
      <w:r w:rsidR="00254749" w:rsidRPr="00C90AC9">
        <w:rPr>
          <w:rFonts w:eastAsia="Calibri"/>
        </w:rPr>
        <w:t>shows t</w:t>
      </w:r>
      <w:r w:rsidRPr="00C90AC9">
        <w:rPr>
          <w:rFonts w:eastAsia="Calibri"/>
        </w:rPr>
        <w:t xml:space="preserve">he growth in </w:t>
      </w:r>
      <w:r w:rsidR="006F4316" w:rsidRPr="00C90AC9">
        <w:rPr>
          <w:rFonts w:eastAsia="Calibri"/>
        </w:rPr>
        <w:t xml:space="preserve">total </w:t>
      </w:r>
      <w:r w:rsidRPr="00C90AC9">
        <w:rPr>
          <w:rFonts w:eastAsia="Calibri"/>
        </w:rPr>
        <w:t xml:space="preserve">global energy demand which has seen a </w:t>
      </w:r>
      <w:r w:rsidR="0094013A" w:rsidRPr="00C90AC9">
        <w:rPr>
          <w:rFonts w:eastAsia="Calibri"/>
        </w:rPr>
        <w:t xml:space="preserve">trebling from </w:t>
      </w:r>
      <w:r w:rsidRPr="00C90AC9">
        <w:rPr>
          <w:rFonts w:eastAsia="Calibri"/>
        </w:rPr>
        <w:t>6111</w:t>
      </w:r>
      <w:r w:rsidR="006C186E" w:rsidRPr="00C90AC9">
        <w:rPr>
          <w:rFonts w:eastAsia="Calibri"/>
        </w:rPr>
        <w:t xml:space="preserve"> </w:t>
      </w:r>
      <w:r w:rsidR="00E364F1" w:rsidRPr="00C90AC9">
        <w:rPr>
          <w:rFonts w:eastAsia="Calibri"/>
        </w:rPr>
        <w:t>MTOE</w:t>
      </w:r>
      <w:r w:rsidR="006C186E" w:rsidRPr="00C90AC9">
        <w:rPr>
          <w:rFonts w:eastAsia="Calibri"/>
        </w:rPr>
        <w:t xml:space="preserve"> </w:t>
      </w:r>
      <w:r w:rsidRPr="00C90AC9">
        <w:rPr>
          <w:rFonts w:eastAsia="Calibri"/>
        </w:rPr>
        <w:t xml:space="preserve">in 1973 </w:t>
      </w:r>
      <w:r w:rsidR="0094013A" w:rsidRPr="00C90AC9">
        <w:rPr>
          <w:rFonts w:eastAsia="Calibri"/>
        </w:rPr>
        <w:t xml:space="preserve">to </w:t>
      </w:r>
      <w:r w:rsidRPr="00C90AC9">
        <w:rPr>
          <w:rFonts w:eastAsia="Calibri"/>
        </w:rPr>
        <w:t xml:space="preserve">2150 </w:t>
      </w:r>
      <w:r w:rsidR="00E364F1" w:rsidRPr="00C90AC9">
        <w:rPr>
          <w:rFonts w:eastAsia="Calibri"/>
        </w:rPr>
        <w:t>MTOE</w:t>
      </w:r>
      <w:r w:rsidR="006C186E" w:rsidRPr="00C90AC9">
        <w:rPr>
          <w:rFonts w:eastAsia="Calibri"/>
        </w:rPr>
        <w:t xml:space="preserve"> </w:t>
      </w:r>
      <w:r w:rsidRPr="00C90AC9">
        <w:rPr>
          <w:rFonts w:eastAsia="Calibri"/>
        </w:rPr>
        <w:t>in 200</w:t>
      </w:r>
      <w:r w:rsidR="00254749" w:rsidRPr="00C90AC9">
        <w:rPr>
          <w:rFonts w:eastAsia="Calibri"/>
        </w:rPr>
        <w:t xml:space="preserve">9 </w:t>
      </w:r>
      <w:sdt>
        <w:sdtPr>
          <w:rPr>
            <w:rFonts w:eastAsia="Calibri"/>
          </w:rPr>
          <w:alias w:val="Don't edit this field"/>
          <w:tag w:val="CitaviPlaceholder#da121b05-28b8-49d0-9ec7-77783f7a4363"/>
          <w:id w:val="-483309591"/>
        </w:sdtPr>
        <w:sdtEndPr/>
        <w:sdtContent>
          <w:r w:rsidR="00C05E2B" w:rsidRPr="00C90AC9">
            <w:rPr>
              <w:rFonts w:eastAsia="Calibri"/>
            </w:rPr>
            <w:fldChar w:fldCharType="begin"/>
          </w:r>
          <w:r w:rsidR="007835E8" w:rsidRPr="00C90AC9">
            <w:rPr>
              <w:rFonts w:eastAsia="Calibri"/>
            </w:rPr>
            <w:instrText>ADDIN CitaviPlaceholder{eyIkaWQiOiIxIiwiRW50cmllcyI6W3siJGlkIjoiMiIsIkhhc1RlbXBvcmFyeVJlZmVyZW5jZSI6dHJ1ZSwiSWQiOiJmMmQ3NDY4NC02NWRiLTRlY2MtYjYwOS1jMjAxZDE2ODYyNmYiLCJSYW5nZUxlbmd0aCI6MjcsIlJlZmVyZW5jZUlkIjoiOTZkZTlhZTAtNTgzOC00NjZlLTkyZTUtMzJhMDJmY2FhZTkx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}</w:instrText>
          </w:r>
          <w:r w:rsidR="00C05E2B" w:rsidRPr="00C90AC9">
            <w:rPr>
              <w:rFonts w:eastAsia="Calibri"/>
            </w:rPr>
            <w:fldChar w:fldCharType="separate"/>
          </w:r>
          <w:r w:rsidR="007835E8" w:rsidRPr="00C90AC9">
            <w:rPr>
              <w:rFonts w:eastAsia="Calibri"/>
            </w:rPr>
            <w:t>(World Energy Outlook 2015)</w:t>
          </w:r>
          <w:r w:rsidR="00C05E2B" w:rsidRPr="00C90AC9">
            <w:rPr>
              <w:rFonts w:eastAsia="Calibri"/>
            </w:rPr>
            <w:fldChar w:fldCharType="end"/>
          </w:r>
        </w:sdtContent>
      </w:sdt>
      <w:r w:rsidR="00254749" w:rsidRPr="00C90AC9">
        <w:rPr>
          <w:rFonts w:eastAsia="Calibri"/>
        </w:rPr>
        <w:t>.</w:t>
      </w:r>
      <w:r w:rsidR="00BA0596" w:rsidRPr="00C90AC9">
        <w:rPr>
          <w:rFonts w:eastAsia="Calibri"/>
        </w:rPr>
        <w:t xml:space="preserve"> This is due</w:t>
      </w:r>
      <w:r w:rsidR="00F9457E" w:rsidRPr="00C90AC9">
        <w:rPr>
          <w:rFonts w:eastAsia="Calibri"/>
        </w:rPr>
        <w:t>,</w:t>
      </w:r>
      <w:r w:rsidR="00BA0596" w:rsidRPr="00C90AC9">
        <w:rPr>
          <w:rFonts w:eastAsia="Calibri"/>
        </w:rPr>
        <w:t xml:space="preserve"> in part</w:t>
      </w:r>
      <w:r w:rsidR="00F9457E" w:rsidRPr="00C90AC9">
        <w:rPr>
          <w:rFonts w:eastAsia="Calibri"/>
        </w:rPr>
        <w:t>,</w:t>
      </w:r>
      <w:r w:rsidR="00BA0596" w:rsidRPr="00C90AC9">
        <w:rPr>
          <w:rFonts w:eastAsia="Calibri"/>
        </w:rPr>
        <w:t xml:space="preserve"> to the growth in global population over the same time period</w:t>
      </w:r>
      <w:r w:rsidR="0094013A" w:rsidRPr="00C90AC9">
        <w:rPr>
          <w:rFonts w:eastAsia="Calibri"/>
        </w:rPr>
        <w:t xml:space="preserve"> (4 billion – 6.8 billion)</w:t>
      </w:r>
      <w:r w:rsidR="00BA0596" w:rsidRPr="00C90AC9">
        <w:rPr>
          <w:rFonts w:eastAsia="Calibri"/>
        </w:rPr>
        <w:t xml:space="preserve"> and </w:t>
      </w:r>
      <w:r w:rsidR="006F4316" w:rsidRPr="00C90AC9">
        <w:rPr>
          <w:rFonts w:eastAsia="Calibri"/>
        </w:rPr>
        <w:t xml:space="preserve">also </w:t>
      </w:r>
      <w:r w:rsidR="00D2139D" w:rsidRPr="00C90AC9">
        <w:rPr>
          <w:rFonts w:eastAsia="Calibri"/>
        </w:rPr>
        <w:t xml:space="preserve">due to the </w:t>
      </w:r>
      <w:r w:rsidR="006F4316" w:rsidRPr="00C90AC9">
        <w:rPr>
          <w:rFonts w:eastAsia="Calibri"/>
        </w:rPr>
        <w:t xml:space="preserve">increasing </w:t>
      </w:r>
      <w:r w:rsidR="00D2139D" w:rsidRPr="00C90AC9">
        <w:rPr>
          <w:rFonts w:eastAsia="Calibri"/>
        </w:rPr>
        <w:t>development of countries</w:t>
      </w:r>
      <w:r w:rsidR="009F5AD8" w:rsidRPr="00C90AC9">
        <w:rPr>
          <w:rFonts w:eastAsia="Calibri"/>
        </w:rPr>
        <w:t xml:space="preserve"> </w:t>
      </w:r>
      <w:r w:rsidR="009F5AD8" w:rsidRPr="00C90AC9">
        <w:rPr>
          <w:rFonts w:eastAsia="Calibri"/>
        </w:rPr>
        <w:fldChar w:fldCharType="begin"/>
      </w:r>
      <w:r w:rsidR="009F5AD8" w:rsidRPr="00C90AC9">
        <w:rPr>
          <w:rFonts w:eastAsia="Calibri"/>
        </w:rPr>
        <w:instrText xml:space="preserve"> ADDIN EN.CITE &lt;EndNote&gt;&lt;Cite ExcludeYear="1"&gt;&lt;Author&gt;Agency&lt;/Author&gt;&lt;RecNum&gt;149&lt;/RecNum&gt;&lt;DisplayText&gt;(Agency, 2015)&lt;/DisplayText&gt;&lt;record&gt;&lt;rec-number&gt;149&lt;/rec-number&gt;&lt;foreign-keys&gt;&lt;key app="EN" db-id="50wxdpzd9vd5r7e9t5b595djrfpttrxw9avp" timestamp="1525076334"&gt;149&lt;/key&gt;&lt;/foreign-keys&gt;&lt;ref-type name="Unpublished Work"&gt;34&lt;/ref-type&gt;&lt;contributors&gt;&lt;authors&gt;&lt;author&gt;International Energy Agency&lt;/author&gt;&lt;/authors&gt;&lt;/contributors&gt;&lt;titles&gt;&lt;title&gt;World Energy Outlook 2015: in World Energy Report 2015&lt;/title&gt;&lt;short-title&gt;International Energy Agency – World Energy Outlook 2015&lt;/short-title&gt;&lt;/titles&gt;&lt;dates&gt;&lt;/dates&gt;&lt;publisher&gt;International Energy Agency&lt;/publisher&gt;&lt;urls&gt;&lt;/urls&gt;&lt;/record&gt;&lt;/Cite&gt;&lt;Cite&gt;&lt;Author&gt;Agency&lt;/Author&gt;&lt;Year&gt;2015&lt;/Year&gt;&lt;RecNum&gt;151&lt;/RecNum&gt;&lt;record&gt;&lt;rec-number&gt;151&lt;/rec-number&gt;&lt;foreign-keys&gt;&lt;key app="EN" db-id="50wxdpzd9vd5r7e9t5b595djrfpttrxw9avp" timestamp="1525076334"&gt;151&lt;/key&gt;&lt;/foreign-keys&gt;&lt;ref-type name="Unpublished Work"&gt;34&lt;/ref-type&gt;&lt;contributors&gt;&lt;authors&gt;&lt;author&gt;International Energy Agency&lt;/author&gt;&lt;/authors&gt;&lt;/contributors&gt;&lt;titles&gt;&lt;title&gt;I.E.A. World Energy Outlook 2015&lt;/title&gt;&lt;short-title&gt;International Energy Agency 2015 – I.E.A. World Energy Outlook 2015&lt;/short-title&gt;&lt;/titles&gt;&lt;dates&gt;&lt;year&gt;2015&lt;/year&gt;&lt;/dates&gt;&lt;urls&gt;&lt;/urls&gt;&lt;/record&gt;&lt;/Cite&gt;&lt;/EndNote&gt;</w:instrText>
      </w:r>
      <w:r w:rsidR="009F5AD8" w:rsidRPr="00C90AC9">
        <w:rPr>
          <w:rFonts w:eastAsia="Calibri"/>
        </w:rPr>
        <w:fldChar w:fldCharType="separate"/>
      </w:r>
      <w:r w:rsidR="009F5AD8" w:rsidRPr="00C90AC9">
        <w:rPr>
          <w:rFonts w:eastAsia="Calibri"/>
        </w:rPr>
        <w:t>(Agency, 2015)</w:t>
      </w:r>
      <w:r w:rsidR="009F5AD8" w:rsidRPr="00C90AC9">
        <w:rPr>
          <w:rFonts w:eastAsia="Calibri"/>
        </w:rPr>
        <w:fldChar w:fldCharType="end"/>
      </w:r>
      <w:r w:rsidR="006F4316" w:rsidRPr="00C90AC9">
        <w:rPr>
          <w:rFonts w:eastAsia="Calibri"/>
        </w:rPr>
        <w:t>. W</w:t>
      </w:r>
      <w:r w:rsidR="00D2139D" w:rsidRPr="00C90AC9">
        <w:rPr>
          <w:rFonts w:eastAsia="Calibri"/>
        </w:rPr>
        <w:t>ith increasing development</w:t>
      </w:r>
      <w:r w:rsidR="002C2EFC" w:rsidRPr="00C90AC9">
        <w:rPr>
          <w:rFonts w:eastAsia="Calibri"/>
        </w:rPr>
        <w:t>,</w:t>
      </w:r>
      <w:r w:rsidR="00D2139D" w:rsidRPr="00C90AC9">
        <w:rPr>
          <w:rFonts w:eastAsia="Calibri"/>
        </w:rPr>
        <w:t xml:space="preserve"> an increase in energy usage results </w:t>
      </w:r>
      <w:sdt>
        <w:sdtPr>
          <w:rPr>
            <w:rFonts w:eastAsia="Calibri"/>
          </w:rPr>
          <w:alias w:val="Don't edit this field"/>
          <w:tag w:val="CitaviPlaceholder#6205eab0-4b35-4e22-8c2b-5e8ecab8adb0"/>
          <w:id w:val="-1785261248"/>
        </w:sdtPr>
        <w:sdtEndPr/>
        <w:sdtContent>
          <w:r w:rsidR="00C05E2B" w:rsidRPr="00C90AC9">
            <w:rPr>
              <w:rFonts w:eastAsia="Calibri"/>
            </w:rPr>
            <w:fldChar w:fldCharType="begin"/>
          </w:r>
          <w:r w:rsidR="007835E8" w:rsidRPr="00C90AC9">
            <w:rPr>
              <w:rFonts w:eastAsia="Calibri"/>
            </w:rPr>
            <w:instrText>ADDIN CitaviPlaceholder{eyIkaWQiOiIxIiwiRW50cmllcyI6W3siJGlkIjoiMiIsIkhhc1RlbXBvcmFyeVJlZmVyZW5jZSI6dHJ1ZSwiSWQiOiI1NDQxMGYzNC1iZGQyLTRmMjMtOWJhNS1kMjg5NzY2ODcwMjMiLCJSYW5nZUxlbmd0aCI6MjcsIlJlZmVyZW5jZUlkIjoiOTZkZTlhZTAtNTgzOC00NjZlLTkyZTUtMzJhMDJmY2FhZTkx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}</w:instrText>
          </w:r>
          <w:r w:rsidR="00C05E2B" w:rsidRPr="00C90AC9">
            <w:rPr>
              <w:rFonts w:eastAsia="Calibri"/>
            </w:rPr>
            <w:fldChar w:fldCharType="separate"/>
          </w:r>
          <w:r w:rsidR="007835E8" w:rsidRPr="00C90AC9">
            <w:rPr>
              <w:rFonts w:eastAsia="Calibri"/>
            </w:rPr>
            <w:t>(World Energy Outlook 2015)</w:t>
          </w:r>
          <w:r w:rsidR="00C05E2B" w:rsidRPr="00C90AC9">
            <w:rPr>
              <w:rFonts w:eastAsia="Calibri"/>
            </w:rPr>
            <w:fldChar w:fldCharType="end"/>
          </w:r>
        </w:sdtContent>
      </w:sdt>
      <w:r w:rsidR="00271D0C" w:rsidRPr="00C90AC9">
        <w:rPr>
          <w:rFonts w:eastAsia="Calibri"/>
        </w:rPr>
        <w:t>.</w:t>
      </w:r>
      <w:r w:rsidR="002C2EFC" w:rsidRPr="00C90AC9">
        <w:rPr>
          <w:rFonts w:eastAsia="Calibri"/>
          <w:lang w:eastAsia="en-US"/>
        </w:rPr>
        <w:t xml:space="preserve"> Currently, fossil fuels (oil, natural gas and coal) account for approximately 80% of the globe’s energy use with nuclear sources providing approximately 6%</w:t>
      </w:r>
      <w:r w:rsidR="008A18F7" w:rsidRPr="00C90AC9">
        <w:rPr>
          <w:rFonts w:eastAsia="Calibri"/>
          <w:lang w:eastAsia="en-US"/>
        </w:rPr>
        <w:t xml:space="preserve"> of the total energy supply</w:t>
      </w:r>
      <w:r w:rsidR="002C2EFC" w:rsidRPr="00C90AC9">
        <w:rPr>
          <w:rFonts w:eastAsia="Calibri"/>
          <w:lang w:eastAsia="en-US"/>
        </w:rPr>
        <w:t>.  This indicates that in 2012 approximately 14% of the world’s energy supply comes from renewable sources</w:t>
      </w:r>
      <w:r w:rsidR="00A51C46" w:rsidRPr="00C90AC9">
        <w:rPr>
          <w:rFonts w:eastAsia="Calibri"/>
          <w:lang w:eastAsia="en-US"/>
        </w:rPr>
        <w:t xml:space="preserve"> </w:t>
      </w:r>
      <w:r w:rsidR="00A51C46" w:rsidRPr="00C90AC9">
        <w:rPr>
          <w:rFonts w:eastAsia="Calibri"/>
          <w:lang w:eastAsia="en-US"/>
        </w:rPr>
        <w:fldChar w:fldCharType="begin"/>
      </w:r>
      <w:r w:rsidR="00A51C46" w:rsidRPr="00C90AC9">
        <w:rPr>
          <w:rFonts w:eastAsia="Calibri"/>
          <w:lang w:eastAsia="en-US"/>
        </w:rPr>
        <w:instrText xml:space="preserve"> ADDIN EN.CITE &lt;EndNote&gt;&lt;Cite&gt;&lt;Author&gt;Agency&lt;/Author&gt;&lt;Year&gt;2015&lt;/Year&gt;&lt;RecNum&gt;151&lt;/RecNum&gt;&lt;DisplayText&gt;(Agency, 2015)&lt;/DisplayText&gt;&lt;record&gt;&lt;rec-number&gt;151&lt;/rec-number&gt;&lt;foreign-keys&gt;&lt;key app="EN" db-id="50wxdpzd9vd5r7e9t5b595djrfpttrxw9avp" timestamp="1525076334"&gt;151&lt;/key&gt;&lt;/foreign-keys&gt;&lt;ref-type name="Unpublished Work"&gt;34&lt;/ref-type&gt;&lt;contributors&gt;&lt;authors&gt;&lt;author&gt;International Energy Agency&lt;/author&gt;&lt;/authors&gt;&lt;/contributors&gt;&lt;titles&gt;&lt;title&gt;I.E.A. World Energy Outlook 2015&lt;/title&gt;&lt;short-title&gt;International Energy Agency 2015 – I.E.A. World Energy Outlook 2015&lt;/short-title&gt;&lt;/titles&gt;&lt;dates&gt;&lt;year&gt;2015&lt;/year&gt;&lt;/dates&gt;&lt;urls&gt;&lt;/urls&gt;&lt;/record&gt;&lt;/Cite&gt;&lt;/EndNote&gt;</w:instrText>
      </w:r>
      <w:r w:rsidR="00A51C46" w:rsidRPr="00C90AC9">
        <w:rPr>
          <w:rFonts w:eastAsia="Calibri"/>
          <w:lang w:eastAsia="en-US"/>
        </w:rPr>
        <w:fldChar w:fldCharType="separate"/>
      </w:r>
      <w:r w:rsidR="00A51C46" w:rsidRPr="00C90AC9">
        <w:rPr>
          <w:rFonts w:eastAsia="Calibri"/>
          <w:lang w:eastAsia="en-US"/>
        </w:rPr>
        <w:t>(Agency, 2015)</w:t>
      </w:r>
      <w:r w:rsidR="00A51C46" w:rsidRPr="00C90AC9">
        <w:rPr>
          <w:rFonts w:eastAsia="Calibri"/>
          <w:lang w:eastAsia="en-US"/>
        </w:rPr>
        <w:fldChar w:fldCharType="end"/>
      </w:r>
      <w:r w:rsidR="002C2EFC" w:rsidRPr="00C90AC9">
        <w:rPr>
          <w:rFonts w:eastAsia="Calibri"/>
          <w:lang w:eastAsia="en-US"/>
        </w:rPr>
        <w:t xml:space="preserve">. </w:t>
      </w:r>
    </w:p>
    <w:p w:rsidR="007F2748" w:rsidRPr="00C90AC9" w:rsidRDefault="007F2748" w:rsidP="00CF7FF5">
      <w:pPr>
        <w:pStyle w:val="BodyTextFirstIndent"/>
        <w:spacing w:line="360" w:lineRule="auto"/>
        <w:ind w:firstLine="357"/>
      </w:pPr>
    </w:p>
    <w:p w:rsidR="00A16B8C" w:rsidRPr="00C90AC9" w:rsidRDefault="00A16B8C" w:rsidP="00CA6E35">
      <w:pPr>
        <w:pStyle w:val="Heading1"/>
        <w:numPr>
          <w:ilvl w:val="1"/>
          <w:numId w:val="22"/>
        </w:numPr>
        <w:rPr>
          <w:rStyle w:val="SubtleEmphasis"/>
        </w:rPr>
      </w:pPr>
      <w:r w:rsidRPr="00C90AC9">
        <w:rPr>
          <w:rStyle w:val="SubtleEmphasis"/>
        </w:rPr>
        <w:t xml:space="preserve">Global energy consumption </w:t>
      </w:r>
      <w:r w:rsidR="007F2748" w:rsidRPr="00C90AC9">
        <w:rPr>
          <w:rStyle w:val="SubtleEmphasis"/>
        </w:rPr>
        <w:t>by</w:t>
      </w:r>
      <w:r w:rsidRPr="00C90AC9">
        <w:rPr>
          <w:rStyle w:val="SubtleEmphasis"/>
        </w:rPr>
        <w:t xml:space="preserve"> sector</w:t>
      </w:r>
    </w:p>
    <w:p w:rsidR="002C2EFC" w:rsidRPr="00C90AC9" w:rsidRDefault="002C2EFC" w:rsidP="00D01EBF">
      <w:pPr>
        <w:pStyle w:val="BodyTextFirstIndent"/>
        <w:spacing w:line="360" w:lineRule="auto"/>
        <w:ind w:firstLine="357"/>
        <w:rPr>
          <w:rFonts w:eastAsia="Calibri"/>
          <w:lang w:eastAsia="en-US"/>
        </w:rPr>
      </w:pPr>
      <w:r w:rsidRPr="00C90AC9">
        <w:rPr>
          <w:rFonts w:eastAsia="Calibri"/>
          <w:lang w:eastAsia="en-US"/>
        </w:rPr>
        <w:t xml:space="preserve">Global energy consumption is predominantly utilized in the transportation sector which accounts for 33% of the total energy demand as shown by Figure 1.2. </w:t>
      </w:r>
      <w:r w:rsidR="006F4316" w:rsidRPr="00C90AC9">
        <w:rPr>
          <w:rFonts w:eastAsia="Calibri"/>
          <w:lang w:eastAsia="en-US"/>
        </w:rPr>
        <w:t>The other sectors comprise the re</w:t>
      </w:r>
      <w:r w:rsidR="00E82522" w:rsidRPr="00C90AC9">
        <w:rPr>
          <w:rFonts w:eastAsia="Calibri"/>
          <w:lang w:eastAsia="en-US"/>
        </w:rPr>
        <w:t>main</w:t>
      </w:r>
      <w:r w:rsidR="006F4316" w:rsidRPr="00C90AC9">
        <w:rPr>
          <w:rFonts w:eastAsia="Calibri"/>
          <w:lang w:eastAsia="en-US"/>
        </w:rPr>
        <w:t xml:space="preserve">ing proportion of the total: </w:t>
      </w:r>
      <w:r w:rsidRPr="00C90AC9">
        <w:rPr>
          <w:rFonts w:eastAsia="Calibri"/>
          <w:lang w:eastAsia="en-US"/>
        </w:rPr>
        <w:t>industry (29%)</w:t>
      </w:r>
      <w:r w:rsidR="006F4316" w:rsidRPr="00C90AC9">
        <w:rPr>
          <w:rFonts w:eastAsia="Calibri"/>
          <w:lang w:eastAsia="en-US"/>
        </w:rPr>
        <w:t>; commercial (8%);</w:t>
      </w:r>
      <w:r w:rsidRPr="00C90AC9">
        <w:rPr>
          <w:rFonts w:eastAsia="Calibri"/>
          <w:lang w:eastAsia="en-US"/>
        </w:rPr>
        <w:t xml:space="preserve"> </w:t>
      </w:r>
      <w:r w:rsidR="006F4316" w:rsidRPr="00C90AC9">
        <w:rPr>
          <w:rFonts w:eastAsia="Calibri"/>
          <w:lang w:eastAsia="en-US"/>
        </w:rPr>
        <w:t>residential (27%); and others (3</w:t>
      </w:r>
      <w:r w:rsidRPr="00C90AC9">
        <w:rPr>
          <w:rFonts w:eastAsia="Calibri"/>
          <w:lang w:eastAsia="en-US"/>
        </w:rPr>
        <w:t>% energy losses and se</w:t>
      </w:r>
      <w:r w:rsidR="006F4316" w:rsidRPr="00C90AC9">
        <w:rPr>
          <w:rFonts w:eastAsia="Calibri"/>
          <w:lang w:eastAsia="en-US"/>
        </w:rPr>
        <w:t>lf-</w:t>
      </w:r>
      <w:r w:rsidRPr="00C90AC9">
        <w:rPr>
          <w:rFonts w:eastAsia="Calibri"/>
          <w:lang w:eastAsia="en-US"/>
        </w:rPr>
        <w:t>use). Thus, approximately a third of global energy consumption is consumed in the residential sector and energy savings made in this sector will have potentially significant ove</w:t>
      </w:r>
      <w:r w:rsidR="00D07263" w:rsidRPr="00C90AC9">
        <w:rPr>
          <w:rFonts w:eastAsia="Calibri"/>
          <w:lang w:eastAsia="en-US"/>
        </w:rPr>
        <w:t xml:space="preserve">rall reductions in energy demand </w:t>
      </w:r>
      <w:r w:rsidR="00271D0C" w:rsidRPr="00C90AC9">
        <w:rPr>
          <w:rFonts w:eastAsia="Calibri"/>
          <w:lang w:eastAsia="en-US"/>
        </w:rPr>
        <w:fldChar w:fldCharType="begin"/>
      </w:r>
      <w:r w:rsidR="0047562B" w:rsidRPr="00C90AC9">
        <w:rPr>
          <w:rFonts w:eastAsia="Calibri"/>
          <w:lang w:eastAsia="en-US"/>
        </w:rPr>
        <w:instrText xml:space="preserve"> ADDIN EN.CITE &lt;EndNote&gt;&lt;Cite&gt;&lt;Author&gt;Faiers&lt;/Author&gt;&lt;Year&gt;2006&lt;/Year&gt;&lt;RecNum&gt;141&lt;/RecNum&gt;&lt;DisplayText&gt;(A. Faiers &amp;amp; C. Neame, 2006)&lt;/DisplayText&gt;&lt;record&gt;&lt;rec-number&gt;141&lt;/rec-number&gt;&lt;foreign-keys&gt;&lt;key app="EN" db-id="50wxdpzd9vd5r7e9t5b595djrfpttrxw9avp" timestamp="1525076334"&gt;141&lt;/key&gt;&lt;/foreign-keys&gt;&lt;ref-type name="Journal Article"&gt;17&lt;/ref-type&gt;&lt;contributors&gt;&lt;authors&gt;&lt;author&gt;Faiers, A.&lt;/author&gt;&lt;author&gt;C. Neame&lt;/author&gt;&lt;/authors&gt;&lt;/contributors&gt;&lt;titles&gt;&lt;title&gt;International Energy Agency&lt;/title&gt;&lt;secondary-title&gt;Energy Policy&lt;/secondary-title&gt;&lt;short-title&gt;Faiers, A. and C. Neame 2006 – International Energy Agency&lt;/short-title&gt;&lt;/titles&gt;&lt;pages&gt;p. 160-168&lt;/pages&gt;&lt;volume&gt;34&lt;/volume&gt;&lt;number&gt;14&lt;/number&gt;&lt;dates&gt;&lt;year&gt;2006&lt;/year&gt;&lt;/dates&gt;&lt;urls&gt;&lt;/urls&gt;&lt;/record&gt;&lt;/Cite&gt;&lt;/EndNote&gt;</w:instrText>
      </w:r>
      <w:r w:rsidR="00271D0C" w:rsidRPr="00C90AC9">
        <w:rPr>
          <w:rFonts w:eastAsia="Calibri"/>
          <w:lang w:eastAsia="en-US"/>
        </w:rPr>
        <w:fldChar w:fldCharType="separate"/>
      </w:r>
      <w:r w:rsidR="0047562B" w:rsidRPr="00C90AC9">
        <w:rPr>
          <w:rFonts w:eastAsia="Calibri"/>
          <w:lang w:eastAsia="en-US"/>
        </w:rPr>
        <w:t>(</w:t>
      </w:r>
      <w:r w:rsidR="00432861" w:rsidRPr="00C90AC9">
        <w:rPr>
          <w:rFonts w:eastAsia="Calibri"/>
          <w:lang w:eastAsia="en-US"/>
        </w:rPr>
        <w:t xml:space="preserve">A. </w:t>
      </w:r>
      <w:r w:rsidR="0038131A" w:rsidRPr="00C90AC9">
        <w:rPr>
          <w:rFonts w:eastAsia="Calibri"/>
          <w:lang w:eastAsia="en-US"/>
        </w:rPr>
        <w:t>Faiers</w:t>
      </w:r>
      <w:r w:rsidR="00BA7307" w:rsidRPr="00C90AC9">
        <w:rPr>
          <w:rFonts w:eastAsia="Calibri"/>
          <w:lang w:eastAsia="en-US"/>
        </w:rPr>
        <w:t xml:space="preserve"> </w:t>
      </w:r>
      <w:r w:rsidR="0047562B" w:rsidRPr="00C90AC9">
        <w:rPr>
          <w:rFonts w:eastAsia="Calibri"/>
          <w:lang w:eastAsia="en-US"/>
        </w:rPr>
        <w:t xml:space="preserve"> &amp; </w:t>
      </w:r>
      <w:r w:rsidR="00432861" w:rsidRPr="00C90AC9">
        <w:rPr>
          <w:rFonts w:eastAsia="Calibri"/>
          <w:lang w:eastAsia="en-US"/>
        </w:rPr>
        <w:t xml:space="preserve">C. </w:t>
      </w:r>
      <w:r w:rsidR="0038131A" w:rsidRPr="00C90AC9">
        <w:rPr>
          <w:rFonts w:eastAsia="Calibri"/>
          <w:lang w:eastAsia="en-US"/>
        </w:rPr>
        <w:t>Neame,</w:t>
      </w:r>
      <w:r w:rsidR="0047562B" w:rsidRPr="00C90AC9">
        <w:rPr>
          <w:rFonts w:eastAsia="Calibri"/>
          <w:lang w:eastAsia="en-US"/>
        </w:rPr>
        <w:t xml:space="preserve"> 2006)</w:t>
      </w:r>
      <w:r w:rsidR="00271D0C" w:rsidRPr="00C90AC9">
        <w:rPr>
          <w:rFonts w:eastAsia="Calibri"/>
          <w:lang w:eastAsia="en-US"/>
        </w:rPr>
        <w:fldChar w:fldCharType="end"/>
      </w:r>
      <w:r w:rsidR="00271D0C" w:rsidRPr="00C90AC9">
        <w:rPr>
          <w:rFonts w:eastAsia="Calibri"/>
          <w:lang w:eastAsia="en-US"/>
        </w:rPr>
        <w:t>.</w:t>
      </w:r>
    </w:p>
    <w:p w:rsidR="004D4516" w:rsidRPr="00C90AC9" w:rsidRDefault="00F521EF" w:rsidP="00B06779">
      <w:pPr>
        <w:pStyle w:val="BodyText"/>
        <w:rPr>
          <w:rFonts w:eastAsia="Calibri"/>
          <w:szCs w:val="24"/>
          <w:lang w:eastAsia="en-US"/>
        </w:rPr>
      </w:pPr>
      <w:r w:rsidRPr="00C90AC9">
        <w:rPr>
          <w:rFonts w:eastAsia="Calibri"/>
          <w:noProof/>
          <w:szCs w:val="24"/>
        </w:rPr>
        <w:drawing>
          <wp:anchor distT="0" distB="0" distL="114300" distR="114300" simplePos="0" relativeHeight="251665408" behindDoc="0" locked="0" layoutInCell="1" allowOverlap="1" wp14:anchorId="2181BFB5" wp14:editId="09A44525">
            <wp:simplePos x="0" y="0"/>
            <wp:positionH relativeFrom="margin">
              <wp:align>right</wp:align>
            </wp:positionH>
            <wp:positionV relativeFrom="paragraph">
              <wp:posOffset>318135</wp:posOffset>
            </wp:positionV>
            <wp:extent cx="5657850" cy="3448050"/>
            <wp:effectExtent l="0" t="0" r="19050" b="19050"/>
            <wp:wrapSquare wrapText="bothSides"/>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r w:rsidR="00A16B8C" w:rsidRPr="00C90AC9">
        <w:rPr>
          <w:rFonts w:eastAsia="Calibri"/>
          <w:szCs w:val="24"/>
          <w:lang w:eastAsia="en-US"/>
        </w:rPr>
        <w:t>F</w:t>
      </w:r>
      <w:r w:rsidR="004D4516" w:rsidRPr="00C90AC9">
        <w:rPr>
          <w:rFonts w:eastAsia="Calibri"/>
          <w:szCs w:val="24"/>
          <w:lang w:eastAsia="en-US"/>
        </w:rPr>
        <w:t>igure 1.2</w:t>
      </w:r>
      <w:r w:rsidR="00A16B8C" w:rsidRPr="00C90AC9">
        <w:rPr>
          <w:rFonts w:eastAsia="Calibri"/>
          <w:szCs w:val="24"/>
          <w:lang w:eastAsia="en-US"/>
        </w:rPr>
        <w:t xml:space="preserve">. </w:t>
      </w:r>
      <w:r w:rsidR="00C24504" w:rsidRPr="00C90AC9">
        <w:rPr>
          <w:rFonts w:eastAsia="Calibri"/>
          <w:szCs w:val="24"/>
          <w:lang w:eastAsia="en-US"/>
        </w:rPr>
        <w:t>S</w:t>
      </w:r>
      <w:r w:rsidR="00A16B8C" w:rsidRPr="00C90AC9">
        <w:rPr>
          <w:rFonts w:eastAsia="Calibri"/>
          <w:szCs w:val="24"/>
          <w:lang w:eastAsia="en-US"/>
        </w:rPr>
        <w:t>ectoral shares o</w:t>
      </w:r>
      <w:r w:rsidR="001F41C1" w:rsidRPr="00C90AC9">
        <w:rPr>
          <w:rFonts w:eastAsia="Calibri"/>
          <w:szCs w:val="24"/>
          <w:lang w:eastAsia="en-US"/>
        </w:rPr>
        <w:t xml:space="preserve">f global energy consumption </w:t>
      </w:r>
      <w:r w:rsidR="008E49B0" w:rsidRPr="00C90AC9">
        <w:rPr>
          <w:rFonts w:eastAsia="Calibri"/>
          <w:szCs w:val="24"/>
          <w:lang w:eastAsia="en-US"/>
        </w:rPr>
        <w:t xml:space="preserve"> </w:t>
      </w:r>
      <w:r w:rsidR="008E49B0" w:rsidRPr="00C90AC9">
        <w:rPr>
          <w:rFonts w:eastAsia="Calibri"/>
          <w:szCs w:val="24"/>
          <w:lang w:eastAsia="en-US"/>
        </w:rPr>
        <w:fldChar w:fldCharType="begin"/>
      </w:r>
      <w:r w:rsidR="0047562B" w:rsidRPr="00C90AC9">
        <w:rPr>
          <w:rFonts w:eastAsia="Calibri"/>
          <w:szCs w:val="24"/>
          <w:lang w:eastAsia="en-US"/>
        </w:rPr>
        <w:instrText xml:space="preserve"> ADDIN EN.CITE &lt;EndNote&gt;&lt;Cite&gt;&lt;Author&gt;Faiers&lt;/Author&gt;&lt;Year&gt;2006&lt;/Year&gt;&lt;RecNum&gt;141&lt;/RecNum&gt;&lt;DisplayText&gt;(A. Faiers &amp;amp; C. Neame, 2006)&lt;/DisplayText&gt;&lt;record&gt;&lt;rec-number&gt;141&lt;/rec-number&gt;&lt;foreign-keys&gt;&lt;key app="EN" db-id="50wxdpzd9vd5r7e9t5b595djrfpttrxw9avp" timestamp="1525076334"&gt;141&lt;/key&gt;&lt;/foreign-keys&gt;&lt;ref-type name="Journal Article"&gt;17&lt;/ref-type&gt;&lt;contributors&gt;&lt;authors&gt;&lt;author&gt;Faiers, A.&lt;/author&gt;&lt;author&gt;C. Neame&lt;/author&gt;&lt;/authors&gt;&lt;/contributors&gt;&lt;titles&gt;&lt;title&gt;International Energy Agency&lt;/title&gt;&lt;secondary-title&gt;Energy Policy&lt;/secondary-title&gt;&lt;short-title&gt;Faiers, A. and C. Neame 2006 – International Energy Agency&lt;/short-title&gt;&lt;/titles&gt;&lt;pages&gt;p. 160-168&lt;/pages&gt;&lt;volume&gt;34&lt;/volume&gt;&lt;number&gt;14&lt;/number&gt;&lt;dates&gt;&lt;year&gt;2006&lt;/year&gt;&lt;/dates&gt;&lt;urls&gt;&lt;/urls&gt;&lt;/record&gt;&lt;/Cite&gt;&lt;/EndNote&gt;</w:instrText>
      </w:r>
      <w:r w:rsidR="008E49B0" w:rsidRPr="00C90AC9">
        <w:rPr>
          <w:rFonts w:eastAsia="Calibri"/>
          <w:szCs w:val="24"/>
          <w:lang w:eastAsia="en-US"/>
        </w:rPr>
        <w:fldChar w:fldCharType="separate"/>
      </w:r>
      <w:r w:rsidR="0047562B" w:rsidRPr="00C90AC9">
        <w:rPr>
          <w:rFonts w:eastAsia="Calibri"/>
          <w:szCs w:val="24"/>
          <w:lang w:eastAsia="en-US"/>
        </w:rPr>
        <w:t>(</w:t>
      </w:r>
      <w:r w:rsidR="00432861" w:rsidRPr="00C90AC9">
        <w:rPr>
          <w:rFonts w:eastAsia="Calibri"/>
          <w:szCs w:val="24"/>
          <w:lang w:eastAsia="en-US"/>
        </w:rPr>
        <w:t xml:space="preserve">A. </w:t>
      </w:r>
      <w:r w:rsidR="0038131A" w:rsidRPr="00C90AC9">
        <w:rPr>
          <w:rFonts w:eastAsia="Calibri"/>
          <w:szCs w:val="24"/>
          <w:lang w:eastAsia="en-US"/>
        </w:rPr>
        <w:t>Faiers</w:t>
      </w:r>
      <w:r w:rsidR="00BA7307" w:rsidRPr="00C90AC9">
        <w:rPr>
          <w:rFonts w:eastAsia="Calibri"/>
          <w:szCs w:val="24"/>
          <w:lang w:eastAsia="en-US"/>
        </w:rPr>
        <w:t xml:space="preserve"> </w:t>
      </w:r>
      <w:r w:rsidR="0047562B" w:rsidRPr="00C90AC9">
        <w:rPr>
          <w:rFonts w:eastAsia="Calibri"/>
          <w:szCs w:val="24"/>
          <w:lang w:eastAsia="en-US"/>
        </w:rPr>
        <w:t xml:space="preserve"> &amp; </w:t>
      </w:r>
      <w:r w:rsidR="00432861" w:rsidRPr="00C90AC9">
        <w:rPr>
          <w:rFonts w:eastAsia="Calibri"/>
          <w:szCs w:val="24"/>
          <w:lang w:eastAsia="en-US"/>
        </w:rPr>
        <w:t xml:space="preserve">C. </w:t>
      </w:r>
      <w:r w:rsidR="0038131A" w:rsidRPr="00C90AC9">
        <w:rPr>
          <w:rFonts w:eastAsia="Calibri"/>
          <w:szCs w:val="24"/>
          <w:lang w:eastAsia="en-US"/>
        </w:rPr>
        <w:t>Neame,</w:t>
      </w:r>
      <w:r w:rsidR="0047562B" w:rsidRPr="00C90AC9">
        <w:rPr>
          <w:rFonts w:eastAsia="Calibri"/>
          <w:szCs w:val="24"/>
          <w:lang w:eastAsia="en-US"/>
        </w:rPr>
        <w:t xml:space="preserve"> 2006)</w:t>
      </w:r>
      <w:r w:rsidR="008E49B0" w:rsidRPr="00C90AC9">
        <w:rPr>
          <w:rFonts w:eastAsia="Calibri"/>
          <w:szCs w:val="24"/>
          <w:lang w:eastAsia="en-US"/>
        </w:rPr>
        <w:fldChar w:fldCharType="end"/>
      </w:r>
    </w:p>
    <w:p w:rsidR="00FA1EAD" w:rsidRPr="00C90AC9" w:rsidRDefault="008F33AF" w:rsidP="00D01EBF">
      <w:pPr>
        <w:pStyle w:val="BodyText"/>
        <w:spacing w:line="360" w:lineRule="auto"/>
        <w:rPr>
          <w:rFonts w:eastAsia="Calibri"/>
          <w:lang w:eastAsia="en-US"/>
        </w:rPr>
      </w:pPr>
      <w:r w:rsidRPr="00C90AC9">
        <w:rPr>
          <w:rFonts w:eastAsia="Calibri"/>
          <w:lang w:eastAsia="en-US"/>
        </w:rPr>
        <w:lastRenderedPageBreak/>
        <w:tab/>
      </w:r>
      <w:r w:rsidR="00AB6753" w:rsidRPr="00C90AC9">
        <w:rPr>
          <w:rFonts w:eastAsia="Calibri"/>
          <w:lang w:eastAsia="en-US"/>
        </w:rPr>
        <w:t>Energy demand from all buildings (commercial and residential) has grown at about 1.8% per year with the residential sector seeing approximately a 14% increase in energy consumption over t</w:t>
      </w:r>
      <w:r w:rsidR="008E49B0" w:rsidRPr="00C90AC9">
        <w:rPr>
          <w:rFonts w:eastAsia="Calibri"/>
          <w:lang w:eastAsia="en-US"/>
        </w:rPr>
        <w:t xml:space="preserve">he ten years from 2000 to 2010 </w:t>
      </w:r>
      <w:r w:rsidR="007E00BF" w:rsidRPr="00C90AC9">
        <w:rPr>
          <w:rFonts w:eastAsia="Calibri"/>
          <w:lang w:eastAsia="en-US"/>
        </w:rPr>
        <w:fldChar w:fldCharType="begin"/>
      </w:r>
      <w:r w:rsidR="007E00BF" w:rsidRPr="00C90AC9">
        <w:rPr>
          <w:rFonts w:eastAsia="Calibri"/>
          <w:lang w:eastAsia="en-US"/>
        </w:rPr>
        <w:instrText xml:space="preserve"> ADDIN EN.CITE &lt;EndNote&gt;&lt;Cite&gt;&lt;Author&gt;Nejat&lt;/Author&gt;&lt;Year&gt;2015&lt;/Year&gt;&lt;RecNum&gt;178&lt;/RecNum&gt;&lt;DisplayText&gt;(Nejat &amp;amp; et al., 2015)&lt;/DisplayText&gt;&lt;record&gt;&lt;rec-number&gt;178&lt;/rec-number&gt;&lt;foreign-keys&gt;&lt;key app="EN" db-id="50wxdpzd9vd5r7e9t5b595djrfpttrxw9avp" timestamp="1525076335"&gt;178&lt;/key&gt;&lt;/foreign-keys&gt;&lt;ref-type name="Journal Article"&gt;17&lt;/ref-type&gt;&lt;contributors&gt;&lt;authors&gt;&lt;author&gt;Nejat, P.,&lt;/author&gt;&lt;author&gt;et al.,&lt;/author&gt;&lt;/authors&gt;&lt;/contributors&gt;&lt;titles&gt;&lt;title&gt;A global review of energy consumption, CO2 emissions and policy in the residential sector (with an overview of the top ten CO2 emitting countries)&lt;/title&gt;&lt;secondary-title&gt;Renewable and Sustainable Energy Reviews&lt;/secondary-title&gt;&lt;short-title&gt;Nejat, P., et al 2015 – A global review of energy&lt;/short-title&gt;&lt;/titles&gt;&lt;pages&gt;p. 843-862&lt;/pages&gt;&lt;volume&gt;43&lt;/volume&gt;&lt;dates&gt;&lt;year&gt;2015&lt;/year&gt;&lt;/dates&gt;&lt;urls&gt;&lt;/urls&gt;&lt;/record&gt;&lt;/Cite&gt;&lt;/EndNote&gt;</w:instrText>
      </w:r>
      <w:r w:rsidR="007E00BF" w:rsidRPr="00C90AC9">
        <w:rPr>
          <w:rFonts w:eastAsia="Calibri"/>
          <w:lang w:eastAsia="en-US"/>
        </w:rPr>
        <w:fldChar w:fldCharType="separate"/>
      </w:r>
      <w:r w:rsidR="007E00BF" w:rsidRPr="00C90AC9">
        <w:rPr>
          <w:rFonts w:eastAsia="Calibri"/>
          <w:lang w:eastAsia="en-US"/>
        </w:rPr>
        <w:t xml:space="preserve">(Nejat </w:t>
      </w:r>
      <w:r w:rsidR="00EE66A8" w:rsidRPr="00C90AC9">
        <w:rPr>
          <w:rFonts w:eastAsia="Calibri"/>
          <w:lang w:eastAsia="en-US"/>
        </w:rPr>
        <w:t>et al</w:t>
      </w:r>
      <w:r w:rsidR="007E00BF" w:rsidRPr="00C90AC9">
        <w:rPr>
          <w:rFonts w:eastAsia="Calibri"/>
          <w:lang w:eastAsia="en-US"/>
        </w:rPr>
        <w:t>., 2015)</w:t>
      </w:r>
      <w:r w:rsidR="007E00BF" w:rsidRPr="00C90AC9">
        <w:rPr>
          <w:rFonts w:eastAsia="Calibri"/>
          <w:lang w:eastAsia="en-US"/>
        </w:rPr>
        <w:fldChar w:fldCharType="end"/>
      </w:r>
      <w:r w:rsidR="00271D0C" w:rsidRPr="00C90AC9">
        <w:rPr>
          <w:rFonts w:eastAsia="Calibri"/>
          <w:lang w:eastAsia="en-US"/>
        </w:rPr>
        <w:t xml:space="preserve">. </w:t>
      </w:r>
      <w:r w:rsidR="003E315D" w:rsidRPr="00C90AC9">
        <w:rPr>
          <w:rFonts w:eastAsia="Calibri"/>
          <w:lang w:eastAsia="en-US"/>
        </w:rPr>
        <w:t xml:space="preserve">This is despite improvements to the energy efficiency of buildings largely due to the airtightness of buildings </w:t>
      </w:r>
      <w:r w:rsidR="007B4144" w:rsidRPr="00C90AC9">
        <w:rPr>
          <w:rFonts w:eastAsia="Calibri"/>
          <w:lang w:eastAsia="en-US"/>
        </w:rPr>
        <w:t xml:space="preserve">being improved </w:t>
      </w:r>
      <w:r w:rsidR="007E00BF" w:rsidRPr="00C90AC9">
        <w:rPr>
          <w:rFonts w:eastAsia="Calibri"/>
          <w:lang w:eastAsia="en-US"/>
        </w:rPr>
        <w:fldChar w:fldCharType="begin"/>
      </w:r>
      <w:r w:rsidR="007E00BF" w:rsidRPr="00C90AC9">
        <w:rPr>
          <w:rFonts w:eastAsia="Calibri"/>
          <w:lang w:eastAsia="en-US"/>
        </w:rPr>
        <w:instrText xml:space="preserve"> ADDIN EN.CITE &lt;EndNote&gt;&lt;Cite&gt;&lt;Author&gt;Nejat&lt;/Author&gt;&lt;Year&gt;2015&lt;/Year&gt;&lt;RecNum&gt;178&lt;/RecNum&gt;&lt;DisplayText&gt;(Nejat &amp;amp; et al., 2015)&lt;/DisplayText&gt;&lt;record&gt;&lt;rec-number&gt;178&lt;/rec-number&gt;&lt;foreign-keys&gt;&lt;key app="EN" db-id="50wxdpzd9vd5r7e9t5b595djrfpttrxw9avp" timestamp="1525076335"&gt;178&lt;/key&gt;&lt;/foreign-keys&gt;&lt;ref-type name="Journal Article"&gt;17&lt;/ref-type&gt;&lt;contributors&gt;&lt;authors&gt;&lt;author&gt;Nejat, P.,&lt;/author&gt;&lt;author&gt;et al.,&lt;/author&gt;&lt;/authors&gt;&lt;/contributors&gt;&lt;titles&gt;&lt;title&gt;A global review of energy consumption, CO2 emissions and policy in the residential sector (with an overview of the top ten CO2 emitting countries)&lt;/title&gt;&lt;secondary-title&gt;Renewable and Sustainable Energy Reviews&lt;/secondary-title&gt;&lt;short-title&gt;Nejat, P., et al 2015 – A global review of energy&lt;/short-title&gt;&lt;/titles&gt;&lt;pages&gt;p. 843-862&lt;/pages&gt;&lt;volume&gt;43&lt;/volume&gt;&lt;dates&gt;&lt;year&gt;2015&lt;/year&gt;&lt;/dates&gt;&lt;urls&gt;&lt;/urls&gt;&lt;/record&gt;&lt;/Cite&gt;&lt;/EndNote&gt;</w:instrText>
      </w:r>
      <w:r w:rsidR="007E00BF" w:rsidRPr="00C90AC9">
        <w:rPr>
          <w:rFonts w:eastAsia="Calibri"/>
          <w:lang w:eastAsia="en-US"/>
        </w:rPr>
        <w:fldChar w:fldCharType="separate"/>
      </w:r>
      <w:r w:rsidR="007E00BF" w:rsidRPr="00C90AC9">
        <w:rPr>
          <w:rFonts w:eastAsia="Calibri"/>
          <w:lang w:eastAsia="en-US"/>
        </w:rPr>
        <w:t xml:space="preserve">(Nejat </w:t>
      </w:r>
      <w:r w:rsidR="00EE66A8" w:rsidRPr="00C90AC9">
        <w:rPr>
          <w:rFonts w:eastAsia="Calibri"/>
          <w:lang w:eastAsia="en-US"/>
        </w:rPr>
        <w:t>et al</w:t>
      </w:r>
      <w:r w:rsidR="007E00BF" w:rsidRPr="00C90AC9">
        <w:rPr>
          <w:rFonts w:eastAsia="Calibri"/>
          <w:lang w:eastAsia="en-US"/>
        </w:rPr>
        <w:t>., 2015)</w:t>
      </w:r>
      <w:r w:rsidR="007E00BF" w:rsidRPr="00C90AC9">
        <w:rPr>
          <w:rFonts w:eastAsia="Calibri"/>
          <w:lang w:eastAsia="en-US"/>
        </w:rPr>
        <w:fldChar w:fldCharType="end"/>
      </w:r>
      <w:r w:rsidR="00271D0C" w:rsidRPr="00C90AC9">
        <w:rPr>
          <w:rFonts w:eastAsia="Calibri"/>
          <w:lang w:eastAsia="en-US"/>
        </w:rPr>
        <w:t xml:space="preserve">. </w:t>
      </w:r>
      <w:r w:rsidR="00AB6753" w:rsidRPr="00C90AC9">
        <w:rPr>
          <w:rFonts w:eastAsia="Calibri"/>
          <w:lang w:eastAsia="en-US"/>
        </w:rPr>
        <w:t xml:space="preserve">Over that same time period all energy sources consumed in the residential sector have seen a growth, with the exception of oil which has seen a fall of 8% </w:t>
      </w:r>
      <w:r w:rsidR="007B4144" w:rsidRPr="00C90AC9">
        <w:rPr>
          <w:rFonts w:eastAsia="Calibri"/>
          <w:lang w:eastAsia="en-US"/>
        </w:rPr>
        <w:t>which is due in part to the increase in renewable energy sources used in the home</w:t>
      </w:r>
      <w:r w:rsidR="002C2EFC" w:rsidRPr="00C90AC9">
        <w:rPr>
          <w:rFonts w:eastAsia="Calibri"/>
          <w:lang w:eastAsia="en-US"/>
        </w:rPr>
        <w:t xml:space="preserve"> </w:t>
      </w:r>
      <w:r w:rsidR="00254749" w:rsidRPr="00C90AC9">
        <w:rPr>
          <w:rFonts w:eastAsia="Calibri"/>
          <w:lang w:eastAsia="en-US"/>
        </w:rPr>
        <w:fldChar w:fldCharType="begin"/>
      </w:r>
      <w:r w:rsidR="00254749" w:rsidRPr="00C90AC9">
        <w:rPr>
          <w:rFonts w:eastAsia="Calibri"/>
          <w:lang w:eastAsia="en-US"/>
        </w:rPr>
        <w:instrText xml:space="preserve"> ADDIN EN.CITE &lt;EndNote&gt;&lt;Cite&gt;&lt;Author&gt;Nejat&lt;/Author&gt;&lt;Year&gt;2015&lt;/Year&gt;&lt;RecNum&gt;178&lt;/RecNum&gt;&lt;DisplayText&gt;(Nejat &amp;amp; et al., 2015)&lt;/DisplayText&gt;&lt;record&gt;&lt;rec-number&gt;178&lt;/rec-number&gt;&lt;foreign-keys&gt;&lt;key app="EN" db-id="50wxdpzd9vd5r7e9t5b595djrfpttrxw9avp" timestamp="1525076335"&gt;178&lt;/key&gt;&lt;/foreign-keys&gt;&lt;ref-type name="Journal Article"&gt;17&lt;/ref-type&gt;&lt;contributors&gt;&lt;authors&gt;&lt;author&gt;Nejat, P.,&lt;/author&gt;&lt;author&gt;et al.,&lt;/author&gt;&lt;/authors&gt;&lt;/contributors&gt;&lt;titles&gt;&lt;title&gt;A global review of energy consumption, CO2 emissions and policy in the residential sector (with an overview of the top ten CO2 emitting countries)&lt;/title&gt;&lt;secondary-title&gt;Renewable and Sustainable Energy Reviews&lt;/secondary-title&gt;&lt;short-title&gt;Nejat, P., et al 2015 – A global review of energy&lt;/short-title&gt;&lt;/titles&gt;&lt;pages&gt;p. 843-862&lt;/pages&gt;&lt;volume&gt;43&lt;/volume&gt;&lt;dates&gt;&lt;year&gt;2015&lt;/year&gt;&lt;/dates&gt;&lt;urls&gt;&lt;/urls&gt;&lt;/record&gt;&lt;/Cite&gt;&lt;/EndNote&gt;</w:instrText>
      </w:r>
      <w:r w:rsidR="00254749" w:rsidRPr="00C90AC9">
        <w:rPr>
          <w:rFonts w:eastAsia="Calibri"/>
          <w:lang w:eastAsia="en-US"/>
        </w:rPr>
        <w:fldChar w:fldCharType="separate"/>
      </w:r>
      <w:r w:rsidR="00254749" w:rsidRPr="00C90AC9">
        <w:rPr>
          <w:rFonts w:eastAsia="Calibri"/>
          <w:lang w:eastAsia="en-US"/>
        </w:rPr>
        <w:t xml:space="preserve">(Nejat </w:t>
      </w:r>
      <w:r w:rsidR="00EE66A8" w:rsidRPr="00C90AC9">
        <w:rPr>
          <w:rFonts w:eastAsia="Calibri"/>
          <w:lang w:eastAsia="en-US"/>
        </w:rPr>
        <w:t>et al</w:t>
      </w:r>
      <w:r w:rsidR="00254749" w:rsidRPr="00C90AC9">
        <w:rPr>
          <w:rFonts w:eastAsia="Calibri"/>
          <w:lang w:eastAsia="en-US"/>
        </w:rPr>
        <w:t>., 2015)</w:t>
      </w:r>
      <w:r w:rsidR="00254749" w:rsidRPr="00C90AC9">
        <w:rPr>
          <w:rFonts w:eastAsia="Calibri"/>
          <w:lang w:eastAsia="en-US"/>
        </w:rPr>
        <w:fldChar w:fldCharType="end"/>
      </w:r>
      <w:r w:rsidR="00254749" w:rsidRPr="00C90AC9">
        <w:rPr>
          <w:rFonts w:eastAsia="Calibri"/>
          <w:lang w:eastAsia="en-US"/>
        </w:rPr>
        <w:t xml:space="preserve">. </w:t>
      </w:r>
      <w:r w:rsidR="003B5F6E" w:rsidRPr="00C90AC9">
        <w:rPr>
          <w:rFonts w:eastAsia="Calibri"/>
          <w:lang w:eastAsia="en-US"/>
        </w:rPr>
        <w:t>T</w:t>
      </w:r>
      <w:r w:rsidR="007B4144" w:rsidRPr="00C90AC9">
        <w:rPr>
          <w:rFonts w:eastAsia="Calibri"/>
          <w:lang w:eastAsia="en-US"/>
        </w:rPr>
        <w:t>he</w:t>
      </w:r>
      <w:r w:rsidR="003B5F6E" w:rsidRPr="00C90AC9">
        <w:rPr>
          <w:rFonts w:eastAsia="Calibri"/>
          <w:lang w:eastAsia="en-US"/>
        </w:rPr>
        <w:t xml:space="preserve"> global growth in renewable energy sources used in the residential sector has principally occurred in developed countr</w:t>
      </w:r>
      <w:r w:rsidR="007B4144" w:rsidRPr="00C90AC9">
        <w:rPr>
          <w:rFonts w:eastAsia="Calibri"/>
          <w:lang w:eastAsia="en-US"/>
        </w:rPr>
        <w:t xml:space="preserve">ies over the period 2000 - 2011 as developed countries are able to employ modern renewable technologies to generate energy from available renewable sources </w:t>
      </w:r>
      <w:r w:rsidR="00254749" w:rsidRPr="00C90AC9">
        <w:rPr>
          <w:rFonts w:eastAsia="Calibri"/>
          <w:lang w:eastAsia="en-US"/>
        </w:rPr>
        <w:fldChar w:fldCharType="begin"/>
      </w:r>
      <w:r w:rsidR="00254749" w:rsidRPr="00C90AC9">
        <w:rPr>
          <w:rFonts w:eastAsia="Calibri"/>
          <w:lang w:eastAsia="en-US"/>
        </w:rPr>
        <w:instrText xml:space="preserve"> ADDIN EN.CITE &lt;EndNote&gt;&lt;Cite&gt;&lt;Author&gt;Nejat&lt;/Author&gt;&lt;Year&gt;2015&lt;/Year&gt;&lt;RecNum&gt;178&lt;/RecNum&gt;&lt;DisplayText&gt;(Nejat &amp;amp; et al., 2015)&lt;/DisplayText&gt;&lt;record&gt;&lt;rec-number&gt;178&lt;/rec-number&gt;&lt;foreign-keys&gt;&lt;key app="EN" db-id="50wxdpzd9vd5r7e9t5b595djrfpttrxw9avp" timestamp="1525076335"&gt;178&lt;/key&gt;&lt;/foreign-keys&gt;&lt;ref-type name="Journal Article"&gt;17&lt;/ref-type&gt;&lt;contributors&gt;&lt;authors&gt;&lt;author&gt;Nejat, P.,&lt;/author&gt;&lt;author&gt;et al.,&lt;/author&gt;&lt;/authors&gt;&lt;/contributors&gt;&lt;titles&gt;&lt;title&gt;A global review of energy consumption, CO2 emissions and policy in the residential sector (with an overview of the top ten CO2 emitting countries)&lt;/title&gt;&lt;secondary-title&gt;Renewable and Sustainable Energy Reviews&lt;/secondary-title&gt;&lt;short-title&gt;Nejat, P., et al 2015 – A global review of energy&lt;/short-title&gt;&lt;/titles&gt;&lt;pages&gt;p. 843-862&lt;/pages&gt;&lt;volume&gt;43&lt;/volume&gt;&lt;dates&gt;&lt;year&gt;2015&lt;/year&gt;&lt;/dates&gt;&lt;urls&gt;&lt;/urls&gt;&lt;/record&gt;&lt;/Cite&gt;&lt;/EndNote&gt;</w:instrText>
      </w:r>
      <w:r w:rsidR="00254749" w:rsidRPr="00C90AC9">
        <w:rPr>
          <w:rFonts w:eastAsia="Calibri"/>
          <w:lang w:eastAsia="en-US"/>
        </w:rPr>
        <w:fldChar w:fldCharType="separate"/>
      </w:r>
      <w:r w:rsidR="00254749" w:rsidRPr="00C90AC9">
        <w:rPr>
          <w:rFonts w:eastAsia="Calibri"/>
          <w:lang w:eastAsia="en-US"/>
        </w:rPr>
        <w:t xml:space="preserve">(Nejat </w:t>
      </w:r>
      <w:r w:rsidR="00EE66A8" w:rsidRPr="00C90AC9">
        <w:rPr>
          <w:rFonts w:eastAsia="Calibri"/>
          <w:lang w:eastAsia="en-US"/>
        </w:rPr>
        <w:t>et al</w:t>
      </w:r>
      <w:r w:rsidR="00254749" w:rsidRPr="00C90AC9">
        <w:rPr>
          <w:rFonts w:eastAsia="Calibri"/>
          <w:lang w:eastAsia="en-US"/>
        </w:rPr>
        <w:t>., 2015)</w:t>
      </w:r>
      <w:r w:rsidR="00254749" w:rsidRPr="00C90AC9">
        <w:rPr>
          <w:rFonts w:eastAsia="Calibri"/>
          <w:lang w:eastAsia="en-US"/>
        </w:rPr>
        <w:fldChar w:fldCharType="end"/>
      </w:r>
      <w:r w:rsidR="00D66E53" w:rsidRPr="00C90AC9">
        <w:rPr>
          <w:rFonts w:eastAsia="Calibri"/>
          <w:lang w:eastAsia="en-US"/>
        </w:rPr>
        <w:t>.</w:t>
      </w:r>
      <w:r w:rsidR="007C591F" w:rsidRPr="00C90AC9">
        <w:rPr>
          <w:rFonts w:eastAsia="Calibri"/>
          <w:lang w:eastAsia="en-US"/>
        </w:rPr>
        <w:t xml:space="preserve"> </w:t>
      </w:r>
      <w:r w:rsidR="00D87C6A" w:rsidRPr="00C90AC9">
        <w:rPr>
          <w:rFonts w:eastAsia="Calibri"/>
          <w:lang w:eastAsia="en-US"/>
        </w:rPr>
        <w:t>T</w:t>
      </w:r>
      <w:r w:rsidR="004D4516" w:rsidRPr="00C90AC9">
        <w:rPr>
          <w:rFonts w:eastAsia="Calibri"/>
          <w:lang w:eastAsia="en-US"/>
        </w:rPr>
        <w:t xml:space="preserve">he 10 largest emitters of </w:t>
      </w:r>
      <w:r w:rsidR="007E00BF" w:rsidRPr="00C90AC9">
        <w:rPr>
          <w:rFonts w:eastAsia="Calibri"/>
          <w:lang w:eastAsia="en-US"/>
        </w:rPr>
        <w:t>CO</w:t>
      </w:r>
      <w:r w:rsidR="007E00BF" w:rsidRPr="00C90AC9">
        <w:rPr>
          <w:rFonts w:eastAsia="Calibri"/>
          <w:vertAlign w:val="subscript"/>
          <w:lang w:eastAsia="en-US"/>
        </w:rPr>
        <w:t>2</w:t>
      </w:r>
      <w:r w:rsidR="004D4516" w:rsidRPr="00C90AC9">
        <w:rPr>
          <w:rFonts w:eastAsia="Calibri"/>
          <w:lang w:eastAsia="en-US"/>
        </w:rPr>
        <w:t xml:space="preserve"> globally and the annual growth rate from 2000 - 2011 in residential energy consumption</w:t>
      </w:r>
      <w:r w:rsidR="00D87C6A" w:rsidRPr="00C90AC9">
        <w:rPr>
          <w:rFonts w:eastAsia="Calibri"/>
          <w:lang w:eastAsia="en-US"/>
        </w:rPr>
        <w:t xml:space="preserve"> in shown in Figure 1.3.</w:t>
      </w:r>
      <w:r w:rsidR="008E49B0" w:rsidRPr="00C90AC9">
        <w:rPr>
          <w:rFonts w:eastAsia="Calibri"/>
          <w:lang w:eastAsia="en-US"/>
        </w:rPr>
        <w:t xml:space="preserve"> </w:t>
      </w:r>
      <w:r w:rsidR="008E49B0" w:rsidRPr="00C90AC9">
        <w:rPr>
          <w:rFonts w:eastAsia="Calibri"/>
          <w:lang w:eastAsia="en-US"/>
        </w:rPr>
        <w:fldChar w:fldCharType="begin"/>
      </w:r>
      <w:r w:rsidR="008E49B0" w:rsidRPr="00C90AC9">
        <w:rPr>
          <w:rFonts w:eastAsia="Calibri"/>
          <w:lang w:eastAsia="en-US"/>
        </w:rPr>
        <w:instrText xml:space="preserve"> ADDIN EN.CITE &lt;EndNote&gt;&lt;Cite&gt;&lt;Author&gt;Nejat&lt;/Author&gt;&lt;Year&gt;2015&lt;/Year&gt;&lt;RecNum&gt;178&lt;/RecNum&gt;&lt;DisplayText&gt;(Nejat &amp;amp; et al., 2015)&lt;/DisplayText&gt;&lt;record&gt;&lt;rec-number&gt;178&lt;/rec-number&gt;&lt;foreign-keys&gt;&lt;key app="EN" db-id="50wxdpzd9vd5r7e9t5b595djrfpttrxw9avp" timestamp="1525076335"&gt;178&lt;/key&gt;&lt;/foreign-keys&gt;&lt;ref-type name="Journal Article"&gt;17&lt;/ref-type&gt;&lt;contributors&gt;&lt;authors&gt;&lt;author&gt;Nejat, P.,&lt;/author&gt;&lt;author&gt;et al.,&lt;/author&gt;&lt;/authors&gt;&lt;/contributors&gt;&lt;titles&gt;&lt;title&gt;A global review of energy consumption, CO2 emissions and policy in the residential sector (with an overview of the top ten CO2 emitting countries)&lt;/title&gt;&lt;secondary-title&gt;Renewable and Sustainable Energy Reviews&lt;/secondary-title&gt;&lt;short-title&gt;Nejat, P., et al 2015 – A global review of energy&lt;/short-title&gt;&lt;/titles&gt;&lt;pages&gt;p. 843-862&lt;/pages&gt;&lt;volume&gt;43&lt;/volume&gt;&lt;dates&gt;&lt;year&gt;2015&lt;/year&gt;&lt;/dates&gt;&lt;urls&gt;&lt;/urls&gt;&lt;/record&gt;&lt;/Cite&gt;&lt;/EndNote&gt;</w:instrText>
      </w:r>
      <w:r w:rsidR="008E49B0" w:rsidRPr="00C90AC9">
        <w:rPr>
          <w:rFonts w:eastAsia="Calibri"/>
          <w:lang w:eastAsia="en-US"/>
        </w:rPr>
        <w:fldChar w:fldCharType="separate"/>
      </w:r>
      <w:r w:rsidR="008E49B0" w:rsidRPr="00C90AC9">
        <w:rPr>
          <w:rFonts w:eastAsia="Calibri"/>
          <w:lang w:eastAsia="en-US"/>
        </w:rPr>
        <w:t xml:space="preserve">(Nejat </w:t>
      </w:r>
      <w:r w:rsidR="00EE66A8" w:rsidRPr="00C90AC9">
        <w:rPr>
          <w:rFonts w:eastAsia="Calibri"/>
          <w:lang w:eastAsia="en-US"/>
        </w:rPr>
        <w:t>et al</w:t>
      </w:r>
      <w:r w:rsidR="008E49B0" w:rsidRPr="00C90AC9">
        <w:rPr>
          <w:rFonts w:eastAsia="Calibri"/>
          <w:lang w:eastAsia="en-US"/>
        </w:rPr>
        <w:t>., 2015)</w:t>
      </w:r>
      <w:r w:rsidR="008E49B0" w:rsidRPr="00C90AC9">
        <w:rPr>
          <w:rFonts w:eastAsia="Calibri"/>
          <w:lang w:eastAsia="en-US"/>
        </w:rPr>
        <w:fldChar w:fldCharType="end"/>
      </w:r>
      <w:r w:rsidR="008E49B0" w:rsidRPr="00C90AC9">
        <w:rPr>
          <w:rFonts w:eastAsia="Calibri"/>
          <w:lang w:eastAsia="en-US"/>
        </w:rPr>
        <w:t>.</w:t>
      </w:r>
      <w:r w:rsidR="009B37F2" w:rsidRPr="00C90AC9">
        <w:rPr>
          <w:rFonts w:eastAsia="Calibri"/>
          <w:lang w:eastAsia="en-US"/>
        </w:rPr>
        <w:t xml:space="preserve"> Figure 1.3 shows </w:t>
      </w:r>
      <w:r w:rsidR="004D4516" w:rsidRPr="00C90AC9">
        <w:rPr>
          <w:rFonts w:eastAsia="Calibri"/>
          <w:lang w:eastAsia="en-US"/>
        </w:rPr>
        <w:t>that the</w:t>
      </w:r>
      <w:r w:rsidR="00A16B8C" w:rsidRPr="00C90AC9">
        <w:rPr>
          <w:rFonts w:eastAsia="Calibri"/>
          <w:lang w:eastAsia="en-US"/>
        </w:rPr>
        <w:t xml:space="preserve"> UK has reduced its domestic consumption of energy by</w:t>
      </w:r>
      <w:r w:rsidR="004D4516" w:rsidRPr="00C90AC9">
        <w:rPr>
          <w:rFonts w:eastAsia="Calibri"/>
          <w:lang w:eastAsia="en-US"/>
        </w:rPr>
        <w:t xml:space="preserve"> approximately by </w:t>
      </w:r>
      <w:r w:rsidR="00A16B8C" w:rsidRPr="00C90AC9">
        <w:rPr>
          <w:rFonts w:eastAsia="Calibri"/>
          <w:lang w:eastAsia="en-US"/>
        </w:rPr>
        <w:t>17% from 2000 – 2011</w:t>
      </w:r>
      <w:r w:rsidR="00D87C6A" w:rsidRPr="00C90AC9">
        <w:rPr>
          <w:rFonts w:eastAsia="Calibri"/>
          <w:lang w:eastAsia="en-US"/>
        </w:rPr>
        <w:t xml:space="preserve"> which has been achieved primarily through an increase in</w:t>
      </w:r>
      <w:r w:rsidR="00D07CBD" w:rsidRPr="00C90AC9">
        <w:rPr>
          <w:rFonts w:eastAsia="Calibri"/>
          <w:lang w:eastAsia="en-US"/>
        </w:rPr>
        <w:t xml:space="preserve"> better </w:t>
      </w:r>
      <w:r w:rsidR="00D87C6A" w:rsidRPr="00C90AC9">
        <w:rPr>
          <w:rFonts w:eastAsia="Calibri"/>
          <w:lang w:eastAsia="en-US"/>
        </w:rPr>
        <w:t xml:space="preserve">insulation of the average </w:t>
      </w:r>
      <w:r w:rsidR="005815B4" w:rsidRPr="00C90AC9">
        <w:rPr>
          <w:rFonts w:eastAsia="Calibri"/>
          <w:lang w:eastAsia="en-US"/>
        </w:rPr>
        <w:t xml:space="preserve">UK </w:t>
      </w:r>
      <w:r w:rsidR="00D87C6A" w:rsidRPr="00C90AC9">
        <w:rPr>
          <w:rFonts w:eastAsia="Calibri"/>
          <w:lang w:eastAsia="en-US"/>
        </w:rPr>
        <w:t xml:space="preserve">home </w:t>
      </w:r>
      <w:r w:rsidR="008E49B0" w:rsidRPr="00C90AC9">
        <w:rPr>
          <w:rFonts w:eastAsia="Calibri"/>
          <w:lang w:eastAsia="en-US"/>
        </w:rPr>
        <w:fldChar w:fldCharType="begin"/>
      </w:r>
      <w:r w:rsidR="008E49B0" w:rsidRPr="00C90AC9">
        <w:rPr>
          <w:rFonts w:eastAsia="Calibri"/>
          <w:lang w:eastAsia="en-US"/>
        </w:rPr>
        <w:instrText xml:space="preserve"> ADDIN EN.CITE &lt;EndNote&gt;&lt;Cite&gt;&lt;Author&gt;Nejat&lt;/Author&gt;&lt;Year&gt;2015&lt;/Year&gt;&lt;RecNum&gt;178&lt;/RecNum&gt;&lt;DisplayText&gt;(Nejat &amp;amp; et al., 2015)&lt;/DisplayText&gt;&lt;record&gt;&lt;rec-number&gt;178&lt;/rec-number&gt;&lt;foreign-keys&gt;&lt;key app="EN" db-id="50wxdpzd9vd5r7e9t5b595djrfpttrxw9avp" timestamp="1525076335"&gt;178&lt;/key&gt;&lt;/foreign-keys&gt;&lt;ref-type name="Journal Article"&gt;17&lt;/ref-type&gt;&lt;contributors&gt;&lt;authors&gt;&lt;author&gt;Nejat, P.,&lt;/author&gt;&lt;author&gt;et al.,&lt;/author&gt;&lt;/authors&gt;&lt;/contributors&gt;&lt;titles&gt;&lt;title&gt;A global review of energy consumption, CO2 emissions and policy in the residential sector (with an overview of the top ten CO2 emitting countries)&lt;/title&gt;&lt;secondary-title&gt;Renewable and Sustainable Energy Reviews&lt;/secondary-title&gt;&lt;short-title&gt;Nejat, P., et al 2015 – A global review of energy&lt;/short-title&gt;&lt;/titles&gt;&lt;pages&gt;p. 843-862&lt;/pages&gt;&lt;volume&gt;43&lt;/volume&gt;&lt;dates&gt;&lt;year&gt;2015&lt;/year&gt;&lt;/dates&gt;&lt;urls&gt;&lt;/urls&gt;&lt;/record&gt;&lt;/Cite&gt;&lt;/EndNote&gt;</w:instrText>
      </w:r>
      <w:r w:rsidR="008E49B0" w:rsidRPr="00C90AC9">
        <w:rPr>
          <w:rFonts w:eastAsia="Calibri"/>
          <w:lang w:eastAsia="en-US"/>
        </w:rPr>
        <w:fldChar w:fldCharType="separate"/>
      </w:r>
      <w:r w:rsidR="008E49B0" w:rsidRPr="00C90AC9">
        <w:rPr>
          <w:rFonts w:eastAsia="Calibri"/>
          <w:lang w:eastAsia="en-US"/>
        </w:rPr>
        <w:t xml:space="preserve">(Nejat </w:t>
      </w:r>
      <w:r w:rsidR="00EE66A8" w:rsidRPr="00C90AC9">
        <w:rPr>
          <w:rFonts w:eastAsia="Calibri"/>
          <w:lang w:eastAsia="en-US"/>
        </w:rPr>
        <w:t>et al</w:t>
      </w:r>
      <w:r w:rsidR="008E49B0" w:rsidRPr="00C90AC9">
        <w:rPr>
          <w:rFonts w:eastAsia="Calibri"/>
          <w:lang w:eastAsia="en-US"/>
        </w:rPr>
        <w:t>., 2015)</w:t>
      </w:r>
      <w:r w:rsidR="008E49B0" w:rsidRPr="00C90AC9">
        <w:rPr>
          <w:rFonts w:eastAsia="Calibri"/>
          <w:lang w:eastAsia="en-US"/>
        </w:rPr>
        <w:fldChar w:fldCharType="end"/>
      </w:r>
      <w:r w:rsidR="008E49B0" w:rsidRPr="00C90AC9">
        <w:rPr>
          <w:rFonts w:eastAsia="Calibri"/>
          <w:lang w:eastAsia="en-US"/>
        </w:rPr>
        <w:t>.</w:t>
      </w:r>
      <w:sdt>
        <w:sdtPr>
          <w:rPr>
            <w:rFonts w:eastAsia="Calibri"/>
            <w:lang w:eastAsia="en-US"/>
          </w:rPr>
          <w:alias w:val="Don't edit this field"/>
          <w:tag w:val="CitaviPlaceholder#26268e06-ac77-41af-a132-121aa6731612"/>
          <w:id w:val="91986930"/>
          <w:showingPlcHdr/>
        </w:sdtPr>
        <w:sdtEndPr/>
        <w:sdtContent>
          <w:r w:rsidR="008E49B0" w:rsidRPr="00C90AC9">
            <w:rPr>
              <w:rFonts w:eastAsia="Calibri"/>
              <w:lang w:eastAsia="en-US"/>
            </w:rPr>
            <w:t xml:space="preserve">     </w:t>
          </w:r>
        </w:sdtContent>
      </w:sdt>
      <w:r w:rsidR="00A16B8C" w:rsidRPr="00C90AC9">
        <w:rPr>
          <w:rFonts w:eastAsia="Calibri"/>
          <w:lang w:eastAsia="en-US"/>
        </w:rPr>
        <w:t xml:space="preserve"> </w:t>
      </w:r>
    </w:p>
    <w:p w:rsidR="00A16B8C" w:rsidRPr="00C90AC9" w:rsidRDefault="00815B1A" w:rsidP="0099093E">
      <w:pPr>
        <w:pStyle w:val="BodyText"/>
        <w:spacing w:line="240" w:lineRule="auto"/>
        <w:rPr>
          <w:rFonts w:eastAsia="Calibri"/>
          <w:sz w:val="22"/>
          <w:lang w:eastAsia="en-US"/>
        </w:rPr>
      </w:pPr>
      <w:r w:rsidRPr="00C90AC9">
        <w:rPr>
          <w:rFonts w:eastAsia="Calibri"/>
          <w:noProof/>
        </w:rPr>
        <w:drawing>
          <wp:anchor distT="0" distB="0" distL="114300" distR="114300" simplePos="0" relativeHeight="251663360" behindDoc="0" locked="0" layoutInCell="1" allowOverlap="1" wp14:anchorId="7DFD4D5E" wp14:editId="798E0070">
            <wp:simplePos x="0" y="0"/>
            <wp:positionH relativeFrom="margin">
              <wp:align>right</wp:align>
            </wp:positionH>
            <wp:positionV relativeFrom="paragraph">
              <wp:posOffset>492125</wp:posOffset>
            </wp:positionV>
            <wp:extent cx="5617845" cy="4263390"/>
            <wp:effectExtent l="19050" t="19050" r="20955" b="2286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BEBA8EAE-BF5A-486C-A8C5-ECC9F3942E4B}">
                          <a14:imgProps xmlns:a14="http://schemas.microsoft.com/office/drawing/2010/main">
                            <a14:imgLayer r:embed="rId12">
                              <a14:imgEffect>
                                <a14:sharpenSoften amount="34000"/>
                              </a14:imgEffect>
                            </a14:imgLayer>
                          </a14:imgProps>
                        </a:ext>
                        <a:ext uri="{28A0092B-C50C-407E-A947-70E740481C1C}">
                          <a14:useLocalDpi xmlns:a14="http://schemas.microsoft.com/office/drawing/2010/main" val="0"/>
                        </a:ext>
                      </a:extLst>
                    </a:blip>
                    <a:srcRect l="13480" t="9764" r="13462" b="7396"/>
                    <a:stretch/>
                  </pic:blipFill>
                  <pic:spPr bwMode="auto">
                    <a:xfrm>
                      <a:off x="0" y="0"/>
                      <a:ext cx="5617845" cy="426339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6B8C" w:rsidRPr="00C90AC9">
        <w:rPr>
          <w:rFonts w:eastAsia="Calibri"/>
          <w:lang w:eastAsia="en-US"/>
        </w:rPr>
        <w:t>Figure 1.</w:t>
      </w:r>
      <w:r w:rsidR="00AB6753" w:rsidRPr="00C90AC9">
        <w:rPr>
          <w:rFonts w:eastAsia="Calibri"/>
          <w:lang w:eastAsia="en-US"/>
        </w:rPr>
        <w:t>3</w:t>
      </w:r>
      <w:r w:rsidR="00A16B8C" w:rsidRPr="00C90AC9">
        <w:rPr>
          <w:rFonts w:eastAsia="Calibri"/>
          <w:lang w:eastAsia="en-US"/>
        </w:rPr>
        <w:t>. Residential energy consumption and annual growth rate in the 10 largest emitters</w:t>
      </w:r>
      <w:r w:rsidR="00CC2D96" w:rsidRPr="00C90AC9">
        <w:rPr>
          <w:rFonts w:eastAsia="Calibri"/>
          <w:lang w:eastAsia="en-US"/>
        </w:rPr>
        <w:t xml:space="preserve"> of </w:t>
      </w:r>
      <w:r w:rsidR="007E00BF" w:rsidRPr="00C90AC9">
        <w:rPr>
          <w:rFonts w:eastAsia="Calibri"/>
          <w:lang w:eastAsia="en-US"/>
        </w:rPr>
        <w:t>CO</w:t>
      </w:r>
      <w:r w:rsidR="007E00BF" w:rsidRPr="00C90AC9">
        <w:rPr>
          <w:rFonts w:eastAsia="Calibri"/>
          <w:vertAlign w:val="subscript"/>
          <w:lang w:eastAsia="en-US"/>
        </w:rPr>
        <w:t>2</w:t>
      </w:r>
      <w:r w:rsidR="00A16B8C" w:rsidRPr="00C90AC9">
        <w:rPr>
          <w:rFonts w:eastAsia="Calibri"/>
          <w:lang w:eastAsia="en-US"/>
        </w:rPr>
        <w:t xml:space="preserve"> in 2000 and 2011 </w:t>
      </w:r>
      <w:r w:rsidR="008E49B0" w:rsidRPr="00C90AC9">
        <w:rPr>
          <w:rFonts w:eastAsia="Calibri"/>
          <w:lang w:eastAsia="en-US"/>
        </w:rPr>
        <w:fldChar w:fldCharType="begin"/>
      </w:r>
      <w:r w:rsidR="008E49B0" w:rsidRPr="00C90AC9">
        <w:rPr>
          <w:rFonts w:eastAsia="Calibri"/>
          <w:lang w:eastAsia="en-US"/>
        </w:rPr>
        <w:instrText xml:space="preserve"> ADDIN EN.CITE &lt;EndNote&gt;&lt;Cite&gt;&lt;Author&gt;Nejat&lt;/Author&gt;&lt;Year&gt;2015&lt;/Year&gt;&lt;RecNum&gt;178&lt;/RecNum&gt;&lt;DisplayText&gt;(Nejat &amp;amp; et al., 2015)&lt;/DisplayText&gt;&lt;record&gt;&lt;rec-number&gt;178&lt;/rec-number&gt;&lt;foreign-keys&gt;&lt;key app="EN" db-id="50wxdpzd9vd5r7e9t5b595djrfpttrxw9avp" timestamp="1525076335"&gt;178&lt;/key&gt;&lt;/foreign-keys&gt;&lt;ref-type name="Journal Article"&gt;17&lt;/ref-type&gt;&lt;contributors&gt;&lt;authors&gt;&lt;author&gt;Nejat, P.,&lt;/author&gt;&lt;author&gt;et al.,&lt;/author&gt;&lt;/authors&gt;&lt;/contributors&gt;&lt;titles&gt;&lt;title&gt;A global review of energy consumption, CO2 emissions and policy in the residential sector (with an overview of the top ten CO2 emitting countries)&lt;/title&gt;&lt;secondary-title&gt;Renewable and Sustainable Energy Reviews&lt;/secondary-title&gt;&lt;short-title&gt;Nejat, P., et al 2015 – A global review of energy&lt;/short-title&gt;&lt;/titles&gt;&lt;pages&gt;p. 843-862&lt;/pages&gt;&lt;volume&gt;43&lt;/volume&gt;&lt;dates&gt;&lt;year&gt;2015&lt;/year&gt;&lt;/dates&gt;&lt;urls&gt;&lt;/urls&gt;&lt;/record&gt;&lt;/Cite&gt;&lt;/EndNote&gt;</w:instrText>
      </w:r>
      <w:r w:rsidR="008E49B0" w:rsidRPr="00C90AC9">
        <w:rPr>
          <w:rFonts w:eastAsia="Calibri"/>
          <w:lang w:eastAsia="en-US"/>
        </w:rPr>
        <w:fldChar w:fldCharType="separate"/>
      </w:r>
      <w:r w:rsidR="008E49B0" w:rsidRPr="00C90AC9">
        <w:rPr>
          <w:rFonts w:eastAsia="Calibri"/>
          <w:lang w:eastAsia="en-US"/>
        </w:rPr>
        <w:t xml:space="preserve">(Nejat </w:t>
      </w:r>
      <w:r w:rsidR="00EE66A8" w:rsidRPr="00C90AC9">
        <w:rPr>
          <w:rFonts w:eastAsia="Calibri"/>
          <w:lang w:eastAsia="en-US"/>
        </w:rPr>
        <w:t>et al</w:t>
      </w:r>
      <w:r w:rsidR="008E49B0" w:rsidRPr="00C90AC9">
        <w:rPr>
          <w:rFonts w:eastAsia="Calibri"/>
          <w:lang w:eastAsia="en-US"/>
        </w:rPr>
        <w:t>., 2015)</w:t>
      </w:r>
      <w:r w:rsidR="008E49B0" w:rsidRPr="00C90AC9">
        <w:rPr>
          <w:rFonts w:eastAsia="Calibri"/>
          <w:lang w:eastAsia="en-US"/>
        </w:rPr>
        <w:fldChar w:fldCharType="end"/>
      </w:r>
    </w:p>
    <w:p w:rsidR="00815B1A" w:rsidRPr="00C90AC9" w:rsidRDefault="008E49B0" w:rsidP="00F521EF">
      <w:pPr>
        <w:pStyle w:val="BodyText"/>
        <w:spacing w:line="360" w:lineRule="auto"/>
        <w:rPr>
          <w:rFonts w:eastAsia="Calibri"/>
          <w:lang w:eastAsia="en-US"/>
        </w:rPr>
      </w:pPr>
      <w:r w:rsidRPr="00C90AC9">
        <w:rPr>
          <w:rFonts w:eastAsia="Calibri"/>
          <w:lang w:eastAsia="en-US"/>
        </w:rPr>
        <w:lastRenderedPageBreak/>
        <w:tab/>
      </w:r>
      <w:r w:rsidR="00BC5EE2" w:rsidRPr="00C90AC9">
        <w:rPr>
          <w:rFonts w:eastAsia="Calibri"/>
          <w:lang w:eastAsia="en-US"/>
        </w:rPr>
        <w:t>There are four countries</w:t>
      </w:r>
      <w:r w:rsidR="002C2EFC" w:rsidRPr="00C90AC9">
        <w:rPr>
          <w:rFonts w:eastAsia="Calibri"/>
          <w:lang w:eastAsia="en-US"/>
        </w:rPr>
        <w:t xml:space="preserve"> shown</w:t>
      </w:r>
      <w:r w:rsidR="00BC5EE2" w:rsidRPr="00C90AC9">
        <w:rPr>
          <w:rFonts w:eastAsia="Calibri"/>
          <w:lang w:eastAsia="en-US"/>
        </w:rPr>
        <w:t xml:space="preserve"> in</w:t>
      </w:r>
      <w:r w:rsidR="00FA5E7D" w:rsidRPr="00C90AC9">
        <w:rPr>
          <w:rFonts w:eastAsia="Calibri"/>
          <w:lang w:eastAsia="en-US"/>
        </w:rPr>
        <w:t xml:space="preserve"> Figure 1.3.</w:t>
      </w:r>
      <w:r w:rsidR="002C2EFC" w:rsidRPr="00C90AC9">
        <w:rPr>
          <w:rFonts w:eastAsia="Calibri"/>
          <w:lang w:eastAsia="en-US"/>
        </w:rPr>
        <w:t xml:space="preserve"> which have</w:t>
      </w:r>
      <w:r w:rsidR="00BC5EE2" w:rsidRPr="00C90AC9">
        <w:rPr>
          <w:rFonts w:eastAsia="Calibri"/>
          <w:lang w:eastAsia="en-US"/>
        </w:rPr>
        <w:t xml:space="preserve"> </w:t>
      </w:r>
      <w:r w:rsidR="000E4398" w:rsidRPr="00C90AC9">
        <w:rPr>
          <w:rFonts w:eastAsia="Calibri"/>
          <w:lang w:eastAsia="en-US"/>
        </w:rPr>
        <w:t xml:space="preserve">had </w:t>
      </w:r>
      <w:r w:rsidR="00BC5EE2" w:rsidRPr="00C90AC9">
        <w:rPr>
          <w:rFonts w:eastAsia="Calibri"/>
          <w:lang w:eastAsia="en-US"/>
        </w:rPr>
        <w:t xml:space="preserve">a fall in </w:t>
      </w:r>
      <w:r w:rsidR="000E4398" w:rsidRPr="00C90AC9">
        <w:rPr>
          <w:rFonts w:eastAsia="Calibri"/>
          <w:lang w:eastAsia="en-US"/>
        </w:rPr>
        <w:t xml:space="preserve">residential </w:t>
      </w:r>
      <w:r w:rsidR="00BC5EE2" w:rsidRPr="00C90AC9">
        <w:rPr>
          <w:rFonts w:eastAsia="Calibri"/>
          <w:lang w:eastAsia="en-US"/>
        </w:rPr>
        <w:t xml:space="preserve">energy </w:t>
      </w:r>
      <w:r w:rsidR="000E4398" w:rsidRPr="00C90AC9">
        <w:rPr>
          <w:rFonts w:eastAsia="Calibri"/>
          <w:lang w:eastAsia="en-US"/>
        </w:rPr>
        <w:t xml:space="preserve">consumption </w:t>
      </w:r>
      <w:r w:rsidR="00BC5EE2" w:rsidRPr="00C90AC9">
        <w:rPr>
          <w:rFonts w:eastAsia="Calibri"/>
          <w:lang w:eastAsia="en-US"/>
        </w:rPr>
        <w:t>over this time period</w:t>
      </w:r>
      <w:r w:rsidR="00FA5E7D" w:rsidRPr="00C90AC9">
        <w:rPr>
          <w:rFonts w:eastAsia="Calibri"/>
          <w:lang w:eastAsia="en-US"/>
        </w:rPr>
        <w:t xml:space="preserve"> (Germany, the UK, Japan and Russia)</w:t>
      </w:r>
      <w:r w:rsidR="00BC5EE2" w:rsidRPr="00C90AC9">
        <w:rPr>
          <w:rFonts w:eastAsia="Calibri"/>
          <w:lang w:eastAsia="en-US"/>
        </w:rPr>
        <w:t xml:space="preserve"> </w:t>
      </w:r>
      <w:r w:rsidR="00254749" w:rsidRPr="00C90AC9">
        <w:rPr>
          <w:rFonts w:eastAsia="Calibri"/>
          <w:lang w:eastAsia="en-US"/>
        </w:rPr>
        <w:fldChar w:fldCharType="begin"/>
      </w:r>
      <w:r w:rsidR="00254749" w:rsidRPr="00C90AC9">
        <w:rPr>
          <w:rFonts w:eastAsia="Calibri"/>
          <w:lang w:eastAsia="en-US"/>
        </w:rPr>
        <w:instrText xml:space="preserve"> ADDIN EN.CITE &lt;EndNote&gt;&lt;Cite&gt;&lt;Author&gt;Nejat&lt;/Author&gt;&lt;Year&gt;2015&lt;/Year&gt;&lt;RecNum&gt;178&lt;/RecNum&gt;&lt;DisplayText&gt;(Nejat &amp;amp; et al., 2015)&lt;/DisplayText&gt;&lt;record&gt;&lt;rec-number&gt;178&lt;/rec-number&gt;&lt;foreign-keys&gt;&lt;key app="EN" db-id="50wxdpzd9vd5r7e9t5b595djrfpttrxw9avp" timestamp="1525076335"&gt;178&lt;/key&gt;&lt;/foreign-keys&gt;&lt;ref-type name="Journal Article"&gt;17&lt;/ref-type&gt;&lt;contributors&gt;&lt;authors&gt;&lt;author&gt;Nejat, P.,&lt;/author&gt;&lt;author&gt;et al.,&lt;/author&gt;&lt;/authors&gt;&lt;/contributors&gt;&lt;titles&gt;&lt;title&gt;A global review of energy consumption, CO2 emissions and policy in the residential sector (with an overview of the top ten CO2 emitting countries)&lt;/title&gt;&lt;secondary-title&gt;Renewable and Sustainable Energy Reviews&lt;/secondary-title&gt;&lt;short-title&gt;Nejat, P., et al 2015 – A global review of energy&lt;/short-title&gt;&lt;/titles&gt;&lt;pages&gt;p. 843-862&lt;/pages&gt;&lt;volume&gt;43&lt;/volume&gt;&lt;dates&gt;&lt;year&gt;2015&lt;/year&gt;&lt;/dates&gt;&lt;urls&gt;&lt;/urls&gt;&lt;/record&gt;&lt;/Cite&gt;&lt;/EndNote&gt;</w:instrText>
      </w:r>
      <w:r w:rsidR="00254749" w:rsidRPr="00C90AC9">
        <w:rPr>
          <w:rFonts w:eastAsia="Calibri"/>
          <w:lang w:eastAsia="en-US"/>
        </w:rPr>
        <w:fldChar w:fldCharType="separate"/>
      </w:r>
      <w:r w:rsidR="00254749" w:rsidRPr="00C90AC9">
        <w:rPr>
          <w:rFonts w:eastAsia="Calibri"/>
          <w:lang w:eastAsia="en-US"/>
        </w:rPr>
        <w:t xml:space="preserve">(Nejat </w:t>
      </w:r>
      <w:r w:rsidR="00EE66A8" w:rsidRPr="00C90AC9">
        <w:rPr>
          <w:rFonts w:eastAsia="Calibri"/>
          <w:lang w:eastAsia="en-US"/>
        </w:rPr>
        <w:t>et al</w:t>
      </w:r>
      <w:r w:rsidR="00254749" w:rsidRPr="00C90AC9">
        <w:rPr>
          <w:rFonts w:eastAsia="Calibri"/>
          <w:lang w:eastAsia="en-US"/>
        </w:rPr>
        <w:t>., 2015)</w:t>
      </w:r>
      <w:r w:rsidR="00254749" w:rsidRPr="00C90AC9">
        <w:rPr>
          <w:rFonts w:eastAsia="Calibri"/>
          <w:lang w:eastAsia="en-US"/>
        </w:rPr>
        <w:fldChar w:fldCharType="end"/>
      </w:r>
      <w:r w:rsidR="00254749" w:rsidRPr="00C90AC9">
        <w:rPr>
          <w:rFonts w:eastAsia="Calibri"/>
          <w:lang w:eastAsia="en-US"/>
        </w:rPr>
        <w:t xml:space="preserve">. </w:t>
      </w:r>
      <w:r w:rsidR="000E4398" w:rsidRPr="00C90AC9">
        <w:rPr>
          <w:rFonts w:eastAsia="Calibri"/>
          <w:lang w:eastAsia="en-US"/>
        </w:rPr>
        <w:t>T</w:t>
      </w:r>
      <w:r w:rsidR="00BC5EE2" w:rsidRPr="00C90AC9">
        <w:rPr>
          <w:rFonts w:eastAsia="Calibri"/>
          <w:lang w:eastAsia="en-US"/>
        </w:rPr>
        <w:t>his has been</w:t>
      </w:r>
      <w:r w:rsidR="00FA5E7D" w:rsidRPr="00C90AC9">
        <w:rPr>
          <w:rFonts w:eastAsia="Calibri"/>
          <w:lang w:eastAsia="en-US"/>
        </w:rPr>
        <w:t xml:space="preserve"> achieved in part due to </w:t>
      </w:r>
      <w:r w:rsidR="000E4398" w:rsidRPr="00C90AC9">
        <w:rPr>
          <w:rFonts w:eastAsia="Calibri"/>
          <w:lang w:eastAsia="en-US"/>
        </w:rPr>
        <w:t>improvements in energy efficient</w:t>
      </w:r>
      <w:r w:rsidR="00FA5E7D" w:rsidRPr="00C90AC9">
        <w:rPr>
          <w:rFonts w:eastAsia="Calibri"/>
          <w:lang w:eastAsia="en-US"/>
        </w:rPr>
        <w:t xml:space="preserve"> technologies </w:t>
      </w:r>
      <w:r w:rsidR="000E4398" w:rsidRPr="00C90AC9">
        <w:rPr>
          <w:rFonts w:eastAsia="Calibri"/>
          <w:lang w:eastAsia="en-US"/>
        </w:rPr>
        <w:t xml:space="preserve">being used </w:t>
      </w:r>
      <w:r w:rsidR="00FA5E7D" w:rsidRPr="00C90AC9">
        <w:rPr>
          <w:rFonts w:eastAsia="Calibri"/>
          <w:lang w:eastAsia="en-US"/>
        </w:rPr>
        <w:t xml:space="preserve">in domestic properties. </w:t>
      </w:r>
      <w:r w:rsidR="00233E9D" w:rsidRPr="00C90AC9">
        <w:rPr>
          <w:rFonts w:eastAsia="Calibri"/>
          <w:lang w:eastAsia="en-US"/>
        </w:rPr>
        <w:t xml:space="preserve">Modern renewable technologies used in the residential sector have had the highest growth rate of 57% from 2000-2011. </w:t>
      </w:r>
      <w:r w:rsidR="000E4398" w:rsidRPr="00C90AC9">
        <w:rPr>
          <w:rFonts w:eastAsia="Calibri"/>
          <w:lang w:eastAsia="en-US"/>
        </w:rPr>
        <w:t>In</w:t>
      </w:r>
      <w:r w:rsidR="00FA5E7D" w:rsidRPr="00C90AC9">
        <w:rPr>
          <w:rFonts w:eastAsia="Calibri"/>
          <w:lang w:eastAsia="en-US"/>
        </w:rPr>
        <w:t xml:space="preserve"> comparison</w:t>
      </w:r>
      <w:r w:rsidR="000E4398" w:rsidRPr="00C90AC9">
        <w:rPr>
          <w:rFonts w:eastAsia="Calibri"/>
          <w:lang w:eastAsia="en-US"/>
        </w:rPr>
        <w:t>,</w:t>
      </w:r>
      <w:r w:rsidR="00FA5E7D" w:rsidRPr="00C90AC9">
        <w:rPr>
          <w:rFonts w:eastAsia="Calibri"/>
          <w:lang w:eastAsia="en-US"/>
        </w:rPr>
        <w:t xml:space="preserve"> oil </w:t>
      </w:r>
      <w:r w:rsidR="00233E9D" w:rsidRPr="00C90AC9">
        <w:rPr>
          <w:rFonts w:eastAsia="Calibri"/>
          <w:lang w:eastAsia="en-US"/>
        </w:rPr>
        <w:t xml:space="preserve">used in the residential sector </w:t>
      </w:r>
      <w:r w:rsidR="000E4398" w:rsidRPr="00C90AC9">
        <w:rPr>
          <w:rFonts w:eastAsia="Calibri"/>
          <w:lang w:eastAsia="en-US"/>
        </w:rPr>
        <w:t>has had</w:t>
      </w:r>
      <w:r w:rsidR="00FA5E7D" w:rsidRPr="00C90AC9">
        <w:rPr>
          <w:rFonts w:eastAsia="Calibri"/>
          <w:lang w:eastAsia="en-US"/>
        </w:rPr>
        <w:t xml:space="preserve"> a global growth rate of 8%</w:t>
      </w:r>
      <w:r w:rsidR="000E4398" w:rsidRPr="00C90AC9">
        <w:rPr>
          <w:rFonts w:eastAsia="Calibri"/>
          <w:lang w:eastAsia="en-US"/>
        </w:rPr>
        <w:t xml:space="preserve"> from 2000-2011</w:t>
      </w:r>
      <w:r w:rsidR="00FA5E7D" w:rsidRPr="00C90AC9">
        <w:rPr>
          <w:rFonts w:eastAsia="Calibri"/>
          <w:lang w:eastAsia="en-US"/>
        </w:rPr>
        <w:t xml:space="preserve"> </w:t>
      </w:r>
      <w:r w:rsidR="000E4398" w:rsidRPr="00C90AC9">
        <w:rPr>
          <w:rFonts w:eastAsia="Calibri"/>
          <w:lang w:eastAsia="en-US"/>
        </w:rPr>
        <w:t>as shown in Figure 1.4.</w:t>
      </w:r>
      <w:r w:rsidRPr="00C90AC9">
        <w:rPr>
          <w:rFonts w:eastAsia="Calibri"/>
          <w:lang w:eastAsia="en-US"/>
        </w:rPr>
        <w:t xml:space="preserve"> </w:t>
      </w:r>
      <w:r w:rsidR="00FB05EA" w:rsidRPr="00C90AC9">
        <w:rPr>
          <w:rFonts w:eastAsia="Calibri"/>
          <w:lang w:eastAsia="en-US"/>
        </w:rPr>
        <w:fldChar w:fldCharType="begin"/>
      </w:r>
      <w:r w:rsidR="00FB05EA" w:rsidRPr="00C90AC9">
        <w:rPr>
          <w:rFonts w:eastAsia="Calibri"/>
          <w:lang w:eastAsia="en-US"/>
        </w:rPr>
        <w:instrText xml:space="preserve"> ADDIN EN.CITE &lt;EndNote&gt;&lt;Cite&gt;&lt;Author&gt;Nejat&lt;/Author&gt;&lt;Year&gt;2015&lt;/Year&gt;&lt;RecNum&gt;178&lt;/RecNum&gt;&lt;DisplayText&gt;(Nejat &amp;amp; et al., 2015)&lt;/DisplayText&gt;&lt;record&gt;&lt;rec-number&gt;178&lt;/rec-number&gt;&lt;foreign-keys&gt;&lt;key app="EN" db-id="50wxdpzd9vd5r7e9t5b595djrfpttrxw9avp" timestamp="1525076335"&gt;178&lt;/key&gt;&lt;/foreign-keys&gt;&lt;ref-type name="Journal Article"&gt;17&lt;/ref-type&gt;&lt;contributors&gt;&lt;authors&gt;&lt;author&gt;Nejat, P.,&lt;/author&gt;&lt;author&gt;et al.,&lt;/author&gt;&lt;/authors&gt;&lt;/contributors&gt;&lt;titles&gt;&lt;title&gt;A global review of energy consumption, CO2 emissions and policy in the residential sector (with an overview of the top ten CO2 emitting countries)&lt;/title&gt;&lt;secondary-title&gt;Renewable and Sustainable Energy Reviews&lt;/secondary-title&gt;&lt;short-title&gt;Nejat, P., et al 2015 – A global review of energy&lt;/short-title&gt;&lt;/titles&gt;&lt;pages&gt;p. 843-862&lt;/pages&gt;&lt;volume&gt;43&lt;/volume&gt;&lt;dates&gt;&lt;year&gt;2015&lt;/year&gt;&lt;/dates&gt;&lt;urls&gt;&lt;/urls&gt;&lt;/record&gt;&lt;/Cite&gt;&lt;/EndNote&gt;</w:instrText>
      </w:r>
      <w:r w:rsidR="00FB05EA" w:rsidRPr="00C90AC9">
        <w:rPr>
          <w:rFonts w:eastAsia="Calibri"/>
          <w:lang w:eastAsia="en-US"/>
        </w:rPr>
        <w:fldChar w:fldCharType="separate"/>
      </w:r>
      <w:r w:rsidR="00FB05EA" w:rsidRPr="00C90AC9">
        <w:rPr>
          <w:rFonts w:eastAsia="Calibri"/>
          <w:lang w:eastAsia="en-US"/>
        </w:rPr>
        <w:t xml:space="preserve">(Nejat </w:t>
      </w:r>
      <w:r w:rsidR="00EE66A8" w:rsidRPr="00C90AC9">
        <w:rPr>
          <w:rFonts w:eastAsia="Calibri"/>
          <w:lang w:eastAsia="en-US"/>
        </w:rPr>
        <w:t>et al</w:t>
      </w:r>
      <w:r w:rsidR="00FB05EA" w:rsidRPr="00C90AC9">
        <w:rPr>
          <w:rFonts w:eastAsia="Calibri"/>
          <w:lang w:eastAsia="en-US"/>
        </w:rPr>
        <w:t>., 2015)</w:t>
      </w:r>
      <w:r w:rsidR="00FB05EA" w:rsidRPr="00C90AC9">
        <w:rPr>
          <w:rFonts w:eastAsia="Calibri"/>
          <w:lang w:eastAsia="en-US"/>
        </w:rPr>
        <w:fldChar w:fldCharType="end"/>
      </w:r>
      <w:r w:rsidR="00E80479" w:rsidRPr="00C90AC9">
        <w:rPr>
          <w:rFonts w:eastAsia="Calibri"/>
          <w:lang w:eastAsia="en-US"/>
        </w:rPr>
        <w:t>.</w:t>
      </w:r>
    </w:p>
    <w:p w:rsidR="003B6B18" w:rsidRPr="00C90AC9" w:rsidRDefault="008F33AF" w:rsidP="00D01EBF">
      <w:pPr>
        <w:pStyle w:val="BodyText"/>
        <w:rPr>
          <w:rFonts w:eastAsia="Calibri"/>
          <w:lang w:eastAsia="en-US"/>
        </w:rPr>
      </w:pPr>
      <w:r w:rsidRPr="00C90AC9">
        <w:rPr>
          <w:rFonts w:eastAsia="Calibri"/>
          <w:bCs/>
          <w:noProof/>
        </w:rPr>
        <w:drawing>
          <wp:anchor distT="0" distB="0" distL="114300" distR="114300" simplePos="0" relativeHeight="251664384" behindDoc="0" locked="0" layoutInCell="1" allowOverlap="1" wp14:anchorId="57B3BB1A" wp14:editId="251DBC5F">
            <wp:simplePos x="0" y="0"/>
            <wp:positionH relativeFrom="margin">
              <wp:posOffset>0</wp:posOffset>
            </wp:positionH>
            <wp:positionV relativeFrom="paragraph">
              <wp:posOffset>531495</wp:posOffset>
            </wp:positionV>
            <wp:extent cx="5511800" cy="4563110"/>
            <wp:effectExtent l="0" t="0" r="12700" b="27940"/>
            <wp:wrapSquare wrapText="bothSides"/>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r w:rsidR="00A16B8C" w:rsidRPr="00C90AC9">
        <w:rPr>
          <w:rFonts w:eastAsia="Calibri"/>
          <w:bCs/>
          <w:lang w:eastAsia="en-US"/>
        </w:rPr>
        <w:t>Figure 1.</w:t>
      </w:r>
      <w:r w:rsidR="00AB6753" w:rsidRPr="00C90AC9">
        <w:rPr>
          <w:rFonts w:eastAsia="Calibri"/>
          <w:bCs/>
          <w:lang w:eastAsia="en-US"/>
        </w:rPr>
        <w:t>4</w:t>
      </w:r>
      <w:r w:rsidR="00A16B8C" w:rsidRPr="00C90AC9">
        <w:rPr>
          <w:rFonts w:eastAsia="Calibri"/>
          <w:bCs/>
          <w:lang w:eastAsia="en-US"/>
        </w:rPr>
        <w:t>. Global growth rates of different residential energy sources</w:t>
      </w:r>
      <w:r w:rsidR="00AE5397" w:rsidRPr="00C90AC9">
        <w:rPr>
          <w:rFonts w:eastAsia="Calibri"/>
          <w:bCs/>
          <w:lang w:eastAsia="en-US"/>
        </w:rPr>
        <w:t xml:space="preserve"> </w:t>
      </w:r>
      <w:r w:rsidR="00233E9D" w:rsidRPr="00C90AC9">
        <w:rPr>
          <w:rFonts w:eastAsia="Calibri"/>
          <w:bCs/>
          <w:lang w:eastAsia="en-US"/>
        </w:rPr>
        <w:t xml:space="preserve">(2000 – 2011) </w:t>
      </w:r>
      <w:r w:rsidR="00FB05EA" w:rsidRPr="00C90AC9">
        <w:rPr>
          <w:rFonts w:eastAsia="Calibri"/>
          <w:bCs/>
          <w:lang w:eastAsia="en-US"/>
        </w:rPr>
        <w:fldChar w:fldCharType="begin"/>
      </w:r>
      <w:r w:rsidR="00FB05EA" w:rsidRPr="00C90AC9">
        <w:rPr>
          <w:rFonts w:eastAsia="Calibri"/>
          <w:bCs/>
          <w:lang w:eastAsia="en-US"/>
        </w:rPr>
        <w:instrText xml:space="preserve"> ADDIN EN.CITE &lt;EndNote&gt;&lt;Cite&gt;&lt;Author&gt;Nejat&lt;/Author&gt;&lt;Year&gt;2015&lt;/Year&gt;&lt;RecNum&gt;178&lt;/RecNum&gt;&lt;DisplayText&gt;(Nejat &amp;amp; et al., 2015)&lt;/DisplayText&gt;&lt;record&gt;&lt;rec-number&gt;178&lt;/rec-number&gt;&lt;foreign-keys&gt;&lt;key app="EN" db-id="50wxdpzd9vd5r7e9t5b595djrfpttrxw9avp" timestamp="1525076335"&gt;178&lt;/key&gt;&lt;/foreign-keys&gt;&lt;ref-type name="Journal Article"&gt;17&lt;/ref-type&gt;&lt;contributors&gt;&lt;authors&gt;&lt;author&gt;Nejat, P.,&lt;/author&gt;&lt;author&gt;et al.,&lt;/author&gt;&lt;/authors&gt;&lt;/contributors&gt;&lt;titles&gt;&lt;title&gt;A global review of energy consumption, CO2 emissions and policy in the residential sector (with an overview of the top ten CO2 emitting countries)&lt;/title&gt;&lt;secondary-title&gt;Renewable and Sustainable Energy Reviews&lt;/secondary-title&gt;&lt;short-title&gt;Nejat, P., et al 2015 – A global review of energy&lt;/short-title&gt;&lt;/titles&gt;&lt;pages&gt;p. 843-862&lt;/pages&gt;&lt;volume&gt;43&lt;/volume&gt;&lt;dates&gt;&lt;year&gt;2015&lt;/year&gt;&lt;/dates&gt;&lt;urls&gt;&lt;/urls&gt;&lt;/record&gt;&lt;/Cite&gt;&lt;/EndNote&gt;</w:instrText>
      </w:r>
      <w:r w:rsidR="00FB05EA" w:rsidRPr="00C90AC9">
        <w:rPr>
          <w:rFonts w:eastAsia="Calibri"/>
          <w:bCs/>
          <w:lang w:eastAsia="en-US"/>
        </w:rPr>
        <w:fldChar w:fldCharType="separate"/>
      </w:r>
      <w:r w:rsidR="00FB05EA" w:rsidRPr="00C90AC9">
        <w:rPr>
          <w:rFonts w:eastAsia="Calibri"/>
          <w:bCs/>
          <w:lang w:eastAsia="en-US"/>
        </w:rPr>
        <w:t xml:space="preserve">(Nejat </w:t>
      </w:r>
      <w:r w:rsidR="00EE66A8" w:rsidRPr="00C90AC9">
        <w:rPr>
          <w:rFonts w:eastAsia="Calibri"/>
          <w:bCs/>
          <w:lang w:eastAsia="en-US"/>
        </w:rPr>
        <w:t>et al</w:t>
      </w:r>
      <w:r w:rsidR="00FB05EA" w:rsidRPr="00C90AC9">
        <w:rPr>
          <w:rFonts w:eastAsia="Calibri"/>
          <w:bCs/>
          <w:lang w:eastAsia="en-US"/>
        </w:rPr>
        <w:t>., 2015)</w:t>
      </w:r>
      <w:r w:rsidR="00FB05EA" w:rsidRPr="00C90AC9">
        <w:rPr>
          <w:rFonts w:eastAsia="Calibri"/>
          <w:bCs/>
          <w:lang w:eastAsia="en-US"/>
        </w:rPr>
        <w:fldChar w:fldCharType="end"/>
      </w:r>
    </w:p>
    <w:p w:rsidR="008E49B0" w:rsidRPr="00C90AC9" w:rsidRDefault="008E49B0" w:rsidP="003E0497">
      <w:pPr>
        <w:pStyle w:val="BodyText"/>
        <w:spacing w:line="360" w:lineRule="auto"/>
        <w:rPr>
          <w:rFonts w:eastAsia="Calibri"/>
          <w:lang w:eastAsia="en-US"/>
        </w:rPr>
      </w:pPr>
    </w:p>
    <w:p w:rsidR="00233E9D" w:rsidRPr="00C90AC9" w:rsidRDefault="00233E9D" w:rsidP="003E0497">
      <w:pPr>
        <w:pStyle w:val="BodyText"/>
        <w:spacing w:line="360" w:lineRule="auto"/>
        <w:rPr>
          <w:rFonts w:eastAsia="Calibri"/>
          <w:lang w:eastAsia="en-US"/>
        </w:rPr>
      </w:pPr>
      <w:r w:rsidRPr="00C90AC9">
        <w:rPr>
          <w:rFonts w:eastAsia="Calibri"/>
          <w:lang w:eastAsia="en-US"/>
        </w:rPr>
        <w:t>The s</w:t>
      </w:r>
      <w:r w:rsidR="008E49B0" w:rsidRPr="00C90AC9">
        <w:rPr>
          <w:rFonts w:eastAsia="Calibri"/>
          <w:lang w:eastAsia="en-US"/>
        </w:rPr>
        <w:t>mallest growth rate, as shown in</w:t>
      </w:r>
      <w:r w:rsidRPr="00C90AC9">
        <w:rPr>
          <w:rFonts w:eastAsia="Calibri"/>
          <w:lang w:eastAsia="en-US"/>
        </w:rPr>
        <w:t xml:space="preserve"> Figure 1.4. is in coal which has only seen a 1% increase from 200-2011, a difference of over 50 times in comparison to modern renewable sources</w:t>
      </w:r>
      <w:r w:rsidRPr="00C90AC9">
        <w:rPr>
          <w:rFonts w:eastAsia="Calibri"/>
          <w:sz w:val="22"/>
          <w:lang w:eastAsia="en-US"/>
        </w:rPr>
        <w:t xml:space="preserve"> </w:t>
      </w:r>
      <w:r w:rsidR="00FB05EA" w:rsidRPr="00C90AC9">
        <w:rPr>
          <w:rFonts w:eastAsia="Calibri"/>
          <w:lang w:eastAsia="en-US"/>
        </w:rPr>
        <w:fldChar w:fldCharType="begin"/>
      </w:r>
      <w:r w:rsidR="00FB05EA" w:rsidRPr="00C90AC9">
        <w:rPr>
          <w:rFonts w:eastAsia="Calibri"/>
          <w:lang w:eastAsia="en-US"/>
        </w:rPr>
        <w:instrText xml:space="preserve"> ADDIN EN.CITE &lt;EndNote&gt;&lt;Cite&gt;&lt;Author&gt;Nejat&lt;/Author&gt;&lt;Year&gt;2015&lt;/Year&gt;&lt;RecNum&gt;178&lt;/RecNum&gt;&lt;DisplayText&gt;(Nejat &amp;amp; et al., 2015)&lt;/DisplayText&gt;&lt;record&gt;&lt;rec-number&gt;178&lt;/rec-number&gt;&lt;foreign-keys&gt;&lt;key app="EN" db-id="50wxdpzd9vd5r7e9t5b595djrfpttrxw9avp" timestamp="1525076335"&gt;178&lt;/key&gt;&lt;/foreign-keys&gt;&lt;ref-type name="Journal Article"&gt;17&lt;/ref-type&gt;&lt;contributors&gt;&lt;authors&gt;&lt;author&gt;Nejat, P.,&lt;/author&gt;&lt;author&gt;et al.,&lt;/author&gt;&lt;/authors&gt;&lt;/contributors&gt;&lt;titles&gt;&lt;title&gt;A global review of energy consumption, CO2 emissions and policy in the residential sector (with an overview of the top ten CO2 emitting countries)&lt;/title&gt;&lt;secondary-title&gt;Renewable and Sustainable Energy Reviews&lt;/secondary-title&gt;&lt;short-title&gt;Nejat, P., et al 2015 – A global review of energy&lt;/short-title&gt;&lt;/titles&gt;&lt;pages&gt;p. 843-862&lt;/pages&gt;&lt;volume&gt;43&lt;/volume&gt;&lt;dates&gt;&lt;year&gt;2015&lt;/year&gt;&lt;/dates&gt;&lt;urls&gt;&lt;/urls&gt;&lt;/record&gt;&lt;/Cite&gt;&lt;/EndNote&gt;</w:instrText>
      </w:r>
      <w:r w:rsidR="00FB05EA" w:rsidRPr="00C90AC9">
        <w:rPr>
          <w:rFonts w:eastAsia="Calibri"/>
          <w:lang w:eastAsia="en-US"/>
        </w:rPr>
        <w:fldChar w:fldCharType="separate"/>
      </w:r>
      <w:r w:rsidR="00FB05EA" w:rsidRPr="00C90AC9">
        <w:rPr>
          <w:rFonts w:eastAsia="Calibri"/>
          <w:lang w:eastAsia="en-US"/>
        </w:rPr>
        <w:t xml:space="preserve">(Nejat </w:t>
      </w:r>
      <w:r w:rsidR="00EE66A8" w:rsidRPr="00C90AC9">
        <w:rPr>
          <w:rFonts w:eastAsia="Calibri"/>
          <w:lang w:eastAsia="en-US"/>
        </w:rPr>
        <w:t>et al</w:t>
      </w:r>
      <w:r w:rsidR="00FB05EA" w:rsidRPr="00C90AC9">
        <w:rPr>
          <w:rFonts w:eastAsia="Calibri"/>
          <w:lang w:eastAsia="en-US"/>
        </w:rPr>
        <w:t>., 2015)</w:t>
      </w:r>
      <w:r w:rsidR="00FB05EA" w:rsidRPr="00C90AC9">
        <w:rPr>
          <w:rFonts w:eastAsia="Calibri"/>
          <w:lang w:eastAsia="en-US"/>
        </w:rPr>
        <w:fldChar w:fldCharType="end"/>
      </w:r>
      <w:r w:rsidR="008E49B0" w:rsidRPr="00C90AC9">
        <w:rPr>
          <w:rFonts w:eastAsia="Calibri"/>
          <w:lang w:eastAsia="en-US"/>
        </w:rPr>
        <w:t>.</w:t>
      </w:r>
    </w:p>
    <w:p w:rsidR="003B26CD" w:rsidRPr="00C90AC9" w:rsidRDefault="003B26CD" w:rsidP="00B06779">
      <w:pPr>
        <w:pStyle w:val="BodyText"/>
      </w:pPr>
    </w:p>
    <w:p w:rsidR="00254749" w:rsidRPr="00C90AC9" w:rsidRDefault="00254749">
      <w:pPr>
        <w:rPr>
          <w:rStyle w:val="SubtleEmphasis"/>
          <w:rFonts w:cs="Times New Roman"/>
          <w:iCs/>
          <w:color w:val="000000" w:themeColor="text1"/>
          <w:szCs w:val="24"/>
        </w:rPr>
      </w:pPr>
      <w:r w:rsidRPr="00C90AC9">
        <w:rPr>
          <w:rStyle w:val="SubtleEmphasis"/>
        </w:rPr>
        <w:br w:type="page"/>
      </w:r>
    </w:p>
    <w:p w:rsidR="007703C0" w:rsidRPr="00C90AC9" w:rsidRDefault="008E3F33" w:rsidP="00162965">
      <w:pPr>
        <w:pStyle w:val="Heading1"/>
        <w:rPr>
          <w:rStyle w:val="SubtleEmphasis"/>
        </w:rPr>
      </w:pPr>
      <w:r w:rsidRPr="00C90AC9">
        <w:rPr>
          <w:rStyle w:val="SubtleEmphasis"/>
        </w:rPr>
        <w:lastRenderedPageBreak/>
        <w:t>The UK’s energy consumption</w:t>
      </w:r>
    </w:p>
    <w:p w:rsidR="007703C0" w:rsidRPr="00C90AC9" w:rsidRDefault="007703C0" w:rsidP="00FB05EA">
      <w:pPr>
        <w:pStyle w:val="Heading1"/>
        <w:numPr>
          <w:ilvl w:val="0"/>
          <w:numId w:val="0"/>
        </w:numPr>
        <w:spacing w:line="360" w:lineRule="auto"/>
        <w:ind w:firstLine="720"/>
        <w:jc w:val="both"/>
        <w:rPr>
          <w:sz w:val="24"/>
        </w:rPr>
      </w:pPr>
      <w:r w:rsidRPr="00C90AC9">
        <w:rPr>
          <w:rStyle w:val="SubtleEmphasis"/>
          <w:sz w:val="24"/>
        </w:rPr>
        <w:t>Overall energy consumption in the UK has been rising since the 1970’</w:t>
      </w:r>
      <w:r w:rsidR="005815B4" w:rsidRPr="00C90AC9">
        <w:rPr>
          <w:rStyle w:val="SubtleEmphasis"/>
          <w:sz w:val="24"/>
        </w:rPr>
        <w:t xml:space="preserve">s, </w:t>
      </w:r>
      <w:r w:rsidR="00325A67" w:rsidRPr="00C90AC9">
        <w:rPr>
          <w:rStyle w:val="SubtleEmphasis"/>
          <w:sz w:val="24"/>
        </w:rPr>
        <w:t>despite a fall in consumption in the industry sector and the</w:t>
      </w:r>
      <w:r w:rsidR="005815B4" w:rsidRPr="00C90AC9">
        <w:rPr>
          <w:rStyle w:val="SubtleEmphasis"/>
          <w:sz w:val="24"/>
        </w:rPr>
        <w:t xml:space="preserve"> services </w:t>
      </w:r>
      <w:r w:rsidR="00325A67" w:rsidRPr="00C90AC9">
        <w:rPr>
          <w:rStyle w:val="SubtleEmphasis"/>
          <w:sz w:val="24"/>
        </w:rPr>
        <w:t>sector having a relatively stable demand</w:t>
      </w:r>
      <w:r w:rsidR="005815B4" w:rsidRPr="00C90AC9">
        <w:rPr>
          <w:rStyle w:val="SubtleEmphasis"/>
          <w:sz w:val="24"/>
        </w:rPr>
        <w:t xml:space="preserve"> over the same time period </w:t>
      </w:r>
      <w:r w:rsidR="00FB05EA" w:rsidRPr="00C90AC9">
        <w:rPr>
          <w:rStyle w:val="SubtleEmphasis"/>
          <w:sz w:val="24"/>
        </w:rPr>
        <w:fldChar w:fldCharType="begin"/>
      </w:r>
      <w:r w:rsidR="00FB05EA" w:rsidRPr="00C90AC9">
        <w:rPr>
          <w:rStyle w:val="SubtleEmphasis"/>
          <w:sz w:val="24"/>
        </w:rPr>
        <w:instrText xml:space="preserve"> ADDIN EN.CITE &lt;EndNote&gt;&lt;Cite&gt;&lt;Author&gt;Nejat&lt;/Author&gt;&lt;Year&gt;2015&lt;/Year&gt;&lt;RecNum&gt;178&lt;/RecNum&gt;&lt;DisplayText&gt;(Nejat &amp;amp; et al., 2015)&lt;/DisplayText&gt;&lt;record&gt;&lt;rec-number&gt;178&lt;/rec-number&gt;&lt;foreign-keys&gt;&lt;key app="EN" db-id="50wxdpzd9vd5r7e9t5b595djrfpttrxw9avp" timestamp="1525076335"&gt;178&lt;/key&gt;&lt;/foreign-keys&gt;&lt;ref-type name="Journal Article"&gt;17&lt;/ref-type&gt;&lt;contributors&gt;&lt;authors&gt;&lt;author&gt;Nejat, P.,&lt;/author&gt;&lt;author&gt;et al.,&lt;/author&gt;&lt;/authors&gt;&lt;/contributors&gt;&lt;titles&gt;&lt;title&gt;A global review of energy consumption, CO2 emissions and policy in the residential sector (with an overview of the top ten CO2 emitting countries)&lt;/title&gt;&lt;secondary-title&gt;Renewable and Sustainable Energy Reviews&lt;/secondary-title&gt;&lt;short-title&gt;Nejat, P., et al 2015 – A global review of energy&lt;/short-title&gt;&lt;/titles&gt;&lt;pages&gt;p. 843-862&lt;/pages&gt;&lt;volume&gt;43&lt;/volume&gt;&lt;dates&gt;&lt;year&gt;2015&lt;/year&gt;&lt;/dates&gt;&lt;urls&gt;&lt;/urls&gt;&lt;/record&gt;&lt;/Cite&gt;&lt;/EndNote&gt;</w:instrText>
      </w:r>
      <w:r w:rsidR="00FB05EA" w:rsidRPr="00C90AC9">
        <w:rPr>
          <w:rStyle w:val="SubtleEmphasis"/>
          <w:sz w:val="24"/>
        </w:rPr>
        <w:fldChar w:fldCharType="separate"/>
      </w:r>
      <w:r w:rsidR="00FB05EA" w:rsidRPr="00C90AC9">
        <w:rPr>
          <w:rStyle w:val="SubtleEmphasis"/>
          <w:sz w:val="24"/>
        </w:rPr>
        <w:t xml:space="preserve">(Nejat </w:t>
      </w:r>
      <w:r w:rsidR="00EE66A8" w:rsidRPr="00C90AC9">
        <w:rPr>
          <w:rStyle w:val="SubtleEmphasis"/>
          <w:sz w:val="24"/>
        </w:rPr>
        <w:t>et al</w:t>
      </w:r>
      <w:r w:rsidR="00FB05EA" w:rsidRPr="00C90AC9">
        <w:rPr>
          <w:rStyle w:val="SubtleEmphasis"/>
          <w:sz w:val="24"/>
        </w:rPr>
        <w:t>., 2015)</w:t>
      </w:r>
      <w:r w:rsidR="00FB05EA" w:rsidRPr="00C90AC9">
        <w:rPr>
          <w:rStyle w:val="SubtleEmphasis"/>
          <w:sz w:val="24"/>
        </w:rPr>
        <w:fldChar w:fldCharType="end"/>
      </w:r>
      <w:r w:rsidR="008E49B0" w:rsidRPr="00C90AC9">
        <w:rPr>
          <w:rStyle w:val="SubtleEmphasis"/>
          <w:sz w:val="24"/>
        </w:rPr>
        <w:t xml:space="preserve">. </w:t>
      </w:r>
      <w:r w:rsidR="00187CB4" w:rsidRPr="00C90AC9">
        <w:rPr>
          <w:rFonts w:eastAsia="Calibri"/>
          <w:sz w:val="24"/>
          <w:lang w:eastAsia="en-US"/>
        </w:rPr>
        <w:t xml:space="preserve">The UK </w:t>
      </w:r>
      <w:r w:rsidR="005D3557" w:rsidRPr="00C90AC9">
        <w:rPr>
          <w:rFonts w:eastAsia="Calibri"/>
          <w:sz w:val="24"/>
          <w:lang w:eastAsia="en-US"/>
        </w:rPr>
        <w:t>in 2017</w:t>
      </w:r>
      <w:r w:rsidR="00187CB4" w:rsidRPr="00C90AC9">
        <w:rPr>
          <w:rFonts w:eastAsia="Calibri"/>
          <w:sz w:val="24"/>
          <w:lang w:eastAsia="en-US"/>
        </w:rPr>
        <w:t xml:space="preserve"> increased t</w:t>
      </w:r>
      <w:r w:rsidR="005D3557" w:rsidRPr="00C90AC9">
        <w:rPr>
          <w:rFonts w:eastAsia="Calibri"/>
          <w:sz w:val="24"/>
          <w:lang w:eastAsia="en-US"/>
        </w:rPr>
        <w:t xml:space="preserve">he amount of energy it consumed </w:t>
      </w:r>
      <w:r w:rsidR="00187CB4" w:rsidRPr="00C90AC9">
        <w:rPr>
          <w:rFonts w:eastAsia="Calibri"/>
          <w:sz w:val="24"/>
          <w:lang w:eastAsia="en-US"/>
        </w:rPr>
        <w:t>by</w:t>
      </w:r>
      <w:r w:rsidR="00325A67" w:rsidRPr="00C90AC9">
        <w:rPr>
          <w:rFonts w:eastAsia="Calibri"/>
          <w:sz w:val="24"/>
          <w:lang w:eastAsia="en-US"/>
        </w:rPr>
        <w:t xml:space="preserve"> a</w:t>
      </w:r>
      <w:r w:rsidR="005D3557" w:rsidRPr="00C90AC9">
        <w:rPr>
          <w:rFonts w:eastAsia="Calibri"/>
          <w:sz w:val="24"/>
          <w:lang w:eastAsia="en-US"/>
        </w:rPr>
        <w:t>pproximately 1.6 % of the total in 2016.</w:t>
      </w:r>
      <w:r w:rsidR="005815B4" w:rsidRPr="00C90AC9">
        <w:rPr>
          <w:rFonts w:eastAsia="Calibri"/>
          <w:sz w:val="24"/>
          <w:lang w:eastAsia="en-US"/>
        </w:rPr>
        <w:t xml:space="preserve"> This increase is </w:t>
      </w:r>
      <w:r w:rsidR="00325A67" w:rsidRPr="00C90AC9">
        <w:rPr>
          <w:rFonts w:eastAsia="Calibri"/>
          <w:sz w:val="24"/>
          <w:lang w:eastAsia="en-US"/>
        </w:rPr>
        <w:t xml:space="preserve">equivalent to 2,167 </w:t>
      </w:r>
      <w:r w:rsidR="005815B4" w:rsidRPr="00C90AC9">
        <w:rPr>
          <w:rFonts w:eastAsia="Calibri"/>
          <w:sz w:val="24"/>
          <w:lang w:eastAsia="en-US"/>
        </w:rPr>
        <w:t>Kilo</w:t>
      </w:r>
      <w:r w:rsidR="006C186E" w:rsidRPr="00C90AC9">
        <w:rPr>
          <w:rFonts w:eastAsia="Calibri"/>
          <w:sz w:val="24"/>
          <w:lang w:eastAsia="en-US"/>
        </w:rPr>
        <w:t xml:space="preserve"> </w:t>
      </w:r>
      <w:r w:rsidR="005815B4" w:rsidRPr="00C90AC9">
        <w:rPr>
          <w:rFonts w:eastAsia="Calibri"/>
          <w:sz w:val="24"/>
          <w:lang w:eastAsia="en-US"/>
        </w:rPr>
        <w:t>T</w:t>
      </w:r>
      <w:r w:rsidR="00325A67" w:rsidRPr="00C90AC9">
        <w:rPr>
          <w:rFonts w:eastAsia="Calibri"/>
          <w:sz w:val="24"/>
          <w:lang w:eastAsia="en-US"/>
        </w:rPr>
        <w:t>ons</w:t>
      </w:r>
      <w:r w:rsidR="005815B4" w:rsidRPr="00C90AC9">
        <w:rPr>
          <w:rFonts w:eastAsia="Calibri"/>
          <w:sz w:val="24"/>
          <w:lang w:eastAsia="en-US"/>
        </w:rPr>
        <w:t xml:space="preserve"> of Oil E</w:t>
      </w:r>
      <w:r w:rsidR="00325A67" w:rsidRPr="00C90AC9">
        <w:rPr>
          <w:rFonts w:eastAsia="Calibri"/>
          <w:sz w:val="24"/>
          <w:lang w:eastAsia="en-US"/>
        </w:rPr>
        <w:t>quivalent (KTOE</w:t>
      </w:r>
      <w:r w:rsidR="005D3557" w:rsidRPr="00C90AC9">
        <w:rPr>
          <w:rFonts w:eastAsia="Calibri"/>
          <w:sz w:val="24"/>
          <w:lang w:eastAsia="en-US"/>
        </w:rPr>
        <w:t>) and was primarily due to an in</w:t>
      </w:r>
      <w:r w:rsidR="00325A67" w:rsidRPr="00C90AC9">
        <w:rPr>
          <w:rFonts w:eastAsia="Calibri"/>
          <w:sz w:val="24"/>
          <w:lang w:eastAsia="en-US"/>
        </w:rPr>
        <w:t xml:space="preserve">crease in </w:t>
      </w:r>
      <w:r w:rsidR="003E0497" w:rsidRPr="00C90AC9">
        <w:rPr>
          <w:rFonts w:eastAsia="Calibri"/>
          <w:sz w:val="24"/>
          <w:lang w:eastAsia="en-US"/>
        </w:rPr>
        <w:t>the use of natural gas which</w:t>
      </w:r>
      <w:r w:rsidR="005815B4" w:rsidRPr="00C90AC9">
        <w:rPr>
          <w:rFonts w:eastAsia="Calibri"/>
          <w:sz w:val="24"/>
          <w:lang w:eastAsia="en-US"/>
        </w:rPr>
        <w:t xml:space="preserve"> experienced an </w:t>
      </w:r>
      <w:r w:rsidR="008E49B0" w:rsidRPr="00C90AC9">
        <w:rPr>
          <w:rFonts w:eastAsia="Calibri"/>
          <w:sz w:val="24"/>
          <w:lang w:eastAsia="en-US"/>
        </w:rPr>
        <w:t xml:space="preserve">increase of 3.2% </w:t>
      </w:r>
      <w:r w:rsidR="00FB05EA" w:rsidRPr="00C90AC9">
        <w:rPr>
          <w:rFonts w:eastAsia="Calibri"/>
          <w:sz w:val="24"/>
          <w:lang w:eastAsia="en-US"/>
        </w:rPr>
        <w:fldChar w:fldCharType="begin"/>
      </w:r>
      <w:r w:rsidR="00FB05EA" w:rsidRPr="00C90AC9">
        <w:rPr>
          <w:rFonts w:eastAsia="Calibri"/>
          <w:sz w:val="24"/>
          <w:lang w:eastAsia="en-US"/>
        </w:rPr>
        <w:instrText xml:space="preserve"> ADDIN EN.CITE &lt;EndNote&gt;&lt;Cite&gt;&lt;Author&gt;Nejat&lt;/Author&gt;&lt;Year&gt;2015&lt;/Year&gt;&lt;RecNum&gt;178&lt;/RecNum&gt;&lt;DisplayText&gt;(Nejat &amp;amp; et al., 2015)&lt;/DisplayText&gt;&lt;record&gt;&lt;rec-number&gt;178&lt;/rec-number&gt;&lt;foreign-keys&gt;&lt;key app="EN" db-id="50wxdpzd9vd5r7e9t5b595djrfpttrxw9avp" timestamp="1525076335"&gt;178&lt;/key&gt;&lt;/foreign-keys&gt;&lt;ref-type name="Journal Article"&gt;17&lt;/ref-type&gt;&lt;contributors&gt;&lt;authors&gt;&lt;author&gt;Nejat, P.,&lt;/author&gt;&lt;author&gt;et al.,&lt;/author&gt;&lt;/authors&gt;&lt;/contributors&gt;&lt;titles&gt;&lt;title&gt;A global review of energy consumption, CO2 emissions and policy in the residential sector (with an overview of the top ten CO2 emitting countries)&lt;/title&gt;&lt;secondary-title&gt;Renewable and Sustainable Energy Reviews&lt;/secondary-title&gt;&lt;short-title&gt;Nejat, P., et al 2015 – A global review of energy&lt;/short-title&gt;&lt;/titles&gt;&lt;pages&gt;p. 843-862&lt;/pages&gt;&lt;volume&gt;43&lt;/volume&gt;&lt;dates&gt;&lt;year&gt;2015&lt;/year&gt;&lt;/dates&gt;&lt;urls&gt;&lt;/urls&gt;&lt;/record&gt;&lt;/Cite&gt;&lt;/EndNote&gt;</w:instrText>
      </w:r>
      <w:r w:rsidR="00FB05EA" w:rsidRPr="00C90AC9">
        <w:rPr>
          <w:rFonts w:eastAsia="Calibri"/>
          <w:sz w:val="24"/>
          <w:lang w:eastAsia="en-US"/>
        </w:rPr>
        <w:fldChar w:fldCharType="separate"/>
      </w:r>
      <w:r w:rsidR="00FB05EA" w:rsidRPr="00C90AC9">
        <w:rPr>
          <w:rFonts w:eastAsia="Calibri"/>
          <w:sz w:val="24"/>
          <w:lang w:eastAsia="en-US"/>
        </w:rPr>
        <w:t xml:space="preserve">(Nejat </w:t>
      </w:r>
      <w:r w:rsidR="00EE66A8" w:rsidRPr="00C90AC9">
        <w:rPr>
          <w:rFonts w:eastAsia="Calibri"/>
          <w:sz w:val="24"/>
          <w:lang w:eastAsia="en-US"/>
        </w:rPr>
        <w:t>et al</w:t>
      </w:r>
      <w:r w:rsidR="00FB05EA" w:rsidRPr="00C90AC9">
        <w:rPr>
          <w:rFonts w:eastAsia="Calibri"/>
          <w:sz w:val="24"/>
          <w:lang w:eastAsia="en-US"/>
        </w:rPr>
        <w:t>., 2015)</w:t>
      </w:r>
      <w:r w:rsidR="00FB05EA" w:rsidRPr="00C90AC9">
        <w:rPr>
          <w:rFonts w:eastAsia="Calibri"/>
          <w:sz w:val="24"/>
          <w:lang w:eastAsia="en-US"/>
        </w:rPr>
        <w:fldChar w:fldCharType="end"/>
      </w:r>
      <w:r w:rsidR="008E49B0" w:rsidRPr="00C90AC9">
        <w:rPr>
          <w:rFonts w:eastAsia="Calibri"/>
          <w:sz w:val="24"/>
          <w:lang w:eastAsia="en-US"/>
        </w:rPr>
        <w:t>.</w:t>
      </w:r>
      <w:r w:rsidR="00D07CBD" w:rsidRPr="00C90AC9">
        <w:rPr>
          <w:rFonts w:eastAsia="Calibri"/>
          <w:sz w:val="24"/>
          <w:lang w:eastAsia="en-US"/>
        </w:rPr>
        <w:t xml:space="preserve"> The </w:t>
      </w:r>
      <w:r w:rsidR="005D3557" w:rsidRPr="00C90AC9">
        <w:rPr>
          <w:rFonts w:eastAsia="Calibri"/>
          <w:sz w:val="24"/>
          <w:lang w:eastAsia="en-US"/>
        </w:rPr>
        <w:t xml:space="preserve">greater volatility </w:t>
      </w:r>
      <w:r w:rsidR="00964488" w:rsidRPr="00C90AC9">
        <w:rPr>
          <w:rFonts w:eastAsia="Calibri"/>
          <w:sz w:val="24"/>
          <w:lang w:eastAsia="en-US"/>
        </w:rPr>
        <w:t xml:space="preserve">in energy consumption </w:t>
      </w:r>
      <w:r w:rsidR="00D07CBD" w:rsidRPr="00C90AC9">
        <w:rPr>
          <w:rFonts w:eastAsia="Calibri"/>
          <w:sz w:val="24"/>
          <w:lang w:eastAsia="en-US"/>
        </w:rPr>
        <w:t xml:space="preserve">is highlighted by Figure 1.5 as being quite extreme in the residential sector when compared </w:t>
      </w:r>
      <w:r w:rsidR="00964488" w:rsidRPr="00C90AC9">
        <w:rPr>
          <w:rFonts w:eastAsia="Calibri"/>
          <w:sz w:val="24"/>
          <w:lang w:eastAsia="en-US"/>
        </w:rPr>
        <w:t>to the three other sectors</w:t>
      </w:r>
      <w:r w:rsidR="00D07CBD" w:rsidRPr="00C90AC9">
        <w:rPr>
          <w:rFonts w:eastAsia="Calibri"/>
          <w:sz w:val="24"/>
          <w:lang w:eastAsia="en-US"/>
        </w:rPr>
        <w:t xml:space="preserve"> (transport, industry and service) and this is primarily due to fluctuating energy costs of conventional energy sources such as oil and natural gas </w:t>
      </w:r>
      <w:r w:rsidR="00FB05EA" w:rsidRPr="00C90AC9">
        <w:rPr>
          <w:rFonts w:eastAsia="Calibri"/>
          <w:sz w:val="24"/>
          <w:lang w:eastAsia="en-US"/>
        </w:rPr>
        <w:fldChar w:fldCharType="begin"/>
      </w:r>
      <w:r w:rsidR="00FB05EA" w:rsidRPr="00C90AC9">
        <w:rPr>
          <w:rFonts w:eastAsia="Calibri"/>
          <w:sz w:val="24"/>
          <w:lang w:eastAsia="en-US"/>
        </w:rPr>
        <w:instrText xml:space="preserve"> ADDIN EN.CITE &lt;EndNote&gt;&lt;Cite&gt;&lt;Author&gt;Nejat&lt;/Author&gt;&lt;Year&gt;2015&lt;/Year&gt;&lt;RecNum&gt;178&lt;/RecNum&gt;&lt;DisplayText&gt;(Nejat &amp;amp; et al., 2015)&lt;/DisplayText&gt;&lt;record&gt;&lt;rec-number&gt;178&lt;/rec-number&gt;&lt;foreign-keys&gt;&lt;key app="EN" db-id="50wxdpzd9vd5r7e9t5b595djrfpttrxw9avp" timestamp="1525076335"&gt;178&lt;/key&gt;&lt;/foreign-keys&gt;&lt;ref-type name="Journal Article"&gt;17&lt;/ref-type&gt;&lt;contributors&gt;&lt;authors&gt;&lt;author&gt;Nejat, P.,&lt;/author&gt;&lt;author&gt;et al.,&lt;/author&gt;&lt;/authors&gt;&lt;/contributors&gt;&lt;titles&gt;&lt;title&gt;A global review of energy consumption, CO2 emissions and policy in the residential sector (with an overview of the top ten CO2 emitting countries)&lt;/title&gt;&lt;secondary-title&gt;Renewable and Sustainable Energy Reviews&lt;/secondary-title&gt;&lt;short-title&gt;Nejat, P., et al 2015 – A global review of energy&lt;/short-title&gt;&lt;/titles&gt;&lt;pages&gt;p. 843-862&lt;/pages&gt;&lt;volume&gt;43&lt;/volume&gt;&lt;dates&gt;&lt;year&gt;2015&lt;/year&gt;&lt;/dates&gt;&lt;urls&gt;&lt;/urls&gt;&lt;/record&gt;&lt;/Cite&gt;&lt;/EndNote&gt;</w:instrText>
      </w:r>
      <w:r w:rsidR="00FB05EA" w:rsidRPr="00C90AC9">
        <w:rPr>
          <w:rFonts w:eastAsia="Calibri"/>
          <w:sz w:val="24"/>
          <w:lang w:eastAsia="en-US"/>
        </w:rPr>
        <w:fldChar w:fldCharType="separate"/>
      </w:r>
      <w:r w:rsidR="00FB05EA" w:rsidRPr="00C90AC9">
        <w:rPr>
          <w:rFonts w:eastAsia="Calibri"/>
          <w:sz w:val="24"/>
          <w:lang w:eastAsia="en-US"/>
        </w:rPr>
        <w:t xml:space="preserve">(Nejat </w:t>
      </w:r>
      <w:r w:rsidR="00EE66A8" w:rsidRPr="00C90AC9">
        <w:rPr>
          <w:rFonts w:eastAsia="Calibri"/>
          <w:sz w:val="24"/>
          <w:lang w:eastAsia="en-US"/>
        </w:rPr>
        <w:t>et al</w:t>
      </w:r>
      <w:r w:rsidR="00FB05EA" w:rsidRPr="00C90AC9">
        <w:rPr>
          <w:rFonts w:eastAsia="Calibri"/>
          <w:sz w:val="24"/>
          <w:lang w:eastAsia="en-US"/>
        </w:rPr>
        <w:t>., 2015)</w:t>
      </w:r>
      <w:r w:rsidR="00FB05EA" w:rsidRPr="00C90AC9">
        <w:rPr>
          <w:rFonts w:eastAsia="Calibri"/>
          <w:sz w:val="24"/>
          <w:lang w:eastAsia="en-US"/>
        </w:rPr>
        <w:fldChar w:fldCharType="end"/>
      </w:r>
      <w:r w:rsidR="00FB05EA" w:rsidRPr="00C90AC9">
        <w:rPr>
          <w:rFonts w:eastAsia="Calibri"/>
          <w:sz w:val="24"/>
          <w:lang w:eastAsia="en-US"/>
        </w:rPr>
        <w:t>.</w:t>
      </w:r>
    </w:p>
    <w:p w:rsidR="007703C0" w:rsidRPr="00C90AC9" w:rsidRDefault="007703C0" w:rsidP="007703C0"/>
    <w:p w:rsidR="002F1B05" w:rsidRPr="00C90AC9" w:rsidRDefault="00187CB4" w:rsidP="008E3F33">
      <w:r w:rsidRPr="00C90AC9">
        <w:rPr>
          <w:noProof/>
        </w:rPr>
        <w:drawing>
          <wp:anchor distT="0" distB="0" distL="114300" distR="114300" simplePos="0" relativeHeight="251953152" behindDoc="0" locked="0" layoutInCell="1" allowOverlap="1" wp14:anchorId="00D05FE2" wp14:editId="54FB0CA2">
            <wp:simplePos x="0" y="0"/>
            <wp:positionH relativeFrom="margin">
              <wp:align>right</wp:align>
            </wp:positionH>
            <wp:positionV relativeFrom="paragraph">
              <wp:posOffset>419735</wp:posOffset>
            </wp:positionV>
            <wp:extent cx="5619750" cy="5124450"/>
            <wp:effectExtent l="19050" t="19050" r="19050" b="19050"/>
            <wp:wrapSquare wrapText="bothSides"/>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t="19457" r="15975" b="6605"/>
                    <a:stretch/>
                  </pic:blipFill>
                  <pic:spPr bwMode="auto">
                    <a:xfrm>
                      <a:off x="0" y="0"/>
                      <a:ext cx="5619750" cy="512445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0AC9">
        <w:t>Figure 1.5.</w:t>
      </w:r>
      <w:r w:rsidR="007703C0" w:rsidRPr="00C90AC9">
        <w:t xml:space="preserve"> </w:t>
      </w:r>
      <w:r w:rsidRPr="00C90AC9">
        <w:t>F</w:t>
      </w:r>
      <w:r w:rsidR="007703C0" w:rsidRPr="00C90AC9">
        <w:t xml:space="preserve">inal energy consumption in the UK by sector </w:t>
      </w:r>
      <w:r w:rsidR="00FB05EA" w:rsidRPr="00C90AC9">
        <w:fldChar w:fldCharType="begin"/>
      </w:r>
      <w:r w:rsidR="00FB05EA" w:rsidRPr="00C90AC9">
        <w:instrText xml:space="preserve"> ADDIN EN.CITE &lt;EndNote&gt;&lt;Cite&gt;&lt;Author&gt;Nejat&lt;/Author&gt;&lt;Year&gt;2015&lt;/Year&gt;&lt;RecNum&gt;178&lt;/RecNum&gt;&lt;DisplayText&gt;(Nejat &amp;amp; et al., 2015)&lt;/DisplayText&gt;&lt;record&gt;&lt;rec-number&gt;178&lt;/rec-number&gt;&lt;foreign-keys&gt;&lt;key app="EN" db-id="50wxdpzd9vd5r7e9t5b595djrfpttrxw9avp" timestamp="1525076335"&gt;178&lt;/key&gt;&lt;/foreign-keys&gt;&lt;ref-type name="Journal Article"&gt;17&lt;/ref-type&gt;&lt;contributors&gt;&lt;authors&gt;&lt;author&gt;Nejat, P.,&lt;/author&gt;&lt;author&gt;et al.,&lt;/author&gt;&lt;/authors&gt;&lt;/contributors&gt;&lt;titles&gt;&lt;title&gt;A global review of energy consumption, CO2 emissions and policy in the residential sector (with an overview of the top ten CO2 emitting countries)&lt;/title&gt;&lt;secondary-title&gt;Renewable and Sustainable Energy Reviews&lt;/secondary-title&gt;&lt;short-title&gt;Nejat, P., et al 2015 – A global review of energy&lt;/short-title&gt;&lt;/titles&gt;&lt;pages&gt;p. 843-862&lt;/pages&gt;&lt;volume&gt;43&lt;/volume&gt;&lt;dates&gt;&lt;year&gt;2015&lt;/year&gt;&lt;/dates&gt;&lt;urls&gt;&lt;/urls&gt;&lt;/record&gt;&lt;/Cite&gt;&lt;/EndNote&gt;</w:instrText>
      </w:r>
      <w:r w:rsidR="00FB05EA" w:rsidRPr="00C90AC9">
        <w:fldChar w:fldCharType="separate"/>
      </w:r>
      <w:r w:rsidR="00FB05EA" w:rsidRPr="00C90AC9">
        <w:t xml:space="preserve">(Nejat </w:t>
      </w:r>
      <w:r w:rsidR="00EE66A8" w:rsidRPr="00C90AC9">
        <w:t>et al</w:t>
      </w:r>
      <w:r w:rsidR="00FB05EA" w:rsidRPr="00C90AC9">
        <w:t>., 2015)</w:t>
      </w:r>
      <w:r w:rsidR="00FB05EA" w:rsidRPr="00C90AC9">
        <w:fldChar w:fldCharType="end"/>
      </w:r>
    </w:p>
    <w:p w:rsidR="00EF7270" w:rsidRPr="00C90AC9" w:rsidRDefault="00A16B8C" w:rsidP="00162965">
      <w:pPr>
        <w:pStyle w:val="Heading1"/>
        <w:rPr>
          <w:rStyle w:val="SubtleEmphasis"/>
        </w:rPr>
      </w:pPr>
      <w:bookmarkStart w:id="13" w:name="_Toc376996826"/>
      <w:bookmarkStart w:id="14" w:name="_Toc377005508"/>
      <w:r w:rsidRPr="00C90AC9">
        <w:rPr>
          <w:rStyle w:val="SubtleEmphasis"/>
        </w:rPr>
        <w:lastRenderedPageBreak/>
        <w:t>Energy consumption</w:t>
      </w:r>
      <w:r w:rsidR="00646621" w:rsidRPr="00C90AC9">
        <w:rPr>
          <w:rStyle w:val="SubtleEmphasis"/>
        </w:rPr>
        <w:t xml:space="preserve"> in</w:t>
      </w:r>
      <w:r w:rsidRPr="00C90AC9">
        <w:rPr>
          <w:rStyle w:val="SubtleEmphasis"/>
        </w:rPr>
        <w:t xml:space="preserve"> UK buildings</w:t>
      </w:r>
    </w:p>
    <w:p w:rsidR="00A16B8C" w:rsidRPr="00C90AC9" w:rsidRDefault="003B5F6E" w:rsidP="00F521EF">
      <w:pPr>
        <w:pStyle w:val="BodyTextFirstIndent"/>
        <w:spacing w:line="360" w:lineRule="auto"/>
        <w:rPr>
          <w:rFonts w:eastAsia="Calibri"/>
          <w:lang w:eastAsia="en-US"/>
        </w:rPr>
      </w:pPr>
      <w:r w:rsidRPr="00C90AC9">
        <w:rPr>
          <w:rFonts w:eastAsia="Calibri"/>
          <w:lang w:eastAsia="en-US"/>
        </w:rPr>
        <w:t xml:space="preserve">Energy consumption </w:t>
      </w:r>
      <w:r w:rsidR="00A16B8C" w:rsidRPr="00C90AC9">
        <w:rPr>
          <w:rFonts w:eastAsia="Calibri"/>
          <w:lang w:eastAsia="en-US"/>
        </w:rPr>
        <w:t xml:space="preserve">in </w:t>
      </w:r>
      <w:r w:rsidR="00BC5EE2" w:rsidRPr="00C90AC9">
        <w:rPr>
          <w:rFonts w:eastAsia="Calibri"/>
          <w:lang w:eastAsia="en-US"/>
        </w:rPr>
        <w:t xml:space="preserve">all </w:t>
      </w:r>
      <w:r w:rsidR="00646621" w:rsidRPr="00C90AC9">
        <w:rPr>
          <w:rFonts w:eastAsia="Calibri"/>
          <w:lang w:eastAsia="en-US"/>
        </w:rPr>
        <w:t xml:space="preserve">UK </w:t>
      </w:r>
      <w:r w:rsidR="00A16B8C" w:rsidRPr="00C90AC9">
        <w:rPr>
          <w:rFonts w:eastAsia="Calibri"/>
          <w:lang w:eastAsia="en-US"/>
        </w:rPr>
        <w:t xml:space="preserve">buildings accounts for </w:t>
      </w:r>
      <w:r w:rsidR="004015D0" w:rsidRPr="00C90AC9">
        <w:rPr>
          <w:rFonts w:eastAsia="Calibri"/>
          <w:lang w:eastAsia="en-US"/>
        </w:rPr>
        <w:t>approximately</w:t>
      </w:r>
      <w:r w:rsidR="00BC5EE2" w:rsidRPr="00C90AC9">
        <w:rPr>
          <w:rFonts w:eastAsia="Calibri"/>
          <w:lang w:eastAsia="en-US"/>
        </w:rPr>
        <w:t xml:space="preserve"> 41</w:t>
      </w:r>
      <w:r w:rsidR="00A16B8C" w:rsidRPr="00C90AC9">
        <w:rPr>
          <w:rFonts w:eastAsia="Calibri"/>
          <w:lang w:eastAsia="en-US"/>
        </w:rPr>
        <w:t>% of total energy</w:t>
      </w:r>
      <w:r w:rsidR="00BC5EE2" w:rsidRPr="00C90AC9">
        <w:rPr>
          <w:rFonts w:eastAsia="Calibri"/>
          <w:lang w:eastAsia="en-US"/>
        </w:rPr>
        <w:t xml:space="preserve"> has illustrated by Figure</w:t>
      </w:r>
      <w:r w:rsidR="00A16B8C" w:rsidRPr="00C90AC9">
        <w:rPr>
          <w:rFonts w:eastAsia="Calibri"/>
          <w:lang w:eastAsia="en-US"/>
        </w:rPr>
        <w:t xml:space="preserve"> </w:t>
      </w:r>
      <w:r w:rsidR="009F5AD8" w:rsidRPr="00C90AC9">
        <w:rPr>
          <w:rFonts w:eastAsia="Calibri"/>
          <w:lang w:eastAsia="en-US"/>
        </w:rPr>
        <w:t xml:space="preserve">1.5 </w:t>
      </w:r>
      <w:r w:rsidR="00A16B8C" w:rsidRPr="00C90AC9">
        <w:rPr>
          <w:rFonts w:eastAsia="Calibri"/>
          <w:lang w:eastAsia="en-US"/>
        </w:rPr>
        <w:t>which is one of the hi</w:t>
      </w:r>
      <w:r w:rsidR="00254749" w:rsidRPr="00C90AC9">
        <w:rPr>
          <w:rFonts w:eastAsia="Calibri"/>
          <w:lang w:eastAsia="en-US"/>
        </w:rPr>
        <w:t xml:space="preserve">ghest proportions in the world </w:t>
      </w:r>
      <w:r w:rsidR="00FB05EA" w:rsidRPr="00C90AC9">
        <w:rPr>
          <w:rFonts w:eastAsia="Calibri"/>
          <w:lang w:eastAsia="en-US"/>
        </w:rPr>
        <w:fldChar w:fldCharType="begin"/>
      </w:r>
      <w:r w:rsidR="00FB05EA" w:rsidRPr="00C90AC9">
        <w:rPr>
          <w:rFonts w:eastAsia="Calibri"/>
          <w:lang w:eastAsia="en-US"/>
        </w:rPr>
        <w:instrText xml:space="preserve"> ADDIN EN.CITE &lt;EndNote&gt;&lt;Cite&gt;&lt;Author&gt;Nejat&lt;/Author&gt;&lt;Year&gt;2015&lt;/Year&gt;&lt;RecNum&gt;178&lt;/RecNum&gt;&lt;DisplayText&gt;(Nejat &amp;amp; et al., 2015)&lt;/DisplayText&gt;&lt;record&gt;&lt;rec-number&gt;178&lt;/rec-number&gt;&lt;foreign-keys&gt;&lt;key app="EN" db-id="50wxdpzd9vd5r7e9t5b595djrfpttrxw9avp" timestamp="1525076335"&gt;178&lt;/key&gt;&lt;/foreign-keys&gt;&lt;ref-type name="Journal Article"&gt;17&lt;/ref-type&gt;&lt;contributors&gt;&lt;authors&gt;&lt;author&gt;Nejat, P.,&lt;/author&gt;&lt;author&gt;et al.,&lt;/author&gt;&lt;/authors&gt;&lt;/contributors&gt;&lt;titles&gt;&lt;title&gt;A global review of energy consumption, CO2 emissions and policy in the residential sector (with an overview of the top ten CO2 emitting countries)&lt;/title&gt;&lt;secondary-title&gt;Renewable and Sustainable Energy Reviews&lt;/secondary-title&gt;&lt;short-title&gt;Nejat, P., et al 2015 – A global review of energy&lt;/short-title&gt;&lt;/titles&gt;&lt;pages&gt;p. 843-862&lt;/pages&gt;&lt;volume&gt;43&lt;/volume&gt;&lt;dates&gt;&lt;year&gt;2015&lt;/year&gt;&lt;/dates&gt;&lt;urls&gt;&lt;/urls&gt;&lt;/record&gt;&lt;/Cite&gt;&lt;/EndNote&gt;</w:instrText>
      </w:r>
      <w:r w:rsidR="00FB05EA" w:rsidRPr="00C90AC9">
        <w:rPr>
          <w:rFonts w:eastAsia="Calibri"/>
          <w:lang w:eastAsia="en-US"/>
        </w:rPr>
        <w:fldChar w:fldCharType="separate"/>
      </w:r>
      <w:r w:rsidR="00FB05EA" w:rsidRPr="00C90AC9">
        <w:rPr>
          <w:rFonts w:eastAsia="Calibri"/>
          <w:lang w:eastAsia="en-US"/>
        </w:rPr>
        <w:t xml:space="preserve">(Nejat </w:t>
      </w:r>
      <w:r w:rsidR="00EE66A8" w:rsidRPr="00C90AC9">
        <w:rPr>
          <w:rFonts w:eastAsia="Calibri"/>
          <w:lang w:eastAsia="en-US"/>
        </w:rPr>
        <w:t>et al</w:t>
      </w:r>
      <w:r w:rsidR="00FB05EA" w:rsidRPr="00C90AC9">
        <w:rPr>
          <w:rFonts w:eastAsia="Calibri"/>
          <w:lang w:eastAsia="en-US"/>
        </w:rPr>
        <w:t>., 2015)</w:t>
      </w:r>
      <w:r w:rsidR="00FB05EA" w:rsidRPr="00C90AC9">
        <w:rPr>
          <w:rFonts w:eastAsia="Calibri"/>
          <w:lang w:eastAsia="en-US"/>
        </w:rPr>
        <w:fldChar w:fldCharType="end"/>
      </w:r>
      <w:r w:rsidR="00FB05EA" w:rsidRPr="00C90AC9">
        <w:rPr>
          <w:rFonts w:eastAsia="Calibri"/>
          <w:lang w:eastAsia="en-US"/>
        </w:rPr>
        <w:t xml:space="preserve">. </w:t>
      </w:r>
      <w:r w:rsidR="00A16B8C" w:rsidRPr="00C90AC9">
        <w:rPr>
          <w:rFonts w:eastAsia="Calibri"/>
          <w:lang w:eastAsia="en-US"/>
        </w:rPr>
        <w:t xml:space="preserve"> </w:t>
      </w:r>
      <w:r w:rsidRPr="00C90AC9">
        <w:rPr>
          <w:rFonts w:eastAsia="Calibri"/>
          <w:lang w:eastAsia="en-US"/>
        </w:rPr>
        <w:t>I</w:t>
      </w:r>
      <w:r w:rsidR="00A16B8C" w:rsidRPr="00C90AC9">
        <w:rPr>
          <w:rFonts w:eastAsia="Calibri"/>
          <w:lang w:eastAsia="en-US"/>
        </w:rPr>
        <w:t>n the Appendix</w:t>
      </w:r>
      <w:r w:rsidR="003D5761" w:rsidRPr="00C90AC9">
        <w:rPr>
          <w:rFonts w:eastAsia="Calibri"/>
          <w:lang w:eastAsia="en-US"/>
        </w:rPr>
        <w:t>,</w:t>
      </w:r>
      <w:r w:rsidR="00A16B8C" w:rsidRPr="00C90AC9">
        <w:rPr>
          <w:rFonts w:eastAsia="Calibri"/>
          <w:lang w:eastAsia="en-US"/>
        </w:rPr>
        <w:t xml:space="preserve"> </w:t>
      </w:r>
      <w:r w:rsidRPr="00C90AC9">
        <w:rPr>
          <w:rFonts w:eastAsia="Calibri"/>
          <w:lang w:eastAsia="en-US"/>
        </w:rPr>
        <w:t xml:space="preserve">Table 1.3 </w:t>
      </w:r>
      <w:r w:rsidR="00A16B8C" w:rsidRPr="00C90AC9">
        <w:rPr>
          <w:rFonts w:eastAsia="Calibri"/>
          <w:lang w:eastAsia="en-US"/>
        </w:rPr>
        <w:t xml:space="preserve">shows a breakdown of the </w:t>
      </w:r>
      <w:r w:rsidRPr="00C90AC9">
        <w:rPr>
          <w:rFonts w:eastAsia="Calibri"/>
          <w:lang w:eastAsia="en-US"/>
        </w:rPr>
        <w:t xml:space="preserve">total </w:t>
      </w:r>
      <w:r w:rsidR="00A16B8C" w:rsidRPr="00C90AC9">
        <w:rPr>
          <w:rFonts w:eastAsia="Calibri"/>
          <w:lang w:eastAsia="en-US"/>
        </w:rPr>
        <w:t xml:space="preserve">amount of energy used in </w:t>
      </w:r>
      <w:r w:rsidRPr="00C90AC9">
        <w:rPr>
          <w:rFonts w:eastAsia="Calibri"/>
          <w:lang w:eastAsia="en-US"/>
        </w:rPr>
        <w:t xml:space="preserve">the </w:t>
      </w:r>
      <w:r w:rsidR="00A16B8C" w:rsidRPr="00C90AC9">
        <w:rPr>
          <w:rFonts w:eastAsia="Calibri"/>
          <w:lang w:eastAsia="en-US"/>
        </w:rPr>
        <w:t xml:space="preserve">domestic </w:t>
      </w:r>
      <w:r w:rsidRPr="00C90AC9">
        <w:rPr>
          <w:rFonts w:eastAsia="Calibri"/>
          <w:lang w:eastAsia="en-US"/>
        </w:rPr>
        <w:t xml:space="preserve">sector </w:t>
      </w:r>
      <w:r w:rsidR="00A16B8C" w:rsidRPr="00C90AC9">
        <w:rPr>
          <w:rFonts w:eastAsia="Calibri"/>
          <w:lang w:eastAsia="en-US"/>
        </w:rPr>
        <w:t>in the UK over of the years 1990 – 2006. Using the</w:t>
      </w:r>
      <w:r w:rsidR="00120237" w:rsidRPr="00C90AC9">
        <w:rPr>
          <w:rFonts w:eastAsia="Calibri"/>
          <w:lang w:eastAsia="en-US"/>
        </w:rPr>
        <w:t>se</w:t>
      </w:r>
      <w:r w:rsidR="00A16B8C" w:rsidRPr="00C90AC9">
        <w:rPr>
          <w:rFonts w:eastAsia="Calibri"/>
          <w:lang w:eastAsia="en-US"/>
        </w:rPr>
        <w:t xml:space="preserve"> 2006 figures, the proportion of energy used for generating hot water in UK domestic properties accounts for:</w:t>
      </w:r>
    </w:p>
    <w:p w:rsidR="00A16B8C" w:rsidRPr="00C90AC9" w:rsidRDefault="0074402A" w:rsidP="00F521EF">
      <w:pPr>
        <w:spacing w:line="360" w:lineRule="auto"/>
        <w:rPr>
          <w:rFonts w:eastAsia="Calibri"/>
          <w:lang w:eastAsia="en-US"/>
        </w:rPr>
      </w:pPr>
      <w:r w:rsidRPr="00C90AC9">
        <w:rPr>
          <w:rFonts w:eastAsia="Calibri"/>
          <w:noProof/>
        </w:rPr>
        <mc:AlternateContent>
          <mc:Choice Requires="wps">
            <w:drawing>
              <wp:anchor distT="4294967294" distB="4294967294" distL="114300" distR="114300" simplePos="0" relativeHeight="251654144" behindDoc="0" locked="0" layoutInCell="1" allowOverlap="1" wp14:anchorId="3E209126" wp14:editId="026D2C23">
                <wp:simplePos x="0" y="0"/>
                <wp:positionH relativeFrom="column">
                  <wp:posOffset>2733675</wp:posOffset>
                </wp:positionH>
                <wp:positionV relativeFrom="paragraph">
                  <wp:posOffset>201930</wp:posOffset>
                </wp:positionV>
                <wp:extent cx="2495550" cy="0"/>
                <wp:effectExtent l="0" t="0" r="19050" b="19050"/>
                <wp:wrapNone/>
                <wp:docPr id="8"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955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8C47169" id="_x0000_t32" coordsize="21600,21600" o:spt="32" o:oned="t" path="m,l21600,21600e" filled="f">
                <v:path arrowok="t" fillok="f" o:connecttype="none"/>
                <o:lock v:ext="edit" shapetype="t"/>
              </v:shapetype>
              <v:shape id="AutoShape 6" o:spid="_x0000_s1026" type="#_x0000_t32" style="position:absolute;margin-left:215.25pt;margin-top:15.9pt;width:196.5pt;height:0;z-index:2516541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"/>
            </w:pict>
          </mc:Fallback>
        </mc:AlternateContent>
      </w:r>
      <w:r w:rsidR="00A16B8C" w:rsidRPr="00C90AC9">
        <w:rPr>
          <w:rFonts w:eastAsia="Calibri"/>
          <w:lang w:eastAsia="en-US"/>
        </w:rPr>
        <w:t xml:space="preserve">  </w:t>
      </w:r>
      <w:r w:rsidR="00A16B8C" w:rsidRPr="00C90AC9">
        <w:rPr>
          <w:rFonts w:eastAsia="Calibri"/>
          <w:lang w:eastAsia="en-US"/>
        </w:rPr>
        <w:tab/>
        <w:t>Proportion of energy used</w:t>
      </w:r>
      <w:r w:rsidR="00A16B8C" w:rsidRPr="00C90AC9">
        <w:rPr>
          <w:rFonts w:eastAsia="Calibri"/>
          <w:lang w:eastAsia="en-US"/>
        </w:rPr>
        <w:tab/>
        <w:t>=</w:t>
      </w:r>
      <w:r w:rsidR="00A16B8C" w:rsidRPr="00C90AC9">
        <w:rPr>
          <w:rFonts w:eastAsia="Calibri"/>
          <w:lang w:eastAsia="en-US"/>
        </w:rPr>
        <w:tab/>
      </w:r>
      <w:r w:rsidR="001A7C48" w:rsidRPr="00C90AC9">
        <w:rPr>
          <w:rFonts w:eastAsia="Calibri"/>
          <w:lang w:eastAsia="en-US"/>
        </w:rPr>
        <w:t xml:space="preserve">    </w:t>
      </w:r>
      <w:r w:rsidR="00A16B8C" w:rsidRPr="00C90AC9">
        <w:rPr>
          <w:rFonts w:eastAsia="Calibri"/>
          <w:lang w:eastAsia="en-US"/>
        </w:rPr>
        <w:t>Energy used in generating hot water</w:t>
      </w:r>
      <w:r w:rsidR="00A16B8C" w:rsidRPr="00C90AC9">
        <w:rPr>
          <w:rFonts w:eastAsia="Calibri"/>
          <w:lang w:eastAsia="en-US"/>
        </w:rPr>
        <w:tab/>
        <w:t xml:space="preserve"> </w:t>
      </w:r>
      <w:r w:rsidR="00A16B8C" w:rsidRPr="00C90AC9">
        <w:rPr>
          <w:rFonts w:eastAsia="Calibri"/>
          <w:lang w:eastAsia="en-US"/>
        </w:rPr>
        <w:tab/>
        <w:t>for generating hot water</w:t>
      </w:r>
      <w:r w:rsidR="00A16B8C" w:rsidRPr="00C90AC9">
        <w:rPr>
          <w:rFonts w:eastAsia="Calibri"/>
          <w:lang w:eastAsia="en-US"/>
        </w:rPr>
        <w:tab/>
      </w:r>
      <w:r w:rsidR="00A16B8C" w:rsidRPr="00C90AC9">
        <w:rPr>
          <w:rFonts w:eastAsia="Calibri"/>
          <w:lang w:eastAsia="en-US"/>
        </w:rPr>
        <w:tab/>
        <w:t xml:space="preserve">   </w:t>
      </w:r>
      <w:r w:rsidR="001A7C48" w:rsidRPr="00C90AC9">
        <w:rPr>
          <w:rFonts w:eastAsia="Calibri"/>
          <w:lang w:eastAsia="en-US"/>
        </w:rPr>
        <w:t xml:space="preserve">    </w:t>
      </w:r>
      <w:r w:rsidR="00A16B8C" w:rsidRPr="00C90AC9">
        <w:rPr>
          <w:rFonts w:eastAsia="Calibri"/>
          <w:lang w:eastAsia="en-US"/>
        </w:rPr>
        <w:t>Total energy used per household</w:t>
      </w:r>
    </w:p>
    <w:p w:rsidR="00A16B8C" w:rsidRPr="00C90AC9" w:rsidRDefault="0074402A" w:rsidP="00F521EF">
      <w:pPr>
        <w:spacing w:line="360" w:lineRule="auto"/>
        <w:rPr>
          <w:rFonts w:eastAsia="Calibri"/>
          <w:lang w:eastAsia="en-US"/>
        </w:rPr>
      </w:pPr>
      <w:r w:rsidRPr="00C90AC9">
        <w:rPr>
          <w:rFonts w:eastAsia="Calibri"/>
          <w:noProof/>
        </w:rPr>
        <mc:AlternateContent>
          <mc:Choice Requires="wps">
            <w:drawing>
              <wp:anchor distT="4294967294" distB="4294967294" distL="114300" distR="114300" simplePos="0" relativeHeight="251656192" behindDoc="0" locked="0" layoutInCell="1" allowOverlap="1" wp14:anchorId="3142D936" wp14:editId="6C93C3AF">
                <wp:simplePos x="0" y="0"/>
                <wp:positionH relativeFrom="column">
                  <wp:posOffset>2686050</wp:posOffset>
                </wp:positionH>
                <wp:positionV relativeFrom="paragraph">
                  <wp:posOffset>191769</wp:posOffset>
                </wp:positionV>
                <wp:extent cx="1295400" cy="0"/>
                <wp:effectExtent l="0" t="0" r="0" b="0"/>
                <wp:wrapNone/>
                <wp:docPr id="3"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54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8C26C3" id="AutoShape 7" o:spid="_x0000_s1026" type="#_x0000_t32" style="position:absolute;margin-left:211.5pt;margin-top:15.1pt;width:102pt;height:0;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"/>
            </w:pict>
          </mc:Fallback>
        </mc:AlternateContent>
      </w:r>
      <w:r w:rsidR="00A16B8C" w:rsidRPr="00C90AC9">
        <w:rPr>
          <w:rFonts w:eastAsia="Calibri"/>
          <w:lang w:eastAsia="en-US"/>
        </w:rPr>
        <w:tab/>
      </w:r>
      <w:r w:rsidR="00A16B8C" w:rsidRPr="00C90AC9">
        <w:rPr>
          <w:rFonts w:eastAsia="Calibri"/>
          <w:lang w:eastAsia="en-US"/>
        </w:rPr>
        <w:tab/>
      </w:r>
      <w:r w:rsidR="00A16B8C" w:rsidRPr="00C90AC9">
        <w:rPr>
          <w:rFonts w:eastAsia="Calibri"/>
          <w:lang w:eastAsia="en-US"/>
        </w:rPr>
        <w:tab/>
      </w:r>
      <w:r w:rsidR="00A16B8C" w:rsidRPr="00C90AC9">
        <w:rPr>
          <w:rFonts w:eastAsia="Calibri"/>
          <w:lang w:eastAsia="en-US"/>
        </w:rPr>
        <w:tab/>
      </w:r>
      <w:r w:rsidR="00A16B8C" w:rsidRPr="00C90AC9">
        <w:rPr>
          <w:rFonts w:eastAsia="Calibri"/>
          <w:lang w:eastAsia="en-US"/>
        </w:rPr>
        <w:tab/>
        <w:t>=</w:t>
      </w:r>
      <w:r w:rsidR="00A16B8C" w:rsidRPr="00C90AC9">
        <w:rPr>
          <w:rFonts w:eastAsia="Calibri"/>
          <w:lang w:eastAsia="en-US"/>
        </w:rPr>
        <w:tab/>
        <w:t xml:space="preserve"> 460.1 x 10</w:t>
      </w:r>
      <w:r w:rsidR="00A16B8C" w:rsidRPr="00C90AC9">
        <w:rPr>
          <w:rFonts w:eastAsia="Calibri"/>
          <w:vertAlign w:val="superscript"/>
          <w:lang w:eastAsia="en-US"/>
        </w:rPr>
        <w:t>15</w:t>
      </w:r>
      <w:r w:rsidR="00A16B8C" w:rsidRPr="00C90AC9">
        <w:rPr>
          <w:rFonts w:eastAsia="Calibri"/>
          <w:lang w:eastAsia="en-US"/>
        </w:rPr>
        <w:t xml:space="preserve"> joules</w:t>
      </w:r>
      <w:r w:rsidR="00A16B8C" w:rsidRPr="00C90AC9">
        <w:rPr>
          <w:rFonts w:eastAsia="Calibri"/>
          <w:lang w:eastAsia="en-US"/>
        </w:rPr>
        <w:tab/>
      </w:r>
      <w:r w:rsidR="00A16B8C" w:rsidRPr="00C90AC9">
        <w:rPr>
          <w:rFonts w:eastAsia="Calibri"/>
          <w:lang w:eastAsia="en-US"/>
        </w:rPr>
        <w:br/>
        <w:t xml:space="preserve"> </w:t>
      </w:r>
      <w:r w:rsidR="00A16B8C" w:rsidRPr="00C90AC9">
        <w:rPr>
          <w:rFonts w:eastAsia="Calibri"/>
          <w:lang w:eastAsia="en-US"/>
        </w:rPr>
        <w:tab/>
      </w:r>
      <w:r w:rsidR="00A16B8C" w:rsidRPr="00C90AC9">
        <w:rPr>
          <w:rFonts w:eastAsia="Calibri"/>
          <w:lang w:eastAsia="en-US"/>
        </w:rPr>
        <w:tab/>
      </w:r>
      <w:r w:rsidR="00A16B8C" w:rsidRPr="00C90AC9">
        <w:rPr>
          <w:rFonts w:eastAsia="Calibri"/>
          <w:lang w:eastAsia="en-US"/>
        </w:rPr>
        <w:tab/>
      </w:r>
      <w:r w:rsidR="00A16B8C" w:rsidRPr="00C90AC9">
        <w:rPr>
          <w:rFonts w:eastAsia="Calibri"/>
          <w:lang w:eastAsia="en-US"/>
        </w:rPr>
        <w:tab/>
      </w:r>
      <w:r w:rsidR="00A16B8C" w:rsidRPr="00C90AC9">
        <w:rPr>
          <w:rFonts w:eastAsia="Calibri"/>
          <w:lang w:eastAsia="en-US"/>
        </w:rPr>
        <w:tab/>
      </w:r>
      <w:r w:rsidR="00A16B8C" w:rsidRPr="00C90AC9">
        <w:rPr>
          <w:rFonts w:eastAsia="Calibri"/>
          <w:lang w:eastAsia="en-US"/>
        </w:rPr>
        <w:tab/>
        <w:t>1847.8 x 10</w:t>
      </w:r>
      <w:r w:rsidR="00A16B8C" w:rsidRPr="00C90AC9">
        <w:rPr>
          <w:rFonts w:eastAsia="Calibri"/>
          <w:vertAlign w:val="superscript"/>
          <w:lang w:eastAsia="en-US"/>
        </w:rPr>
        <w:t xml:space="preserve">15 </w:t>
      </w:r>
      <w:r w:rsidR="00A16B8C" w:rsidRPr="00C90AC9">
        <w:rPr>
          <w:rFonts w:eastAsia="Calibri"/>
          <w:lang w:eastAsia="en-US"/>
        </w:rPr>
        <w:t>joules</w:t>
      </w:r>
    </w:p>
    <w:p w:rsidR="00A16B8C" w:rsidRPr="00C90AC9" w:rsidRDefault="0099093E" w:rsidP="00F521EF">
      <w:pPr>
        <w:spacing w:line="360" w:lineRule="auto"/>
        <w:rPr>
          <w:rFonts w:eastAsia="Calibri"/>
          <w:lang w:eastAsia="en-US"/>
        </w:rPr>
      </w:pPr>
      <w:r w:rsidRPr="00C90AC9">
        <w:rPr>
          <w:rFonts w:ascii="Cambria Math" w:eastAsia="Calibri" w:hAnsi="Cambria Math" w:cs="Cambria Math"/>
          <w:lang w:eastAsia="en-US"/>
        </w:rPr>
        <w:tab/>
      </w:r>
      <w:r w:rsidR="00A16B8C" w:rsidRPr="00C90AC9">
        <w:rPr>
          <w:rFonts w:ascii="Cambria Math" w:eastAsia="Calibri" w:hAnsi="Cambria Math" w:cs="Cambria Math"/>
          <w:lang w:eastAsia="en-US"/>
        </w:rPr>
        <w:t>⇒</w:t>
      </w:r>
      <w:r w:rsidR="00A16B8C" w:rsidRPr="00C90AC9">
        <w:rPr>
          <w:rFonts w:eastAsia="Calibri"/>
          <w:lang w:eastAsia="en-US"/>
        </w:rPr>
        <w:t xml:space="preserve">24.9 % of total energy used in the home </w:t>
      </w:r>
      <w:r w:rsidR="009F5AD8" w:rsidRPr="00C90AC9">
        <w:rPr>
          <w:rFonts w:eastAsia="Calibri"/>
          <w:lang w:eastAsia="en-US"/>
        </w:rPr>
        <w:t xml:space="preserve">used </w:t>
      </w:r>
      <w:r w:rsidR="00A16B8C" w:rsidRPr="00C90AC9">
        <w:rPr>
          <w:rFonts w:eastAsia="Calibri"/>
          <w:lang w:eastAsia="en-US"/>
        </w:rPr>
        <w:t>for water heating</w:t>
      </w:r>
    </w:p>
    <w:p w:rsidR="00AA004E" w:rsidRPr="00C90AC9" w:rsidRDefault="00FB05EA" w:rsidP="00F521EF">
      <w:pPr>
        <w:pStyle w:val="BodyText"/>
        <w:spacing w:line="360" w:lineRule="auto"/>
        <w:rPr>
          <w:rFonts w:eastAsia="Calibri"/>
          <w:lang w:eastAsia="en-US"/>
        </w:rPr>
      </w:pPr>
      <w:r w:rsidRPr="00C90AC9">
        <w:rPr>
          <w:rFonts w:eastAsia="Calibri"/>
          <w:lang w:eastAsia="en-US"/>
        </w:rPr>
        <w:tab/>
      </w:r>
      <w:r w:rsidR="00A16B8C" w:rsidRPr="00C90AC9">
        <w:rPr>
          <w:rFonts w:eastAsia="Calibri"/>
          <w:lang w:eastAsia="en-US"/>
        </w:rPr>
        <w:t>This</w:t>
      </w:r>
      <w:r w:rsidR="00BD606E" w:rsidRPr="00C90AC9">
        <w:rPr>
          <w:rFonts w:eastAsia="Calibri"/>
          <w:lang w:eastAsia="en-US"/>
        </w:rPr>
        <w:t xml:space="preserve"> simple</w:t>
      </w:r>
      <w:r w:rsidR="00FA1EAD" w:rsidRPr="00C90AC9">
        <w:rPr>
          <w:rFonts w:eastAsia="Calibri"/>
          <w:lang w:eastAsia="en-US"/>
        </w:rPr>
        <w:t xml:space="preserve"> </w:t>
      </w:r>
      <w:r w:rsidR="00A16B8C" w:rsidRPr="00C90AC9">
        <w:rPr>
          <w:rFonts w:eastAsia="Calibri"/>
          <w:lang w:eastAsia="en-US"/>
        </w:rPr>
        <w:t xml:space="preserve">calculation of the amount of domestic energy being used to heat water is in broad agreement with the 23% quoted by </w:t>
      </w:r>
      <w:r w:rsidR="00CF75F1" w:rsidRPr="00C90AC9">
        <w:rPr>
          <w:rFonts w:eastAsia="Calibri"/>
          <w:lang w:eastAsia="en-US"/>
        </w:rPr>
        <w:t xml:space="preserve"> </w:t>
      </w:r>
      <w:r w:rsidR="00254749" w:rsidRPr="00C90AC9">
        <w:rPr>
          <w:rFonts w:eastAsia="Calibri"/>
          <w:lang w:eastAsia="en-US"/>
        </w:rPr>
        <w:fldChar w:fldCharType="begin"/>
      </w:r>
      <w:r w:rsidR="00254749" w:rsidRPr="00C90AC9">
        <w:rPr>
          <w:rFonts w:eastAsia="Calibri"/>
          <w:lang w:eastAsia="en-US"/>
        </w:rPr>
        <w:instrText xml:space="preserve"> ADDIN EN.CITE &lt;EndNote&gt;&lt;Cite&gt;&lt;Author&gt;Allen&lt;/Author&gt;&lt;Year&gt;2008&lt;/Year&gt;&lt;RecNum&gt;112&lt;/RecNum&gt;&lt;DisplayText&gt;(S. R. Allen, 2008)&lt;/DisplayText&gt;&lt;record&gt;&lt;rec-number&gt;112&lt;/rec-number&gt;&lt;foreign-keys&gt;&lt;key app="EN" db-id="50wxdpzd9vd5r7e9t5b595djrfpttrxw9avp" timestamp="1525076334"&gt;112&lt;/key&gt;&lt;/foreign-keys&gt;&lt;ref-type name="Journal Article"&gt;17&lt;/ref-type&gt;&lt;contributors&gt;&lt;authors&gt;&lt;author&gt;Allen, S. R.&lt;/author&gt;&lt;/authors&gt;&lt;/contributors&gt;&lt;titles&gt;&lt;title&gt;Prospects for and barriers to domestic micro-generation: A United Kingdom Perspective&lt;/title&gt;&lt;secondary-title&gt;Applied Energy&lt;/secondary-title&gt;&lt;short-title&gt;Allen 2008 – Prospects for and barriers&lt;/short-title&gt;&lt;/titles&gt;&lt;pages&gt;p. 528-544&lt;/pages&gt;&lt;volume&gt;85&lt;/volume&gt;&lt;number&gt;6&lt;/number&gt;&lt;dates&gt;&lt;year&gt;2008&lt;/year&gt;&lt;/dates&gt;&lt;urls&gt;&lt;/urls&gt;&lt;/record&gt;&lt;/Cite&gt;&lt;/EndNote&gt;</w:instrText>
      </w:r>
      <w:r w:rsidR="00254749" w:rsidRPr="00C90AC9">
        <w:rPr>
          <w:rFonts w:eastAsia="Calibri"/>
          <w:lang w:eastAsia="en-US"/>
        </w:rPr>
        <w:fldChar w:fldCharType="separate"/>
      </w:r>
      <w:r w:rsidR="00254749" w:rsidRPr="00C90AC9">
        <w:rPr>
          <w:rFonts w:eastAsia="Calibri"/>
          <w:lang w:eastAsia="en-US"/>
        </w:rPr>
        <w:t>(S. R. Allen, 2008)</w:t>
      </w:r>
      <w:r w:rsidR="00254749" w:rsidRPr="00C90AC9">
        <w:rPr>
          <w:rFonts w:eastAsia="Calibri"/>
          <w:lang w:eastAsia="en-US"/>
        </w:rPr>
        <w:fldChar w:fldCharType="end"/>
      </w:r>
      <w:r w:rsidR="00254749" w:rsidRPr="00C90AC9">
        <w:rPr>
          <w:rFonts w:eastAsia="Calibri"/>
          <w:lang w:eastAsia="en-US"/>
        </w:rPr>
        <w:t xml:space="preserve"> </w:t>
      </w:r>
      <w:r w:rsidR="00CF75F1" w:rsidRPr="00C90AC9">
        <w:rPr>
          <w:rFonts w:eastAsia="Calibri"/>
          <w:lang w:eastAsia="en-US"/>
        </w:rPr>
        <w:t>and is shown in Figure 1.6</w:t>
      </w:r>
      <w:r w:rsidR="000E7112" w:rsidRPr="00C90AC9">
        <w:rPr>
          <w:rFonts w:eastAsia="Calibri"/>
          <w:lang w:eastAsia="en-US"/>
        </w:rPr>
        <w:t>.</w:t>
      </w:r>
      <w:r w:rsidR="00BD17E3" w:rsidRPr="00C90AC9">
        <w:rPr>
          <w:rFonts w:eastAsia="Calibri"/>
          <w:lang w:eastAsia="en-US"/>
        </w:rPr>
        <w:t xml:space="preserve"> </w:t>
      </w:r>
      <w:r w:rsidR="00AA004E" w:rsidRPr="00C90AC9">
        <w:rPr>
          <w:rFonts w:eastAsia="Calibri"/>
          <w:lang w:eastAsia="en-US"/>
        </w:rPr>
        <w:t xml:space="preserve">Heating water for use in domestic buildings thus represents a significant proportion of total energy use in the UK and improvements to the efficiency of water heating will have a corresponding reduction in total energy use. </w:t>
      </w:r>
    </w:p>
    <w:p w:rsidR="00A16B8C" w:rsidRPr="00C90AC9" w:rsidRDefault="00CF75F1" w:rsidP="00FB06D5">
      <w:pPr>
        <w:pStyle w:val="BodyText"/>
        <w:spacing w:line="240" w:lineRule="auto"/>
        <w:rPr>
          <w:rFonts w:eastAsia="Calibri"/>
          <w:sz w:val="22"/>
          <w:lang w:eastAsia="en-US"/>
        </w:rPr>
      </w:pPr>
      <w:r w:rsidRPr="00C90AC9">
        <w:rPr>
          <w:rFonts w:eastAsia="Calibri"/>
          <w:lang w:eastAsia="en-US"/>
        </w:rPr>
        <w:t>Figure 1.6</w:t>
      </w:r>
      <w:r w:rsidR="00A16B8C" w:rsidRPr="00C90AC9">
        <w:rPr>
          <w:rFonts w:eastAsia="Calibri"/>
          <w:lang w:eastAsia="en-US"/>
        </w:rPr>
        <w:t xml:space="preserve">. Average UK domestic energy consumption by end-use and fuel type </w:t>
      </w:r>
      <w:r w:rsidR="00FB05EA" w:rsidRPr="00C90AC9">
        <w:rPr>
          <w:rFonts w:eastAsia="Calibri"/>
          <w:lang w:eastAsia="en-US"/>
        </w:rPr>
        <w:fldChar w:fldCharType="begin"/>
      </w:r>
      <w:r w:rsidR="00EF4F26" w:rsidRPr="00C90AC9">
        <w:rPr>
          <w:rFonts w:eastAsia="Calibri"/>
          <w:lang w:eastAsia="en-US"/>
        </w:rPr>
        <w:instrText xml:space="preserve"> ADDIN EN.CITE &lt;EndNote&gt;&lt;Cite&gt;&lt;Author&gt;Allen&lt;/Author&gt;&lt;Year&gt;2008&lt;/Year&gt;&lt;RecNum&gt;112&lt;/RecNum&gt;&lt;DisplayText&gt;(S. R. Allen, 2008)&lt;/DisplayText&gt;&lt;record&gt;&lt;rec-number&gt;112&lt;/rec-number&gt;&lt;foreign-keys&gt;&lt;key app="EN" db-id="50wxdpzd9vd5r7e9t5b595djrfpttrxw9avp" timestamp="1525076334"&gt;112&lt;/key&gt;&lt;/foreign-keys&gt;&lt;ref-type name="Journal Article"&gt;17&lt;/ref-type&gt;&lt;contributors&gt;&lt;authors&gt;&lt;author&gt;Allen, S. R.&lt;/author&gt;&lt;/authors&gt;&lt;/contributors&gt;&lt;titles&gt;&lt;title&gt;Prospects for and barriers to domestic micro-generation: A United Kingdom Perspective&lt;/title&gt;&lt;secondary-title&gt;Applied Energy&lt;/secondary-title&gt;&lt;short-title&gt;Allen 2008 – Prospects for and barriers&lt;/short-title&gt;&lt;/titles&gt;&lt;pages&gt;p. 528-544&lt;/pages&gt;&lt;volume&gt;85&lt;/volume&gt;&lt;number&gt;6&lt;/number&gt;&lt;dates&gt;&lt;year&gt;2008&lt;/year&gt;&lt;/dates&gt;&lt;urls&gt;&lt;/urls&gt;&lt;/record&gt;&lt;/Cite&gt;&lt;/EndNote&gt;</w:instrText>
      </w:r>
      <w:r w:rsidR="00FB05EA" w:rsidRPr="00C90AC9">
        <w:rPr>
          <w:rFonts w:eastAsia="Calibri"/>
          <w:lang w:eastAsia="en-US"/>
        </w:rPr>
        <w:fldChar w:fldCharType="separate"/>
      </w:r>
      <w:r w:rsidR="00EF4F26" w:rsidRPr="00C90AC9">
        <w:rPr>
          <w:rFonts w:eastAsia="Calibri"/>
          <w:lang w:eastAsia="en-US"/>
        </w:rPr>
        <w:t>(S. R. Allen, 2008)</w:t>
      </w:r>
      <w:r w:rsidR="00FB05EA" w:rsidRPr="00C90AC9">
        <w:rPr>
          <w:rFonts w:eastAsia="Calibri"/>
          <w:lang w:eastAsia="en-US"/>
        </w:rPr>
        <w:fldChar w:fldCharType="end"/>
      </w:r>
      <w:r w:rsidR="00E80479" w:rsidRPr="00C90AC9">
        <w:rPr>
          <w:rFonts w:eastAsia="Calibri"/>
          <w:lang w:eastAsia="en-US"/>
        </w:rPr>
        <w:tab/>
      </w:r>
      <w:r w:rsidR="001A7C48" w:rsidRPr="00C90AC9">
        <w:rPr>
          <w:rFonts w:eastAsia="Calibri"/>
          <w:lang w:eastAsia="en-US"/>
        </w:rPr>
        <w:tab/>
      </w:r>
      <w:r w:rsidR="00A16B8C" w:rsidRPr="00C90AC9">
        <w:rPr>
          <w:rFonts w:eastAsia="Calibri"/>
          <w:noProof/>
        </w:rPr>
        <w:drawing>
          <wp:inline distT="0" distB="0" distL="0" distR="0" wp14:anchorId="7BC703F6" wp14:editId="1CEFEA15">
            <wp:extent cx="5598160" cy="3657600"/>
            <wp:effectExtent l="19050" t="19050" r="2159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23206" t="19142" r="20916" b="13862"/>
                    <a:stretch/>
                  </pic:blipFill>
                  <pic:spPr bwMode="auto">
                    <a:xfrm>
                      <a:off x="0" y="0"/>
                      <a:ext cx="5598160" cy="365760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sdt>
        <w:sdtPr>
          <w:rPr>
            <w:rFonts w:eastAsia="Calibri"/>
            <w:sz w:val="22"/>
            <w:lang w:eastAsia="en-US"/>
          </w:rPr>
          <w:alias w:val="Don't edit this field"/>
          <w:tag w:val="CitaviPlaceholder#295f17ea-d7bc-4b4c-ad31-b8d94ec590fb"/>
          <w:id w:val="-1175253118"/>
          <w:showingPlcHdr/>
        </w:sdtPr>
        <w:sdtEndPr/>
        <w:sdtContent>
          <w:r w:rsidR="00FB05EA" w:rsidRPr="00C90AC9">
            <w:rPr>
              <w:rFonts w:eastAsia="Calibri"/>
              <w:sz w:val="22"/>
              <w:lang w:eastAsia="en-US"/>
            </w:rPr>
            <w:t xml:space="preserve">     </w:t>
          </w:r>
        </w:sdtContent>
      </w:sdt>
    </w:p>
    <w:p w:rsidR="00A16B8C" w:rsidRPr="00C90AC9" w:rsidRDefault="00FD78AC" w:rsidP="00162965">
      <w:pPr>
        <w:pStyle w:val="Heading1"/>
        <w:rPr>
          <w:rStyle w:val="SubtleEmphasis"/>
        </w:rPr>
      </w:pPr>
      <w:r w:rsidRPr="00C90AC9">
        <w:rPr>
          <w:rStyle w:val="SubtleEmphasis"/>
        </w:rPr>
        <w:lastRenderedPageBreak/>
        <w:t>Defining</w:t>
      </w:r>
      <w:r w:rsidR="00A16B8C" w:rsidRPr="00C90AC9">
        <w:rPr>
          <w:rStyle w:val="SubtleEmphasis"/>
        </w:rPr>
        <w:t xml:space="preserve"> the problem, a UK perspective</w:t>
      </w:r>
    </w:p>
    <w:p w:rsidR="00A16B8C" w:rsidRPr="00C90AC9" w:rsidRDefault="00A8043A" w:rsidP="00F521EF">
      <w:pPr>
        <w:pStyle w:val="BodyTextFirstIndent"/>
        <w:spacing w:line="360" w:lineRule="auto"/>
        <w:ind w:firstLine="357"/>
        <w:rPr>
          <w:rFonts w:eastAsia="Calibri"/>
          <w:lang w:eastAsia="en-US"/>
        </w:rPr>
      </w:pPr>
      <w:r w:rsidRPr="00C90AC9">
        <w:rPr>
          <w:rFonts w:eastAsia="Calibri"/>
          <w:lang w:eastAsia="en-US"/>
        </w:rPr>
        <w:t>En</w:t>
      </w:r>
      <w:r w:rsidR="00AA004E" w:rsidRPr="00C90AC9">
        <w:rPr>
          <w:rFonts w:eastAsia="Calibri"/>
          <w:lang w:eastAsia="en-US"/>
        </w:rPr>
        <w:t>ergy consumption in the UK consists of about 27% - 32% being consumed in the residential sector</w:t>
      </w:r>
      <w:r w:rsidR="00A16B8C" w:rsidRPr="00C90AC9">
        <w:rPr>
          <w:rFonts w:eastAsia="Calibri"/>
          <w:lang w:eastAsia="en-US"/>
        </w:rPr>
        <w:t xml:space="preserve"> </w:t>
      </w:r>
      <w:r w:rsidR="00FB05EA" w:rsidRPr="00C90AC9">
        <w:rPr>
          <w:rFonts w:eastAsia="Calibri"/>
          <w:lang w:eastAsia="en-US"/>
        </w:rPr>
        <w:fldChar w:fldCharType="begin"/>
      </w:r>
      <w:r w:rsidR="00FB05EA" w:rsidRPr="00C90AC9">
        <w:rPr>
          <w:rFonts w:eastAsia="Calibri"/>
          <w:lang w:eastAsia="en-US"/>
        </w:rPr>
        <w:instrText xml:space="preserve"> ADDIN EN.CITE &lt;EndNote&gt;&lt;Cite&gt;&lt;Author&gt;Boait&lt;/Author&gt;&lt;Year&gt;2008&lt;/Year&gt;&lt;RecNum&gt;122&lt;/RecNum&gt;&lt;DisplayText&gt;(Boait &amp;amp; et al., 2008; DECC, 2013)&lt;/DisplayText&gt;&lt;record&gt;&lt;rec-number&gt;122&lt;/rec-number&gt;&lt;foreign-keys&gt;&lt;key app="EN" db-id="50wxdpzd9vd5r7e9t5b595djrfpttrxw9avp" timestamp="1525076334"&gt;122&lt;/key&gt;&lt;/foreign-keys&gt;&lt;ref-type name="Journal Article"&gt;17&lt;/ref-type&gt;&lt;contributors&gt;&lt;authors&gt;&lt;author&gt;Boait, P. J.&lt;/author&gt;&lt;author&gt;et al.,&lt;/author&gt;&lt;/authors&gt;&lt;/contributors&gt;&lt;titles&gt;&lt;title&gt;Production efficiency of hot water for dmoestic use&lt;/title&gt;&lt;secondary-title&gt;Applied Energy&lt;/secondary-title&gt;&lt;short-title&gt;Boait, P. J. et al 2008 – Production efficiency of hot water&lt;/short-title&gt;&lt;/titles&gt;&lt;pages&gt;p. 528-544&lt;/pages&gt;&lt;volume&gt;85&lt;/volume&gt;&lt;number&gt;6&lt;/number&gt;&lt;dates&gt;&lt;year&gt;2008&lt;/year&gt;&lt;/dates&gt;&lt;urls&gt;&lt;/urls&gt;&lt;/record&gt;&lt;/Cite&gt;&lt;Cite&gt;&lt;Author&gt;DECC&lt;/Author&gt;&lt;Year&gt;2013&lt;/Year&gt;&lt;RecNum&gt;138&lt;/RecNum&gt;&lt;record&gt;&lt;rec-number&gt;138&lt;/rec-number&gt;&lt;foreign-keys&gt;&lt;key app="EN" db-id="50wxdpzd9vd5r7e9t5b595djrfpttrxw9avp" timestamp="1525076334"&gt;138&lt;/key&gt;&lt;/foreign-keys&gt;&lt;ref-type name="Unpublished Work"&gt;34&lt;/ref-type&gt;&lt;contributors&gt;&lt;authors&gt;&lt;author&gt;DECC&lt;/author&gt;&lt;/authors&gt;&lt;/contributors&gt;&lt;titles&gt;&lt;title&gt;Energy Consumption in the UK (2015)&lt;/title&gt;&lt;short-title&gt;DECC 2013 – Energy Consumption in the UK&lt;/short-title&gt;&lt;/titles&gt;&lt;dates&gt;&lt;year&gt;2013&lt;/year&gt;&lt;/dates&gt;&lt;pub-location&gt;London&lt;/pub-location&gt;&lt;publisher&gt;Crown Copywrite&lt;/publisher&gt;&lt;urls&gt;&lt;/urls&gt;&lt;/record&gt;&lt;/Cite&gt;&lt;/EndNote&gt;</w:instrText>
      </w:r>
      <w:r w:rsidR="00FB05EA" w:rsidRPr="00C90AC9">
        <w:rPr>
          <w:rFonts w:eastAsia="Calibri"/>
          <w:lang w:eastAsia="en-US"/>
        </w:rPr>
        <w:fldChar w:fldCharType="separate"/>
      </w:r>
      <w:r w:rsidR="00FB05EA" w:rsidRPr="00C90AC9">
        <w:rPr>
          <w:rFonts w:eastAsia="Calibri"/>
          <w:lang w:eastAsia="en-US"/>
        </w:rPr>
        <w:t xml:space="preserve">(Boait </w:t>
      </w:r>
      <w:r w:rsidR="00EE66A8" w:rsidRPr="00C90AC9">
        <w:rPr>
          <w:rFonts w:eastAsia="Calibri"/>
          <w:lang w:eastAsia="en-US"/>
        </w:rPr>
        <w:t>et al</w:t>
      </w:r>
      <w:r w:rsidR="00FB05EA" w:rsidRPr="00C90AC9">
        <w:rPr>
          <w:rFonts w:eastAsia="Calibri"/>
          <w:lang w:eastAsia="en-US"/>
        </w:rPr>
        <w:t>., 2008; DECC, 2013)</w:t>
      </w:r>
      <w:r w:rsidR="00FB05EA" w:rsidRPr="00C90AC9">
        <w:rPr>
          <w:rFonts w:eastAsia="Calibri"/>
          <w:lang w:eastAsia="en-US"/>
        </w:rPr>
        <w:fldChar w:fldCharType="end"/>
      </w:r>
      <w:r w:rsidR="00AA004E" w:rsidRPr="00C90AC9">
        <w:rPr>
          <w:rFonts w:eastAsia="Calibri"/>
          <w:lang w:eastAsia="en-US"/>
        </w:rPr>
        <w:t>. Specific</w:t>
      </w:r>
      <w:r w:rsidR="00A16B8C" w:rsidRPr="00C90AC9">
        <w:rPr>
          <w:rFonts w:eastAsia="Calibri"/>
          <w:lang w:eastAsia="en-US"/>
        </w:rPr>
        <w:t xml:space="preserve"> household energy consumption will vary from household to household depending on</w:t>
      </w:r>
      <w:r w:rsidR="00FB05EA" w:rsidRPr="00C90AC9">
        <w:rPr>
          <w:rFonts w:eastAsia="Calibri"/>
          <w:lang w:eastAsia="en-US"/>
        </w:rPr>
        <w:t xml:space="preserve"> a number of specific house demographics and uses</w:t>
      </w:r>
      <w:r w:rsidR="00A16B8C" w:rsidRPr="00C90AC9">
        <w:rPr>
          <w:rFonts w:eastAsia="Calibri"/>
          <w:lang w:eastAsia="en-US"/>
        </w:rPr>
        <w:t>: the household type; the use of appliances in the property; the behavioural patterns of the occupants; and the number of occupants</w:t>
      </w:r>
      <w:r w:rsidR="00A7133E" w:rsidRPr="00C90AC9">
        <w:rPr>
          <w:rFonts w:eastAsia="Calibri"/>
          <w:lang w:eastAsia="en-US"/>
        </w:rPr>
        <w:t xml:space="preserve"> living in the property</w:t>
      </w:r>
      <w:r w:rsidR="000E17D2" w:rsidRPr="00C90AC9">
        <w:rPr>
          <w:rFonts w:eastAsia="Calibri"/>
          <w:lang w:eastAsia="en-US"/>
        </w:rPr>
        <w:t xml:space="preserve"> </w:t>
      </w:r>
      <w:r w:rsidR="00254749" w:rsidRPr="00C90AC9">
        <w:rPr>
          <w:rFonts w:eastAsia="Calibri"/>
          <w:lang w:eastAsia="en-US"/>
        </w:rPr>
        <w:fldChar w:fldCharType="begin"/>
      </w:r>
      <w:r w:rsidR="00254749" w:rsidRPr="00C90AC9">
        <w:rPr>
          <w:rFonts w:eastAsia="Calibri"/>
          <w:lang w:eastAsia="en-US"/>
        </w:rPr>
        <w:instrText xml:space="preserve"> ADDIN EN.CITE &lt;EndNote&gt;&lt;Cite&gt;&lt;Author&gt;Allen&lt;/Author&gt;&lt;Year&gt;2008&lt;/Year&gt;&lt;RecNum&gt;211&lt;/RecNum&gt;&lt;DisplayText&gt;(S. Allen, Hammond, &amp;amp; McManus, 2008)&lt;/DisplayText&gt;&lt;record&gt;&lt;rec-number&gt;211&lt;/rec-number&gt;&lt;foreign-keys&gt;&lt;key app="EN" db-id="50wxdpzd9vd5r7e9t5b595djrfpttrxw9avp" timestamp="1525464920"&gt;211&lt;/key&gt;&lt;/foreign-keys&gt;&lt;ref-type name="Book"&gt;6&lt;/ref-type&gt;&lt;contributors&gt;&lt;authors&gt;&lt;author&gt;Allen, Stephen&lt;/author&gt;&lt;author&gt;Hammond, Geoffrey&lt;/author&gt;&lt;author&gt;McManus, Marcelle&lt;/author&gt;&lt;/authors&gt;&lt;/contributors&gt;&lt;titles&gt;&lt;title&gt;Prospects for and barriers to domestic micro-generation: A United Kingdom perspective&lt;/title&gt;&lt;/titles&gt;&lt;pages&gt;528-544&lt;/pages&gt;&lt;volume&gt;85&lt;/volume&gt;&lt;dates&gt;&lt;year&gt;2008&lt;/year&gt;&lt;/dates&gt;&lt;urls&gt;&lt;/urls&gt;&lt;electronic-resource-num&gt;10.1016/j.apenergy.2007.09.006&lt;/electronic-resource-num&gt;&lt;/record&gt;&lt;/Cite&gt;&lt;/EndNote&gt;</w:instrText>
      </w:r>
      <w:r w:rsidR="00254749" w:rsidRPr="00C90AC9">
        <w:rPr>
          <w:rFonts w:eastAsia="Calibri"/>
          <w:lang w:eastAsia="en-US"/>
        </w:rPr>
        <w:fldChar w:fldCharType="separate"/>
      </w:r>
      <w:r w:rsidR="00254749" w:rsidRPr="00C90AC9">
        <w:rPr>
          <w:rFonts w:eastAsia="Calibri"/>
          <w:lang w:eastAsia="en-US"/>
        </w:rPr>
        <w:t>(</w:t>
      </w:r>
      <w:r w:rsidR="00432861" w:rsidRPr="00C90AC9">
        <w:rPr>
          <w:rFonts w:eastAsia="Calibri"/>
          <w:lang w:eastAsia="en-US"/>
        </w:rPr>
        <w:t>S. R. Allen</w:t>
      </w:r>
      <w:r w:rsidR="00254749" w:rsidRPr="00C90AC9">
        <w:rPr>
          <w:rFonts w:eastAsia="Calibri"/>
          <w:lang w:eastAsia="en-US"/>
        </w:rPr>
        <w:t>, Hammond, &amp; McManus, 2008)</w:t>
      </w:r>
      <w:r w:rsidR="00254749" w:rsidRPr="00C90AC9">
        <w:rPr>
          <w:rFonts w:eastAsia="Calibri"/>
          <w:lang w:eastAsia="en-US"/>
        </w:rPr>
        <w:fldChar w:fldCharType="end"/>
      </w:r>
      <w:r w:rsidR="00254749" w:rsidRPr="00C90AC9">
        <w:rPr>
          <w:rFonts w:eastAsia="Calibri"/>
          <w:lang w:eastAsia="en-US"/>
        </w:rPr>
        <w:t xml:space="preserve">. </w:t>
      </w:r>
      <w:r w:rsidR="00FB05EA" w:rsidRPr="00C90AC9">
        <w:rPr>
          <w:rFonts w:eastAsia="Calibri"/>
          <w:lang w:eastAsia="en-US"/>
        </w:rPr>
        <w:t>D</w:t>
      </w:r>
      <w:r w:rsidR="00A16B8C" w:rsidRPr="00C90AC9">
        <w:rPr>
          <w:rFonts w:eastAsia="Calibri"/>
          <w:lang w:eastAsia="en-US"/>
        </w:rPr>
        <w:t xml:space="preserve">omestic energy consumption by end use and the domestic energy spend </w:t>
      </w:r>
      <w:r w:rsidR="00F40196" w:rsidRPr="00C90AC9">
        <w:rPr>
          <w:rFonts w:eastAsia="Calibri"/>
          <w:lang w:eastAsia="en-US"/>
        </w:rPr>
        <w:t xml:space="preserve">in the UK </w:t>
      </w:r>
      <w:r w:rsidR="00FB05EA" w:rsidRPr="00C90AC9">
        <w:rPr>
          <w:rFonts w:eastAsia="Calibri"/>
          <w:lang w:eastAsia="en-US"/>
        </w:rPr>
        <w:t xml:space="preserve">is shown in Figure 1.7 and </w:t>
      </w:r>
      <w:r w:rsidR="00A16B8C" w:rsidRPr="00C90AC9">
        <w:rPr>
          <w:rFonts w:eastAsia="Calibri"/>
          <w:lang w:eastAsia="en-US"/>
        </w:rPr>
        <w:t xml:space="preserve">highlights water heating in domestic properties  </w:t>
      </w:r>
      <w:r w:rsidR="00F40196" w:rsidRPr="00C90AC9">
        <w:rPr>
          <w:rFonts w:eastAsia="Calibri"/>
          <w:lang w:eastAsia="en-US"/>
        </w:rPr>
        <w:t xml:space="preserve">in the UK </w:t>
      </w:r>
      <w:r w:rsidR="00FB05EA" w:rsidRPr="00C90AC9">
        <w:rPr>
          <w:rFonts w:eastAsia="Calibri"/>
          <w:lang w:eastAsia="en-US"/>
        </w:rPr>
        <w:t xml:space="preserve">accounting </w:t>
      </w:r>
      <w:r w:rsidR="00A16B8C" w:rsidRPr="00C90AC9">
        <w:rPr>
          <w:rFonts w:eastAsia="Calibri"/>
          <w:lang w:eastAsia="en-US"/>
        </w:rPr>
        <w:t xml:space="preserve">for approximately 16% of domestic energy consumption and approximately 13% of domestic energy expenditure </w:t>
      </w:r>
      <w:sdt>
        <w:sdtPr>
          <w:rPr>
            <w:rFonts w:eastAsia="Calibri"/>
            <w:lang w:eastAsia="en-US"/>
          </w:rPr>
          <w:alias w:val="Don't edit this field"/>
          <w:tag w:val="CitaviPlaceholder#638e36a5-feb0-49dc-ae03-b2ec8c5f3b65"/>
          <w:id w:val="-330526883"/>
        </w:sdtPr>
        <w:sdtEndPr/>
        <w:sdtContent>
          <w:r w:rsidR="00C05E2B" w:rsidRPr="00C90AC9">
            <w:rPr>
              <w:rFonts w:eastAsia="Calibri"/>
              <w:lang w:eastAsia="en-US"/>
            </w:rPr>
            <w:fldChar w:fldCharType="begin"/>
          </w:r>
          <w:r w:rsidR="007835E8" w:rsidRPr="00C90AC9">
            <w:rPr>
              <w:rFonts w:eastAsia="Calibri"/>
              <w:lang w:eastAsia="en-US"/>
            </w:rPr>
            <w:instrText>ADDIN CitaviPlaceholder{eyIkaWQiOiIxIiwiRW50cmllcyI6W3siJGlkIjoiMiIsIkhhc1RlbXBvcmFyeVJlZmVyZW5jZSI6dHJ1ZSwiSWQiOiIxMGJhZWRhNC1kYjk1LTQxZjEtOWY0NS05MjUzMjQ4NjI0YzAiLCJSYW5nZUxlbmd0aCI6MzcsIlJlZmVyZW5jZUlkIjoiM2MwNjA3NTMtNWY5Ni00YjUwLWJjOWYtNTYzN2RlMjJiZjI1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}</w:instrText>
          </w:r>
          <w:r w:rsidR="00C05E2B" w:rsidRPr="00C90AC9">
            <w:rPr>
              <w:rFonts w:eastAsia="Calibri"/>
              <w:lang w:eastAsia="en-US"/>
            </w:rPr>
            <w:fldChar w:fldCharType="separate"/>
          </w:r>
          <w:r w:rsidR="007835E8" w:rsidRPr="00C90AC9">
            <w:rPr>
              <w:rFonts w:eastAsia="Calibri"/>
              <w:lang w:eastAsia="en-US"/>
            </w:rPr>
            <w:t>(Energy Consumption in the UK (2015))</w:t>
          </w:r>
          <w:r w:rsidR="00C05E2B" w:rsidRPr="00C90AC9">
            <w:rPr>
              <w:rFonts w:eastAsia="Calibri"/>
              <w:lang w:eastAsia="en-US"/>
            </w:rPr>
            <w:fldChar w:fldCharType="end"/>
          </w:r>
        </w:sdtContent>
      </w:sdt>
      <w:r w:rsidR="00FB05EA" w:rsidRPr="00C90AC9">
        <w:rPr>
          <w:rFonts w:eastAsia="Calibri"/>
          <w:lang w:eastAsia="en-US"/>
        </w:rPr>
        <w:t>.</w:t>
      </w:r>
      <w:r w:rsidR="00A16B8C" w:rsidRPr="00C90AC9">
        <w:rPr>
          <w:rFonts w:eastAsia="Calibri"/>
          <w:lang w:eastAsia="en-US"/>
        </w:rPr>
        <w:t xml:space="preserve"> </w:t>
      </w:r>
    </w:p>
    <w:p w:rsidR="00BD17E3" w:rsidRPr="00C90AC9" w:rsidRDefault="00530DEB" w:rsidP="00D01EBF">
      <w:pPr>
        <w:pStyle w:val="BodyText"/>
        <w:rPr>
          <w:rFonts w:eastAsia="Calibri"/>
          <w:szCs w:val="24"/>
          <w:lang w:eastAsia="en-US"/>
        </w:rPr>
      </w:pPr>
      <w:r w:rsidRPr="00C90AC9">
        <w:rPr>
          <w:rFonts w:eastAsia="Calibri"/>
          <w:noProof/>
          <w:szCs w:val="24"/>
        </w:rPr>
        <w:drawing>
          <wp:anchor distT="0" distB="0" distL="114300" distR="114300" simplePos="0" relativeHeight="251658240" behindDoc="0" locked="0" layoutInCell="1" allowOverlap="1" wp14:anchorId="3AF3E8E4" wp14:editId="3A3A54AF">
            <wp:simplePos x="0" y="0"/>
            <wp:positionH relativeFrom="margin">
              <wp:posOffset>25400</wp:posOffset>
            </wp:positionH>
            <wp:positionV relativeFrom="paragraph">
              <wp:posOffset>490855</wp:posOffset>
            </wp:positionV>
            <wp:extent cx="5641340" cy="3838575"/>
            <wp:effectExtent l="0" t="0" r="16510" b="9525"/>
            <wp:wrapSquare wrapText="bothSides"/>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r w:rsidR="00CF75F1" w:rsidRPr="00C90AC9">
        <w:rPr>
          <w:rFonts w:eastAsia="Calibri"/>
          <w:szCs w:val="24"/>
          <w:lang w:eastAsia="en-US"/>
        </w:rPr>
        <w:t>Figure 1.7</w:t>
      </w:r>
      <w:r w:rsidR="00A16B8C" w:rsidRPr="00C90AC9">
        <w:rPr>
          <w:rFonts w:eastAsia="Calibri"/>
          <w:szCs w:val="24"/>
          <w:lang w:eastAsia="en-US"/>
        </w:rPr>
        <w:t xml:space="preserve">. Share of UK domestic energy consumption by end use and domestic energy spend </w:t>
      </w:r>
      <w:r w:rsidR="00FB05EA" w:rsidRPr="00C90AC9">
        <w:rPr>
          <w:rFonts w:eastAsia="Calibri"/>
          <w:szCs w:val="24"/>
          <w:lang w:eastAsia="en-US"/>
        </w:rPr>
        <w:fldChar w:fldCharType="begin"/>
      </w:r>
      <w:r w:rsidR="00FB05EA" w:rsidRPr="00C90AC9">
        <w:rPr>
          <w:rFonts w:eastAsia="Calibri"/>
          <w:szCs w:val="24"/>
          <w:lang w:eastAsia="en-US"/>
        </w:rPr>
        <w:instrText xml:space="preserve"> ADDIN EN.CITE &lt;EndNote&gt;&lt;Cite&gt;&lt;Author&gt;DECC&lt;/Author&gt;&lt;Year&gt;2013&lt;/Year&gt;&lt;RecNum&gt;138&lt;/RecNum&gt;&lt;DisplayText&gt;(DECC, 2013)&lt;/DisplayText&gt;&lt;record&gt;&lt;rec-number&gt;138&lt;/rec-number&gt;&lt;foreign-keys&gt;&lt;key app="EN" db-id="50wxdpzd9vd5r7e9t5b595djrfpttrxw9avp" timestamp="1525076334"&gt;138&lt;/key&gt;&lt;/foreign-keys&gt;&lt;ref-type name="Unpublished Work"&gt;34&lt;/ref-type&gt;&lt;contributors&gt;&lt;authors&gt;&lt;author&gt;DECC&lt;/author&gt;&lt;/authors&gt;&lt;/contributors&gt;&lt;titles&gt;&lt;title&gt;Energy Consumption in the UK (2015)&lt;/title&gt;&lt;short-title&gt;DECC 2013 – Energy Consumption in the UK&lt;/short-title&gt;&lt;/titles&gt;&lt;dates&gt;&lt;year&gt;2013&lt;/year&gt;&lt;/dates&gt;&lt;pub-location&gt;London&lt;/pub-location&gt;&lt;publisher&gt;Crown Copywrite&lt;/publisher&gt;&lt;urls&gt;&lt;/urls&gt;&lt;/record&gt;&lt;/Cite&gt;&lt;/EndNote&gt;</w:instrText>
      </w:r>
      <w:r w:rsidR="00FB05EA" w:rsidRPr="00C90AC9">
        <w:rPr>
          <w:rFonts w:eastAsia="Calibri"/>
          <w:szCs w:val="24"/>
          <w:lang w:eastAsia="en-US"/>
        </w:rPr>
        <w:fldChar w:fldCharType="separate"/>
      </w:r>
      <w:r w:rsidR="00FB05EA" w:rsidRPr="00C90AC9">
        <w:rPr>
          <w:rFonts w:eastAsia="Calibri"/>
          <w:szCs w:val="24"/>
          <w:lang w:eastAsia="en-US"/>
        </w:rPr>
        <w:t>(DECC, 2013)</w:t>
      </w:r>
      <w:r w:rsidR="00FB05EA" w:rsidRPr="00C90AC9">
        <w:rPr>
          <w:rFonts w:eastAsia="Calibri"/>
          <w:szCs w:val="24"/>
          <w:lang w:eastAsia="en-US"/>
        </w:rPr>
        <w:fldChar w:fldCharType="end"/>
      </w:r>
    </w:p>
    <w:p w:rsidR="00FB05EA" w:rsidRPr="00C90AC9" w:rsidRDefault="00FB05EA" w:rsidP="00B06779">
      <w:pPr>
        <w:pStyle w:val="BodyText"/>
        <w:rPr>
          <w:rFonts w:eastAsia="Calibri"/>
          <w:szCs w:val="24"/>
          <w:lang w:eastAsia="en-US"/>
        </w:rPr>
      </w:pPr>
    </w:p>
    <w:p w:rsidR="00120DC5" w:rsidRPr="00C90AC9" w:rsidRDefault="00CB2595" w:rsidP="00F521EF">
      <w:pPr>
        <w:pStyle w:val="BodyText"/>
        <w:spacing w:line="360" w:lineRule="auto"/>
        <w:rPr>
          <w:rFonts w:eastAsia="Calibri"/>
          <w:lang w:eastAsia="en-US"/>
        </w:rPr>
      </w:pPr>
      <w:r w:rsidRPr="00C90AC9">
        <w:rPr>
          <w:rFonts w:eastAsia="Calibri"/>
          <w:lang w:eastAsia="en-US"/>
        </w:rPr>
        <w:t>The results of the study</w:t>
      </w:r>
      <w:r w:rsidR="009132EA" w:rsidRPr="00C90AC9">
        <w:rPr>
          <w:rFonts w:eastAsia="Calibri"/>
          <w:lang w:eastAsia="en-US"/>
        </w:rPr>
        <w:t xml:space="preserve"> by DECC</w:t>
      </w:r>
      <w:r w:rsidR="00814116" w:rsidRPr="00C90AC9">
        <w:rPr>
          <w:rFonts w:eastAsia="Calibri"/>
          <w:lang w:eastAsia="en-US"/>
        </w:rPr>
        <w:t xml:space="preserve"> are in broad agreement with the results of the study conducted by T</w:t>
      </w:r>
      <w:r w:rsidR="00FB05EA" w:rsidRPr="00C90AC9">
        <w:rPr>
          <w:rFonts w:eastAsia="Calibri"/>
          <w:lang w:eastAsia="en-US"/>
        </w:rPr>
        <w:t>he Energy Saving Trust in 200</w:t>
      </w:r>
      <w:r w:rsidR="006C186E" w:rsidRPr="00C90AC9">
        <w:rPr>
          <w:rFonts w:eastAsia="Calibri"/>
          <w:lang w:eastAsia="en-US"/>
        </w:rPr>
        <w:t>5</w:t>
      </w:r>
      <w:r w:rsidR="009132EA" w:rsidRPr="00C90AC9">
        <w:rPr>
          <w:rFonts w:eastAsia="Calibri"/>
          <w:lang w:eastAsia="en-US"/>
        </w:rPr>
        <w:t xml:space="preserve"> </w:t>
      </w:r>
      <w:r w:rsidR="00FB05EA" w:rsidRPr="00C90AC9">
        <w:rPr>
          <w:rFonts w:eastAsia="Calibri"/>
          <w:lang w:eastAsia="en-US"/>
        </w:rPr>
        <w:t xml:space="preserve"> </w:t>
      </w:r>
      <w:r w:rsidR="006C186E" w:rsidRPr="00C90AC9">
        <w:rPr>
          <w:rFonts w:eastAsia="Calibri"/>
          <w:lang w:eastAsia="en-US"/>
        </w:rPr>
        <w:fldChar w:fldCharType="begin"/>
      </w:r>
      <w:r w:rsidR="009132EA" w:rsidRPr="00C90AC9">
        <w:rPr>
          <w:rFonts w:eastAsia="Calibri"/>
          <w:lang w:eastAsia="en-US"/>
        </w:rPr>
        <w:instrText xml:space="preserve"> ADDIN EN.CITE &lt;EndNote&gt;&lt;Cite&gt;&lt;Author&gt;Trust&lt;/Author&gt;&lt;Year&gt;2005&lt;/Year&gt;&lt;RecNum&gt;200&lt;/RecNum&gt;&lt;DisplayText&gt;(DECC, 2013; Trust, 2005)&lt;/DisplayText&gt;&lt;record&gt;&lt;rec-number&gt;200&lt;/rec-number&gt;&lt;foreign-keys&gt;&lt;key app="EN" db-id="50wxdpzd9vd5r7e9t5b595djrfpttrxw9avp" timestamp="1525076335"&gt;200&lt;/key&gt;&lt;/foreign-keys&gt;&lt;ref-type name="Unpublished Work"&gt;34&lt;/ref-type&gt;&lt;contributors&gt;&lt;authors&gt;&lt;author&gt;Trust, E. S.&lt;/author&gt;&lt;/authors&gt;&lt;/contributors&gt;&lt;titles&gt;&lt;title&gt;Energy Use in Homes&lt;/title&gt;&lt;short-title&gt;Trust 2005 – Energy Use in Homes&lt;/short-title&gt;&lt;/titles&gt;&lt;dates&gt;&lt;year&gt;2005&lt;/year&gt;&lt;/dates&gt;&lt;pub-location&gt;London&lt;/pub-location&gt;&lt;publisher&gt;DEFRA&lt;/publisher&gt;&lt;urls&gt;&lt;/urls&gt;&lt;/record&gt;&lt;/Cite&gt;&lt;Cite&gt;&lt;Author&gt;DECC&lt;/Author&gt;&lt;Year&gt;2013&lt;/Year&gt;&lt;RecNum&gt;138&lt;/RecNum&gt;&lt;record&gt;&lt;rec-number&gt;138&lt;/rec-number&gt;&lt;foreign-keys&gt;&lt;key app="EN" db-id="50wxdpzd9vd5r7e9t5b595djrfpttrxw9avp" timestamp="1525076334"&gt;138&lt;/key&gt;&lt;/foreign-keys&gt;&lt;ref-type name="Unpublished Work"&gt;34&lt;/ref-type&gt;&lt;contributors&gt;&lt;authors&gt;&lt;author&gt;DECC&lt;/author&gt;&lt;/authors&gt;&lt;/contributors&gt;&lt;titles&gt;&lt;title&gt;Energy Consumption in the UK (2015)&lt;/title&gt;&lt;short-title&gt;DECC 2013 – Energy Consumption in the UK&lt;/short-title&gt;&lt;/titles&gt;&lt;dates&gt;&lt;year&gt;2013&lt;/year&gt;&lt;/dates&gt;&lt;pub-location&gt;London&lt;/pub-location&gt;&lt;publisher&gt;Crown Copywrite&lt;/publisher&gt;&lt;urls&gt;&lt;/urls&gt;&lt;/record&gt;&lt;/Cite&gt;&lt;/EndNote&gt;</w:instrText>
      </w:r>
      <w:r w:rsidR="006C186E" w:rsidRPr="00C90AC9">
        <w:rPr>
          <w:rFonts w:eastAsia="Calibri"/>
          <w:lang w:eastAsia="en-US"/>
        </w:rPr>
        <w:fldChar w:fldCharType="separate"/>
      </w:r>
      <w:r w:rsidR="009132EA" w:rsidRPr="00C90AC9">
        <w:rPr>
          <w:rFonts w:eastAsia="Calibri"/>
          <w:lang w:eastAsia="en-US"/>
        </w:rPr>
        <w:t>(DECC, 2013; Trust, 2005)</w:t>
      </w:r>
      <w:r w:rsidR="006C186E" w:rsidRPr="00C90AC9">
        <w:rPr>
          <w:rFonts w:eastAsia="Calibri"/>
          <w:lang w:eastAsia="en-US"/>
        </w:rPr>
        <w:fldChar w:fldCharType="end"/>
      </w:r>
      <w:r w:rsidR="00FB05EA" w:rsidRPr="00C90AC9">
        <w:rPr>
          <w:rFonts w:eastAsia="Calibri"/>
          <w:lang w:eastAsia="en-US"/>
        </w:rPr>
        <w:t>.</w:t>
      </w:r>
    </w:p>
    <w:p w:rsidR="006C186E" w:rsidRPr="00C90AC9" w:rsidRDefault="006C186E" w:rsidP="00F521EF">
      <w:pPr>
        <w:pStyle w:val="BodyText"/>
        <w:spacing w:line="360" w:lineRule="auto"/>
        <w:rPr>
          <w:rFonts w:eastAsia="Calibri"/>
          <w:lang w:eastAsia="en-US"/>
        </w:rPr>
      </w:pPr>
    </w:p>
    <w:p w:rsidR="007F6E01" w:rsidRPr="00C90AC9" w:rsidRDefault="007F6E01" w:rsidP="00F521EF">
      <w:pPr>
        <w:pStyle w:val="BodyText"/>
        <w:spacing w:line="360" w:lineRule="auto"/>
        <w:rPr>
          <w:rFonts w:eastAsia="Calibri"/>
          <w:lang w:eastAsia="en-US"/>
        </w:rPr>
      </w:pPr>
    </w:p>
    <w:p w:rsidR="00A16B8C" w:rsidRPr="00C90AC9" w:rsidRDefault="00A16B8C" w:rsidP="00162965">
      <w:pPr>
        <w:pStyle w:val="Heading1"/>
        <w:rPr>
          <w:rStyle w:val="SubtleEmphasis"/>
        </w:rPr>
      </w:pPr>
      <w:r w:rsidRPr="00C90AC9">
        <w:rPr>
          <w:rStyle w:val="SubtleEmphasis"/>
        </w:rPr>
        <w:lastRenderedPageBreak/>
        <w:t>Hot water consumption in domestic buildings in the UK</w:t>
      </w:r>
    </w:p>
    <w:p w:rsidR="00120237" w:rsidRPr="00C90AC9" w:rsidRDefault="00682CD6" w:rsidP="00D01EBF">
      <w:pPr>
        <w:pStyle w:val="ListContinue"/>
        <w:spacing w:line="360" w:lineRule="auto"/>
        <w:ind w:left="0"/>
        <w:rPr>
          <w:rFonts w:eastAsia="Calibri"/>
          <w:lang w:eastAsia="en-US"/>
        </w:rPr>
      </w:pPr>
      <w:r w:rsidRPr="00C90AC9">
        <w:rPr>
          <w:rFonts w:eastAsia="Calibri"/>
          <w:lang w:eastAsia="en-US"/>
        </w:rPr>
        <w:tab/>
      </w:r>
      <w:r w:rsidR="00A16B8C" w:rsidRPr="00C90AC9">
        <w:rPr>
          <w:rFonts w:eastAsia="Calibri"/>
          <w:lang w:eastAsia="en-US"/>
        </w:rPr>
        <w:t>An assessment of the volume of hot water that is consumed in the UK by different households was conducted by</w:t>
      </w:r>
      <w:r w:rsidR="006C186E" w:rsidRPr="00C90AC9">
        <w:rPr>
          <w:rFonts w:eastAsia="Calibri"/>
          <w:lang w:eastAsia="en-US"/>
        </w:rPr>
        <w:t xml:space="preserve"> The Energy Saving Trust in 2005</w:t>
      </w:r>
      <w:r w:rsidR="00A16B8C" w:rsidRPr="00C90AC9">
        <w:rPr>
          <w:rFonts w:eastAsia="Calibri"/>
          <w:lang w:eastAsia="en-US"/>
        </w:rPr>
        <w:t xml:space="preserve"> with the litres of hot water consumed per pe</w:t>
      </w:r>
      <w:r w:rsidR="00CF75F1" w:rsidRPr="00C90AC9">
        <w:rPr>
          <w:rFonts w:eastAsia="Calibri"/>
          <w:lang w:eastAsia="en-US"/>
        </w:rPr>
        <w:t>rson per day shown in Figure 1.8</w:t>
      </w:r>
      <w:r w:rsidR="00A16B8C" w:rsidRPr="00C90AC9">
        <w:rPr>
          <w:rFonts w:eastAsia="Calibri"/>
          <w:lang w:eastAsia="en-US"/>
        </w:rPr>
        <w:t>.</w:t>
      </w:r>
      <w:r w:rsidR="008761A6" w:rsidRPr="00C90AC9">
        <w:rPr>
          <w:rFonts w:eastAsia="Calibri"/>
          <w:lang w:eastAsia="en-US"/>
        </w:rPr>
        <w:t xml:space="preserve"> </w:t>
      </w:r>
      <w:r w:rsidR="00254749" w:rsidRPr="00C90AC9">
        <w:rPr>
          <w:rFonts w:eastAsia="Calibri"/>
          <w:lang w:eastAsia="en-US"/>
        </w:rPr>
        <w:t xml:space="preserve"> </w:t>
      </w:r>
      <w:r w:rsidR="00254749" w:rsidRPr="00C90AC9">
        <w:rPr>
          <w:rFonts w:eastAsia="Calibri"/>
          <w:lang w:eastAsia="en-US"/>
        </w:rPr>
        <w:fldChar w:fldCharType="begin"/>
      </w:r>
      <w:r w:rsidR="00254749" w:rsidRPr="00C90AC9">
        <w:rPr>
          <w:rFonts w:eastAsia="Calibri"/>
          <w:lang w:eastAsia="en-US"/>
        </w:rPr>
        <w:instrText xml:space="preserve"> ADDIN EN.CITE &lt;EndNote&gt;&lt;Cite&gt;&lt;Author&gt;Trust&lt;/Author&gt;&lt;Year&gt;2005&lt;/Year&gt;&lt;RecNum&gt;200&lt;/RecNum&gt;&lt;DisplayText&gt;(Trust, 2005)&lt;/DisplayText&gt;&lt;record&gt;&lt;rec-number&gt;200&lt;/rec-number&gt;&lt;foreign-keys&gt;&lt;key app="EN" db-id="50wxdpzd9vd5r7e9t5b595djrfpttrxw9avp" timestamp="1525076335"&gt;200&lt;/key&gt;&lt;/foreign-keys&gt;&lt;ref-type name="Unpublished Work"&gt;34&lt;/ref-type&gt;&lt;contributors&gt;&lt;authors&gt;&lt;author&gt;Trust, E. S.&lt;/author&gt;&lt;/authors&gt;&lt;/contributors&gt;&lt;titles&gt;&lt;title&gt;Energy Use in Homes&lt;/title&gt;&lt;short-title&gt;Trust 2005 – Energy Use in Homes&lt;/short-title&gt;&lt;/titles&gt;&lt;dates&gt;&lt;year&gt;2005&lt;/year&gt;&lt;/dates&gt;&lt;pub-location&gt;London&lt;/pub-location&gt;&lt;publisher&gt;DEFRA&lt;/publisher&gt;&lt;urls&gt;&lt;/urls&gt;&lt;/record&gt;&lt;/Cite&gt;&lt;/EndNote&gt;</w:instrText>
      </w:r>
      <w:r w:rsidR="00254749" w:rsidRPr="00C90AC9">
        <w:rPr>
          <w:rFonts w:eastAsia="Calibri"/>
          <w:lang w:eastAsia="en-US"/>
        </w:rPr>
        <w:fldChar w:fldCharType="separate"/>
      </w:r>
      <w:r w:rsidR="00254749" w:rsidRPr="00C90AC9">
        <w:rPr>
          <w:rFonts w:eastAsia="Calibri"/>
          <w:lang w:eastAsia="en-US"/>
        </w:rPr>
        <w:t>(Trust, 2005)</w:t>
      </w:r>
      <w:r w:rsidR="00254749" w:rsidRPr="00C90AC9">
        <w:rPr>
          <w:rFonts w:eastAsia="Calibri"/>
          <w:lang w:eastAsia="en-US"/>
        </w:rPr>
        <w:fldChar w:fldCharType="end"/>
      </w:r>
      <w:r w:rsidR="00254749" w:rsidRPr="00C90AC9">
        <w:rPr>
          <w:rFonts w:eastAsia="Calibri"/>
          <w:lang w:eastAsia="en-US"/>
        </w:rPr>
        <w:t xml:space="preserve">. In </w:t>
      </w:r>
      <w:r w:rsidR="00120237" w:rsidRPr="00C90AC9">
        <w:rPr>
          <w:rFonts w:eastAsia="Calibri"/>
          <w:lang w:eastAsia="en-US"/>
        </w:rPr>
        <w:t xml:space="preserve">this study </w:t>
      </w:r>
      <w:r w:rsidR="00254749" w:rsidRPr="00C90AC9">
        <w:rPr>
          <w:rFonts w:eastAsia="Calibri"/>
          <w:lang w:eastAsia="en-US"/>
        </w:rPr>
        <w:t xml:space="preserve">by The Energy Saving Trust </w:t>
      </w:r>
      <w:r w:rsidR="00120237" w:rsidRPr="00C90AC9">
        <w:rPr>
          <w:rFonts w:eastAsia="Calibri"/>
          <w:lang w:eastAsia="en-US"/>
        </w:rPr>
        <w:t xml:space="preserve">over </w:t>
      </w:r>
      <w:r w:rsidR="00A16B8C" w:rsidRPr="00C90AC9">
        <w:rPr>
          <w:rFonts w:eastAsia="Calibri"/>
          <w:lang w:eastAsia="en-US"/>
        </w:rPr>
        <w:t>10,000 homes in the UK were monitored</w:t>
      </w:r>
      <w:r w:rsidR="00120237" w:rsidRPr="00C90AC9">
        <w:rPr>
          <w:rFonts w:eastAsia="Calibri"/>
          <w:lang w:eastAsia="en-US"/>
        </w:rPr>
        <w:t xml:space="preserve"> to record how much water was utilised. T</w:t>
      </w:r>
      <w:r w:rsidR="00A16B8C" w:rsidRPr="00C90AC9">
        <w:rPr>
          <w:rFonts w:eastAsia="Calibri"/>
          <w:lang w:eastAsia="en-US"/>
        </w:rPr>
        <w:t>he results</w:t>
      </w:r>
      <w:r w:rsidR="00120237" w:rsidRPr="00C90AC9">
        <w:rPr>
          <w:rFonts w:eastAsia="Calibri"/>
          <w:lang w:eastAsia="en-US"/>
        </w:rPr>
        <w:t xml:space="preserve"> of this study </w:t>
      </w:r>
      <w:r w:rsidR="00A16B8C" w:rsidRPr="00C90AC9">
        <w:rPr>
          <w:rFonts w:eastAsia="Calibri"/>
          <w:lang w:eastAsia="en-US"/>
        </w:rPr>
        <w:t>indicate</w:t>
      </w:r>
      <w:r w:rsidR="00120237" w:rsidRPr="00C90AC9">
        <w:rPr>
          <w:rFonts w:eastAsia="Calibri"/>
          <w:lang w:eastAsia="en-US"/>
        </w:rPr>
        <w:t>d</w:t>
      </w:r>
      <w:r w:rsidR="00A16B8C" w:rsidRPr="00C90AC9">
        <w:rPr>
          <w:rFonts w:eastAsia="Calibri"/>
          <w:lang w:eastAsia="en-US"/>
        </w:rPr>
        <w:t xml:space="preserve"> that each property</w:t>
      </w:r>
      <w:r w:rsidR="00120237" w:rsidRPr="00C90AC9">
        <w:rPr>
          <w:rFonts w:eastAsia="Calibri"/>
          <w:lang w:eastAsia="en-US"/>
        </w:rPr>
        <w:t xml:space="preserve"> in the UK</w:t>
      </w:r>
      <w:r w:rsidR="00A16B8C" w:rsidRPr="00C90AC9">
        <w:rPr>
          <w:rFonts w:eastAsia="Calibri"/>
          <w:lang w:eastAsia="en-US"/>
        </w:rPr>
        <w:t xml:space="preserve"> consumes between 45 and 60 litres of hot water per day</w:t>
      </w:r>
      <w:r w:rsidR="00120237" w:rsidRPr="00C90AC9">
        <w:rPr>
          <w:rFonts w:eastAsia="Calibri"/>
          <w:lang w:eastAsia="en-US"/>
        </w:rPr>
        <w:t xml:space="preserve"> and varies from property to property dependent on the demographic of the occupants of each property.</w:t>
      </w:r>
      <w:r w:rsidR="00175944" w:rsidRPr="00C90AC9">
        <w:rPr>
          <w:rFonts w:eastAsia="Calibri"/>
          <w:lang w:eastAsia="en-US"/>
        </w:rPr>
        <w:t xml:space="preserve"> The study also showed that the largest </w:t>
      </w:r>
      <w:r w:rsidR="00120237" w:rsidRPr="00C90AC9">
        <w:rPr>
          <w:rFonts w:eastAsia="Calibri"/>
          <w:lang w:eastAsia="en-US"/>
        </w:rPr>
        <w:t>volume of</w:t>
      </w:r>
      <w:r w:rsidR="00175944" w:rsidRPr="00C90AC9">
        <w:rPr>
          <w:rFonts w:eastAsia="Calibri"/>
          <w:lang w:eastAsia="en-US"/>
        </w:rPr>
        <w:t xml:space="preserve"> hot</w:t>
      </w:r>
      <w:r w:rsidR="00120237" w:rsidRPr="00C90AC9">
        <w:rPr>
          <w:rFonts w:eastAsia="Calibri"/>
          <w:lang w:eastAsia="en-US"/>
        </w:rPr>
        <w:t xml:space="preserve"> </w:t>
      </w:r>
      <w:r w:rsidR="00175944" w:rsidRPr="00C90AC9">
        <w:rPr>
          <w:rFonts w:eastAsia="Calibri"/>
          <w:lang w:eastAsia="en-US"/>
        </w:rPr>
        <w:t xml:space="preserve">water is consumed by </w:t>
      </w:r>
      <w:r w:rsidR="00120237" w:rsidRPr="00C90AC9">
        <w:rPr>
          <w:rFonts w:eastAsia="Calibri"/>
          <w:lang w:eastAsia="en-US"/>
        </w:rPr>
        <w:t>single individuals aged</w:t>
      </w:r>
      <w:r w:rsidR="00367E26" w:rsidRPr="00C90AC9">
        <w:rPr>
          <w:rFonts w:eastAsia="Calibri"/>
          <w:lang w:eastAsia="en-US"/>
        </w:rPr>
        <w:t xml:space="preserve"> less than 60 years old, </w:t>
      </w:r>
      <w:r w:rsidR="00120237" w:rsidRPr="00C90AC9">
        <w:rPr>
          <w:rFonts w:eastAsia="Calibri"/>
          <w:lang w:eastAsia="en-US"/>
        </w:rPr>
        <w:t xml:space="preserve">consuming approximately </w:t>
      </w:r>
      <w:r w:rsidR="00175944" w:rsidRPr="00C90AC9">
        <w:rPr>
          <w:rFonts w:eastAsia="Calibri"/>
          <w:lang w:eastAsia="en-US"/>
        </w:rPr>
        <w:t>57 L</w:t>
      </w:r>
      <w:r w:rsidR="00367E26" w:rsidRPr="00C90AC9">
        <w:rPr>
          <w:rFonts w:eastAsia="Calibri"/>
          <w:lang w:eastAsia="en-US"/>
        </w:rPr>
        <w:t xml:space="preserve"> per day</w:t>
      </w:r>
      <w:r w:rsidR="00FB05EA" w:rsidRPr="00C90AC9">
        <w:rPr>
          <w:rFonts w:eastAsia="Calibri"/>
          <w:lang w:eastAsia="en-US"/>
        </w:rPr>
        <w:t xml:space="preserve"> </w:t>
      </w:r>
      <w:r w:rsidR="00FB05EA" w:rsidRPr="00C90AC9">
        <w:rPr>
          <w:rFonts w:eastAsia="Calibri"/>
          <w:lang w:eastAsia="en-US"/>
        </w:rPr>
        <w:fldChar w:fldCharType="begin"/>
      </w:r>
      <w:r w:rsidR="00FB05EA" w:rsidRPr="00C90AC9">
        <w:rPr>
          <w:rFonts w:eastAsia="Calibri"/>
          <w:lang w:eastAsia="en-US"/>
        </w:rPr>
        <w:instrText xml:space="preserve"> ADDIN EN.CITE &lt;EndNote&gt;&lt;Cite&gt;&lt;Author&gt;Trust&lt;/Author&gt;&lt;Year&gt;2005&lt;/Year&gt;&lt;RecNum&gt;200&lt;/RecNum&gt;&lt;DisplayText&gt;(Trust, 2005)&lt;/DisplayText&gt;&lt;record&gt;&lt;rec-number&gt;200&lt;/rec-number&gt;&lt;foreign-keys&gt;&lt;key app="EN" db-id="50wxdpzd9vd5r7e9t5b595djrfpttrxw9avp" timestamp="1525076335"&gt;200&lt;/key&gt;&lt;/foreign-keys&gt;&lt;ref-type name="Unpublished Work"&gt;34&lt;/ref-type&gt;&lt;contributors&gt;&lt;authors&gt;&lt;author&gt;Trust, E. S.&lt;/author&gt;&lt;/authors&gt;&lt;/contributors&gt;&lt;titles&gt;&lt;title&gt;Energy Use in Homes&lt;/title&gt;&lt;short-title&gt;Trust 2005 – Energy Use in Homes&lt;/short-title&gt;&lt;/titles&gt;&lt;dates&gt;&lt;year&gt;2005&lt;/year&gt;&lt;/dates&gt;&lt;pub-location&gt;London&lt;/pub-location&gt;&lt;publisher&gt;DEFRA&lt;/publisher&gt;&lt;urls&gt;&lt;/urls&gt;&lt;/record&gt;&lt;/Cite&gt;&lt;/EndNote&gt;</w:instrText>
      </w:r>
      <w:r w:rsidR="00FB05EA" w:rsidRPr="00C90AC9">
        <w:rPr>
          <w:rFonts w:eastAsia="Calibri"/>
          <w:lang w:eastAsia="en-US"/>
        </w:rPr>
        <w:fldChar w:fldCharType="separate"/>
      </w:r>
      <w:r w:rsidR="00FB05EA" w:rsidRPr="00C90AC9">
        <w:rPr>
          <w:rFonts w:eastAsia="Calibri"/>
          <w:lang w:eastAsia="en-US"/>
        </w:rPr>
        <w:t>(Trust, 2005)</w:t>
      </w:r>
      <w:r w:rsidR="00FB05EA" w:rsidRPr="00C90AC9">
        <w:rPr>
          <w:rFonts w:eastAsia="Calibri"/>
          <w:lang w:eastAsia="en-US"/>
        </w:rPr>
        <w:fldChar w:fldCharType="end"/>
      </w:r>
      <w:r w:rsidR="00175944" w:rsidRPr="00C90AC9">
        <w:rPr>
          <w:rFonts w:eastAsia="Calibri"/>
          <w:lang w:eastAsia="en-US"/>
        </w:rPr>
        <w:t>.</w:t>
      </w:r>
      <w:r w:rsidR="00BD606E" w:rsidRPr="00C90AC9">
        <w:rPr>
          <w:rFonts w:eastAsia="Calibri"/>
          <w:lang w:eastAsia="en-US"/>
        </w:rPr>
        <w:t xml:space="preserve"> </w:t>
      </w:r>
    </w:p>
    <w:p w:rsidR="00120237" w:rsidRPr="00C90AC9" w:rsidRDefault="00BD606E" w:rsidP="003207E6">
      <w:pPr>
        <w:pStyle w:val="ListContinue"/>
        <w:spacing w:line="360" w:lineRule="auto"/>
        <w:ind w:left="0"/>
        <w:rPr>
          <w:rFonts w:eastAsia="Calibri"/>
          <w:lang w:eastAsia="en-US"/>
        </w:rPr>
      </w:pPr>
      <w:r w:rsidRPr="00C90AC9">
        <w:rPr>
          <w:rFonts w:eastAsia="Calibri"/>
          <w:lang w:eastAsia="en-US"/>
        </w:rPr>
        <w:t xml:space="preserve">Thus, the </w:t>
      </w:r>
      <w:r w:rsidR="003207E6" w:rsidRPr="00C90AC9">
        <w:rPr>
          <w:rFonts w:eastAsia="Calibri"/>
          <w:lang w:eastAsia="en-US"/>
        </w:rPr>
        <w:t xml:space="preserve">production of hot water is not only required each day for washing and cleaning, but it is also required at volumes of approximately 60 L. Individuals aged less than 60 years old are increasingly living on their own and this study from 2005 gives an accurate estimation of the hot water this required on a daily basis </w:t>
      </w:r>
      <w:r w:rsidR="00001783" w:rsidRPr="00C90AC9">
        <w:rPr>
          <w:rFonts w:eastAsia="Calibri"/>
          <w:lang w:eastAsia="en-US"/>
        </w:rPr>
        <w:fldChar w:fldCharType="begin"/>
      </w:r>
      <w:r w:rsidR="00001783" w:rsidRPr="00C90AC9">
        <w:rPr>
          <w:rFonts w:eastAsia="Calibri"/>
          <w:lang w:eastAsia="en-US"/>
        </w:rPr>
        <w:instrText xml:space="preserve"> ADDIN EN.CITE &lt;EndNote&gt;&lt;Cite&gt;&lt;Author&gt;Trust&lt;/Author&gt;&lt;Year&gt;2005&lt;/Year&gt;&lt;RecNum&gt;200&lt;/RecNum&gt;&lt;DisplayText&gt;(Trust, 2005)&lt;/DisplayText&gt;&lt;record&gt;&lt;rec-number&gt;200&lt;/rec-number&gt;&lt;foreign-keys&gt;&lt;key app="EN" db-id="50wxdpzd9vd5r7e9t5b595djrfpttrxw9avp" timestamp="1525076335"&gt;200&lt;/key&gt;&lt;/foreign-keys&gt;&lt;ref-type name="Unpublished Work"&gt;34&lt;/ref-type&gt;&lt;contributors&gt;&lt;authors&gt;&lt;author&gt;Trust, E. S.&lt;/author&gt;&lt;/authors&gt;&lt;/contributors&gt;&lt;titles&gt;&lt;title&gt;Energy Use in Homes&lt;/title&gt;&lt;short-title&gt;Trust 2005 – Energy Use in Homes&lt;/short-title&gt;&lt;/titles&gt;&lt;dates&gt;&lt;year&gt;2005&lt;/year&gt;&lt;/dates&gt;&lt;pub-location&gt;London&lt;/pub-location&gt;&lt;publisher&gt;DEFRA&lt;/publisher&gt;&lt;urls&gt;&lt;/urls&gt;&lt;/record&gt;&lt;/Cite&gt;&lt;/EndNote&gt;</w:instrText>
      </w:r>
      <w:r w:rsidR="00001783" w:rsidRPr="00C90AC9">
        <w:rPr>
          <w:rFonts w:eastAsia="Calibri"/>
          <w:lang w:eastAsia="en-US"/>
        </w:rPr>
        <w:fldChar w:fldCharType="separate"/>
      </w:r>
      <w:r w:rsidR="00001783" w:rsidRPr="00C90AC9">
        <w:rPr>
          <w:rFonts w:eastAsia="Calibri"/>
          <w:lang w:eastAsia="en-US"/>
        </w:rPr>
        <w:t>(Trust, 2005)</w:t>
      </w:r>
      <w:r w:rsidR="00001783" w:rsidRPr="00C90AC9">
        <w:rPr>
          <w:rFonts w:eastAsia="Calibri"/>
          <w:lang w:eastAsia="en-US"/>
        </w:rPr>
        <w:fldChar w:fldCharType="end"/>
      </w:r>
      <w:r w:rsidR="003207E6" w:rsidRPr="00C90AC9">
        <w:rPr>
          <w:rFonts w:eastAsia="Calibri"/>
          <w:lang w:eastAsia="en-US"/>
        </w:rPr>
        <w:t xml:space="preserve">. The study in 2005 was only a snapshot of hot water consumption in the UK and so extrapolating to future hot water consumption in UK from this single study is likely to result in inaccurate </w:t>
      </w:r>
      <w:r w:rsidR="00906911" w:rsidRPr="00C90AC9">
        <w:rPr>
          <w:rFonts w:eastAsia="Calibri"/>
          <w:lang w:eastAsia="en-US"/>
        </w:rPr>
        <w:t xml:space="preserve">predictions however it is expected </w:t>
      </w:r>
      <w:r w:rsidR="00D66E53" w:rsidRPr="00C90AC9">
        <w:rPr>
          <w:rFonts w:eastAsia="Calibri"/>
          <w:lang w:eastAsia="en-US"/>
        </w:rPr>
        <w:t xml:space="preserve">that hot water consumption is unlikely to fall significantly in the coming years </w:t>
      </w:r>
      <w:r w:rsidR="00D66E53" w:rsidRPr="00C90AC9">
        <w:rPr>
          <w:rFonts w:eastAsia="Calibri"/>
          <w:lang w:eastAsia="en-US"/>
        </w:rPr>
        <w:fldChar w:fldCharType="begin"/>
      </w:r>
      <w:r w:rsidR="00D66E53" w:rsidRPr="00C90AC9">
        <w:rPr>
          <w:rFonts w:eastAsia="Calibri"/>
          <w:lang w:eastAsia="en-US"/>
        </w:rPr>
        <w:instrText xml:space="preserve"> ADDIN EN.CITE &lt;EndNote&gt;&lt;Cite&gt;&lt;Author&gt;Trust&lt;/Author&gt;&lt;Year&gt;2005&lt;/Year&gt;&lt;RecNum&gt;200&lt;/RecNum&gt;&lt;DisplayText&gt;(Trust, 2005)&lt;/DisplayText&gt;&lt;record&gt;&lt;rec-number&gt;200&lt;/rec-number&gt;&lt;foreign-keys&gt;&lt;key app="EN" db-id="50wxdpzd9vd5r7e9t5b595djrfpttrxw9avp" timestamp="1525076335"&gt;200&lt;/key&gt;&lt;/foreign-keys&gt;&lt;ref-type name="Unpublished Work"&gt;34&lt;/ref-type&gt;&lt;contributors&gt;&lt;authors&gt;&lt;author&gt;Trust, E. S.&lt;/author&gt;&lt;/authors&gt;&lt;/contributors&gt;&lt;titles&gt;&lt;title&gt;Energy Use in Homes&lt;/title&gt;&lt;short-title&gt;Trust 2005 – Energy Use in Homes&lt;/short-title&gt;&lt;/titles&gt;&lt;dates&gt;&lt;year&gt;2005&lt;/year&gt;&lt;/dates&gt;&lt;pub-location&gt;London&lt;/pub-location&gt;&lt;publisher&gt;DEFRA&lt;/publisher&gt;&lt;urls&gt;&lt;/urls&gt;&lt;/record&gt;&lt;/Cite&gt;&lt;/EndNote&gt;</w:instrText>
      </w:r>
      <w:r w:rsidR="00D66E53" w:rsidRPr="00C90AC9">
        <w:rPr>
          <w:rFonts w:eastAsia="Calibri"/>
          <w:lang w:eastAsia="en-US"/>
        </w:rPr>
        <w:fldChar w:fldCharType="separate"/>
      </w:r>
      <w:r w:rsidR="00D66E53" w:rsidRPr="00C90AC9">
        <w:rPr>
          <w:rFonts w:eastAsia="Calibri"/>
          <w:lang w:eastAsia="en-US"/>
        </w:rPr>
        <w:t>(Trust, 2005)</w:t>
      </w:r>
      <w:r w:rsidR="00D66E53" w:rsidRPr="00C90AC9">
        <w:rPr>
          <w:rFonts w:eastAsia="Calibri"/>
          <w:lang w:eastAsia="en-US"/>
        </w:rPr>
        <w:fldChar w:fldCharType="end"/>
      </w:r>
      <w:r w:rsidR="003207E6" w:rsidRPr="00C90AC9">
        <w:rPr>
          <w:rFonts w:eastAsia="Calibri"/>
          <w:lang w:eastAsia="en-US"/>
        </w:rPr>
        <w:t>.</w:t>
      </w:r>
    </w:p>
    <w:p w:rsidR="003207E6" w:rsidRPr="00C90AC9" w:rsidRDefault="003207E6" w:rsidP="00CF75F1">
      <w:pPr>
        <w:pStyle w:val="ListContinue"/>
        <w:ind w:left="0"/>
        <w:rPr>
          <w:rFonts w:eastAsia="Calibri"/>
          <w:b/>
          <w:u w:val="single"/>
        </w:rPr>
      </w:pPr>
    </w:p>
    <w:p w:rsidR="00906911" w:rsidRPr="00C90AC9" w:rsidRDefault="007E7C0E" w:rsidP="00906911">
      <w:pPr>
        <w:pStyle w:val="ListContinue"/>
        <w:ind w:left="0"/>
        <w:rPr>
          <w:rFonts w:eastAsia="Calibri"/>
          <w:lang w:eastAsia="en-US"/>
        </w:rPr>
      </w:pPr>
      <w:r w:rsidRPr="00C90AC9">
        <w:rPr>
          <w:rFonts w:eastAsia="Calibri"/>
          <w:b/>
          <w:noProof/>
          <w:u w:val="single"/>
        </w:rPr>
        <w:drawing>
          <wp:anchor distT="0" distB="0" distL="114300" distR="114300" simplePos="0" relativeHeight="251955200" behindDoc="0" locked="0" layoutInCell="1" allowOverlap="1" wp14:anchorId="6ACF9FF4" wp14:editId="3A384070">
            <wp:simplePos x="0" y="0"/>
            <wp:positionH relativeFrom="margin">
              <wp:posOffset>-17253</wp:posOffset>
            </wp:positionH>
            <wp:positionV relativeFrom="paragraph">
              <wp:posOffset>268629</wp:posOffset>
            </wp:positionV>
            <wp:extent cx="5650302" cy="3674853"/>
            <wp:effectExtent l="0" t="0" r="26670" b="20955"/>
            <wp:wrapNone/>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r w:rsidR="00906911" w:rsidRPr="00C90AC9">
        <w:rPr>
          <w:rFonts w:eastAsia="Calibri"/>
          <w:lang w:eastAsia="en-US"/>
        </w:rPr>
        <w:t xml:space="preserve">Figure 1.8. Litres of hot water consumed per person per day in the UK </w:t>
      </w:r>
      <w:r w:rsidR="00906911" w:rsidRPr="00C90AC9">
        <w:rPr>
          <w:rFonts w:eastAsia="Calibri"/>
          <w:lang w:eastAsia="en-US"/>
        </w:rPr>
        <w:fldChar w:fldCharType="begin"/>
      </w:r>
      <w:r w:rsidR="00906911" w:rsidRPr="00C90AC9">
        <w:rPr>
          <w:rFonts w:eastAsia="Calibri"/>
          <w:lang w:eastAsia="en-US"/>
        </w:rPr>
        <w:instrText xml:space="preserve"> ADDIN EN.CITE &lt;EndNote&gt;&lt;Cite&gt;&lt;Author&gt;Trust&lt;/Author&gt;&lt;Year&gt;2005&lt;/Year&gt;&lt;RecNum&gt;200&lt;/RecNum&gt;&lt;DisplayText&gt;(Trust, 2005)&lt;/DisplayText&gt;&lt;record&gt;&lt;rec-number&gt;200&lt;/rec-number&gt;&lt;foreign-keys&gt;&lt;key app="EN" db-id="50wxdpzd9vd5r7e9t5b595djrfpttrxw9avp" timestamp="1525076335"&gt;200&lt;/key&gt;&lt;/foreign-keys&gt;&lt;ref-type name="Unpublished Work"&gt;34&lt;/ref-type&gt;&lt;contributors&gt;&lt;authors&gt;&lt;author&gt;Trust, E. S.&lt;/author&gt;&lt;/authors&gt;&lt;/contributors&gt;&lt;titles&gt;&lt;title&gt;Energy Use in Homes&lt;/title&gt;&lt;short-title&gt;Trust 2005 – Energy Use in Homes&lt;/short-title&gt;&lt;/titles&gt;&lt;dates&gt;&lt;year&gt;2005&lt;/year&gt;&lt;/dates&gt;&lt;pub-location&gt;London&lt;/pub-location&gt;&lt;publisher&gt;DEFRA&lt;/publisher&gt;&lt;urls&gt;&lt;/urls&gt;&lt;/record&gt;&lt;/Cite&gt;&lt;/EndNote&gt;</w:instrText>
      </w:r>
      <w:r w:rsidR="00906911" w:rsidRPr="00C90AC9">
        <w:rPr>
          <w:rFonts w:eastAsia="Calibri"/>
          <w:lang w:eastAsia="en-US"/>
        </w:rPr>
        <w:fldChar w:fldCharType="separate"/>
      </w:r>
      <w:r w:rsidR="00906911" w:rsidRPr="00C90AC9">
        <w:rPr>
          <w:rFonts w:eastAsia="Calibri"/>
          <w:lang w:eastAsia="en-US"/>
        </w:rPr>
        <w:t>(Trust, 2005)</w:t>
      </w:r>
      <w:r w:rsidR="00906911" w:rsidRPr="00C90AC9">
        <w:rPr>
          <w:rFonts w:eastAsia="Calibri"/>
          <w:lang w:eastAsia="en-US"/>
        </w:rPr>
        <w:fldChar w:fldCharType="end"/>
      </w:r>
    </w:p>
    <w:p w:rsidR="00906911" w:rsidRPr="00C90AC9" w:rsidRDefault="00906911" w:rsidP="003207E6"/>
    <w:p w:rsidR="00906911" w:rsidRPr="00C90AC9" w:rsidRDefault="00906911" w:rsidP="003207E6"/>
    <w:p w:rsidR="00906911" w:rsidRPr="00C90AC9" w:rsidRDefault="00906911" w:rsidP="003207E6"/>
    <w:p w:rsidR="00906911" w:rsidRPr="00C90AC9" w:rsidRDefault="00906911" w:rsidP="003207E6"/>
    <w:p w:rsidR="00906911" w:rsidRPr="00C90AC9" w:rsidRDefault="00906911" w:rsidP="003207E6"/>
    <w:p w:rsidR="00906911" w:rsidRPr="00C90AC9" w:rsidRDefault="00906911" w:rsidP="003207E6"/>
    <w:p w:rsidR="00906911" w:rsidRPr="00C90AC9" w:rsidRDefault="00906911" w:rsidP="003207E6"/>
    <w:p w:rsidR="00906911" w:rsidRPr="00C90AC9" w:rsidRDefault="00906911" w:rsidP="003207E6"/>
    <w:p w:rsidR="00906911" w:rsidRPr="00C90AC9" w:rsidRDefault="00906911" w:rsidP="003207E6"/>
    <w:p w:rsidR="00906911" w:rsidRPr="00C90AC9" w:rsidRDefault="00906911" w:rsidP="003207E6"/>
    <w:p w:rsidR="00906911" w:rsidRPr="00C90AC9" w:rsidRDefault="00906911" w:rsidP="003207E6"/>
    <w:p w:rsidR="00906911" w:rsidRPr="00C90AC9" w:rsidRDefault="00906911" w:rsidP="003207E6"/>
    <w:p w:rsidR="00906911" w:rsidRPr="00C90AC9" w:rsidRDefault="00906911" w:rsidP="003207E6"/>
    <w:p w:rsidR="00187CB4" w:rsidRPr="00C90AC9" w:rsidRDefault="00187CB4" w:rsidP="00FB05EA">
      <w:pPr>
        <w:pStyle w:val="Heading1"/>
        <w:rPr>
          <w:rStyle w:val="SubtleEmphasis"/>
        </w:rPr>
      </w:pPr>
      <w:r w:rsidRPr="00C90AC9">
        <w:rPr>
          <w:rStyle w:val="SubtleEmphasis"/>
        </w:rPr>
        <w:lastRenderedPageBreak/>
        <w:t xml:space="preserve">The UK’s renewable energy market </w:t>
      </w:r>
    </w:p>
    <w:p w:rsidR="00187CB4" w:rsidRPr="00C90AC9" w:rsidRDefault="00187CB4" w:rsidP="00187CB4">
      <w:pPr>
        <w:pStyle w:val="BodyTextFirstIndent"/>
        <w:spacing w:line="360" w:lineRule="auto"/>
        <w:ind w:firstLine="357"/>
        <w:rPr>
          <w:rFonts w:eastAsia="Calibri"/>
          <w:lang w:eastAsia="en-US"/>
        </w:rPr>
      </w:pPr>
      <w:r w:rsidRPr="00C90AC9">
        <w:rPr>
          <w:rFonts w:eastAsia="Calibri"/>
          <w:lang w:eastAsia="en-US"/>
        </w:rPr>
        <w:t>The UK’s renewable energy market has</w:t>
      </w:r>
      <w:r w:rsidR="00906911" w:rsidRPr="00C90AC9">
        <w:rPr>
          <w:rFonts w:eastAsia="Calibri"/>
          <w:lang w:eastAsia="en-US"/>
        </w:rPr>
        <w:t xml:space="preserve"> historically</w:t>
      </w:r>
      <w:r w:rsidRPr="00C90AC9">
        <w:rPr>
          <w:rFonts w:eastAsia="Calibri"/>
          <w:lang w:eastAsia="en-US"/>
        </w:rPr>
        <w:t xml:space="preserve"> been divided by analysts into two groups representing the potential gains which could be achieved in their respective groups </w:t>
      </w:r>
      <w:r w:rsidR="006B7AC6" w:rsidRPr="00C90AC9">
        <w:rPr>
          <w:rFonts w:eastAsia="Calibri"/>
          <w:lang w:eastAsia="en-US"/>
        </w:rPr>
        <w:fldChar w:fldCharType="begin"/>
      </w:r>
      <w:r w:rsidR="006B7AC6" w:rsidRPr="00C90AC9">
        <w:rPr>
          <w:rFonts w:eastAsia="Calibri"/>
          <w:lang w:eastAsia="en-US"/>
        </w:rPr>
        <w:instrText xml:space="preserve"> ADDIN EN.CITE &lt;EndNote&gt;&lt;Cite&gt;&lt;Author&gt;Nejat&lt;/Author&gt;&lt;Year&gt;2015&lt;/Year&gt;&lt;RecNum&gt;178&lt;/RecNum&gt;&lt;DisplayText&gt;(Nejat &amp;amp; et al., 2015)&lt;/DisplayText&gt;&lt;record&gt;&lt;rec-number&gt;178&lt;/rec-number&gt;&lt;foreign-keys&gt;&lt;key app="EN" db-id="50wxdpzd9vd5r7e9t5b595djrfpttrxw9avp" timestamp="1525076335"&gt;178&lt;/key&gt;&lt;/foreign-keys&gt;&lt;ref-type name="Journal Article"&gt;17&lt;/ref-type&gt;&lt;contributors&gt;&lt;authors&gt;&lt;author&gt;Nejat, P.,&lt;/author&gt;&lt;author&gt;et al.,&lt;/author&gt;&lt;/authors&gt;&lt;/contributors&gt;&lt;titles&gt;&lt;title&gt;A global review of energy consumption, CO2 emissions and policy in the residential sector (with an overview of the top ten CO2 emitting countries)&lt;/title&gt;&lt;secondary-title&gt;Renewable and Sustainable Energy Reviews&lt;/secondary-title&gt;&lt;short-title&gt;Nejat, P., et al 2015 – A global review of energy&lt;/short-title&gt;&lt;/titles&gt;&lt;pages&gt;p. 843-862&lt;/pages&gt;&lt;volume&gt;43&lt;/volume&gt;&lt;dates&gt;&lt;year&gt;2015&lt;/year&gt;&lt;/dates&gt;&lt;urls&gt;&lt;/urls&gt;&lt;/record&gt;&lt;/Cite&gt;&lt;/EndNote&gt;</w:instrText>
      </w:r>
      <w:r w:rsidR="006B7AC6" w:rsidRPr="00C90AC9">
        <w:rPr>
          <w:rFonts w:eastAsia="Calibri"/>
          <w:lang w:eastAsia="en-US"/>
        </w:rPr>
        <w:fldChar w:fldCharType="separate"/>
      </w:r>
      <w:r w:rsidR="006B7AC6" w:rsidRPr="00C90AC9">
        <w:rPr>
          <w:rFonts w:eastAsia="Calibri"/>
          <w:lang w:eastAsia="en-US"/>
        </w:rPr>
        <w:t xml:space="preserve">(Nejat </w:t>
      </w:r>
      <w:r w:rsidR="00EE66A8" w:rsidRPr="00C90AC9">
        <w:rPr>
          <w:rFonts w:eastAsia="Calibri"/>
          <w:lang w:eastAsia="en-US"/>
        </w:rPr>
        <w:t>et al</w:t>
      </w:r>
      <w:r w:rsidR="006B7AC6" w:rsidRPr="00C90AC9">
        <w:rPr>
          <w:rFonts w:eastAsia="Calibri"/>
          <w:lang w:eastAsia="en-US"/>
        </w:rPr>
        <w:t>., 2015)</w:t>
      </w:r>
      <w:r w:rsidR="006B7AC6" w:rsidRPr="00C90AC9">
        <w:rPr>
          <w:rFonts w:eastAsia="Calibri"/>
          <w:lang w:eastAsia="en-US"/>
        </w:rPr>
        <w:fldChar w:fldCharType="end"/>
      </w:r>
      <w:r w:rsidRPr="00C90AC9">
        <w:rPr>
          <w:rFonts w:eastAsia="Calibri"/>
          <w:lang w:eastAsia="en-US"/>
        </w:rPr>
        <w:t>.</w:t>
      </w:r>
      <w:r w:rsidR="00D66E53" w:rsidRPr="00C90AC9">
        <w:rPr>
          <w:rFonts w:eastAsia="Calibri"/>
          <w:lang w:eastAsia="en-US"/>
        </w:rPr>
        <w:t xml:space="preserve"> </w:t>
      </w:r>
      <w:r w:rsidRPr="00C90AC9">
        <w:rPr>
          <w:rFonts w:eastAsia="Calibri"/>
          <w:lang w:eastAsia="en-US"/>
        </w:rPr>
        <w:t>It is recognised that renewable energy gains can either be realised</w:t>
      </w:r>
      <w:r w:rsidR="00906911" w:rsidRPr="00C90AC9">
        <w:rPr>
          <w:rFonts w:eastAsia="Calibri"/>
          <w:lang w:eastAsia="en-US"/>
        </w:rPr>
        <w:t xml:space="preserve"> due to either </w:t>
      </w:r>
      <w:r w:rsidRPr="00C90AC9">
        <w:rPr>
          <w:rFonts w:eastAsia="Calibri"/>
          <w:lang w:eastAsia="en-US"/>
        </w:rPr>
        <w:t>an increase in the overall employment of renewable technologies, or by improvements to the efficiency of existing energy technologies</w:t>
      </w:r>
      <w:r w:rsidR="00906911" w:rsidRPr="00C90AC9">
        <w:rPr>
          <w:rFonts w:eastAsia="Calibri"/>
          <w:lang w:eastAsia="en-US"/>
        </w:rPr>
        <w:t xml:space="preserve"> </w:t>
      </w:r>
      <w:r w:rsidR="007E7C0E" w:rsidRPr="00C90AC9">
        <w:rPr>
          <w:rFonts w:eastAsia="Calibri"/>
          <w:lang w:eastAsia="en-US"/>
        </w:rPr>
        <w:fldChar w:fldCharType="begin"/>
      </w:r>
      <w:r w:rsidR="007E7C0E" w:rsidRPr="00C90AC9">
        <w:rPr>
          <w:rFonts w:eastAsia="Calibri"/>
          <w:lang w:eastAsia="en-US"/>
        </w:rPr>
        <w:instrText xml:space="preserve"> ADDIN EN.CITE &lt;EndNote&gt;&lt;Cite&gt;&lt;Author&gt;Faiers&lt;/Author&gt;&lt;Year&gt;2006&lt;/Year&gt;&lt;RecNum&gt;209&lt;/RecNum&gt;&lt;DisplayText&gt;(Adam Faiers &amp;amp; Charles Neame, 2006)&lt;/DisplayText&gt;&lt;record&gt;&lt;rec-number&gt;209&lt;/rec-number&gt;&lt;foreign-keys&gt;&lt;key app="EN" db-id="50wxdpzd9vd5r7e9t5b595djrfpttrxw9avp" timestamp="1525464469"&gt;209&lt;/key&gt;&lt;/foreign-keys&gt;&lt;ref-type name="Journal Article"&gt;17&lt;/ref-type&gt;&lt;contributors&gt;&lt;authors&gt;&lt;author&gt;Faiers, Adam&lt;/author&gt;&lt;author&gt;Neame, Charles&lt;/author&gt;&lt;/authors&gt;&lt;/contributors&gt;&lt;titles&gt;&lt;title&gt;Consumer attitudes towards domestic solar power systems&lt;/title&gt;&lt;secondary-title&gt;Energy Policy&lt;/secondary-title&gt;&lt;/titles&gt;&lt;pages&gt;1797-1806&lt;/pages&gt;&lt;volume&gt;34&lt;/volume&gt;&lt;number&gt;14&lt;/number&gt;&lt;keywords&gt;&lt;keyword&gt;Solar power&lt;/keyword&gt;&lt;keyword&gt;Innovation adoption&lt;/keyword&gt;&lt;keyword&gt;Consumer perceptions&lt;/keyword&gt;&lt;/keywords&gt;&lt;dates&gt;&lt;year&gt;2006&lt;/year&gt;&lt;pub-dates&gt;&lt;date&gt;2006/09/01/&lt;/date&gt;&lt;/pub-dates&gt;&lt;/dates&gt;&lt;isbn&gt;0301-4215&lt;/isbn&gt;&lt;urls&gt;&lt;related-urls&gt;&lt;url&gt;http://www.sciencedirect.com/science/article/pii/S0301421505000121&lt;/url&gt;&lt;/related-urls&gt;&lt;/urls&gt;&lt;electronic-resource-num&gt;https://doi.org/10.1016/j.enpol.2005.01.001&lt;/electronic-resource-num&gt;&lt;/record&gt;&lt;/Cite&gt;&lt;/EndNote&gt;</w:instrText>
      </w:r>
      <w:r w:rsidR="007E7C0E" w:rsidRPr="00C90AC9">
        <w:rPr>
          <w:rFonts w:eastAsia="Calibri"/>
          <w:lang w:eastAsia="en-US"/>
        </w:rPr>
        <w:fldChar w:fldCharType="separate"/>
      </w:r>
      <w:r w:rsidR="007E7C0E" w:rsidRPr="00C90AC9">
        <w:rPr>
          <w:rFonts w:eastAsia="Calibri"/>
          <w:lang w:eastAsia="en-US"/>
        </w:rPr>
        <w:t>(</w:t>
      </w:r>
      <w:r w:rsidR="00432861" w:rsidRPr="00C90AC9">
        <w:rPr>
          <w:rFonts w:eastAsia="Calibri"/>
          <w:lang w:eastAsia="en-US"/>
        </w:rPr>
        <w:t xml:space="preserve">A. </w:t>
      </w:r>
      <w:r w:rsidR="0038131A" w:rsidRPr="00C90AC9">
        <w:rPr>
          <w:rFonts w:eastAsia="Calibri"/>
          <w:lang w:eastAsia="en-US"/>
        </w:rPr>
        <w:t>Faiers</w:t>
      </w:r>
      <w:r w:rsidR="00BA7307" w:rsidRPr="00C90AC9">
        <w:rPr>
          <w:rFonts w:eastAsia="Calibri"/>
          <w:lang w:eastAsia="en-US"/>
        </w:rPr>
        <w:t xml:space="preserve"> </w:t>
      </w:r>
      <w:r w:rsidR="007E7C0E" w:rsidRPr="00C90AC9">
        <w:rPr>
          <w:rFonts w:eastAsia="Calibri"/>
          <w:lang w:eastAsia="en-US"/>
        </w:rPr>
        <w:t xml:space="preserve">&amp; </w:t>
      </w:r>
      <w:r w:rsidR="00432861" w:rsidRPr="00C90AC9">
        <w:rPr>
          <w:rFonts w:eastAsia="Calibri"/>
          <w:lang w:eastAsia="en-US"/>
        </w:rPr>
        <w:t xml:space="preserve">C. </w:t>
      </w:r>
      <w:r w:rsidR="0038131A" w:rsidRPr="00C90AC9">
        <w:rPr>
          <w:rFonts w:eastAsia="Calibri"/>
          <w:lang w:eastAsia="en-US"/>
        </w:rPr>
        <w:t>Neame,</w:t>
      </w:r>
      <w:r w:rsidR="007E7C0E" w:rsidRPr="00C90AC9">
        <w:rPr>
          <w:rFonts w:eastAsia="Calibri"/>
          <w:lang w:eastAsia="en-US"/>
        </w:rPr>
        <w:t xml:space="preserve"> 2006)</w:t>
      </w:r>
      <w:r w:rsidR="007E7C0E" w:rsidRPr="00C90AC9">
        <w:rPr>
          <w:rFonts w:eastAsia="Calibri"/>
          <w:lang w:eastAsia="en-US"/>
        </w:rPr>
        <w:fldChar w:fldCharType="end"/>
      </w:r>
      <w:r w:rsidR="00906911" w:rsidRPr="00C90AC9">
        <w:rPr>
          <w:rFonts w:eastAsia="Calibri"/>
          <w:lang w:eastAsia="en-US"/>
        </w:rPr>
        <w:t>.</w:t>
      </w:r>
      <w:r w:rsidRPr="00C90AC9">
        <w:rPr>
          <w:rFonts w:eastAsia="Calibri"/>
          <w:lang w:eastAsia="en-US"/>
        </w:rPr>
        <w:t xml:space="preserve"> The research conducted in this dissertation addresses both groups by: first, investigating a more efficient renewable technology; and second, by considering the adoption</w:t>
      </w:r>
      <w:r w:rsidR="00906911" w:rsidRPr="00C90AC9">
        <w:rPr>
          <w:rFonts w:eastAsia="Calibri"/>
          <w:lang w:eastAsia="en-US"/>
        </w:rPr>
        <w:t xml:space="preserve"> and use of that technology. </w:t>
      </w:r>
      <w:r w:rsidRPr="00C90AC9">
        <w:rPr>
          <w:rFonts w:eastAsia="Calibri"/>
          <w:lang w:eastAsia="en-US"/>
        </w:rPr>
        <w:t>The UK Renewable Energy Roadmap</w:t>
      </w:r>
      <w:r w:rsidRPr="00C90AC9">
        <w:rPr>
          <w:rFonts w:eastAsia="Calibri"/>
          <w:i/>
          <w:lang w:eastAsia="en-US"/>
        </w:rPr>
        <w:t xml:space="preserve">, </w:t>
      </w:r>
      <w:r w:rsidRPr="00C90AC9">
        <w:rPr>
          <w:rFonts w:eastAsia="Calibri"/>
          <w:lang w:eastAsia="en-US"/>
        </w:rPr>
        <w:t xml:space="preserve">a UK government </w:t>
      </w:r>
      <w:r w:rsidR="00DD75CB" w:rsidRPr="00C90AC9">
        <w:rPr>
          <w:rFonts w:eastAsia="Calibri"/>
          <w:lang w:eastAsia="en-US"/>
        </w:rPr>
        <w:t>document</w:t>
      </w:r>
      <w:r w:rsidRPr="00C90AC9">
        <w:rPr>
          <w:rFonts w:eastAsia="Calibri"/>
          <w:lang w:eastAsia="en-US"/>
        </w:rPr>
        <w:t xml:space="preserve"> identified four key barriers to the deployment of cost-effective energy efficiency investment, namely:</w:t>
      </w:r>
    </w:p>
    <w:p w:rsidR="00187CB4" w:rsidRPr="00C90AC9" w:rsidRDefault="00187CB4" w:rsidP="00187CB4">
      <w:pPr>
        <w:pStyle w:val="List2"/>
        <w:numPr>
          <w:ilvl w:val="0"/>
          <w:numId w:val="1"/>
        </w:numPr>
        <w:rPr>
          <w:rFonts w:eastAsia="Calibri"/>
          <w:lang w:eastAsia="en-US"/>
        </w:rPr>
      </w:pPr>
      <w:r w:rsidRPr="00C90AC9">
        <w:rPr>
          <w:rFonts w:eastAsia="Calibri"/>
          <w:lang w:eastAsia="en-US"/>
        </w:rPr>
        <w:t>Embryonic markets;</w:t>
      </w:r>
    </w:p>
    <w:p w:rsidR="00187CB4" w:rsidRPr="00C90AC9" w:rsidRDefault="00187CB4" w:rsidP="00187CB4">
      <w:pPr>
        <w:pStyle w:val="List2"/>
        <w:numPr>
          <w:ilvl w:val="0"/>
          <w:numId w:val="1"/>
        </w:numPr>
        <w:rPr>
          <w:rFonts w:eastAsia="Calibri"/>
          <w:lang w:eastAsia="en-US"/>
        </w:rPr>
      </w:pPr>
      <w:r w:rsidRPr="00C90AC9">
        <w:rPr>
          <w:rFonts w:eastAsia="Calibri"/>
          <w:lang w:eastAsia="en-US"/>
        </w:rPr>
        <w:t xml:space="preserve">Information; </w:t>
      </w:r>
    </w:p>
    <w:p w:rsidR="00187CB4" w:rsidRPr="00C90AC9" w:rsidRDefault="00187CB4" w:rsidP="00187CB4">
      <w:pPr>
        <w:pStyle w:val="List2"/>
        <w:numPr>
          <w:ilvl w:val="0"/>
          <w:numId w:val="1"/>
        </w:numPr>
        <w:rPr>
          <w:rFonts w:eastAsia="Calibri"/>
          <w:lang w:eastAsia="en-US"/>
        </w:rPr>
      </w:pPr>
      <w:r w:rsidRPr="00C90AC9">
        <w:rPr>
          <w:rFonts w:eastAsia="Calibri"/>
          <w:lang w:eastAsia="en-US"/>
        </w:rPr>
        <w:t>Misaligned financial incentives; and</w:t>
      </w:r>
    </w:p>
    <w:p w:rsidR="00432639" w:rsidRPr="00C90AC9" w:rsidRDefault="00432639" w:rsidP="00187CB4">
      <w:pPr>
        <w:pStyle w:val="List2"/>
        <w:numPr>
          <w:ilvl w:val="0"/>
          <w:numId w:val="1"/>
        </w:numPr>
        <w:rPr>
          <w:rFonts w:eastAsia="Calibri"/>
          <w:lang w:eastAsia="en-US"/>
        </w:rPr>
      </w:pPr>
      <w:r w:rsidRPr="00C90AC9">
        <w:rPr>
          <w:rFonts w:eastAsia="Calibri"/>
          <w:lang w:eastAsia="en-US"/>
        </w:rPr>
        <w:t>Undervaluing energy efficiency.</w:t>
      </w:r>
    </w:p>
    <w:p w:rsidR="00D66E53" w:rsidRPr="00C90AC9" w:rsidRDefault="00432639" w:rsidP="00D66E53">
      <w:pPr>
        <w:pStyle w:val="List2"/>
        <w:tabs>
          <w:tab w:val="left" w:pos="142"/>
        </w:tabs>
        <w:ind w:left="709" w:firstLine="0"/>
        <w:jc w:val="right"/>
        <w:rPr>
          <w:rFonts w:eastAsia="Calibri"/>
          <w:lang w:eastAsia="en-US"/>
        </w:rPr>
      </w:pPr>
      <w:r w:rsidRPr="00C90AC9">
        <w:rPr>
          <w:rFonts w:eastAsia="Calibri"/>
          <w:lang w:eastAsia="en-US"/>
        </w:rPr>
        <w:tab/>
      </w:r>
      <w:r w:rsidRPr="00C90AC9">
        <w:rPr>
          <w:rFonts w:eastAsia="Calibri"/>
          <w:lang w:eastAsia="en-US"/>
        </w:rPr>
        <w:tab/>
      </w:r>
      <w:r w:rsidRPr="00C90AC9">
        <w:rPr>
          <w:rFonts w:eastAsia="Calibri"/>
          <w:lang w:eastAsia="en-US"/>
        </w:rPr>
        <w:tab/>
      </w:r>
      <w:r w:rsidRPr="00C90AC9">
        <w:rPr>
          <w:rFonts w:eastAsia="Calibri"/>
          <w:lang w:eastAsia="en-US"/>
        </w:rPr>
        <w:tab/>
      </w:r>
      <w:r w:rsidR="00187CB4" w:rsidRPr="00C90AC9">
        <w:rPr>
          <w:rFonts w:eastAsia="Calibri"/>
          <w:lang w:eastAsia="en-US"/>
        </w:rPr>
        <w:tab/>
      </w:r>
      <w:r w:rsidR="00187CB4" w:rsidRPr="00C90AC9">
        <w:rPr>
          <w:rFonts w:eastAsia="Calibri"/>
          <w:lang w:eastAsia="en-US"/>
        </w:rPr>
        <w:tab/>
      </w:r>
      <w:r w:rsidR="00514E93" w:rsidRPr="00C90AC9">
        <w:rPr>
          <w:rFonts w:eastAsia="Calibri"/>
          <w:lang w:eastAsia="en-US"/>
        </w:rPr>
        <w:fldChar w:fldCharType="begin"/>
      </w:r>
      <w:r w:rsidR="0047562B" w:rsidRPr="00C90AC9">
        <w:rPr>
          <w:rFonts w:eastAsia="Calibri"/>
          <w:lang w:eastAsia="en-US"/>
        </w:rPr>
        <w:instrText xml:space="preserve"> ADDIN EN.CITE &lt;EndNote&gt;&lt;Cite&gt;&lt;Author&gt;Faiers&lt;/Author&gt;&lt;Year&gt;2006&lt;/Year&gt;&lt;RecNum&gt;141&lt;/RecNum&gt;&lt;DisplayText&gt;(A. Faiers &amp;amp; C. Neame, 2006)&lt;/DisplayText&gt;&lt;record&gt;&lt;rec-number&gt;141&lt;/rec-number&gt;&lt;foreign-keys&gt;&lt;key app="EN" db-id="50wxdpzd9vd5r7e9t5b595djrfpttrxw9avp" timestamp="1525076334"&gt;141&lt;/key&gt;&lt;/foreign-keys&gt;&lt;ref-type name="Journal Article"&gt;17&lt;/ref-type&gt;&lt;contributors&gt;&lt;authors&gt;&lt;author&gt;Faiers, A.&lt;/author&gt;&lt;author&gt;C. Neame&lt;/author&gt;&lt;/authors&gt;&lt;/contributors&gt;&lt;titles&gt;&lt;title&gt;International Energy Agency&lt;/title&gt;&lt;secondary-title&gt;Energy Policy&lt;/secondary-title&gt;&lt;short-title&gt;Faiers, A. and C. Neame 2006 – International Energy Agency&lt;/short-title&gt;&lt;/titles&gt;&lt;pages&gt;p. 160-168&lt;/pages&gt;&lt;volume&gt;34&lt;/volume&gt;&lt;number&gt;14&lt;/number&gt;&lt;dates&gt;&lt;year&gt;2006&lt;/year&gt;&lt;/dates&gt;&lt;urls&gt;&lt;/urls&gt;&lt;/record&gt;&lt;/Cite&gt;&lt;/EndNote&gt;</w:instrText>
      </w:r>
      <w:r w:rsidR="00514E93" w:rsidRPr="00C90AC9">
        <w:rPr>
          <w:rFonts w:eastAsia="Calibri"/>
          <w:lang w:eastAsia="en-US"/>
        </w:rPr>
        <w:fldChar w:fldCharType="separate"/>
      </w:r>
      <w:r w:rsidR="0047562B" w:rsidRPr="00C90AC9">
        <w:rPr>
          <w:rFonts w:eastAsia="Calibri"/>
          <w:lang w:eastAsia="en-US"/>
        </w:rPr>
        <w:t>(</w:t>
      </w:r>
      <w:r w:rsidR="00432861" w:rsidRPr="00C90AC9">
        <w:rPr>
          <w:rFonts w:eastAsia="Calibri"/>
          <w:lang w:eastAsia="en-US"/>
        </w:rPr>
        <w:t xml:space="preserve">A. </w:t>
      </w:r>
      <w:r w:rsidR="0038131A" w:rsidRPr="00C90AC9">
        <w:rPr>
          <w:rFonts w:eastAsia="Calibri"/>
          <w:lang w:eastAsia="en-US"/>
        </w:rPr>
        <w:t>Faiers</w:t>
      </w:r>
      <w:r w:rsidR="00BA7307" w:rsidRPr="00C90AC9">
        <w:rPr>
          <w:rFonts w:eastAsia="Calibri"/>
          <w:lang w:eastAsia="en-US"/>
        </w:rPr>
        <w:t xml:space="preserve"> </w:t>
      </w:r>
      <w:r w:rsidR="0047562B" w:rsidRPr="00C90AC9">
        <w:rPr>
          <w:rFonts w:eastAsia="Calibri"/>
          <w:lang w:eastAsia="en-US"/>
        </w:rPr>
        <w:t xml:space="preserve">&amp; </w:t>
      </w:r>
      <w:r w:rsidR="00432861" w:rsidRPr="00C90AC9">
        <w:rPr>
          <w:rFonts w:eastAsia="Calibri"/>
          <w:lang w:eastAsia="en-US"/>
        </w:rPr>
        <w:t xml:space="preserve">C. </w:t>
      </w:r>
      <w:r w:rsidR="0038131A" w:rsidRPr="00C90AC9">
        <w:rPr>
          <w:rFonts w:eastAsia="Calibri"/>
          <w:lang w:eastAsia="en-US"/>
        </w:rPr>
        <w:t>Neame,</w:t>
      </w:r>
      <w:r w:rsidR="0047562B" w:rsidRPr="00C90AC9">
        <w:rPr>
          <w:rFonts w:eastAsia="Calibri"/>
          <w:lang w:eastAsia="en-US"/>
        </w:rPr>
        <w:t xml:space="preserve"> 2006)</w:t>
      </w:r>
      <w:r w:rsidR="00514E93" w:rsidRPr="00C90AC9">
        <w:rPr>
          <w:rFonts w:eastAsia="Calibri"/>
          <w:lang w:eastAsia="en-US"/>
        </w:rPr>
        <w:fldChar w:fldCharType="end"/>
      </w:r>
    </w:p>
    <w:p w:rsidR="00DD75CB" w:rsidRPr="00C90AC9" w:rsidRDefault="00187CB4" w:rsidP="00D66E53">
      <w:pPr>
        <w:pStyle w:val="List2"/>
        <w:tabs>
          <w:tab w:val="left" w:pos="142"/>
        </w:tabs>
        <w:ind w:left="709" w:firstLine="0"/>
        <w:jc w:val="right"/>
        <w:rPr>
          <w:rFonts w:eastAsia="Calibri"/>
          <w:lang w:eastAsia="en-US"/>
        </w:rPr>
      </w:pPr>
      <w:r w:rsidRPr="00C90AC9">
        <w:rPr>
          <w:rFonts w:eastAsia="Calibri"/>
          <w:lang w:eastAsia="en-US"/>
        </w:rPr>
        <w:t xml:space="preserve"> </w:t>
      </w:r>
    </w:p>
    <w:p w:rsidR="00187CB4" w:rsidRPr="00C90AC9" w:rsidRDefault="006F0C85" w:rsidP="00514E93">
      <w:pPr>
        <w:pStyle w:val="List2"/>
        <w:spacing w:line="360" w:lineRule="auto"/>
        <w:ind w:left="0" w:firstLine="0"/>
        <w:rPr>
          <w:rFonts w:eastAsia="Calibri"/>
          <w:lang w:eastAsia="en-US"/>
        </w:rPr>
      </w:pPr>
      <w:sdt>
        <w:sdtPr>
          <w:rPr>
            <w:rFonts w:eastAsia="Calibri"/>
            <w:lang w:eastAsia="en-US"/>
          </w:rPr>
          <w:alias w:val="Don't edit this field"/>
          <w:tag w:val="CitaviPlaceholder#2229906c-7dab-45e8-a510-5b34d86e5770"/>
          <w:id w:val="-1941213796"/>
          <w:showingPlcHdr/>
        </w:sdtPr>
        <w:sdtEndPr/>
        <w:sdtContent>
          <w:r w:rsidR="00DD75CB" w:rsidRPr="00C90AC9">
            <w:rPr>
              <w:rFonts w:eastAsia="Calibri"/>
              <w:lang w:eastAsia="en-US"/>
            </w:rPr>
            <w:t xml:space="preserve">     </w:t>
          </w:r>
        </w:sdtContent>
      </w:sdt>
      <w:r w:rsidR="00187CB4" w:rsidRPr="00C90AC9">
        <w:rPr>
          <w:rFonts w:eastAsia="Calibri"/>
          <w:lang w:eastAsia="en-US"/>
        </w:rPr>
        <w:t>The UK government recognised that these four barriers represented significant obstacles to the widespread deployment of renewable technologies and endeavoured to mitigate or avoid these obstacles to ensure that investment in renewable technologies could be maximised to contribute to reducing the UK’s annual carbon output. The government also</w:t>
      </w:r>
      <w:r w:rsidR="006C186E" w:rsidRPr="00C90AC9">
        <w:rPr>
          <w:rFonts w:eastAsia="Calibri"/>
          <w:lang w:eastAsia="en-US"/>
        </w:rPr>
        <w:t xml:space="preserve"> recognised in 2005</w:t>
      </w:r>
      <w:r w:rsidR="00187CB4" w:rsidRPr="00C90AC9">
        <w:rPr>
          <w:rFonts w:eastAsia="Calibri"/>
          <w:lang w:eastAsia="en-US"/>
        </w:rPr>
        <w:t xml:space="preserve"> that whilst there were significant economic benefits that could be realised from making energy efficiency gains the energy efficient market is currently relatively small compared to the opportunity in the market </w:t>
      </w:r>
      <w:r w:rsidR="00514E93" w:rsidRPr="00C90AC9">
        <w:rPr>
          <w:rFonts w:eastAsia="Calibri"/>
          <w:lang w:eastAsia="en-US"/>
        </w:rPr>
        <w:fldChar w:fldCharType="begin"/>
      </w:r>
      <w:r w:rsidR="0047562B" w:rsidRPr="00C90AC9">
        <w:rPr>
          <w:rFonts w:eastAsia="Calibri"/>
          <w:lang w:eastAsia="en-US"/>
        </w:rPr>
        <w:instrText xml:space="preserve"> ADDIN EN.CITE &lt;EndNote&gt;&lt;Cite&gt;&lt;Author&gt;Faiers&lt;/Author&gt;&lt;Year&gt;2006&lt;/Year&gt;&lt;RecNum&gt;141&lt;/RecNum&gt;&lt;DisplayText&gt;(A. Faiers &amp;amp; C. Neame, 2006)&lt;/DisplayText&gt;&lt;record&gt;&lt;rec-number&gt;141&lt;/rec-number&gt;&lt;foreign-keys&gt;&lt;key app="EN" db-id="50wxdpzd9vd5r7e9t5b595djrfpttrxw9avp" timestamp="1525076334"&gt;141&lt;/key&gt;&lt;/foreign-keys&gt;&lt;ref-type name="Journal Article"&gt;17&lt;/ref-type&gt;&lt;contributors&gt;&lt;authors&gt;&lt;author&gt;Faiers, A.&lt;/author&gt;&lt;author&gt;C. Neame&lt;/author&gt;&lt;/authors&gt;&lt;/contributors&gt;&lt;titles&gt;&lt;title&gt;International Energy Agency&lt;/title&gt;&lt;secondary-title&gt;Energy Policy&lt;/secondary-title&gt;&lt;short-title&gt;Faiers, A. and C. Neame 2006 – International Energy Agency&lt;/short-title&gt;&lt;/titles&gt;&lt;pages&gt;p. 160-168&lt;/pages&gt;&lt;volume&gt;34&lt;/volume&gt;&lt;number&gt;14&lt;/number&gt;&lt;dates&gt;&lt;year&gt;2006&lt;/year&gt;&lt;/dates&gt;&lt;urls&gt;&lt;/urls&gt;&lt;/record&gt;&lt;/Cite&gt;&lt;/EndNote&gt;</w:instrText>
      </w:r>
      <w:r w:rsidR="00514E93" w:rsidRPr="00C90AC9">
        <w:rPr>
          <w:rFonts w:eastAsia="Calibri"/>
          <w:lang w:eastAsia="en-US"/>
        </w:rPr>
        <w:fldChar w:fldCharType="separate"/>
      </w:r>
      <w:r w:rsidR="0047562B" w:rsidRPr="00C90AC9">
        <w:rPr>
          <w:rFonts w:eastAsia="Calibri"/>
          <w:lang w:eastAsia="en-US"/>
        </w:rPr>
        <w:t>(</w:t>
      </w:r>
      <w:r w:rsidR="00432861" w:rsidRPr="00C90AC9">
        <w:rPr>
          <w:rFonts w:eastAsia="Calibri"/>
          <w:lang w:eastAsia="en-US"/>
        </w:rPr>
        <w:t xml:space="preserve">A. </w:t>
      </w:r>
      <w:r w:rsidR="0038131A" w:rsidRPr="00C90AC9">
        <w:rPr>
          <w:rFonts w:eastAsia="Calibri"/>
          <w:lang w:eastAsia="en-US"/>
        </w:rPr>
        <w:t>Faiers</w:t>
      </w:r>
      <w:r w:rsidR="00BA7307" w:rsidRPr="00C90AC9">
        <w:rPr>
          <w:rFonts w:eastAsia="Calibri"/>
          <w:lang w:eastAsia="en-US"/>
        </w:rPr>
        <w:t xml:space="preserve"> </w:t>
      </w:r>
      <w:r w:rsidR="0047562B" w:rsidRPr="00C90AC9">
        <w:rPr>
          <w:rFonts w:eastAsia="Calibri"/>
          <w:lang w:eastAsia="en-US"/>
        </w:rPr>
        <w:t xml:space="preserve"> &amp; </w:t>
      </w:r>
      <w:r w:rsidR="00432861" w:rsidRPr="00C90AC9">
        <w:rPr>
          <w:rFonts w:eastAsia="Calibri"/>
          <w:lang w:eastAsia="en-US"/>
        </w:rPr>
        <w:t xml:space="preserve">C. </w:t>
      </w:r>
      <w:r w:rsidR="0038131A" w:rsidRPr="00C90AC9">
        <w:rPr>
          <w:rFonts w:eastAsia="Calibri"/>
          <w:lang w:eastAsia="en-US"/>
        </w:rPr>
        <w:t>Neame,</w:t>
      </w:r>
      <w:r w:rsidR="0047562B" w:rsidRPr="00C90AC9">
        <w:rPr>
          <w:rFonts w:eastAsia="Calibri"/>
          <w:lang w:eastAsia="en-US"/>
        </w:rPr>
        <w:t xml:space="preserve"> 2006)</w:t>
      </w:r>
      <w:r w:rsidR="00514E93" w:rsidRPr="00C90AC9">
        <w:rPr>
          <w:rFonts w:eastAsia="Calibri"/>
          <w:lang w:eastAsia="en-US"/>
        </w:rPr>
        <w:fldChar w:fldCharType="end"/>
      </w:r>
      <w:r w:rsidR="00187CB4" w:rsidRPr="00C90AC9">
        <w:rPr>
          <w:rFonts w:eastAsia="Calibri"/>
          <w:lang w:eastAsia="en-US"/>
        </w:rPr>
        <w:t>.</w:t>
      </w:r>
      <w:r w:rsidR="00874239" w:rsidRPr="00C90AC9">
        <w:rPr>
          <w:rFonts w:eastAsia="Calibri"/>
          <w:lang w:eastAsia="en-US"/>
        </w:rPr>
        <w:t xml:space="preserve"> </w:t>
      </w:r>
      <w:r w:rsidR="006C186E" w:rsidRPr="00C90AC9">
        <w:rPr>
          <w:rFonts w:eastAsia="Calibri"/>
          <w:lang w:eastAsia="en-US"/>
        </w:rPr>
        <w:t xml:space="preserve">This </w:t>
      </w:r>
      <w:r w:rsidR="007F6E01" w:rsidRPr="00C90AC9">
        <w:rPr>
          <w:rFonts w:eastAsia="Calibri"/>
          <w:lang w:eastAsia="en-US"/>
        </w:rPr>
        <w:t>report</w:t>
      </w:r>
      <w:r w:rsidR="00A443A3" w:rsidRPr="00C90AC9">
        <w:rPr>
          <w:rFonts w:eastAsia="Calibri"/>
          <w:lang w:eastAsia="en-US"/>
        </w:rPr>
        <w:t>,</w:t>
      </w:r>
      <w:r w:rsidR="007F6E01" w:rsidRPr="00C90AC9">
        <w:rPr>
          <w:rFonts w:eastAsia="Calibri"/>
          <w:lang w:eastAsia="en-US"/>
        </w:rPr>
        <w:t xml:space="preserve"> from </w:t>
      </w:r>
      <w:r w:rsidR="006C186E" w:rsidRPr="00C90AC9">
        <w:rPr>
          <w:rFonts w:eastAsia="Calibri"/>
          <w:lang w:eastAsia="en-US"/>
        </w:rPr>
        <w:t>2015</w:t>
      </w:r>
      <w:r w:rsidR="00A443A3" w:rsidRPr="00C90AC9">
        <w:rPr>
          <w:rFonts w:eastAsia="Calibri"/>
          <w:lang w:eastAsia="en-US"/>
        </w:rPr>
        <w:t>,</w:t>
      </w:r>
      <w:r w:rsidR="00187CB4" w:rsidRPr="00C90AC9">
        <w:rPr>
          <w:rFonts w:eastAsia="Calibri"/>
          <w:lang w:eastAsia="en-US"/>
        </w:rPr>
        <w:t xml:space="preserve"> also highlighted a lack of trusted information available to individuals and businesses so that informed decisions can be made about the suitability of energy efficient opportunities and that this was a significant barrier to the deployment of cost-effective energy efficient investment </w:t>
      </w:r>
      <w:r w:rsidR="00514E93" w:rsidRPr="00C90AC9">
        <w:rPr>
          <w:rFonts w:eastAsia="Calibri"/>
          <w:lang w:eastAsia="en-US"/>
        </w:rPr>
        <w:fldChar w:fldCharType="begin"/>
      </w:r>
      <w:r w:rsidR="0047562B" w:rsidRPr="00C90AC9">
        <w:rPr>
          <w:rFonts w:eastAsia="Calibri"/>
          <w:lang w:eastAsia="en-US"/>
        </w:rPr>
        <w:instrText xml:space="preserve"> ADDIN EN.CITE &lt;EndNote&gt;&lt;Cite&gt;&lt;Author&gt;Faiers&lt;/Author&gt;&lt;Year&gt;2006&lt;/Year&gt;&lt;RecNum&gt;141&lt;/RecNum&gt;&lt;DisplayText&gt;(A. Faiers &amp;amp; C. Neame, 2006)&lt;/DisplayText&gt;&lt;record&gt;&lt;rec-number&gt;141&lt;/rec-number&gt;&lt;foreign-keys&gt;&lt;key app="EN" db-id="50wxdpzd9vd5r7e9t5b595djrfpttrxw9avp" timestamp="1525076334"&gt;141&lt;/key&gt;&lt;/foreign-keys&gt;&lt;ref-type name="Journal Article"&gt;17&lt;/ref-type&gt;&lt;contributors&gt;&lt;authors&gt;&lt;author&gt;Faiers, A.&lt;/author&gt;&lt;author&gt;C. Neame&lt;/author&gt;&lt;/authors&gt;&lt;/contributors&gt;&lt;titles&gt;&lt;title&gt;International Energy Agency&lt;/title&gt;&lt;secondary-title&gt;Energy Policy&lt;/secondary-title&gt;&lt;short-title&gt;Faiers, A. and C. Neame 2006 – International Energy Agency&lt;/short-title&gt;&lt;/titles&gt;&lt;pages&gt;p. 160-168&lt;/pages&gt;&lt;volume&gt;34&lt;/volume&gt;&lt;number&gt;14&lt;/number&gt;&lt;dates&gt;&lt;year&gt;2006&lt;/year&gt;&lt;/dates&gt;&lt;urls&gt;&lt;/urls&gt;&lt;/record&gt;&lt;/Cite&gt;&lt;/EndNote&gt;</w:instrText>
      </w:r>
      <w:r w:rsidR="00514E93" w:rsidRPr="00C90AC9">
        <w:rPr>
          <w:rFonts w:eastAsia="Calibri"/>
          <w:lang w:eastAsia="en-US"/>
        </w:rPr>
        <w:fldChar w:fldCharType="separate"/>
      </w:r>
      <w:r w:rsidR="0047562B" w:rsidRPr="00C90AC9">
        <w:rPr>
          <w:rFonts w:eastAsia="Calibri"/>
          <w:lang w:eastAsia="en-US"/>
        </w:rPr>
        <w:t>(</w:t>
      </w:r>
      <w:r w:rsidR="00432861" w:rsidRPr="00C90AC9">
        <w:rPr>
          <w:rFonts w:eastAsia="Calibri"/>
          <w:lang w:eastAsia="en-US"/>
        </w:rPr>
        <w:t xml:space="preserve">A. </w:t>
      </w:r>
      <w:r w:rsidR="0038131A" w:rsidRPr="00C90AC9">
        <w:rPr>
          <w:rFonts w:eastAsia="Calibri"/>
          <w:lang w:eastAsia="en-US"/>
        </w:rPr>
        <w:t>Faiers</w:t>
      </w:r>
      <w:r w:rsidR="00BA7307" w:rsidRPr="00C90AC9">
        <w:rPr>
          <w:rFonts w:eastAsia="Calibri"/>
          <w:lang w:eastAsia="en-US"/>
        </w:rPr>
        <w:t xml:space="preserve"> </w:t>
      </w:r>
      <w:r w:rsidR="0047562B" w:rsidRPr="00C90AC9">
        <w:rPr>
          <w:rFonts w:eastAsia="Calibri"/>
          <w:lang w:eastAsia="en-US"/>
        </w:rPr>
        <w:t xml:space="preserve"> &amp; </w:t>
      </w:r>
      <w:r w:rsidR="00432861" w:rsidRPr="00C90AC9">
        <w:rPr>
          <w:rFonts w:eastAsia="Calibri"/>
          <w:lang w:eastAsia="en-US"/>
        </w:rPr>
        <w:t xml:space="preserve">C. </w:t>
      </w:r>
      <w:r w:rsidR="0038131A" w:rsidRPr="00C90AC9">
        <w:rPr>
          <w:rFonts w:eastAsia="Calibri"/>
          <w:lang w:eastAsia="en-US"/>
        </w:rPr>
        <w:t>Neame,</w:t>
      </w:r>
      <w:r w:rsidR="0047562B" w:rsidRPr="00C90AC9">
        <w:rPr>
          <w:rFonts w:eastAsia="Calibri"/>
          <w:lang w:eastAsia="en-US"/>
        </w:rPr>
        <w:t xml:space="preserve"> 2006)</w:t>
      </w:r>
      <w:r w:rsidR="00514E93" w:rsidRPr="00C90AC9">
        <w:rPr>
          <w:rFonts w:eastAsia="Calibri"/>
          <w:lang w:eastAsia="en-US"/>
        </w:rPr>
        <w:fldChar w:fldCharType="end"/>
      </w:r>
      <w:r w:rsidR="00187CB4" w:rsidRPr="00C90AC9">
        <w:rPr>
          <w:rFonts w:eastAsia="Calibri"/>
          <w:lang w:eastAsia="en-US"/>
        </w:rPr>
        <w:t xml:space="preserve">. </w:t>
      </w:r>
    </w:p>
    <w:p w:rsidR="00874239" w:rsidRPr="00C90AC9" w:rsidRDefault="00187CB4" w:rsidP="00874239">
      <w:pPr>
        <w:pStyle w:val="BodyTextFirstIndent"/>
        <w:spacing w:line="360" w:lineRule="auto"/>
        <w:rPr>
          <w:rFonts w:eastAsia="Calibri"/>
          <w:lang w:eastAsia="en-US"/>
        </w:rPr>
      </w:pPr>
      <w:r w:rsidRPr="00C90AC9">
        <w:rPr>
          <w:rFonts w:eastAsia="Calibri"/>
          <w:lang w:eastAsia="en-US"/>
        </w:rPr>
        <w:t>The skewed financial incentives offered to investors o</w:t>
      </w:r>
      <w:r w:rsidR="00874239" w:rsidRPr="00C90AC9">
        <w:rPr>
          <w:rFonts w:eastAsia="Calibri"/>
          <w:lang w:eastAsia="en-US"/>
        </w:rPr>
        <w:t xml:space="preserve">f energy efficient technologies have impacted adoption of these technologies </w:t>
      </w:r>
      <w:r w:rsidRPr="00C90AC9">
        <w:rPr>
          <w:rFonts w:eastAsia="Calibri"/>
          <w:lang w:eastAsia="en-US"/>
        </w:rPr>
        <w:t xml:space="preserve">such that the benefits of investment </w:t>
      </w:r>
      <w:r w:rsidR="00874239" w:rsidRPr="00C90AC9">
        <w:rPr>
          <w:rFonts w:eastAsia="Calibri"/>
          <w:lang w:eastAsia="en-US"/>
        </w:rPr>
        <w:t xml:space="preserve">(resulting in </w:t>
      </w:r>
      <w:r w:rsidRPr="00C90AC9">
        <w:rPr>
          <w:rFonts w:eastAsia="Calibri"/>
          <w:lang w:eastAsia="en-US"/>
        </w:rPr>
        <w:t xml:space="preserve">reducing </w:t>
      </w:r>
      <w:r w:rsidR="007E00BF" w:rsidRPr="00C90AC9">
        <w:rPr>
          <w:rFonts w:eastAsia="Calibri"/>
          <w:lang w:eastAsia="en-US"/>
        </w:rPr>
        <w:t>CO</w:t>
      </w:r>
      <w:r w:rsidR="007E00BF" w:rsidRPr="00C90AC9">
        <w:rPr>
          <w:rFonts w:eastAsia="Calibri"/>
          <w:vertAlign w:val="subscript"/>
          <w:lang w:eastAsia="en-US"/>
        </w:rPr>
        <w:t>2</w:t>
      </w:r>
      <w:r w:rsidRPr="00C90AC9">
        <w:rPr>
          <w:rFonts w:eastAsia="Calibri"/>
          <w:vertAlign w:val="subscript"/>
          <w:lang w:eastAsia="en-US"/>
        </w:rPr>
        <w:t xml:space="preserve"> </w:t>
      </w:r>
      <w:r w:rsidRPr="00C90AC9">
        <w:rPr>
          <w:rFonts w:eastAsia="Calibri"/>
          <w:lang w:eastAsia="en-US"/>
        </w:rPr>
        <w:t>emissions and improving energy security) are not always realised directly by the consumer</w:t>
      </w:r>
      <w:r w:rsidR="00874239" w:rsidRPr="00C90AC9">
        <w:rPr>
          <w:rFonts w:eastAsia="Calibri"/>
          <w:lang w:eastAsia="en-US"/>
        </w:rPr>
        <w:t xml:space="preserve"> </w:t>
      </w:r>
      <w:r w:rsidR="00874239" w:rsidRPr="00C90AC9">
        <w:rPr>
          <w:rFonts w:eastAsia="Calibri"/>
          <w:lang w:eastAsia="en-US"/>
        </w:rPr>
        <w:fldChar w:fldCharType="begin"/>
      </w:r>
      <w:r w:rsidR="00B35A6E" w:rsidRPr="00C90AC9">
        <w:rPr>
          <w:rFonts w:eastAsia="Calibri"/>
          <w:lang w:eastAsia="en-US"/>
        </w:rPr>
        <w:instrText xml:space="preserve"> ADDIN EN.CITE &lt;EndNote&gt;&lt;Cite&gt;&lt;Author&gt;Faiers&lt;/Author&gt;&lt;Year&gt;2006&lt;/Year&gt;&lt;RecNum&gt;141&lt;/RecNum&gt;&lt;DisplayText&gt;(DECC, 2013; A. Faiers &amp;amp; C. Neame, 2006)&lt;/DisplayText&gt;&lt;record&gt;&lt;rec-number&gt;141&lt;/rec-number&gt;&lt;foreign-keys&gt;&lt;key app="EN" db-id="50wxdpzd9vd5r7e9t5b595djrfpttrxw9avp" timestamp="1525076334"&gt;141&lt;/key&gt;&lt;/foreign-keys&gt;&lt;ref-type name="Journal Article"&gt;17&lt;/ref-type&gt;&lt;contributors&gt;&lt;authors&gt;&lt;author&gt;Faiers, A.&lt;/author&gt;&lt;author&gt;C. Neame&lt;/author&gt;&lt;/authors&gt;&lt;/contributors&gt;&lt;titles&gt;&lt;title&gt;International Energy Agency&lt;/title&gt;&lt;secondary-title&gt;Energy Policy&lt;/secondary-title&gt;&lt;short-title&gt;Faiers, A. and C. Neame 2006 – International Energy Agency&lt;/short-title&gt;&lt;/titles&gt;&lt;pages&gt;p. 160-168&lt;/pages&gt;&lt;volume&gt;34&lt;/volume&gt;&lt;number&gt;14&lt;/number&gt;&lt;dates&gt;&lt;year&gt;2006&lt;/year&gt;&lt;/dates&gt;&lt;urls&gt;&lt;/urls&gt;&lt;/record&gt;&lt;/Cite&gt;&lt;Cite&gt;&lt;Author&gt;DECC&lt;/Author&gt;&lt;Year&gt;2013&lt;/Year&gt;&lt;RecNum&gt;138&lt;/RecNum&gt;&lt;record&gt;&lt;rec-number&gt;138&lt;/rec-number&gt;&lt;foreign-keys&gt;&lt;key app="EN" db-id="50wxdpzd9vd5r7e9t5b595djrfpttrxw9avp" timestamp="1525076334"&gt;138&lt;/key&gt;&lt;/foreign-keys&gt;&lt;ref-type name="Unpublished Work"&gt;34&lt;/ref-type&gt;&lt;contributors&gt;&lt;authors&gt;&lt;author&gt;DECC&lt;/author&gt;&lt;/authors&gt;&lt;/contributors&gt;&lt;titles&gt;&lt;title&gt;Energy Consumption in the UK (2015)&lt;/title&gt;&lt;short-title&gt;DECC 2013 – Energy Consumption in the UK&lt;/short-title&gt;&lt;/titles&gt;&lt;dates&gt;&lt;year&gt;2013&lt;/year&gt;&lt;/dates&gt;&lt;pub-location&gt;London&lt;/pub-location&gt;&lt;publisher&gt;Crown Copywrite&lt;/publisher&gt;&lt;urls&gt;&lt;/urls&gt;&lt;/record&gt;&lt;/Cite&gt;&lt;/EndNote&gt;</w:instrText>
      </w:r>
      <w:r w:rsidR="00874239" w:rsidRPr="00C90AC9">
        <w:rPr>
          <w:rFonts w:eastAsia="Calibri"/>
          <w:lang w:eastAsia="en-US"/>
        </w:rPr>
        <w:fldChar w:fldCharType="separate"/>
      </w:r>
      <w:r w:rsidR="00B35A6E" w:rsidRPr="00C90AC9">
        <w:rPr>
          <w:rFonts w:eastAsia="Calibri"/>
          <w:lang w:eastAsia="en-US"/>
        </w:rPr>
        <w:t xml:space="preserve">(DECC, 2013; </w:t>
      </w:r>
      <w:r w:rsidR="00432861" w:rsidRPr="00C90AC9">
        <w:rPr>
          <w:rFonts w:eastAsia="Calibri"/>
          <w:lang w:eastAsia="en-US"/>
        </w:rPr>
        <w:t xml:space="preserve">A. </w:t>
      </w:r>
      <w:r w:rsidR="0038131A" w:rsidRPr="00C90AC9">
        <w:rPr>
          <w:rFonts w:eastAsia="Calibri"/>
          <w:lang w:eastAsia="en-US"/>
        </w:rPr>
        <w:t>Faiers</w:t>
      </w:r>
      <w:r w:rsidR="00BA7307" w:rsidRPr="00C90AC9">
        <w:rPr>
          <w:rFonts w:eastAsia="Calibri"/>
          <w:lang w:eastAsia="en-US"/>
        </w:rPr>
        <w:t xml:space="preserve"> </w:t>
      </w:r>
      <w:r w:rsidR="00B35A6E" w:rsidRPr="00C90AC9">
        <w:rPr>
          <w:rFonts w:eastAsia="Calibri"/>
          <w:lang w:eastAsia="en-US"/>
        </w:rPr>
        <w:t xml:space="preserve"> &amp; </w:t>
      </w:r>
      <w:r w:rsidR="00432861" w:rsidRPr="00C90AC9">
        <w:rPr>
          <w:rFonts w:eastAsia="Calibri"/>
          <w:lang w:eastAsia="en-US"/>
        </w:rPr>
        <w:t xml:space="preserve">C. </w:t>
      </w:r>
      <w:r w:rsidR="0038131A" w:rsidRPr="00C90AC9">
        <w:rPr>
          <w:rFonts w:eastAsia="Calibri"/>
          <w:lang w:eastAsia="en-US"/>
        </w:rPr>
        <w:t>Neame,</w:t>
      </w:r>
      <w:r w:rsidR="00B35A6E" w:rsidRPr="00C90AC9">
        <w:rPr>
          <w:rFonts w:eastAsia="Calibri"/>
          <w:lang w:eastAsia="en-US"/>
        </w:rPr>
        <w:t xml:space="preserve"> 2006)</w:t>
      </w:r>
      <w:r w:rsidR="00874239" w:rsidRPr="00C90AC9">
        <w:rPr>
          <w:rFonts w:eastAsia="Calibri"/>
          <w:lang w:eastAsia="en-US"/>
        </w:rPr>
        <w:fldChar w:fldCharType="end"/>
      </w:r>
      <w:r w:rsidRPr="00C90AC9">
        <w:rPr>
          <w:rFonts w:eastAsia="Calibri"/>
          <w:lang w:eastAsia="en-US"/>
        </w:rPr>
        <w:t>. DECC also identified energy efficient technologies as being undervalued (in part due to poor information being readily available on their effectiveness) and that there is a lack of salience in the energy efficient market which engenders behavioural barriers and increa</w:t>
      </w:r>
      <w:r w:rsidR="00874239" w:rsidRPr="00C90AC9">
        <w:rPr>
          <w:rFonts w:eastAsia="Calibri"/>
          <w:lang w:eastAsia="en-US"/>
        </w:rPr>
        <w:t xml:space="preserve">ses hassle costs for consumers </w:t>
      </w:r>
      <w:r w:rsidR="00A46642" w:rsidRPr="00C90AC9">
        <w:rPr>
          <w:rFonts w:eastAsia="Calibri"/>
          <w:lang w:eastAsia="en-US"/>
        </w:rPr>
        <w:lastRenderedPageBreak/>
        <w:fldChar w:fldCharType="begin"/>
      </w:r>
      <w:r w:rsidR="00A46642" w:rsidRPr="00C90AC9">
        <w:rPr>
          <w:rFonts w:eastAsia="Calibri"/>
          <w:lang w:eastAsia="en-US"/>
        </w:rPr>
        <w:instrText xml:space="preserve"> ADDIN EN.CITE &lt;EndNote&gt;&lt;Cite&gt;&lt;Author&gt;DECC&lt;/Author&gt;&lt;Year&gt;2013&lt;/Year&gt;&lt;RecNum&gt;138&lt;/RecNum&gt;&lt;DisplayText&gt;(DECC, 2013)&lt;/DisplayText&gt;&lt;record&gt;&lt;rec-number&gt;138&lt;/rec-number&gt;&lt;foreign-keys&gt;&lt;key app="EN" db-id="50wxdpzd9vd5r7e9t5b595djrfpttrxw9avp" timestamp="1525076334"&gt;138&lt;/key&gt;&lt;/foreign-keys&gt;&lt;ref-type name="Unpublished Work"&gt;34&lt;/ref-type&gt;&lt;contributors&gt;&lt;authors&gt;&lt;author&gt;DECC&lt;/author&gt;&lt;/authors&gt;&lt;/contributors&gt;&lt;titles&gt;&lt;title&gt;Energy Consumption in the UK (2015)&lt;/title&gt;&lt;short-title&gt;DECC 2013 – Energy Consumption in the UK&lt;/short-title&gt;&lt;/titles&gt;&lt;dates&gt;&lt;year&gt;2013&lt;/year&gt;&lt;/dates&gt;&lt;pub-location&gt;London&lt;/pub-location&gt;&lt;publisher&gt;Crown Copywrite&lt;/publisher&gt;&lt;urls&gt;&lt;/urls&gt;&lt;/record&gt;&lt;/Cite&gt;&lt;/EndNote&gt;</w:instrText>
      </w:r>
      <w:r w:rsidR="00A46642" w:rsidRPr="00C90AC9">
        <w:rPr>
          <w:rFonts w:eastAsia="Calibri"/>
          <w:lang w:eastAsia="en-US"/>
        </w:rPr>
        <w:fldChar w:fldCharType="separate"/>
      </w:r>
      <w:r w:rsidR="00A46642" w:rsidRPr="00C90AC9">
        <w:rPr>
          <w:rFonts w:eastAsia="Calibri"/>
          <w:lang w:eastAsia="en-US"/>
        </w:rPr>
        <w:t>(DECC, 2013)</w:t>
      </w:r>
      <w:r w:rsidR="00A46642" w:rsidRPr="00C90AC9">
        <w:rPr>
          <w:rFonts w:eastAsia="Calibri"/>
          <w:lang w:eastAsia="en-US"/>
        </w:rPr>
        <w:fldChar w:fldCharType="end"/>
      </w:r>
      <w:r w:rsidR="00874239" w:rsidRPr="00C90AC9">
        <w:rPr>
          <w:rFonts w:eastAsia="Calibri"/>
          <w:lang w:eastAsia="en-US"/>
        </w:rPr>
        <w:t xml:space="preserve">. </w:t>
      </w:r>
      <w:r w:rsidRPr="00C90AC9">
        <w:rPr>
          <w:rFonts w:eastAsia="Calibri"/>
          <w:lang w:eastAsia="en-US"/>
        </w:rPr>
        <w:t>These four key impediments were highlighted by the UK government as being critical to realising the renewable energy potential within the UK and thus achieving the internationally agreements as set out in the Climate Change Act 2008</w:t>
      </w:r>
      <w:r w:rsidR="006B7AC6" w:rsidRPr="00C90AC9">
        <w:rPr>
          <w:rFonts w:eastAsia="Calibri"/>
          <w:lang w:eastAsia="en-US"/>
        </w:rPr>
        <w:t xml:space="preserve"> </w:t>
      </w:r>
      <w:r w:rsidR="006B7AC6" w:rsidRPr="00C90AC9">
        <w:rPr>
          <w:rFonts w:eastAsia="Calibri"/>
          <w:lang w:eastAsia="en-US"/>
        </w:rPr>
        <w:fldChar w:fldCharType="begin"/>
      </w:r>
      <w:r w:rsidR="006B7AC6" w:rsidRPr="00C90AC9">
        <w:rPr>
          <w:rFonts w:eastAsia="Calibri"/>
          <w:lang w:eastAsia="en-US"/>
        </w:rPr>
        <w:instrText xml:space="preserve"> ADDIN EN.CITE &lt;EndNote&gt;&lt;Cite&gt;&lt;Author&gt;DECC&lt;/Author&gt;&lt;Year&gt;2013&lt;/Year&gt;&lt;RecNum&gt;138&lt;/RecNum&gt;&lt;DisplayText&gt;(DECC, 2013)&lt;/DisplayText&gt;&lt;record&gt;&lt;rec-number&gt;138&lt;/rec-number&gt;&lt;foreign-keys&gt;&lt;key app="EN" db-id="50wxdpzd9vd5r7e9t5b595djrfpttrxw9avp" timestamp="1525076334"&gt;138&lt;/key&gt;&lt;/foreign-keys&gt;&lt;ref-type name="Unpublished Work"&gt;34&lt;/ref-type&gt;&lt;contributors&gt;&lt;authors&gt;&lt;author&gt;DECC&lt;/author&gt;&lt;/authors&gt;&lt;/contributors&gt;&lt;titles&gt;&lt;title&gt;Energy Consumption in the UK (2015)&lt;/title&gt;&lt;short-title&gt;DECC 2013 – Energy Consumption in the UK&lt;/short-title&gt;&lt;/titles&gt;&lt;dates&gt;&lt;year&gt;2013&lt;/year&gt;&lt;/dates&gt;&lt;pub-location&gt;London&lt;/pub-location&gt;&lt;publisher&gt;Crown Copywrite&lt;/publisher&gt;&lt;urls&gt;&lt;/urls&gt;&lt;/record&gt;&lt;/Cite&gt;&lt;/EndNote&gt;</w:instrText>
      </w:r>
      <w:r w:rsidR="006B7AC6" w:rsidRPr="00C90AC9">
        <w:rPr>
          <w:rFonts w:eastAsia="Calibri"/>
          <w:lang w:eastAsia="en-US"/>
        </w:rPr>
        <w:fldChar w:fldCharType="separate"/>
      </w:r>
      <w:r w:rsidR="006B7AC6" w:rsidRPr="00C90AC9">
        <w:rPr>
          <w:rFonts w:eastAsia="Calibri"/>
          <w:lang w:eastAsia="en-US"/>
        </w:rPr>
        <w:t>(DECC, 2013)</w:t>
      </w:r>
      <w:r w:rsidR="006B7AC6" w:rsidRPr="00C90AC9">
        <w:rPr>
          <w:rFonts w:eastAsia="Calibri"/>
          <w:lang w:eastAsia="en-US"/>
        </w:rPr>
        <w:fldChar w:fldCharType="end"/>
      </w:r>
      <w:r w:rsidR="007B44F9" w:rsidRPr="00C90AC9">
        <w:rPr>
          <w:rFonts w:eastAsia="Calibri"/>
          <w:lang w:eastAsia="en-US"/>
        </w:rPr>
        <w:t xml:space="preserve">; </w:t>
      </w:r>
      <w:r w:rsidR="00001783" w:rsidRPr="00C90AC9">
        <w:rPr>
          <w:rFonts w:eastAsia="Calibri"/>
          <w:lang w:eastAsia="en-US"/>
        </w:rPr>
        <w:fldChar w:fldCharType="begin"/>
      </w:r>
      <w:r w:rsidR="0047562B" w:rsidRPr="00C90AC9">
        <w:rPr>
          <w:rFonts w:eastAsia="Calibri"/>
          <w:lang w:eastAsia="en-US"/>
        </w:rPr>
        <w:instrText xml:space="preserve"> ADDIN EN.CITE &lt;EndNote&gt;&lt;Cite&gt;&lt;Author&gt;Faiers&lt;/Author&gt;&lt;Year&gt;2006&lt;/Year&gt;&lt;RecNum&gt;141&lt;/RecNum&gt;&lt;DisplayText&gt;(A. Faiers &amp;amp; C. Neame, 2006)&lt;/DisplayText&gt;&lt;record&gt;&lt;rec-number&gt;141&lt;/rec-number&gt;&lt;foreign-keys&gt;&lt;key app="EN" db-id="50wxdpzd9vd5r7e9t5b595djrfpttrxw9avp" timestamp="1525076334"&gt;141&lt;/key&gt;&lt;/foreign-keys&gt;&lt;ref-type name="Journal Article"&gt;17&lt;/ref-type&gt;&lt;contributors&gt;&lt;authors&gt;&lt;author&gt;Faiers, A.&lt;/author&gt;&lt;author&gt;C. Neame&lt;/author&gt;&lt;/authors&gt;&lt;/contributors&gt;&lt;titles&gt;&lt;title&gt;International Energy Agency&lt;/title&gt;&lt;secondary-title&gt;Energy Policy&lt;/secondary-title&gt;&lt;short-title&gt;Faiers, A. and C. Neame 2006 – International Energy Agency&lt;/short-title&gt;&lt;/titles&gt;&lt;pages&gt;p. 160-168&lt;/pages&gt;&lt;volume&gt;34&lt;/volume&gt;&lt;number&gt;14&lt;/number&gt;&lt;dates&gt;&lt;year&gt;2006&lt;/year&gt;&lt;/dates&gt;&lt;urls&gt;&lt;/urls&gt;&lt;/record&gt;&lt;/Cite&gt;&lt;/EndNote&gt;</w:instrText>
      </w:r>
      <w:r w:rsidR="00001783" w:rsidRPr="00C90AC9">
        <w:rPr>
          <w:rFonts w:eastAsia="Calibri"/>
          <w:lang w:eastAsia="en-US"/>
        </w:rPr>
        <w:fldChar w:fldCharType="separate"/>
      </w:r>
      <w:r w:rsidR="0047562B" w:rsidRPr="00C90AC9">
        <w:rPr>
          <w:rFonts w:eastAsia="Calibri"/>
          <w:lang w:eastAsia="en-US"/>
        </w:rPr>
        <w:t>(</w:t>
      </w:r>
      <w:r w:rsidR="00432861" w:rsidRPr="00C90AC9">
        <w:rPr>
          <w:rFonts w:eastAsia="Calibri"/>
          <w:lang w:eastAsia="en-US"/>
        </w:rPr>
        <w:t xml:space="preserve">A. </w:t>
      </w:r>
      <w:r w:rsidR="0038131A" w:rsidRPr="00C90AC9">
        <w:rPr>
          <w:rFonts w:eastAsia="Calibri"/>
          <w:lang w:eastAsia="en-US"/>
        </w:rPr>
        <w:t>Faiers</w:t>
      </w:r>
      <w:r w:rsidR="00BA7307" w:rsidRPr="00C90AC9">
        <w:rPr>
          <w:rFonts w:eastAsia="Calibri"/>
          <w:lang w:eastAsia="en-US"/>
        </w:rPr>
        <w:t xml:space="preserve"> </w:t>
      </w:r>
      <w:r w:rsidR="0047562B" w:rsidRPr="00C90AC9">
        <w:rPr>
          <w:rFonts w:eastAsia="Calibri"/>
          <w:lang w:eastAsia="en-US"/>
        </w:rPr>
        <w:t xml:space="preserve"> &amp; </w:t>
      </w:r>
      <w:r w:rsidR="00432861" w:rsidRPr="00C90AC9">
        <w:rPr>
          <w:rFonts w:eastAsia="Calibri"/>
          <w:lang w:eastAsia="en-US"/>
        </w:rPr>
        <w:t xml:space="preserve">C. </w:t>
      </w:r>
      <w:r w:rsidR="0038131A" w:rsidRPr="00C90AC9">
        <w:rPr>
          <w:rFonts w:eastAsia="Calibri"/>
          <w:lang w:eastAsia="en-US"/>
        </w:rPr>
        <w:t>Neame,</w:t>
      </w:r>
      <w:r w:rsidR="0047562B" w:rsidRPr="00C90AC9">
        <w:rPr>
          <w:rFonts w:eastAsia="Calibri"/>
          <w:lang w:eastAsia="en-US"/>
        </w:rPr>
        <w:t xml:space="preserve"> 2006)</w:t>
      </w:r>
      <w:r w:rsidR="00001783" w:rsidRPr="00C90AC9">
        <w:rPr>
          <w:rFonts w:eastAsia="Calibri"/>
          <w:lang w:eastAsia="en-US"/>
        </w:rPr>
        <w:fldChar w:fldCharType="end"/>
      </w:r>
      <w:r w:rsidR="00874239" w:rsidRPr="00C90AC9">
        <w:rPr>
          <w:rFonts w:eastAsia="Calibri"/>
          <w:lang w:eastAsia="en-US"/>
        </w:rPr>
        <w:t>.</w:t>
      </w:r>
    </w:p>
    <w:p w:rsidR="00874239" w:rsidRPr="00C90AC9" w:rsidRDefault="00187CB4" w:rsidP="00001783">
      <w:pPr>
        <w:pStyle w:val="BodyTextFirstIndent"/>
        <w:spacing w:line="360" w:lineRule="auto"/>
        <w:rPr>
          <w:rFonts w:eastAsia="Calibri"/>
          <w:lang w:eastAsia="en-US"/>
        </w:rPr>
      </w:pPr>
      <w:r w:rsidRPr="00C90AC9">
        <w:rPr>
          <w:rFonts w:eastAsia="Calibri"/>
          <w:lang w:eastAsia="en-US"/>
        </w:rPr>
        <w:t xml:space="preserve">To assist the UK in achieving these targets the Renewable Heat Incentive 2011 (RHI) was launched in 2011 to support participants that generate and utilise renewable forms of heat in their properties. The scheme was the “world’s first long-term financial support programme for renewable heat” with participants being paid for generating and using the renewable heat they generate on their property (participants can claim for: biomass boilers; solar water heating; and certain heat pumps) </w:t>
      </w:r>
      <w:r w:rsidR="00001783" w:rsidRPr="00C90AC9">
        <w:rPr>
          <w:rFonts w:eastAsia="Calibri"/>
          <w:lang w:eastAsia="en-US"/>
        </w:rPr>
        <w:fldChar w:fldCharType="begin"/>
      </w:r>
      <w:r w:rsidR="00001783" w:rsidRPr="00C90AC9">
        <w:rPr>
          <w:rFonts w:eastAsia="Calibri"/>
          <w:lang w:eastAsia="en-US"/>
        </w:rPr>
        <w:instrText xml:space="preserve"> ADDIN EN.CITE &lt;EndNote&gt;&lt;Cite&gt;&lt;Author&gt;Abu-Bakar&lt;/Author&gt;&lt;Year&gt;2013&lt;/Year&gt;&lt;RecNum&gt;111&lt;/RecNum&gt;&lt;DisplayText&gt;(Abu-Bakar &amp;amp; et al., 2013)&lt;/DisplayText&gt;&lt;record&gt;&lt;rec-number&gt;111&lt;/rec-number&gt;&lt;foreign-keys&gt;&lt;key app="EN" db-id="50wxdpzd9vd5r7e9t5b595djrfpttrxw9avp" timestamp="1525076334"&gt;111&lt;/key&gt;&lt;/foreign-keys&gt;&lt;ref-type name="Journal Article"&gt;17&lt;/ref-type&gt;&lt;contributors&gt;&lt;authors&gt;&lt;author&gt;Abu-Bakar, S.H., .&lt;/author&gt;&lt;author&gt;et al.,&lt;/author&gt;&lt;/authors&gt;&lt;/contributors&gt;&lt;titles&gt;&lt;title&gt;Is Renewable Heat Incentive the future?&lt;/title&gt;&lt;secondary-title&gt;Renewable and Sustainable Energy Reviews&lt;/secondary-title&gt;&lt;short-title&gt;Abu-Bakar, S.H., et al. 2013 – Is Renewable Heat Incentive&lt;/short-title&gt;&lt;/titles&gt;&lt;pages&gt;p. 365-378&lt;/pages&gt;&lt;volume&gt;26&lt;/volume&gt;&lt;dates&gt;&lt;year&gt;2013&lt;/year&gt;&lt;/dates&gt;&lt;urls&gt;&lt;/urls&gt;&lt;/record&gt;&lt;/Cite&gt;&lt;/EndNote&gt;</w:instrText>
      </w:r>
      <w:r w:rsidR="00001783" w:rsidRPr="00C90AC9">
        <w:rPr>
          <w:rFonts w:eastAsia="Calibri"/>
          <w:lang w:eastAsia="en-US"/>
        </w:rPr>
        <w:fldChar w:fldCharType="separate"/>
      </w:r>
      <w:r w:rsidR="00001783" w:rsidRPr="00C90AC9">
        <w:rPr>
          <w:rFonts w:eastAsia="Calibri"/>
          <w:lang w:eastAsia="en-US"/>
        </w:rPr>
        <w:t xml:space="preserve">(Abu-Bakar </w:t>
      </w:r>
      <w:r w:rsidR="00EE66A8" w:rsidRPr="00C90AC9">
        <w:rPr>
          <w:rFonts w:eastAsia="Calibri"/>
          <w:lang w:eastAsia="en-US"/>
        </w:rPr>
        <w:t>et al</w:t>
      </w:r>
      <w:r w:rsidR="00001783" w:rsidRPr="00C90AC9">
        <w:rPr>
          <w:rFonts w:eastAsia="Calibri"/>
          <w:lang w:eastAsia="en-US"/>
        </w:rPr>
        <w:t>., 2013)</w:t>
      </w:r>
      <w:r w:rsidR="00001783" w:rsidRPr="00C90AC9">
        <w:rPr>
          <w:rFonts w:eastAsia="Calibri"/>
          <w:lang w:eastAsia="en-US"/>
        </w:rPr>
        <w:fldChar w:fldCharType="end"/>
      </w:r>
      <w:r w:rsidR="00001783" w:rsidRPr="00C90AC9">
        <w:rPr>
          <w:rFonts w:eastAsia="Calibri"/>
          <w:lang w:eastAsia="en-US"/>
        </w:rPr>
        <w:t xml:space="preserve">. </w:t>
      </w:r>
      <w:r w:rsidRPr="00C90AC9">
        <w:rPr>
          <w:rFonts w:eastAsia="Calibri"/>
          <w:lang w:eastAsia="en-US"/>
        </w:rPr>
        <w:t>The scheme was intended to circumvent</w:t>
      </w:r>
      <w:r w:rsidR="00001783" w:rsidRPr="00C90AC9">
        <w:rPr>
          <w:rFonts w:eastAsia="Calibri"/>
          <w:lang w:eastAsia="en-US"/>
        </w:rPr>
        <w:t xml:space="preserve"> or mitigate</w:t>
      </w:r>
      <w:r w:rsidRPr="00C90AC9">
        <w:rPr>
          <w:rFonts w:eastAsia="Calibri"/>
          <w:lang w:eastAsia="en-US"/>
        </w:rPr>
        <w:t xml:space="preserve"> the four key barriers noted above and to encourage wider investment and adoption of renewable technologies  and was proposed to ensure that 12% of the heat used in buildings is derived from renewable sources </w:t>
      </w:r>
      <w:r w:rsidR="006B7AC6" w:rsidRPr="00C90AC9">
        <w:rPr>
          <w:rFonts w:eastAsia="Calibri"/>
          <w:lang w:eastAsia="en-US"/>
        </w:rPr>
        <w:fldChar w:fldCharType="begin"/>
      </w:r>
      <w:r w:rsidR="002314AC" w:rsidRPr="00C90AC9">
        <w:rPr>
          <w:rFonts w:eastAsia="Calibri"/>
          <w:lang w:eastAsia="en-US"/>
        </w:rPr>
        <w:instrText xml:space="preserve"> ADDIN EN.CITE &lt;EndNote&gt;&lt;Cite&gt;&lt;Author&gt;Abu-Bakar&lt;/Author&gt;&lt;Year&gt;2013&lt;/Year&gt;&lt;RecNum&gt;111&lt;/RecNum&gt;&lt;DisplayText&gt;(Abu-Bakar &amp;amp; et al., 2013)&lt;/DisplayText&gt;&lt;record&gt;&lt;rec-number&gt;111&lt;/rec-number&gt;&lt;foreign-keys&gt;&lt;key app="EN" db-id="50wxdpzd9vd5r7e9t5b595djrfpttrxw9avp" timestamp="1525076334"&gt;111&lt;/key&gt;&lt;/foreign-keys&gt;&lt;ref-type name="Journal Article"&gt;17&lt;/ref-type&gt;&lt;contributors&gt;&lt;authors&gt;&lt;author&gt;Abu-Bakar, S.H., .&lt;/author&gt;&lt;author&gt;et al.,&lt;/author&gt;&lt;/authors&gt;&lt;/contributors&gt;&lt;titles&gt;&lt;title&gt;Is Renewable Heat Incentive the future?&lt;/title&gt;&lt;secondary-title&gt;Renewable and Sustainable Energy Reviews&lt;/secondary-title&gt;&lt;short-title&gt;Abu-Bakar, S.H., et al. 2013 – Is Renewable Heat Incentive&lt;/short-title&gt;&lt;/titles&gt;&lt;pages&gt;p. 365-378&lt;/pages&gt;&lt;volume&gt;26&lt;/volume&gt;&lt;dates&gt;&lt;year&gt;2013&lt;/year&gt;&lt;/dates&gt;&lt;urls&gt;&lt;/urls&gt;&lt;/record&gt;&lt;/Cite&gt;&lt;/EndNote&gt;</w:instrText>
      </w:r>
      <w:r w:rsidR="006B7AC6" w:rsidRPr="00C90AC9">
        <w:rPr>
          <w:rFonts w:eastAsia="Calibri"/>
          <w:lang w:eastAsia="en-US"/>
        </w:rPr>
        <w:fldChar w:fldCharType="separate"/>
      </w:r>
      <w:r w:rsidR="002314AC" w:rsidRPr="00C90AC9">
        <w:rPr>
          <w:rFonts w:eastAsia="Calibri"/>
          <w:lang w:eastAsia="en-US"/>
        </w:rPr>
        <w:t xml:space="preserve">(Abu-Bakar </w:t>
      </w:r>
      <w:r w:rsidR="00EE66A8" w:rsidRPr="00C90AC9">
        <w:rPr>
          <w:rFonts w:eastAsia="Calibri"/>
          <w:lang w:eastAsia="en-US"/>
        </w:rPr>
        <w:t>et al</w:t>
      </w:r>
      <w:r w:rsidR="002314AC" w:rsidRPr="00C90AC9">
        <w:rPr>
          <w:rFonts w:eastAsia="Calibri"/>
          <w:lang w:eastAsia="en-US"/>
        </w:rPr>
        <w:t>., 2013)</w:t>
      </w:r>
      <w:r w:rsidR="006B7AC6" w:rsidRPr="00C90AC9">
        <w:rPr>
          <w:rFonts w:eastAsia="Calibri"/>
          <w:lang w:eastAsia="en-US"/>
        </w:rPr>
        <w:fldChar w:fldCharType="end"/>
      </w:r>
      <w:r w:rsidRPr="00C90AC9">
        <w:rPr>
          <w:rFonts w:eastAsia="Calibri"/>
          <w:lang w:eastAsia="en-US"/>
        </w:rPr>
        <w:t>.These four barriers are further justification for applying a mixed method approach as was adopted for this research as the barriers recognised encompass both technical issues (number 1 on the list</w:t>
      </w:r>
      <w:r w:rsidR="00001783" w:rsidRPr="00C90AC9">
        <w:rPr>
          <w:rFonts w:eastAsia="Calibri"/>
          <w:lang w:eastAsia="en-US"/>
        </w:rPr>
        <w:t>: Embryonic Markets and Information</w:t>
      </w:r>
      <w:r w:rsidRPr="00C90AC9">
        <w:rPr>
          <w:rFonts w:eastAsia="Calibri"/>
          <w:lang w:eastAsia="en-US"/>
        </w:rPr>
        <w:t>), and behavioural issues (</w:t>
      </w:r>
      <w:r w:rsidR="00001783" w:rsidRPr="00C90AC9">
        <w:rPr>
          <w:rFonts w:eastAsia="Calibri"/>
          <w:lang w:eastAsia="en-US"/>
        </w:rPr>
        <w:t xml:space="preserve">Information; Misaligned Financial Incentives; Undervaluing Energy Efficiency; and Undervaluing Energy Efficiency, numbers </w:t>
      </w:r>
      <w:r w:rsidRPr="00C90AC9">
        <w:rPr>
          <w:rFonts w:eastAsia="Calibri"/>
          <w:lang w:eastAsia="en-US"/>
        </w:rPr>
        <w:t>2 to 4 the list)</w:t>
      </w:r>
      <w:r w:rsidR="00874239" w:rsidRPr="00C90AC9">
        <w:rPr>
          <w:rFonts w:eastAsia="Calibri"/>
          <w:lang w:eastAsia="en-US"/>
        </w:rPr>
        <w:t xml:space="preserve"> </w:t>
      </w:r>
      <w:r w:rsidR="00A46642" w:rsidRPr="00C90AC9">
        <w:rPr>
          <w:rFonts w:eastAsia="Calibri"/>
          <w:lang w:eastAsia="en-US"/>
        </w:rPr>
        <w:fldChar w:fldCharType="begin"/>
      </w:r>
      <w:r w:rsidR="00B35A6E" w:rsidRPr="00C90AC9">
        <w:rPr>
          <w:rFonts w:eastAsia="Calibri"/>
          <w:lang w:eastAsia="en-US"/>
        </w:rPr>
        <w:instrText xml:space="preserve"> ADDIN EN.CITE &lt;EndNote&gt;&lt;Cite&gt;&lt;Author&gt;DECC&lt;/Author&gt;&lt;Year&gt;2013&lt;/Year&gt;&lt;RecNum&gt;138&lt;/RecNum&gt;&lt;DisplayText&gt;(DECC, 2013; A. Faiers &amp;amp; C. Neame, 2006)&lt;/DisplayText&gt;&lt;record&gt;&lt;rec-number&gt;138&lt;/rec-number&gt;&lt;foreign-keys&gt;&lt;key app="EN" db-id="50wxdpzd9vd5r7e9t5b595djrfpttrxw9avp" timestamp="1525076334"&gt;138&lt;/key&gt;&lt;/foreign-keys&gt;&lt;ref-type name="Unpublished Work"&gt;34&lt;/ref-type&gt;&lt;contributors&gt;&lt;authors&gt;&lt;author&gt;DECC&lt;/author&gt;&lt;/authors&gt;&lt;/contributors&gt;&lt;titles&gt;&lt;title&gt;Energy Consumption in the UK (2015)&lt;/title&gt;&lt;short-title&gt;DECC 2013 – Energy Consumption in the UK&lt;/short-title&gt;&lt;/titles&gt;&lt;dates&gt;&lt;year&gt;2013&lt;/year&gt;&lt;/dates&gt;&lt;pub-location&gt;London&lt;/pub-location&gt;&lt;publisher&gt;Crown Copywrite&lt;/publisher&gt;&lt;urls&gt;&lt;/urls&gt;&lt;/record&gt;&lt;/Cite&gt;&lt;Cite&gt;&lt;Author&gt;Faiers&lt;/Author&gt;&lt;Year&gt;2006&lt;/Year&gt;&lt;RecNum&gt;141&lt;/RecNum&gt;&lt;record&gt;&lt;rec-number&gt;141&lt;/rec-number&gt;&lt;foreign-keys&gt;&lt;key app="EN" db-id="50wxdpzd9vd5r7e9t5b595djrfpttrxw9avp" timestamp="1525076334"&gt;141&lt;/key&gt;&lt;/foreign-keys&gt;&lt;ref-type name="Journal Article"&gt;17&lt;/ref-type&gt;&lt;contributors&gt;&lt;authors&gt;&lt;author&gt;Faiers, A.&lt;/author&gt;&lt;author&gt;C. Neame&lt;/author&gt;&lt;/authors&gt;&lt;/contributors&gt;&lt;titles&gt;&lt;title&gt;International Energy Agency&lt;/title&gt;&lt;secondary-title&gt;Energy Policy&lt;/secondary-title&gt;&lt;short-title&gt;Faiers, A. and C. Neame 2006 – International Energy Agency&lt;/short-title&gt;&lt;/titles&gt;&lt;pages&gt;p. 160-168&lt;/pages&gt;&lt;volume&gt;34&lt;/volume&gt;&lt;number&gt;14&lt;/number&gt;&lt;dates&gt;&lt;year&gt;2006&lt;/year&gt;&lt;/dates&gt;&lt;urls&gt;&lt;/urls&gt;&lt;/record&gt;&lt;/Cite&gt;&lt;/EndNote&gt;</w:instrText>
      </w:r>
      <w:r w:rsidR="00A46642" w:rsidRPr="00C90AC9">
        <w:rPr>
          <w:rFonts w:eastAsia="Calibri"/>
          <w:lang w:eastAsia="en-US"/>
        </w:rPr>
        <w:fldChar w:fldCharType="separate"/>
      </w:r>
      <w:r w:rsidR="00B35A6E" w:rsidRPr="00C90AC9">
        <w:rPr>
          <w:rFonts w:eastAsia="Calibri"/>
          <w:lang w:eastAsia="en-US"/>
        </w:rPr>
        <w:t xml:space="preserve">(DECC, 2013; </w:t>
      </w:r>
      <w:r w:rsidR="002D13EC" w:rsidRPr="00C90AC9">
        <w:rPr>
          <w:rFonts w:eastAsia="Calibri"/>
          <w:lang w:eastAsia="en-US"/>
        </w:rPr>
        <w:t>(</w:t>
      </w:r>
      <w:r w:rsidR="00432861" w:rsidRPr="00C90AC9">
        <w:rPr>
          <w:rFonts w:eastAsia="Calibri"/>
          <w:lang w:eastAsia="en-US"/>
        </w:rPr>
        <w:t xml:space="preserve">A. </w:t>
      </w:r>
      <w:r w:rsidR="0038131A" w:rsidRPr="00C90AC9">
        <w:rPr>
          <w:rFonts w:eastAsia="Calibri"/>
          <w:lang w:eastAsia="en-US"/>
        </w:rPr>
        <w:t>Faiers</w:t>
      </w:r>
      <w:r w:rsidR="00BA7307" w:rsidRPr="00C90AC9">
        <w:rPr>
          <w:rFonts w:eastAsia="Calibri"/>
          <w:lang w:eastAsia="en-US"/>
        </w:rPr>
        <w:t xml:space="preserve"> </w:t>
      </w:r>
      <w:r w:rsidR="00B35A6E" w:rsidRPr="00C90AC9">
        <w:rPr>
          <w:rFonts w:eastAsia="Calibri"/>
          <w:lang w:eastAsia="en-US"/>
        </w:rPr>
        <w:t xml:space="preserve"> &amp; </w:t>
      </w:r>
      <w:r w:rsidR="00432861" w:rsidRPr="00C90AC9">
        <w:rPr>
          <w:rFonts w:eastAsia="Calibri"/>
          <w:lang w:eastAsia="en-US"/>
        </w:rPr>
        <w:t xml:space="preserve">C. </w:t>
      </w:r>
      <w:r w:rsidR="0038131A" w:rsidRPr="00C90AC9">
        <w:rPr>
          <w:rFonts w:eastAsia="Calibri"/>
          <w:lang w:eastAsia="en-US"/>
        </w:rPr>
        <w:t>Neame,</w:t>
      </w:r>
      <w:r w:rsidR="00B35A6E" w:rsidRPr="00C90AC9">
        <w:rPr>
          <w:rFonts w:eastAsia="Calibri"/>
          <w:lang w:eastAsia="en-US"/>
        </w:rPr>
        <w:t xml:space="preserve"> 2006)</w:t>
      </w:r>
      <w:r w:rsidR="00A46642" w:rsidRPr="00C90AC9">
        <w:rPr>
          <w:rFonts w:eastAsia="Calibri"/>
          <w:lang w:eastAsia="en-US"/>
        </w:rPr>
        <w:fldChar w:fldCharType="end"/>
      </w:r>
      <w:r w:rsidR="00874239" w:rsidRPr="00C90AC9">
        <w:rPr>
          <w:rFonts w:eastAsia="Calibri"/>
          <w:lang w:eastAsia="en-US"/>
        </w:rPr>
        <w:t>.</w:t>
      </w:r>
    </w:p>
    <w:p w:rsidR="00187CB4" w:rsidRPr="00C90AC9" w:rsidRDefault="00874239" w:rsidP="00187CB4">
      <w:pPr>
        <w:pStyle w:val="BodyText"/>
        <w:spacing w:line="360" w:lineRule="auto"/>
        <w:rPr>
          <w:rFonts w:eastAsia="Calibri"/>
          <w:lang w:eastAsia="en-US"/>
        </w:rPr>
      </w:pPr>
      <w:r w:rsidRPr="00C90AC9">
        <w:rPr>
          <w:rFonts w:eastAsia="Calibri"/>
          <w:lang w:eastAsia="en-US"/>
        </w:rPr>
        <w:tab/>
      </w:r>
      <w:r w:rsidR="00187CB4" w:rsidRPr="00C90AC9">
        <w:rPr>
          <w:rFonts w:eastAsia="Calibri"/>
          <w:lang w:eastAsia="en-US"/>
        </w:rPr>
        <w:t>The UK Energy Road Map</w:t>
      </w:r>
      <w:r w:rsidR="00187CB4" w:rsidRPr="00C90AC9">
        <w:rPr>
          <w:rFonts w:eastAsia="Calibri"/>
          <w:i/>
          <w:lang w:eastAsia="en-US"/>
        </w:rPr>
        <w:t xml:space="preserve"> </w:t>
      </w:r>
      <w:r w:rsidR="00187CB4" w:rsidRPr="00C90AC9">
        <w:rPr>
          <w:rFonts w:eastAsia="Calibri"/>
          <w:lang w:eastAsia="en-US"/>
        </w:rPr>
        <w:t xml:space="preserve">was published in </w:t>
      </w:r>
      <w:r w:rsidR="00137400" w:rsidRPr="00C90AC9">
        <w:rPr>
          <w:rFonts w:eastAsia="Calibri"/>
          <w:lang w:eastAsia="en-US"/>
        </w:rPr>
        <w:t>20</w:t>
      </w:r>
      <w:r w:rsidR="00FF15D4" w:rsidRPr="00C90AC9">
        <w:rPr>
          <w:rFonts w:eastAsia="Calibri"/>
          <w:lang w:eastAsia="en-US"/>
        </w:rPr>
        <w:t>05</w:t>
      </w:r>
      <w:r w:rsidR="00187CB4" w:rsidRPr="00C90AC9">
        <w:rPr>
          <w:rFonts w:eastAsia="Calibri"/>
          <w:lang w:eastAsia="en-US"/>
        </w:rPr>
        <w:t xml:space="preserve"> and set out the UK government’s planned approach to utilising the potential renewable energy available in the UK </w:t>
      </w:r>
      <w:r w:rsidR="007E7C0E" w:rsidRPr="00C90AC9">
        <w:rPr>
          <w:rFonts w:eastAsia="Calibri"/>
          <w:lang w:eastAsia="en-US"/>
        </w:rPr>
        <w:fldChar w:fldCharType="begin"/>
      </w:r>
      <w:r w:rsidR="007E7C0E" w:rsidRPr="00C90AC9">
        <w:rPr>
          <w:rFonts w:eastAsia="Calibri"/>
          <w:lang w:eastAsia="en-US"/>
        </w:rPr>
        <w:instrText xml:space="preserve"> ADDIN EN.CITE &lt;EndNote&gt;&lt;Cite&gt;&lt;Author&gt;Faiers&lt;/Author&gt;&lt;Year&gt;2006&lt;/Year&gt;&lt;RecNum&gt;209&lt;/RecNum&gt;&lt;DisplayText&gt;(Adam Faiers &amp;amp; Charles Neame, 2006)&lt;/DisplayText&gt;&lt;record&gt;&lt;rec-number&gt;209&lt;/rec-number&gt;&lt;foreign-keys&gt;&lt;key app="EN" db-id="50wxdpzd9vd5r7e9t5b595djrfpttrxw9avp" timestamp="1525464469"&gt;209&lt;/key&gt;&lt;/foreign-keys&gt;&lt;ref-type name="Journal Article"&gt;17&lt;/ref-type&gt;&lt;contributors&gt;&lt;authors&gt;&lt;author&gt;Faiers, Adam&lt;/author&gt;&lt;author&gt;Neame, Charles&lt;/author&gt;&lt;/authors&gt;&lt;/contributors&gt;&lt;titles&gt;&lt;title&gt;Consumer attitudes towards domestic solar power systems&lt;/title&gt;&lt;secondary-title&gt;Energy Policy&lt;/secondary-title&gt;&lt;/titles&gt;&lt;pages&gt;1797-1806&lt;/pages&gt;&lt;volume&gt;34&lt;/volume&gt;&lt;number&gt;14&lt;/number&gt;&lt;keywords&gt;&lt;keyword&gt;Solar power&lt;/keyword&gt;&lt;keyword&gt;Innovation adoption&lt;/keyword&gt;&lt;keyword&gt;Consumer perceptions&lt;/keyword&gt;&lt;/keywords&gt;&lt;dates&gt;&lt;year&gt;2006&lt;/year&gt;&lt;pub-dates&gt;&lt;date&gt;2006/09/01/&lt;/date&gt;&lt;/pub-dates&gt;&lt;/dates&gt;&lt;isbn&gt;0301-4215&lt;/isbn&gt;&lt;urls&gt;&lt;related-urls&gt;&lt;url&gt;http://www.sciencedirect.com/science/article/pii/S0301421505000121&lt;/url&gt;&lt;/related-urls&gt;&lt;/urls&gt;&lt;electronic-resource-num&gt;https://doi.org/10.1016/j.enpol.2005.01.001&lt;/electronic-resource-num&gt;&lt;/record&gt;&lt;/Cite&gt;&lt;/EndNote&gt;</w:instrText>
      </w:r>
      <w:r w:rsidR="007E7C0E" w:rsidRPr="00C90AC9">
        <w:rPr>
          <w:rFonts w:eastAsia="Calibri"/>
          <w:lang w:eastAsia="en-US"/>
        </w:rPr>
        <w:fldChar w:fldCharType="separate"/>
      </w:r>
      <w:r w:rsidR="007E7C0E" w:rsidRPr="00C90AC9">
        <w:rPr>
          <w:rFonts w:eastAsia="Calibri"/>
          <w:lang w:eastAsia="en-US"/>
        </w:rPr>
        <w:t>(</w:t>
      </w:r>
      <w:r w:rsidR="00432861" w:rsidRPr="00C90AC9">
        <w:rPr>
          <w:rFonts w:eastAsia="Calibri"/>
          <w:lang w:eastAsia="en-US"/>
        </w:rPr>
        <w:t xml:space="preserve">A. </w:t>
      </w:r>
      <w:r w:rsidR="0038131A" w:rsidRPr="00C90AC9">
        <w:rPr>
          <w:rFonts w:eastAsia="Calibri"/>
          <w:lang w:eastAsia="en-US"/>
        </w:rPr>
        <w:t>Faiers</w:t>
      </w:r>
      <w:r w:rsidR="00BA7307" w:rsidRPr="00C90AC9">
        <w:rPr>
          <w:rFonts w:eastAsia="Calibri"/>
          <w:lang w:eastAsia="en-US"/>
        </w:rPr>
        <w:t xml:space="preserve"> </w:t>
      </w:r>
      <w:r w:rsidR="007E7C0E" w:rsidRPr="00C90AC9">
        <w:rPr>
          <w:rFonts w:eastAsia="Calibri"/>
          <w:lang w:eastAsia="en-US"/>
        </w:rPr>
        <w:t xml:space="preserve">&amp; </w:t>
      </w:r>
      <w:r w:rsidR="00432861" w:rsidRPr="00C90AC9">
        <w:rPr>
          <w:rFonts w:eastAsia="Calibri"/>
          <w:lang w:eastAsia="en-US"/>
        </w:rPr>
        <w:t xml:space="preserve">C. </w:t>
      </w:r>
      <w:r w:rsidR="0038131A" w:rsidRPr="00C90AC9">
        <w:rPr>
          <w:rFonts w:eastAsia="Calibri"/>
          <w:lang w:eastAsia="en-US"/>
        </w:rPr>
        <w:t>Neame,</w:t>
      </w:r>
      <w:r w:rsidR="007E7C0E" w:rsidRPr="00C90AC9">
        <w:rPr>
          <w:rFonts w:eastAsia="Calibri"/>
          <w:lang w:eastAsia="en-US"/>
        </w:rPr>
        <w:t xml:space="preserve"> 2006)</w:t>
      </w:r>
      <w:r w:rsidR="007E7C0E" w:rsidRPr="00C90AC9">
        <w:rPr>
          <w:rFonts w:eastAsia="Calibri"/>
          <w:lang w:eastAsia="en-US"/>
        </w:rPr>
        <w:fldChar w:fldCharType="end"/>
      </w:r>
      <w:r w:rsidR="00187CB4" w:rsidRPr="00C90AC9">
        <w:rPr>
          <w:rFonts w:eastAsia="Calibri"/>
          <w:lang w:eastAsia="en-US"/>
        </w:rPr>
        <w:t>. The document set out clear objectives to ensure that the UK achieves the internationally agreed target of 15% of the UK’s energy consumption coming from renewable sources by 2020. This proportion is set to increase</w:t>
      </w:r>
      <w:r w:rsidR="00A46642" w:rsidRPr="00C90AC9">
        <w:rPr>
          <w:rFonts w:eastAsia="Calibri"/>
          <w:lang w:eastAsia="en-US"/>
        </w:rPr>
        <w:t xml:space="preserve"> to 80% of 1990 levels by 2050 </w:t>
      </w:r>
      <w:r w:rsidR="00A46642" w:rsidRPr="00C90AC9">
        <w:rPr>
          <w:rFonts w:eastAsia="Calibri"/>
          <w:lang w:eastAsia="en-US"/>
        </w:rPr>
        <w:fldChar w:fldCharType="begin"/>
      </w:r>
      <w:r w:rsidR="0047562B" w:rsidRPr="00C90AC9">
        <w:rPr>
          <w:rFonts w:eastAsia="Calibri"/>
          <w:lang w:eastAsia="en-US"/>
        </w:rPr>
        <w:instrText xml:space="preserve"> ADDIN EN.CITE &lt;EndNote&gt;&lt;Cite&gt;&lt;Author&gt;Faiers&lt;/Author&gt;&lt;Year&gt;2006&lt;/Year&gt;&lt;RecNum&gt;141&lt;/RecNum&gt;&lt;DisplayText&gt;(A. Faiers &amp;amp; C. Neame, 2006)&lt;/DisplayText&gt;&lt;record&gt;&lt;rec-number&gt;141&lt;/rec-number&gt;&lt;foreign-keys&gt;&lt;key app="EN" db-id="50wxdpzd9vd5r7e9t5b595djrfpttrxw9avp" timestamp="1525076334"&gt;141&lt;/key&gt;&lt;/foreign-keys&gt;&lt;ref-type name="Journal Article"&gt;17&lt;/ref-type&gt;&lt;contributors&gt;&lt;authors&gt;&lt;author&gt;Faiers, A.&lt;/author&gt;&lt;author&gt;C. Neame&lt;/author&gt;&lt;/authors&gt;&lt;/contributors&gt;&lt;titles&gt;&lt;title&gt;International Energy Agency&lt;/title&gt;&lt;secondary-title&gt;Energy Policy&lt;/secondary-title&gt;&lt;short-title&gt;Faiers, A. and C. Neame 2006 – International Energy Agency&lt;/short-title&gt;&lt;/titles&gt;&lt;pages&gt;p. 160-168&lt;/pages&gt;&lt;volume&gt;34&lt;/volume&gt;&lt;number&gt;14&lt;/number&gt;&lt;dates&gt;&lt;year&gt;2006&lt;/year&gt;&lt;/dates&gt;&lt;urls&gt;&lt;/urls&gt;&lt;/record&gt;&lt;/Cite&gt;&lt;/EndNote&gt;</w:instrText>
      </w:r>
      <w:r w:rsidR="00A46642" w:rsidRPr="00C90AC9">
        <w:rPr>
          <w:rFonts w:eastAsia="Calibri"/>
          <w:lang w:eastAsia="en-US"/>
        </w:rPr>
        <w:fldChar w:fldCharType="separate"/>
      </w:r>
      <w:r w:rsidR="0047562B" w:rsidRPr="00C90AC9">
        <w:rPr>
          <w:rFonts w:eastAsia="Calibri"/>
          <w:lang w:eastAsia="en-US"/>
        </w:rPr>
        <w:t>(</w:t>
      </w:r>
      <w:r w:rsidR="00432861" w:rsidRPr="00C90AC9">
        <w:rPr>
          <w:rFonts w:eastAsia="Calibri"/>
          <w:lang w:eastAsia="en-US"/>
        </w:rPr>
        <w:t xml:space="preserve">A. </w:t>
      </w:r>
      <w:r w:rsidR="0038131A" w:rsidRPr="00C90AC9">
        <w:rPr>
          <w:rFonts w:eastAsia="Calibri"/>
          <w:lang w:eastAsia="en-US"/>
        </w:rPr>
        <w:t>Faiers</w:t>
      </w:r>
      <w:r w:rsidR="00BA7307" w:rsidRPr="00C90AC9">
        <w:rPr>
          <w:rFonts w:eastAsia="Calibri"/>
          <w:lang w:eastAsia="en-US"/>
        </w:rPr>
        <w:t xml:space="preserve"> </w:t>
      </w:r>
      <w:r w:rsidR="0047562B" w:rsidRPr="00C90AC9">
        <w:rPr>
          <w:rFonts w:eastAsia="Calibri"/>
          <w:lang w:eastAsia="en-US"/>
        </w:rPr>
        <w:t xml:space="preserve"> &amp; </w:t>
      </w:r>
      <w:r w:rsidR="00432861" w:rsidRPr="00C90AC9">
        <w:rPr>
          <w:rFonts w:eastAsia="Calibri"/>
          <w:lang w:eastAsia="en-US"/>
        </w:rPr>
        <w:t xml:space="preserve">C. </w:t>
      </w:r>
      <w:r w:rsidR="0038131A" w:rsidRPr="00C90AC9">
        <w:rPr>
          <w:rFonts w:eastAsia="Calibri"/>
          <w:lang w:eastAsia="en-US"/>
        </w:rPr>
        <w:t>Neame,</w:t>
      </w:r>
      <w:r w:rsidR="0047562B" w:rsidRPr="00C90AC9">
        <w:rPr>
          <w:rFonts w:eastAsia="Calibri"/>
          <w:lang w:eastAsia="en-US"/>
        </w:rPr>
        <w:t xml:space="preserve"> 2006)</w:t>
      </w:r>
      <w:r w:rsidR="00A46642" w:rsidRPr="00C90AC9">
        <w:rPr>
          <w:rFonts w:eastAsia="Calibri"/>
          <w:lang w:eastAsia="en-US"/>
        </w:rPr>
        <w:fldChar w:fldCharType="end"/>
      </w:r>
      <w:r w:rsidR="00A46642" w:rsidRPr="00C90AC9">
        <w:rPr>
          <w:rFonts w:eastAsia="Calibri"/>
          <w:lang w:eastAsia="en-US"/>
        </w:rPr>
        <w:t>.</w:t>
      </w:r>
      <w:r w:rsidR="00187CB4" w:rsidRPr="00C90AC9">
        <w:rPr>
          <w:rFonts w:eastAsia="Calibri"/>
          <w:lang w:eastAsia="en-US"/>
        </w:rPr>
        <w:t xml:space="preserve"> Utilising as much renewable energy as possible will assist in achieving these binding</w:t>
      </w:r>
      <w:r w:rsidR="006B7AC6" w:rsidRPr="00C90AC9">
        <w:rPr>
          <w:rFonts w:eastAsia="Calibri"/>
          <w:lang w:eastAsia="en-US"/>
        </w:rPr>
        <w:t xml:space="preserve"> targets</w:t>
      </w:r>
      <w:r w:rsidRPr="00C90AC9">
        <w:rPr>
          <w:rFonts w:eastAsia="Calibri"/>
          <w:lang w:eastAsia="en-US"/>
        </w:rPr>
        <w:t xml:space="preserve"> </w:t>
      </w:r>
      <w:r w:rsidR="00A46642" w:rsidRPr="00C90AC9">
        <w:rPr>
          <w:rFonts w:eastAsia="Calibri"/>
          <w:lang w:eastAsia="en-US"/>
        </w:rPr>
        <w:fldChar w:fldCharType="begin"/>
      </w:r>
      <w:r w:rsidR="00E82D6C" w:rsidRPr="00C90AC9">
        <w:rPr>
          <w:rFonts w:eastAsia="Calibri"/>
          <w:lang w:eastAsia="en-US"/>
        </w:rPr>
        <w:instrText xml:space="preserve"> ADDIN EN.CITE &lt;EndNote&gt;&lt;Cite&gt;&lt;Author&gt;Watson&lt;/Author&gt;&lt;Year&gt;2008&lt;/Year&gt;&lt;RecNum&gt;204&lt;/RecNum&gt;&lt;DisplayText&gt;(Adam Faiers &amp;amp; Charles Neame, 2006; Watson &amp;amp; et al., 2008)&lt;/DisplayText&gt;&lt;record&gt;&lt;rec-number&gt;204&lt;/rec-number&gt;&lt;foreign-keys&gt;&lt;key app="EN" db-id="50wxdpzd9vd5r7e9t5b595djrfpttrxw9avp" timestamp="1525076335"&gt;204&lt;/key&gt;&lt;/foreign-keys&gt;&lt;ref-type name="Journal Article"&gt;17&lt;/ref-type&gt;&lt;contributors&gt;&lt;authors&gt;&lt;author&gt;Watson, J.,&lt;/author&gt;&lt;author&gt;et al.,&lt;/author&gt;&lt;/authors&gt;&lt;/contributors&gt;&lt;titles&gt;&lt;title&gt;Domestic micro-generation: Economic, regulatory and policy issues for the UK&lt;/title&gt;&lt;secondary-title&gt;Energy Policy&lt;/secondary-title&gt;&lt;short-title&gt;Watson, J., et al 2008 – Domestic micro-generation&lt;/short-title&gt;&lt;/titles&gt;&lt;pages&gt;p. 3095-3106&lt;/pages&gt;&lt;volume&gt;36&lt;/volume&gt;&lt;number&gt;8&lt;/number&gt;&lt;dates&gt;&lt;year&gt;2008&lt;/year&gt;&lt;/dates&gt;&lt;urls&gt;&lt;/urls&gt;&lt;/record&gt;&lt;/Cite&gt;&lt;Cite&gt;&lt;Author&gt;Faiers&lt;/Author&gt;&lt;Year&gt;2006&lt;/Year&gt;&lt;RecNum&gt;209&lt;/RecNum&gt;&lt;record&gt;&lt;rec-number&gt;209&lt;/rec-number&gt;&lt;foreign-keys&gt;&lt;key app="EN" db-id="50wxdpzd9vd5r7e9t5b595djrfpttrxw9avp" timestamp="1525464469"&gt;209&lt;/key&gt;&lt;/foreign-keys&gt;&lt;ref-type name="Journal Article"&gt;17&lt;/ref-type&gt;&lt;contributors&gt;&lt;authors&gt;&lt;author&gt;Faiers, Adam&lt;/author&gt;&lt;author&gt;Neame, Charles&lt;/author&gt;&lt;/authors&gt;&lt;/contributors&gt;&lt;titles&gt;&lt;title&gt;Consumer attitudes towards domestic solar power systems&lt;/title&gt;&lt;secondary-title&gt;Energy Policy&lt;/secondary-title&gt;&lt;/titles&gt;&lt;pages&gt;1797-1806&lt;/pages&gt;&lt;volume&gt;34&lt;/volume&gt;&lt;number&gt;14&lt;/number&gt;&lt;keywords&gt;&lt;keyword&gt;Solar power&lt;/keyword&gt;&lt;keyword&gt;Innovation adoption&lt;/keyword&gt;&lt;keyword&gt;Consumer perceptions&lt;/keyword&gt;&lt;/keywords&gt;&lt;dates&gt;&lt;year&gt;2006&lt;/year&gt;&lt;pub-dates&gt;&lt;date&gt;2006/09/01/&lt;/date&gt;&lt;/pub-dates&gt;&lt;/dates&gt;&lt;isbn&gt;0301-4215&lt;/isbn&gt;&lt;urls&gt;&lt;related-urls&gt;&lt;url&gt;http://www.sciencedirect.com/science/article/pii/S0301421505000121&lt;/url&gt;&lt;/related-urls&gt;&lt;/urls&gt;&lt;electronic-resource-num&gt;https://doi.org/10.1016/j.enpol.2005.01.001&lt;/electronic-resource-num&gt;&lt;/record&gt;&lt;/Cite&gt;&lt;/EndNote&gt;</w:instrText>
      </w:r>
      <w:r w:rsidR="00A46642" w:rsidRPr="00C90AC9">
        <w:rPr>
          <w:rFonts w:eastAsia="Calibri"/>
          <w:lang w:eastAsia="en-US"/>
        </w:rPr>
        <w:fldChar w:fldCharType="separate"/>
      </w:r>
      <w:r w:rsidR="00E82D6C" w:rsidRPr="00C90AC9">
        <w:rPr>
          <w:rFonts w:eastAsia="Calibri"/>
          <w:lang w:eastAsia="en-US"/>
        </w:rPr>
        <w:t>(</w:t>
      </w:r>
      <w:r w:rsidR="00432861" w:rsidRPr="00C90AC9">
        <w:rPr>
          <w:rFonts w:eastAsia="Calibri"/>
          <w:lang w:eastAsia="en-US"/>
        </w:rPr>
        <w:t xml:space="preserve">A. </w:t>
      </w:r>
      <w:r w:rsidR="0038131A" w:rsidRPr="00C90AC9">
        <w:rPr>
          <w:rFonts w:eastAsia="Calibri"/>
          <w:lang w:eastAsia="en-US"/>
        </w:rPr>
        <w:t>Faiers</w:t>
      </w:r>
      <w:r w:rsidR="00BA7307" w:rsidRPr="00C90AC9">
        <w:rPr>
          <w:rFonts w:eastAsia="Calibri"/>
          <w:lang w:eastAsia="en-US"/>
        </w:rPr>
        <w:t xml:space="preserve"> </w:t>
      </w:r>
      <w:r w:rsidR="00E82D6C" w:rsidRPr="00C90AC9">
        <w:rPr>
          <w:rFonts w:eastAsia="Calibri"/>
          <w:lang w:eastAsia="en-US"/>
        </w:rPr>
        <w:t xml:space="preserve">&amp; </w:t>
      </w:r>
      <w:r w:rsidR="00432861" w:rsidRPr="00C90AC9">
        <w:rPr>
          <w:rFonts w:eastAsia="Calibri"/>
          <w:lang w:eastAsia="en-US"/>
        </w:rPr>
        <w:t xml:space="preserve">C. </w:t>
      </w:r>
      <w:r w:rsidR="0038131A" w:rsidRPr="00C90AC9">
        <w:rPr>
          <w:rFonts w:eastAsia="Calibri"/>
          <w:lang w:eastAsia="en-US"/>
        </w:rPr>
        <w:t>Neame,</w:t>
      </w:r>
      <w:r w:rsidR="00E82D6C" w:rsidRPr="00C90AC9">
        <w:rPr>
          <w:rFonts w:eastAsia="Calibri"/>
          <w:lang w:eastAsia="en-US"/>
        </w:rPr>
        <w:t xml:space="preserve"> 2006; Watson </w:t>
      </w:r>
      <w:r w:rsidR="00EE66A8" w:rsidRPr="00C90AC9">
        <w:rPr>
          <w:rFonts w:eastAsia="Calibri"/>
          <w:lang w:eastAsia="en-US"/>
        </w:rPr>
        <w:t>et al</w:t>
      </w:r>
      <w:r w:rsidR="00E82D6C" w:rsidRPr="00C90AC9">
        <w:rPr>
          <w:rFonts w:eastAsia="Calibri"/>
          <w:lang w:eastAsia="en-US"/>
        </w:rPr>
        <w:t>., 2008)</w:t>
      </w:r>
      <w:r w:rsidR="00A46642" w:rsidRPr="00C90AC9">
        <w:rPr>
          <w:rFonts w:eastAsia="Calibri"/>
          <w:lang w:eastAsia="en-US"/>
        </w:rPr>
        <w:fldChar w:fldCharType="end"/>
      </w:r>
      <w:r w:rsidRPr="00C90AC9">
        <w:rPr>
          <w:rFonts w:eastAsia="Calibri"/>
          <w:lang w:eastAsia="en-US"/>
        </w:rPr>
        <w:t>.</w:t>
      </w:r>
    </w:p>
    <w:p w:rsidR="00432639" w:rsidRPr="00C90AC9" w:rsidRDefault="00432639">
      <w:pPr>
        <w:rPr>
          <w:rStyle w:val="SubtleEmphasis"/>
          <w:rFonts w:cs="Times New Roman"/>
          <w:iCs/>
          <w:color w:val="000000" w:themeColor="text1"/>
          <w:szCs w:val="24"/>
        </w:rPr>
      </w:pPr>
      <w:r w:rsidRPr="00C90AC9">
        <w:rPr>
          <w:rStyle w:val="SubtleEmphasis"/>
        </w:rPr>
        <w:br w:type="page"/>
      </w:r>
    </w:p>
    <w:p w:rsidR="00A16B8C" w:rsidRPr="00C90AC9" w:rsidRDefault="00A16B8C" w:rsidP="00162965">
      <w:pPr>
        <w:pStyle w:val="Heading1"/>
        <w:rPr>
          <w:rStyle w:val="SubtleEmphasis"/>
        </w:rPr>
      </w:pPr>
      <w:r w:rsidRPr="00C90AC9">
        <w:rPr>
          <w:rStyle w:val="SubtleEmphasis"/>
        </w:rPr>
        <w:lastRenderedPageBreak/>
        <w:t>Micro-generation Technologies</w:t>
      </w:r>
    </w:p>
    <w:p w:rsidR="009F5AD8" w:rsidRPr="00C90AC9" w:rsidRDefault="00682CD6" w:rsidP="00F521EF">
      <w:pPr>
        <w:pStyle w:val="ListContinue"/>
        <w:spacing w:line="360" w:lineRule="auto"/>
        <w:ind w:left="0"/>
        <w:rPr>
          <w:rFonts w:eastAsia="Calibri"/>
          <w:lang w:eastAsia="en-US"/>
        </w:rPr>
      </w:pPr>
      <w:r w:rsidRPr="00C90AC9">
        <w:rPr>
          <w:rFonts w:eastAsia="Calibri"/>
          <w:lang w:eastAsia="en-US"/>
        </w:rPr>
        <w:tab/>
      </w:r>
      <w:r w:rsidR="00A46642" w:rsidRPr="00C90AC9">
        <w:rPr>
          <w:rFonts w:eastAsia="Calibri"/>
          <w:lang w:eastAsia="en-US"/>
        </w:rPr>
        <w:t>There</w:t>
      </w:r>
      <w:r w:rsidR="00175944" w:rsidRPr="00C90AC9">
        <w:rPr>
          <w:rFonts w:eastAsia="Calibri"/>
          <w:lang w:eastAsia="en-US"/>
        </w:rPr>
        <w:t xml:space="preserve"> has been significant growth in renewable technologies </w:t>
      </w:r>
      <w:r w:rsidR="005D46A3" w:rsidRPr="00C90AC9">
        <w:rPr>
          <w:rFonts w:eastAsia="Calibri"/>
          <w:lang w:eastAsia="en-US"/>
        </w:rPr>
        <w:t xml:space="preserve">used </w:t>
      </w:r>
      <w:r w:rsidR="00175944" w:rsidRPr="00C90AC9">
        <w:rPr>
          <w:rFonts w:eastAsia="Calibri"/>
          <w:lang w:eastAsia="en-US"/>
        </w:rPr>
        <w:t xml:space="preserve">in the domestic sector </w:t>
      </w:r>
      <w:r w:rsidR="00CF75F1" w:rsidRPr="00C90AC9">
        <w:rPr>
          <w:rFonts w:eastAsia="Calibri"/>
          <w:lang w:eastAsia="en-US"/>
        </w:rPr>
        <w:t xml:space="preserve">in </w:t>
      </w:r>
      <w:r w:rsidR="005D46A3" w:rsidRPr="00C90AC9">
        <w:rPr>
          <w:rFonts w:eastAsia="Calibri"/>
          <w:lang w:eastAsia="en-US"/>
        </w:rPr>
        <w:t xml:space="preserve">the UK in </w:t>
      </w:r>
      <w:r w:rsidR="00CF75F1" w:rsidRPr="00C90AC9">
        <w:rPr>
          <w:rFonts w:eastAsia="Calibri"/>
          <w:lang w:eastAsia="en-US"/>
        </w:rPr>
        <w:t xml:space="preserve">recent years </w:t>
      </w:r>
      <w:r w:rsidR="00175944" w:rsidRPr="00C90AC9">
        <w:rPr>
          <w:rFonts w:eastAsia="Calibri"/>
          <w:lang w:eastAsia="en-US"/>
        </w:rPr>
        <w:t>and this</w:t>
      </w:r>
      <w:r w:rsidR="00CF75F1" w:rsidRPr="00C90AC9">
        <w:rPr>
          <w:rFonts w:eastAsia="Calibri"/>
          <w:lang w:eastAsia="en-US"/>
        </w:rPr>
        <w:t xml:space="preserve"> has </w:t>
      </w:r>
      <w:r w:rsidR="00175944" w:rsidRPr="00C90AC9">
        <w:rPr>
          <w:rFonts w:eastAsia="Calibri"/>
          <w:lang w:eastAsia="en-US"/>
        </w:rPr>
        <w:t>primarily</w:t>
      </w:r>
      <w:r w:rsidR="00CF75F1" w:rsidRPr="00C90AC9">
        <w:rPr>
          <w:rFonts w:eastAsia="Calibri"/>
          <w:lang w:eastAsia="en-US"/>
        </w:rPr>
        <w:t xml:space="preserve"> been</w:t>
      </w:r>
      <w:r w:rsidR="00175944" w:rsidRPr="00C90AC9">
        <w:rPr>
          <w:rFonts w:eastAsia="Calibri"/>
          <w:lang w:eastAsia="en-US"/>
        </w:rPr>
        <w:t xml:space="preserve"> achieved by an increase in decentralised energy systems</w:t>
      </w:r>
      <w:r w:rsidR="00A46642" w:rsidRPr="00C90AC9">
        <w:rPr>
          <w:rFonts w:eastAsia="Calibri"/>
          <w:lang w:eastAsia="en-US"/>
        </w:rPr>
        <w:t xml:space="preserve"> </w:t>
      </w:r>
      <w:r w:rsidR="00A46642" w:rsidRPr="00C90AC9">
        <w:rPr>
          <w:rFonts w:eastAsia="Calibri"/>
          <w:lang w:eastAsia="en-US"/>
        </w:rPr>
        <w:fldChar w:fldCharType="begin"/>
      </w:r>
      <w:r w:rsidR="00EF4F26" w:rsidRPr="00C90AC9">
        <w:rPr>
          <w:rFonts w:eastAsia="Calibri"/>
          <w:lang w:eastAsia="en-US"/>
        </w:rPr>
        <w:instrText xml:space="preserve"> ADDIN EN.CITE &lt;EndNote&gt;&lt;Cite&gt;&lt;Author&gt;Allen&lt;/Author&gt;&lt;Year&gt;2008&lt;/Year&gt;&lt;RecNum&gt;112&lt;/RecNum&gt;&lt;DisplayText&gt;(S. R. Allen, 2008)&lt;/DisplayText&gt;&lt;record&gt;&lt;rec-number&gt;112&lt;/rec-number&gt;&lt;foreign-keys&gt;&lt;key app="EN" db-id="50wxdpzd9vd5r7e9t5b595djrfpttrxw9avp" timestamp="1525076334"&gt;112&lt;/key&gt;&lt;/foreign-keys&gt;&lt;ref-type name="Journal Article"&gt;17&lt;/ref-type&gt;&lt;contributors&gt;&lt;authors&gt;&lt;author&gt;Allen, S. R.&lt;/author&gt;&lt;/authors&gt;&lt;/contributors&gt;&lt;titles&gt;&lt;title&gt;Prospects for and barriers to domestic micro-generation: A United Kingdom Perspective&lt;/title&gt;&lt;secondary-title&gt;Applied Energy&lt;/secondary-title&gt;&lt;short-title&gt;Allen 2008 – Prospects for and barriers&lt;/short-title&gt;&lt;/titles&gt;&lt;pages&gt;p. 528-544&lt;/pages&gt;&lt;volume&gt;85&lt;/volume&gt;&lt;number&gt;6&lt;/number&gt;&lt;dates&gt;&lt;year&gt;2008&lt;/year&gt;&lt;/dates&gt;&lt;urls&gt;&lt;/urls&gt;&lt;/record&gt;&lt;/Cite&gt;&lt;/EndNote&gt;</w:instrText>
      </w:r>
      <w:r w:rsidR="00A46642" w:rsidRPr="00C90AC9">
        <w:rPr>
          <w:rFonts w:eastAsia="Calibri"/>
          <w:lang w:eastAsia="en-US"/>
        </w:rPr>
        <w:fldChar w:fldCharType="separate"/>
      </w:r>
      <w:r w:rsidR="00EF4F26" w:rsidRPr="00C90AC9">
        <w:rPr>
          <w:rFonts w:eastAsia="Calibri"/>
          <w:lang w:eastAsia="en-US"/>
        </w:rPr>
        <w:t>(S. R. Allen, 2008)</w:t>
      </w:r>
      <w:r w:rsidR="00A46642" w:rsidRPr="00C90AC9">
        <w:rPr>
          <w:rFonts w:eastAsia="Calibri"/>
          <w:lang w:eastAsia="en-US"/>
        </w:rPr>
        <w:fldChar w:fldCharType="end"/>
      </w:r>
      <w:r w:rsidR="00A46642" w:rsidRPr="00C90AC9">
        <w:rPr>
          <w:rFonts w:eastAsia="Calibri"/>
          <w:lang w:eastAsia="en-US"/>
        </w:rPr>
        <w:t xml:space="preserve">. </w:t>
      </w:r>
      <w:r w:rsidR="00175944" w:rsidRPr="00C90AC9">
        <w:rPr>
          <w:rFonts w:eastAsia="Calibri"/>
          <w:lang w:eastAsia="en-US"/>
        </w:rPr>
        <w:t>Decentralised energy systems</w:t>
      </w:r>
      <w:r w:rsidR="00A46642" w:rsidRPr="00C90AC9">
        <w:rPr>
          <w:rFonts w:eastAsia="Calibri"/>
          <w:lang w:eastAsia="en-US"/>
        </w:rPr>
        <w:t>,</w:t>
      </w:r>
      <w:r w:rsidR="00175944" w:rsidRPr="00C90AC9">
        <w:rPr>
          <w:rFonts w:eastAsia="Calibri"/>
          <w:lang w:eastAsia="en-US"/>
        </w:rPr>
        <w:t xml:space="preserve"> or </w:t>
      </w:r>
      <w:r w:rsidR="00A16B8C" w:rsidRPr="00C90AC9">
        <w:rPr>
          <w:rFonts w:eastAsia="Calibri"/>
          <w:lang w:eastAsia="en-US"/>
        </w:rPr>
        <w:t>micro-generation technologies</w:t>
      </w:r>
      <w:r w:rsidR="00A46642" w:rsidRPr="00C90AC9">
        <w:rPr>
          <w:rFonts w:eastAsia="Calibri"/>
          <w:lang w:eastAsia="en-US"/>
        </w:rPr>
        <w:t>,</w:t>
      </w:r>
      <w:r w:rsidR="00A16B8C" w:rsidRPr="00C90AC9">
        <w:rPr>
          <w:rFonts w:eastAsia="Calibri"/>
          <w:i/>
          <w:lang w:eastAsia="en-US"/>
        </w:rPr>
        <w:t xml:space="preserve"> </w:t>
      </w:r>
      <w:r w:rsidR="00A16B8C" w:rsidRPr="00C90AC9">
        <w:rPr>
          <w:rFonts w:eastAsia="Calibri"/>
          <w:lang w:eastAsia="en-US"/>
        </w:rPr>
        <w:t>can denote community or district level technologies as well as technologies that provide individual households w</w:t>
      </w:r>
      <w:r w:rsidR="005D46A3" w:rsidRPr="00C90AC9">
        <w:rPr>
          <w:rFonts w:eastAsia="Calibri"/>
          <w:lang w:eastAsia="en-US"/>
        </w:rPr>
        <w:t xml:space="preserve">ith either heat or electricity </w:t>
      </w:r>
      <w:r w:rsidR="006B7AC6" w:rsidRPr="00C90AC9">
        <w:rPr>
          <w:rFonts w:eastAsia="Calibri"/>
          <w:lang w:eastAsia="en-US"/>
        </w:rPr>
        <w:fldChar w:fldCharType="begin"/>
      </w:r>
      <w:r w:rsidR="006B7AC6" w:rsidRPr="00C90AC9">
        <w:rPr>
          <w:rFonts w:eastAsia="Calibri"/>
          <w:lang w:eastAsia="en-US"/>
        </w:rPr>
        <w:instrText xml:space="preserve"> ADDIN EN.CITE &lt;EndNote&gt;&lt;Cite&gt;&lt;Author&gt;Allen&lt;/Author&gt;&lt;Year&gt;2008&lt;/Year&gt;&lt;RecNum&gt;112&lt;/RecNum&gt;&lt;DisplayText&gt;(S. R. Allen, 2008)&lt;/DisplayText&gt;&lt;record&gt;&lt;rec-number&gt;112&lt;/rec-number&gt;&lt;foreign-keys&gt;&lt;key app="EN" db-id="50wxdpzd9vd5r7e9t5b595djrfpttrxw9avp" timestamp="1525076334"&gt;112&lt;/key&gt;&lt;/foreign-keys&gt;&lt;ref-type name="Journal Article"&gt;17&lt;/ref-type&gt;&lt;contributors&gt;&lt;authors&gt;&lt;author&gt;Allen, S. R.&lt;/author&gt;&lt;/authors&gt;&lt;/contributors&gt;&lt;titles&gt;&lt;title&gt;Prospects for and barriers to domestic micro-generation: A United Kingdom Perspective&lt;/title&gt;&lt;secondary-title&gt;Applied Energy&lt;/secondary-title&gt;&lt;short-title&gt;Allen 2008 – Prospects for and barriers&lt;/short-title&gt;&lt;/titles&gt;&lt;pages&gt;p. 528-544&lt;/pages&gt;&lt;volume&gt;85&lt;/volume&gt;&lt;number&gt;6&lt;/number&gt;&lt;dates&gt;&lt;year&gt;2008&lt;/year&gt;&lt;/dates&gt;&lt;urls&gt;&lt;/urls&gt;&lt;/record&gt;&lt;/Cite&gt;&lt;/EndNote&gt;</w:instrText>
      </w:r>
      <w:r w:rsidR="006B7AC6" w:rsidRPr="00C90AC9">
        <w:rPr>
          <w:rFonts w:eastAsia="Calibri"/>
          <w:lang w:eastAsia="en-US"/>
        </w:rPr>
        <w:fldChar w:fldCharType="separate"/>
      </w:r>
      <w:r w:rsidR="006B7AC6" w:rsidRPr="00C90AC9">
        <w:rPr>
          <w:rFonts w:eastAsia="Calibri"/>
          <w:lang w:eastAsia="en-US"/>
        </w:rPr>
        <w:t>(S. R. Allen, 2008)</w:t>
      </w:r>
      <w:r w:rsidR="006B7AC6" w:rsidRPr="00C90AC9">
        <w:rPr>
          <w:rFonts w:eastAsia="Calibri"/>
          <w:lang w:eastAsia="en-US"/>
        </w:rPr>
        <w:fldChar w:fldCharType="end"/>
      </w:r>
      <w:r w:rsidR="005D46A3" w:rsidRPr="00C90AC9">
        <w:rPr>
          <w:rFonts w:eastAsia="Calibri"/>
          <w:lang w:eastAsia="en-US"/>
        </w:rPr>
        <w:t>.</w:t>
      </w:r>
      <w:r w:rsidR="00A16B8C" w:rsidRPr="00C90AC9">
        <w:rPr>
          <w:rFonts w:eastAsia="Calibri"/>
          <w:lang w:eastAsia="en-US"/>
        </w:rPr>
        <w:t xml:space="preserve"> There are a number of micro-generation technologies that</w:t>
      </w:r>
      <w:r w:rsidR="004F2096" w:rsidRPr="00C90AC9">
        <w:rPr>
          <w:rFonts w:eastAsia="Calibri"/>
          <w:lang w:eastAsia="en-US"/>
        </w:rPr>
        <w:t xml:space="preserve"> have been highlighted by DECC</w:t>
      </w:r>
      <w:r w:rsidR="00175944" w:rsidRPr="00C90AC9">
        <w:rPr>
          <w:rFonts w:eastAsia="Calibri"/>
          <w:lang w:eastAsia="en-US"/>
        </w:rPr>
        <w:t xml:space="preserve"> </w:t>
      </w:r>
      <w:r w:rsidR="004F2096" w:rsidRPr="00C90AC9">
        <w:rPr>
          <w:rFonts w:eastAsia="Calibri"/>
          <w:lang w:eastAsia="en-US"/>
        </w:rPr>
        <w:t xml:space="preserve">as being technologies </w:t>
      </w:r>
      <w:r w:rsidR="00175944" w:rsidRPr="00C90AC9">
        <w:rPr>
          <w:rFonts w:eastAsia="Calibri"/>
          <w:lang w:eastAsia="en-US"/>
        </w:rPr>
        <w:t xml:space="preserve">which </w:t>
      </w:r>
      <w:r w:rsidR="00A16B8C" w:rsidRPr="00C90AC9">
        <w:rPr>
          <w:rFonts w:eastAsia="Calibri"/>
          <w:lang w:eastAsia="en-US"/>
        </w:rPr>
        <w:t xml:space="preserve">can be installed and utilised </w:t>
      </w:r>
      <w:r w:rsidR="00175944" w:rsidRPr="00C90AC9">
        <w:rPr>
          <w:rFonts w:eastAsia="Calibri"/>
          <w:lang w:eastAsia="en-US"/>
        </w:rPr>
        <w:t>for</w:t>
      </w:r>
      <w:r w:rsidR="00A16B8C" w:rsidRPr="00C90AC9">
        <w:rPr>
          <w:rFonts w:eastAsia="Calibri"/>
          <w:lang w:eastAsia="en-US"/>
        </w:rPr>
        <w:t xml:space="preserve"> homes </w:t>
      </w:r>
      <w:r w:rsidR="007E7C0E" w:rsidRPr="00C90AC9">
        <w:rPr>
          <w:rFonts w:eastAsia="Calibri"/>
          <w:lang w:eastAsia="en-US"/>
        </w:rPr>
        <w:fldChar w:fldCharType="begin"/>
      </w:r>
      <w:r w:rsidR="007E7C0E" w:rsidRPr="00C90AC9">
        <w:rPr>
          <w:rFonts w:eastAsia="Calibri"/>
          <w:lang w:eastAsia="en-US"/>
        </w:rPr>
        <w:instrText xml:space="preserve"> ADDIN EN.CITE &lt;EndNote&gt;&lt;Cite&gt;&lt;Author&gt;DECC&lt;/Author&gt;&lt;Year&gt;2013&lt;/Year&gt;&lt;RecNum&gt;138&lt;/RecNum&gt;&lt;DisplayText&gt;(DECC, 2013)&lt;/DisplayText&gt;&lt;record&gt;&lt;rec-number&gt;138&lt;/rec-number&gt;&lt;foreign-keys&gt;&lt;key app="EN" db-id="50wxdpzd9vd5r7e9t5b595djrfpttrxw9avp" timestamp="1525076334"&gt;138&lt;/key&gt;&lt;/foreign-keys&gt;&lt;ref-type name="Unpublished Work"&gt;34&lt;/ref-type&gt;&lt;contributors&gt;&lt;authors&gt;&lt;author&gt;DECC&lt;/author&gt;&lt;/authors&gt;&lt;/contributors&gt;&lt;titles&gt;&lt;title&gt;Energy Consumption in the UK (2015)&lt;/title&gt;&lt;short-title&gt;DECC 2013 – Energy Consumption in the UK&lt;/short-title&gt;&lt;/titles&gt;&lt;dates&gt;&lt;year&gt;2013&lt;/year&gt;&lt;/dates&gt;&lt;pub-location&gt;London&lt;/pub-location&gt;&lt;publisher&gt;Crown Copywrite&lt;/publisher&gt;&lt;urls&gt;&lt;/urls&gt;&lt;/record&gt;&lt;/Cite&gt;&lt;/EndNote&gt;</w:instrText>
      </w:r>
      <w:r w:rsidR="007E7C0E" w:rsidRPr="00C90AC9">
        <w:rPr>
          <w:rFonts w:eastAsia="Calibri"/>
          <w:lang w:eastAsia="en-US"/>
        </w:rPr>
        <w:fldChar w:fldCharType="separate"/>
      </w:r>
      <w:r w:rsidR="007E7C0E" w:rsidRPr="00C90AC9">
        <w:rPr>
          <w:rFonts w:eastAsia="Calibri"/>
          <w:lang w:eastAsia="en-US"/>
        </w:rPr>
        <w:t>(DECC, 2013)</w:t>
      </w:r>
      <w:r w:rsidR="007E7C0E" w:rsidRPr="00C90AC9">
        <w:rPr>
          <w:rFonts w:eastAsia="Calibri"/>
          <w:lang w:eastAsia="en-US"/>
        </w:rPr>
        <w:fldChar w:fldCharType="end"/>
      </w:r>
      <w:r w:rsidR="00A16B8C" w:rsidRPr="00C90AC9">
        <w:rPr>
          <w:rFonts w:eastAsia="Calibri"/>
          <w:lang w:eastAsia="en-US"/>
        </w:rPr>
        <w:t>.</w:t>
      </w:r>
      <w:r w:rsidR="006B7AC6" w:rsidRPr="00C90AC9">
        <w:rPr>
          <w:rFonts w:eastAsia="Calibri"/>
          <w:lang w:eastAsia="en-US"/>
        </w:rPr>
        <w:t xml:space="preserve"> </w:t>
      </w:r>
      <w:r w:rsidR="00A16B8C" w:rsidRPr="00C90AC9">
        <w:rPr>
          <w:rFonts w:eastAsia="Calibri"/>
          <w:lang w:eastAsia="en-US"/>
        </w:rPr>
        <w:t>These technologies</w:t>
      </w:r>
      <w:r w:rsidR="00175944" w:rsidRPr="00C90AC9">
        <w:rPr>
          <w:rFonts w:eastAsia="Calibri"/>
          <w:lang w:eastAsia="en-US"/>
        </w:rPr>
        <w:t xml:space="preserve"> </w:t>
      </w:r>
      <w:r w:rsidR="00A16B8C" w:rsidRPr="00C90AC9">
        <w:rPr>
          <w:rFonts w:eastAsia="Calibri"/>
          <w:lang w:eastAsia="en-US"/>
        </w:rPr>
        <w:t xml:space="preserve">include: </w:t>
      </w:r>
      <w:r w:rsidR="00175944" w:rsidRPr="00C90AC9">
        <w:rPr>
          <w:rFonts w:eastAsia="Calibri"/>
          <w:lang w:eastAsia="en-US"/>
        </w:rPr>
        <w:t>S</w:t>
      </w:r>
      <w:r w:rsidR="00A16B8C" w:rsidRPr="00C90AC9">
        <w:rPr>
          <w:rFonts w:eastAsia="Calibri"/>
          <w:lang w:eastAsia="en-US"/>
        </w:rPr>
        <w:t xml:space="preserve">olar </w:t>
      </w:r>
      <w:r w:rsidR="00312B1E" w:rsidRPr="00C90AC9">
        <w:rPr>
          <w:rFonts w:eastAsia="Calibri"/>
          <w:lang w:eastAsia="en-US"/>
        </w:rPr>
        <w:t>T</w:t>
      </w:r>
      <w:r w:rsidR="00A16B8C" w:rsidRPr="00C90AC9">
        <w:rPr>
          <w:rFonts w:eastAsia="Calibri"/>
          <w:lang w:eastAsia="en-US"/>
        </w:rPr>
        <w:t xml:space="preserve">hermal </w:t>
      </w:r>
      <w:r w:rsidR="00175944" w:rsidRPr="00C90AC9">
        <w:rPr>
          <w:rFonts w:eastAsia="Calibri"/>
          <w:lang w:eastAsia="en-US"/>
        </w:rPr>
        <w:t xml:space="preserve">(ST) </w:t>
      </w:r>
      <w:r w:rsidR="00A16B8C" w:rsidRPr="00C90AC9">
        <w:rPr>
          <w:rFonts w:eastAsia="Calibri"/>
          <w:lang w:eastAsia="en-US"/>
        </w:rPr>
        <w:t>technolog</w:t>
      </w:r>
      <w:r w:rsidR="00175944" w:rsidRPr="00C90AC9">
        <w:rPr>
          <w:rFonts w:eastAsia="Calibri"/>
          <w:lang w:eastAsia="en-US"/>
        </w:rPr>
        <w:t xml:space="preserve">ies; </w:t>
      </w:r>
      <w:r w:rsidR="00B96E0B" w:rsidRPr="00C90AC9">
        <w:rPr>
          <w:rFonts w:eastAsia="Calibri"/>
          <w:lang w:eastAsia="en-US"/>
        </w:rPr>
        <w:t>P</w:t>
      </w:r>
      <w:r w:rsidR="00312B1E" w:rsidRPr="00C90AC9">
        <w:rPr>
          <w:rFonts w:eastAsia="Calibri"/>
          <w:lang w:eastAsia="en-US"/>
        </w:rPr>
        <w:t>hotovoltaic (PV) technologies</w:t>
      </w:r>
      <w:r w:rsidR="00A16B8C" w:rsidRPr="00C90AC9">
        <w:rPr>
          <w:rFonts w:eastAsia="Calibri"/>
          <w:lang w:eastAsia="en-US"/>
        </w:rPr>
        <w:t xml:space="preserve">; micro-wind; micro-hydro; </w:t>
      </w:r>
      <w:r w:rsidR="00FF15D4" w:rsidRPr="00C90AC9">
        <w:rPr>
          <w:rFonts w:eastAsia="Calibri"/>
          <w:lang w:eastAsia="en-US"/>
        </w:rPr>
        <w:t>c</w:t>
      </w:r>
      <w:r w:rsidR="00A16B8C" w:rsidRPr="00C90AC9">
        <w:rPr>
          <w:rFonts w:eastAsia="Calibri"/>
          <w:lang w:eastAsia="en-US"/>
        </w:rPr>
        <w:t xml:space="preserve">ombined </w:t>
      </w:r>
      <w:r w:rsidR="00FF15D4" w:rsidRPr="00C90AC9">
        <w:rPr>
          <w:rFonts w:eastAsia="Calibri"/>
          <w:lang w:eastAsia="en-US"/>
        </w:rPr>
        <w:t>h</w:t>
      </w:r>
      <w:r w:rsidR="00A16B8C" w:rsidRPr="00C90AC9">
        <w:rPr>
          <w:rFonts w:eastAsia="Calibri"/>
          <w:lang w:eastAsia="en-US"/>
        </w:rPr>
        <w:t xml:space="preserve">eat and </w:t>
      </w:r>
      <w:r w:rsidR="00FF15D4" w:rsidRPr="00C90AC9">
        <w:rPr>
          <w:rFonts w:eastAsia="Calibri"/>
          <w:lang w:eastAsia="en-US"/>
        </w:rPr>
        <w:t>p</w:t>
      </w:r>
      <w:r w:rsidR="00A16B8C" w:rsidRPr="00C90AC9">
        <w:rPr>
          <w:rFonts w:eastAsia="Calibri"/>
          <w:lang w:eastAsia="en-US"/>
        </w:rPr>
        <w:t>ower</w:t>
      </w:r>
      <w:r w:rsidR="00312B1E" w:rsidRPr="00C90AC9">
        <w:rPr>
          <w:rFonts w:eastAsia="Calibri"/>
          <w:lang w:eastAsia="en-US"/>
        </w:rPr>
        <w:t xml:space="preserve"> (CHP)</w:t>
      </w:r>
      <w:r w:rsidR="00A16B8C" w:rsidRPr="00C90AC9">
        <w:rPr>
          <w:rFonts w:eastAsia="Calibri"/>
          <w:lang w:eastAsia="en-US"/>
        </w:rPr>
        <w:t>; micro-level fuel cells and heat pumps</w:t>
      </w:r>
      <w:r w:rsidR="0047562B" w:rsidRPr="00C90AC9">
        <w:rPr>
          <w:rFonts w:eastAsia="Calibri"/>
          <w:lang w:eastAsia="en-US"/>
        </w:rPr>
        <w:t xml:space="preserve"> </w:t>
      </w:r>
      <w:r w:rsidR="0047562B" w:rsidRPr="00C90AC9">
        <w:rPr>
          <w:rFonts w:eastAsia="Calibri"/>
          <w:lang w:eastAsia="en-US"/>
        </w:rPr>
        <w:fldChar w:fldCharType="begin"/>
      </w:r>
      <w:r w:rsidR="0047562B" w:rsidRPr="00C90AC9">
        <w:rPr>
          <w:rFonts w:eastAsia="Calibri"/>
          <w:lang w:eastAsia="en-US"/>
        </w:rPr>
        <w:instrText xml:space="preserve"> ADDIN EN.CITE &lt;EndNote&gt;&lt;Cite&gt;&lt;Author&gt;Faiers&lt;/Author&gt;&lt;Year&gt;2006&lt;/Year&gt;&lt;RecNum&gt;209&lt;/RecNum&gt;&lt;DisplayText&gt;(Adam Faiers &amp;amp; Charles Neame, 2006)&lt;/DisplayText&gt;&lt;record&gt;&lt;rec-number&gt;209&lt;/rec-number&gt;&lt;foreign-keys&gt;&lt;key app="EN" db-id="50wxdpzd9vd5r7e9t5b595djrfpttrxw9avp" timestamp="1525464469"&gt;209&lt;/key&gt;&lt;/foreign-keys&gt;&lt;ref-type name="Journal Article"&gt;17&lt;/ref-type&gt;&lt;contributors&gt;&lt;authors&gt;&lt;author&gt;Faiers, Adam&lt;/author&gt;&lt;author&gt;Neame, Charles&lt;/author&gt;&lt;/authors&gt;&lt;/contributors&gt;&lt;titles&gt;&lt;title&gt;Consumer attitudes towards domestic solar power systems&lt;/title&gt;&lt;secondary-title&gt;Energy Policy&lt;/secondary-title&gt;&lt;/titles&gt;&lt;pages&gt;1797-1806&lt;/pages&gt;&lt;volume&gt;34&lt;/volume&gt;&lt;number&gt;14&lt;/number&gt;&lt;keywords&gt;&lt;keyword&gt;Solar power&lt;/keyword&gt;&lt;keyword&gt;Innovation adoption&lt;/keyword&gt;&lt;keyword&gt;Consumer perceptions&lt;/keyword&gt;&lt;/keywords&gt;&lt;dates&gt;&lt;year&gt;2006&lt;/year&gt;&lt;pub-dates&gt;&lt;date&gt;2006/09/01/&lt;/date&gt;&lt;/pub-dates&gt;&lt;/dates&gt;&lt;isbn&gt;0301-4215&lt;/isbn&gt;&lt;urls&gt;&lt;related-urls&gt;&lt;url&gt;http://www.sciencedirect.com/science/article/pii/S0301421505000121&lt;/url&gt;&lt;/related-urls&gt;&lt;/urls&gt;&lt;electronic-resource-num&gt;https://doi.org/10.1016/j.enpol.2005.01.001&lt;/electronic-resource-num&gt;&lt;/record&gt;&lt;/Cite&gt;&lt;/EndNote&gt;</w:instrText>
      </w:r>
      <w:r w:rsidR="0047562B" w:rsidRPr="00C90AC9">
        <w:rPr>
          <w:rFonts w:eastAsia="Calibri"/>
          <w:lang w:eastAsia="en-US"/>
        </w:rPr>
        <w:fldChar w:fldCharType="separate"/>
      </w:r>
      <w:r w:rsidR="0047562B" w:rsidRPr="00C90AC9">
        <w:rPr>
          <w:rFonts w:eastAsia="Calibri"/>
          <w:lang w:eastAsia="en-US"/>
        </w:rPr>
        <w:t>(</w:t>
      </w:r>
      <w:r w:rsidR="00432861" w:rsidRPr="00C90AC9">
        <w:rPr>
          <w:rFonts w:eastAsia="Calibri"/>
          <w:lang w:eastAsia="en-US"/>
        </w:rPr>
        <w:t xml:space="preserve">A. </w:t>
      </w:r>
      <w:r w:rsidR="0038131A" w:rsidRPr="00C90AC9">
        <w:rPr>
          <w:rFonts w:eastAsia="Calibri"/>
          <w:lang w:eastAsia="en-US"/>
        </w:rPr>
        <w:t>Faiers</w:t>
      </w:r>
      <w:r w:rsidR="00BA7307" w:rsidRPr="00C90AC9">
        <w:rPr>
          <w:rFonts w:eastAsia="Calibri"/>
          <w:lang w:eastAsia="en-US"/>
        </w:rPr>
        <w:t xml:space="preserve"> </w:t>
      </w:r>
      <w:r w:rsidR="0047562B" w:rsidRPr="00C90AC9">
        <w:rPr>
          <w:rFonts w:eastAsia="Calibri"/>
          <w:lang w:eastAsia="en-US"/>
        </w:rPr>
        <w:t xml:space="preserve">&amp; </w:t>
      </w:r>
      <w:r w:rsidR="00432861" w:rsidRPr="00C90AC9">
        <w:rPr>
          <w:rFonts w:eastAsia="Calibri"/>
          <w:lang w:eastAsia="en-US"/>
        </w:rPr>
        <w:t xml:space="preserve">C. </w:t>
      </w:r>
      <w:r w:rsidR="0038131A" w:rsidRPr="00C90AC9">
        <w:rPr>
          <w:rFonts w:eastAsia="Calibri"/>
          <w:lang w:eastAsia="en-US"/>
        </w:rPr>
        <w:t>Neame,</w:t>
      </w:r>
      <w:r w:rsidR="0047562B" w:rsidRPr="00C90AC9">
        <w:rPr>
          <w:rFonts w:eastAsia="Calibri"/>
          <w:lang w:eastAsia="en-US"/>
        </w:rPr>
        <w:t xml:space="preserve"> 2006)</w:t>
      </w:r>
      <w:r w:rsidR="0047562B" w:rsidRPr="00C90AC9">
        <w:rPr>
          <w:rFonts w:eastAsia="Calibri"/>
          <w:lang w:eastAsia="en-US"/>
        </w:rPr>
        <w:fldChar w:fldCharType="end"/>
      </w:r>
      <w:r w:rsidR="0006504B" w:rsidRPr="00C90AC9">
        <w:rPr>
          <w:rFonts w:eastAsia="Calibri"/>
          <w:lang w:eastAsia="en-US"/>
        </w:rPr>
        <w:t>.</w:t>
      </w:r>
      <w:r w:rsidR="00A16B8C" w:rsidRPr="00C90AC9">
        <w:rPr>
          <w:rFonts w:eastAsia="Calibri"/>
          <w:lang w:eastAsia="en-US"/>
        </w:rPr>
        <w:t xml:space="preserve"> </w:t>
      </w:r>
      <w:r w:rsidR="0006504B" w:rsidRPr="00C90AC9">
        <w:rPr>
          <w:rFonts w:eastAsia="Calibri"/>
          <w:lang w:eastAsia="en-US"/>
        </w:rPr>
        <w:t>As well as assisting in reducing the production of domestic carbon emissions by 15% per annum, micro-generation technologies additionally have a positive effect on household fuel poverty</w:t>
      </w:r>
      <w:r w:rsidR="0047562B" w:rsidRPr="00C90AC9">
        <w:rPr>
          <w:rFonts w:eastAsia="Calibri"/>
          <w:lang w:eastAsia="en-US"/>
        </w:rPr>
        <w:t xml:space="preserve"> by increasing access to domestic energy </w:t>
      </w:r>
      <w:r w:rsidR="0047562B" w:rsidRPr="00C90AC9">
        <w:rPr>
          <w:rFonts w:eastAsia="Calibri"/>
          <w:lang w:eastAsia="en-US"/>
        </w:rPr>
        <w:fldChar w:fldCharType="begin"/>
      </w:r>
      <w:r w:rsidR="0047562B" w:rsidRPr="00C90AC9">
        <w:rPr>
          <w:rFonts w:eastAsia="Calibri"/>
          <w:lang w:eastAsia="en-US"/>
        </w:rPr>
        <w:instrText xml:space="preserve"> ADDIN EN.CITE &lt;EndNote&gt;&lt;Cite&gt;&lt;Author&gt;Faiers&lt;/Author&gt;&lt;Year&gt;2006&lt;/Year&gt;&lt;RecNum&gt;209&lt;/RecNum&gt;&lt;DisplayText&gt;(Adam Faiers &amp;amp; Charles Neame, 2006)&lt;/DisplayText&gt;&lt;record&gt;&lt;rec-number&gt;209&lt;/rec-number&gt;&lt;foreign-keys&gt;&lt;key app="EN" db-id="50wxdpzd9vd5r7e9t5b595djrfpttrxw9avp" timestamp="1525464469"&gt;209&lt;/key&gt;&lt;/foreign-keys&gt;&lt;ref-type name="Journal Article"&gt;17&lt;/ref-type&gt;&lt;contributors&gt;&lt;authors&gt;&lt;author&gt;Faiers, Adam&lt;/author&gt;&lt;author&gt;Neame, Charles&lt;/author&gt;&lt;/authors&gt;&lt;/contributors&gt;&lt;titles&gt;&lt;title&gt;Consumer attitudes towards domestic solar power systems&lt;/title&gt;&lt;secondary-title&gt;Energy Policy&lt;/secondary-title&gt;&lt;/titles&gt;&lt;pages&gt;1797-1806&lt;/pages&gt;&lt;volume&gt;34&lt;/volume&gt;&lt;number&gt;14&lt;/number&gt;&lt;keywords&gt;&lt;keyword&gt;Solar power&lt;/keyword&gt;&lt;keyword&gt;Innovation adoption&lt;/keyword&gt;&lt;keyword&gt;Consumer perceptions&lt;/keyword&gt;&lt;/keywords&gt;&lt;dates&gt;&lt;year&gt;2006&lt;/year&gt;&lt;pub-dates&gt;&lt;date&gt;2006/09/01/&lt;/date&gt;&lt;/pub-dates&gt;&lt;/dates&gt;&lt;isbn&gt;0301-4215&lt;/isbn&gt;&lt;urls&gt;&lt;related-urls&gt;&lt;url&gt;http://www.sciencedirect.com/science/article/pii/S0301421505000121&lt;/url&gt;&lt;/related-urls&gt;&lt;/urls&gt;&lt;electronic-resource-num&gt;https://doi.org/10.1016/j.enpol.2005.01.001&lt;/electronic-resource-num&gt;&lt;/record&gt;&lt;/Cite&gt;&lt;/EndNote&gt;</w:instrText>
      </w:r>
      <w:r w:rsidR="0047562B" w:rsidRPr="00C90AC9">
        <w:rPr>
          <w:rFonts w:eastAsia="Calibri"/>
          <w:lang w:eastAsia="en-US"/>
        </w:rPr>
        <w:fldChar w:fldCharType="separate"/>
      </w:r>
      <w:r w:rsidR="0047562B" w:rsidRPr="00C90AC9">
        <w:rPr>
          <w:rFonts w:eastAsia="Calibri"/>
          <w:lang w:eastAsia="en-US"/>
        </w:rPr>
        <w:t>(</w:t>
      </w:r>
      <w:r w:rsidR="00432861" w:rsidRPr="00C90AC9">
        <w:rPr>
          <w:rFonts w:eastAsia="Calibri"/>
          <w:lang w:eastAsia="en-US"/>
        </w:rPr>
        <w:t xml:space="preserve">A. </w:t>
      </w:r>
      <w:r w:rsidR="0038131A" w:rsidRPr="00C90AC9">
        <w:rPr>
          <w:rFonts w:eastAsia="Calibri"/>
          <w:lang w:eastAsia="en-US"/>
        </w:rPr>
        <w:t>Faiers</w:t>
      </w:r>
      <w:r w:rsidR="00BA7307" w:rsidRPr="00C90AC9">
        <w:rPr>
          <w:rFonts w:eastAsia="Calibri"/>
          <w:lang w:eastAsia="en-US"/>
        </w:rPr>
        <w:t xml:space="preserve">  </w:t>
      </w:r>
      <w:r w:rsidR="0047562B" w:rsidRPr="00C90AC9">
        <w:rPr>
          <w:rFonts w:eastAsia="Calibri"/>
          <w:lang w:eastAsia="en-US"/>
        </w:rPr>
        <w:t xml:space="preserve">&amp; </w:t>
      </w:r>
      <w:r w:rsidR="00432861" w:rsidRPr="00C90AC9">
        <w:rPr>
          <w:rFonts w:eastAsia="Calibri"/>
          <w:lang w:eastAsia="en-US"/>
        </w:rPr>
        <w:t xml:space="preserve">C. </w:t>
      </w:r>
      <w:r w:rsidR="0038131A" w:rsidRPr="00C90AC9">
        <w:rPr>
          <w:rFonts w:eastAsia="Calibri"/>
          <w:lang w:eastAsia="en-US"/>
        </w:rPr>
        <w:t>Neame,</w:t>
      </w:r>
      <w:r w:rsidR="0047562B" w:rsidRPr="00C90AC9">
        <w:rPr>
          <w:rFonts w:eastAsia="Calibri"/>
          <w:lang w:eastAsia="en-US"/>
        </w:rPr>
        <w:t xml:space="preserve"> 2006)</w:t>
      </w:r>
      <w:r w:rsidR="0047562B" w:rsidRPr="00C90AC9">
        <w:rPr>
          <w:rFonts w:eastAsia="Calibri"/>
          <w:lang w:eastAsia="en-US"/>
        </w:rPr>
        <w:fldChar w:fldCharType="end"/>
      </w:r>
      <w:r w:rsidR="0006504B" w:rsidRPr="00C90AC9">
        <w:rPr>
          <w:rFonts w:eastAsia="Calibri"/>
          <w:lang w:eastAsia="en-US"/>
        </w:rPr>
        <w:t>.</w:t>
      </w:r>
      <w:r w:rsidR="00A16B8C" w:rsidRPr="00C90AC9">
        <w:rPr>
          <w:rFonts w:eastAsia="Calibri"/>
          <w:lang w:eastAsia="en-US"/>
        </w:rPr>
        <w:t xml:space="preserve"> </w:t>
      </w:r>
      <w:r w:rsidR="00312B1E" w:rsidRPr="00C90AC9">
        <w:rPr>
          <w:rFonts w:eastAsia="Calibri"/>
          <w:lang w:eastAsia="en-US"/>
        </w:rPr>
        <w:t>Thus, DECC</w:t>
      </w:r>
      <w:r w:rsidR="00C04627" w:rsidRPr="00C90AC9">
        <w:rPr>
          <w:rFonts w:eastAsia="Calibri"/>
          <w:lang w:eastAsia="en-US"/>
        </w:rPr>
        <w:t xml:space="preserve"> have</w:t>
      </w:r>
      <w:r w:rsidR="00312B1E" w:rsidRPr="00C90AC9">
        <w:rPr>
          <w:rFonts w:eastAsia="Calibri"/>
          <w:lang w:eastAsia="en-US"/>
        </w:rPr>
        <w:t xml:space="preserve"> </w:t>
      </w:r>
      <w:r w:rsidR="00424032" w:rsidRPr="00C90AC9">
        <w:rPr>
          <w:rFonts w:eastAsia="Calibri"/>
          <w:lang w:eastAsia="en-US"/>
        </w:rPr>
        <w:t>promote</w:t>
      </w:r>
      <w:r w:rsidR="0006504B" w:rsidRPr="00C90AC9">
        <w:rPr>
          <w:rFonts w:eastAsia="Calibri"/>
          <w:lang w:eastAsia="en-US"/>
        </w:rPr>
        <w:t>d</w:t>
      </w:r>
      <w:r w:rsidR="00424032" w:rsidRPr="00C90AC9">
        <w:rPr>
          <w:rFonts w:eastAsia="Calibri"/>
          <w:lang w:eastAsia="en-US"/>
        </w:rPr>
        <w:t xml:space="preserve"> </w:t>
      </w:r>
      <w:r w:rsidR="00C04627" w:rsidRPr="00C90AC9">
        <w:rPr>
          <w:rFonts w:eastAsia="Calibri"/>
          <w:lang w:eastAsia="en-US"/>
        </w:rPr>
        <w:t xml:space="preserve">the </w:t>
      </w:r>
      <w:r w:rsidR="0006504B" w:rsidRPr="00C90AC9">
        <w:rPr>
          <w:rFonts w:eastAsia="Calibri"/>
          <w:lang w:eastAsia="en-US"/>
        </w:rPr>
        <w:t>increased</w:t>
      </w:r>
      <w:r w:rsidR="00C04627" w:rsidRPr="00C90AC9">
        <w:rPr>
          <w:rFonts w:eastAsia="Calibri"/>
          <w:lang w:eastAsia="en-US"/>
        </w:rPr>
        <w:t xml:space="preserve"> adoption </w:t>
      </w:r>
      <w:r w:rsidR="00424032" w:rsidRPr="00C90AC9">
        <w:rPr>
          <w:rFonts w:eastAsia="Calibri"/>
          <w:lang w:eastAsia="en-US"/>
        </w:rPr>
        <w:t>of micro-generation technologies</w:t>
      </w:r>
      <w:r w:rsidR="00C04627" w:rsidRPr="00C90AC9">
        <w:rPr>
          <w:rFonts w:eastAsia="Calibri"/>
          <w:lang w:eastAsia="en-US"/>
        </w:rPr>
        <w:t xml:space="preserve"> through the employment of schemes</w:t>
      </w:r>
      <w:r w:rsidR="0006504B" w:rsidRPr="00C90AC9">
        <w:rPr>
          <w:rFonts w:eastAsia="Calibri"/>
          <w:lang w:eastAsia="en-US"/>
        </w:rPr>
        <w:t>,</w:t>
      </w:r>
      <w:r w:rsidR="00424032" w:rsidRPr="00C90AC9">
        <w:rPr>
          <w:rFonts w:eastAsia="Calibri"/>
          <w:lang w:eastAsia="en-US"/>
        </w:rPr>
        <w:t xml:space="preserve"> </w:t>
      </w:r>
      <w:r w:rsidR="00C04627" w:rsidRPr="00C90AC9">
        <w:rPr>
          <w:rFonts w:eastAsia="Calibri"/>
          <w:lang w:eastAsia="en-US"/>
        </w:rPr>
        <w:t>initially</w:t>
      </w:r>
      <w:r w:rsidR="003D5C8C" w:rsidRPr="00C90AC9">
        <w:rPr>
          <w:rFonts w:eastAsia="Calibri"/>
          <w:lang w:eastAsia="en-US"/>
        </w:rPr>
        <w:t xml:space="preserve"> the </w:t>
      </w:r>
      <w:r w:rsidR="00312B1E" w:rsidRPr="00C90AC9">
        <w:rPr>
          <w:rFonts w:eastAsia="Calibri"/>
          <w:lang w:eastAsia="en-US"/>
        </w:rPr>
        <w:t>Micro-G</w:t>
      </w:r>
      <w:r w:rsidR="00424032" w:rsidRPr="00C90AC9">
        <w:rPr>
          <w:rFonts w:eastAsia="Calibri"/>
          <w:lang w:eastAsia="en-US"/>
        </w:rPr>
        <w:t xml:space="preserve">eneration </w:t>
      </w:r>
      <w:r w:rsidR="00312B1E" w:rsidRPr="00C90AC9">
        <w:rPr>
          <w:rFonts w:eastAsia="Calibri"/>
          <w:lang w:eastAsia="en-US"/>
        </w:rPr>
        <w:t>S</w:t>
      </w:r>
      <w:r w:rsidR="00424032" w:rsidRPr="00C90AC9">
        <w:rPr>
          <w:rFonts w:eastAsia="Calibri"/>
          <w:lang w:eastAsia="en-US"/>
        </w:rPr>
        <w:t>trategy</w:t>
      </w:r>
      <w:r w:rsidR="00312B1E" w:rsidRPr="00C90AC9">
        <w:rPr>
          <w:rFonts w:eastAsia="Calibri"/>
          <w:lang w:eastAsia="en-US"/>
        </w:rPr>
        <w:t xml:space="preserve"> (MGS) in 2010</w:t>
      </w:r>
      <w:r w:rsidR="0006504B" w:rsidRPr="00C90AC9">
        <w:rPr>
          <w:rFonts w:eastAsia="Calibri"/>
          <w:lang w:eastAsia="en-US"/>
        </w:rPr>
        <w:t xml:space="preserve"> </w:t>
      </w:r>
      <w:r w:rsidR="0047562B" w:rsidRPr="00C90AC9">
        <w:rPr>
          <w:rFonts w:eastAsia="Calibri"/>
          <w:lang w:eastAsia="en-US"/>
        </w:rPr>
        <w:fldChar w:fldCharType="begin"/>
      </w:r>
      <w:r w:rsidR="00FD10CE" w:rsidRPr="00C90AC9">
        <w:rPr>
          <w:rFonts w:eastAsia="Calibri"/>
          <w:lang w:eastAsia="en-US"/>
        </w:rPr>
        <w:instrText xml:space="preserve"> ADDIN EN.CITE &lt;EndNote&gt;&lt;Cite&gt;&lt;Author&gt;Scarpa&lt;/Author&gt;&lt;Year&gt;2010&lt;/Year&gt;&lt;RecNum&gt;187&lt;/RecNum&gt;&lt;DisplayText&gt;(R. Scarpa &amp;amp; K. Willis, 2010)&lt;/DisplayText&gt;&lt;record&gt;&lt;rec-number&gt;187&lt;/rec-number&gt;&lt;foreign-keys&gt;&lt;key app="EN" db-id="50wxdpzd9vd5r7e9t5b595djrfpttrxw9avp" timestamp="1525076335"&gt;187&lt;/key&gt;&lt;/foreign-keys&gt;&lt;ref-type name="Journal Article"&gt;17&lt;/ref-type&gt;&lt;contributors&gt;&lt;authors&gt;&lt;author&gt;Scarpa, R.&lt;/author&gt;&lt;author&gt;K. Willis&lt;/author&gt;&lt;/authors&gt;&lt;/contributors&gt;&lt;titles&gt;&lt;title&gt;Willingness-to-pay for renewable energy: Primary and discretionary choice of British households&amp;apos; &lt;/title&gt;&lt;secondary-title&gt;Energy Econmics&lt;/secondary-title&gt;&lt;short-title&gt;Scarpa, R. and K. Willis 2010 – Willingness-to-pay for renewable energy&lt;/short-title&gt;&lt;/titles&gt;&lt;pages&gt;p. 129-136&lt;/pages&gt;&lt;volume&gt;32&lt;/volume&gt;&lt;number&gt;1&lt;/number&gt;&lt;dates&gt;&lt;year&gt;2010&lt;/year&gt;&lt;/dates&gt;&lt;urls&gt;&lt;/urls&gt;&lt;/record&gt;&lt;/Cite&gt;&lt;/EndNote&gt;</w:instrText>
      </w:r>
      <w:r w:rsidR="0047562B" w:rsidRPr="00C90AC9">
        <w:rPr>
          <w:rFonts w:eastAsia="Calibri"/>
          <w:lang w:eastAsia="en-US"/>
        </w:rPr>
        <w:fldChar w:fldCharType="separate"/>
      </w:r>
      <w:r w:rsidR="00FD10CE" w:rsidRPr="00C90AC9">
        <w:rPr>
          <w:rFonts w:eastAsia="Calibri"/>
          <w:lang w:eastAsia="en-US"/>
        </w:rPr>
        <w:t>(R. Scarpa &amp; K. Willis, 2010)</w:t>
      </w:r>
      <w:r w:rsidR="0047562B" w:rsidRPr="00C90AC9">
        <w:rPr>
          <w:rFonts w:eastAsia="Calibri"/>
          <w:lang w:eastAsia="en-US"/>
        </w:rPr>
        <w:fldChar w:fldCharType="end"/>
      </w:r>
      <w:r w:rsidR="0047562B" w:rsidRPr="00C90AC9">
        <w:rPr>
          <w:rFonts w:eastAsia="Calibri"/>
          <w:lang w:eastAsia="en-US"/>
        </w:rPr>
        <w:t>.</w:t>
      </w:r>
      <w:r w:rsidR="00312B1E" w:rsidRPr="00C90AC9">
        <w:rPr>
          <w:rFonts w:eastAsia="Calibri"/>
          <w:lang w:eastAsia="en-US"/>
        </w:rPr>
        <w:t xml:space="preserve"> </w:t>
      </w:r>
    </w:p>
    <w:p w:rsidR="00C04627" w:rsidRPr="00C90AC9" w:rsidRDefault="00312B1E" w:rsidP="00F521EF">
      <w:pPr>
        <w:pStyle w:val="ListContinue"/>
        <w:spacing w:line="360" w:lineRule="auto"/>
        <w:ind w:left="0"/>
        <w:rPr>
          <w:rFonts w:eastAsia="Calibri"/>
          <w:lang w:eastAsia="en-US"/>
        </w:rPr>
      </w:pPr>
      <w:r w:rsidRPr="00C90AC9">
        <w:rPr>
          <w:rFonts w:eastAsia="Calibri"/>
          <w:lang w:eastAsia="en-US"/>
        </w:rPr>
        <w:t xml:space="preserve">The MGS was a precursor to the more focused The UK Renewable Energy Roadmap </w:t>
      </w:r>
      <w:r w:rsidR="00FF15D4" w:rsidRPr="00C90AC9">
        <w:rPr>
          <w:rFonts w:eastAsia="Calibri"/>
          <w:lang w:eastAsia="en-US"/>
        </w:rPr>
        <w:t xml:space="preserve">2011 </w:t>
      </w:r>
      <w:r w:rsidRPr="00C90AC9">
        <w:rPr>
          <w:rFonts w:eastAsia="Calibri"/>
          <w:lang w:eastAsia="en-US"/>
        </w:rPr>
        <w:t>which evaluate</w:t>
      </w:r>
      <w:r w:rsidR="00FF15D4" w:rsidRPr="00C90AC9">
        <w:rPr>
          <w:rFonts w:eastAsia="Calibri"/>
          <w:lang w:eastAsia="en-US"/>
        </w:rPr>
        <w:t>d</w:t>
      </w:r>
      <w:r w:rsidRPr="00C90AC9">
        <w:rPr>
          <w:rFonts w:eastAsia="Calibri"/>
          <w:lang w:eastAsia="en-US"/>
        </w:rPr>
        <w:t xml:space="preserve"> why microgeneration technologies had not been adopted at great rates than had been envisaged</w:t>
      </w:r>
      <w:r w:rsidR="0047562B" w:rsidRPr="00C90AC9">
        <w:rPr>
          <w:rFonts w:eastAsia="Calibri"/>
          <w:lang w:eastAsia="en-US"/>
        </w:rPr>
        <w:t xml:space="preserve"> </w:t>
      </w:r>
      <w:r w:rsidR="0047562B" w:rsidRPr="00C90AC9">
        <w:rPr>
          <w:rFonts w:eastAsia="Calibri"/>
          <w:lang w:eastAsia="en-US"/>
        </w:rPr>
        <w:fldChar w:fldCharType="begin"/>
      </w:r>
      <w:r w:rsidR="00FD10CE" w:rsidRPr="00C90AC9">
        <w:rPr>
          <w:rFonts w:eastAsia="Calibri"/>
          <w:lang w:eastAsia="en-US"/>
        </w:rPr>
        <w:instrText xml:space="preserve"> ADDIN EN.CITE &lt;EndNote&gt;&lt;Cite&gt;&lt;Author&gt;Scarpa&lt;/Author&gt;&lt;Year&gt;2010&lt;/Year&gt;&lt;RecNum&gt;187&lt;/RecNum&gt;&lt;DisplayText&gt;(R. Scarpa &amp;amp; K. Willis, 2010)&lt;/DisplayText&gt;&lt;record&gt;&lt;rec-number&gt;187&lt;/rec-number&gt;&lt;foreign-keys&gt;&lt;key app="EN" db-id="50wxdpzd9vd5r7e9t5b595djrfpttrxw9avp" timestamp="1525076335"&gt;187&lt;/key&gt;&lt;/foreign-keys&gt;&lt;ref-type name="Journal Article"&gt;17&lt;/ref-type&gt;&lt;contributors&gt;&lt;authors&gt;&lt;author&gt;Scarpa, R.&lt;/author&gt;&lt;author&gt;K. Willis&lt;/author&gt;&lt;/authors&gt;&lt;/contributors&gt;&lt;titles&gt;&lt;title&gt;Willingness-to-pay for renewable energy: Primary and discretionary choice of British households&amp;apos; &lt;/title&gt;&lt;secondary-title&gt;Energy Econmics&lt;/secondary-title&gt;&lt;short-title&gt;Scarpa, R. and K. Willis 2010 – Willingness-to-pay for renewable energy&lt;/short-title&gt;&lt;/titles&gt;&lt;pages&gt;p. 129-136&lt;/pages&gt;&lt;volume&gt;32&lt;/volume&gt;&lt;number&gt;1&lt;/number&gt;&lt;dates&gt;&lt;year&gt;2010&lt;/year&gt;&lt;/dates&gt;&lt;urls&gt;&lt;/urls&gt;&lt;/record&gt;&lt;/Cite&gt;&lt;/EndNote&gt;</w:instrText>
      </w:r>
      <w:r w:rsidR="0047562B" w:rsidRPr="00C90AC9">
        <w:rPr>
          <w:rFonts w:eastAsia="Calibri"/>
          <w:lang w:eastAsia="en-US"/>
        </w:rPr>
        <w:fldChar w:fldCharType="separate"/>
      </w:r>
      <w:r w:rsidR="00FD10CE" w:rsidRPr="00C90AC9">
        <w:rPr>
          <w:rFonts w:eastAsia="Calibri"/>
          <w:lang w:eastAsia="en-US"/>
        </w:rPr>
        <w:t>(R. Scarpa &amp; K. Willis, 2010)</w:t>
      </w:r>
      <w:r w:rsidR="0047562B" w:rsidRPr="00C90AC9">
        <w:rPr>
          <w:rFonts w:eastAsia="Calibri"/>
          <w:lang w:eastAsia="en-US"/>
        </w:rPr>
        <w:fldChar w:fldCharType="end"/>
      </w:r>
      <w:r w:rsidR="0047562B" w:rsidRPr="00C90AC9">
        <w:rPr>
          <w:rFonts w:eastAsia="Calibri"/>
          <w:lang w:eastAsia="en-US"/>
        </w:rPr>
        <w:t>.</w:t>
      </w:r>
      <w:r w:rsidR="00367E26" w:rsidRPr="00C90AC9">
        <w:rPr>
          <w:rFonts w:eastAsia="Calibri"/>
          <w:lang w:eastAsia="en-US"/>
        </w:rPr>
        <w:t xml:space="preserve"> </w:t>
      </w:r>
      <w:r w:rsidR="00C04627" w:rsidRPr="00C90AC9">
        <w:rPr>
          <w:rFonts w:eastAsia="Calibri"/>
          <w:lang w:eastAsia="en-US"/>
        </w:rPr>
        <w:t xml:space="preserve">This scheme employed financial incentives to those homeowners which adopted a microgeneration technology as it was felt that homeowners would be incentivised by financial assistance to purchase microgeneration technologies </w:t>
      </w:r>
      <w:r w:rsidR="001C3E02" w:rsidRPr="00C90AC9">
        <w:rPr>
          <w:rFonts w:eastAsia="Calibri"/>
          <w:lang w:eastAsia="en-US"/>
        </w:rPr>
        <w:fldChar w:fldCharType="begin"/>
      </w:r>
      <w:r w:rsidR="00FD10CE" w:rsidRPr="00C90AC9">
        <w:rPr>
          <w:rFonts w:eastAsia="Calibri"/>
          <w:lang w:eastAsia="en-US"/>
        </w:rPr>
        <w:instrText xml:space="preserve"> ADDIN EN.CITE &lt;EndNote&gt;&lt;Cite&gt;&lt;Author&gt;Scarpa&lt;/Author&gt;&lt;Year&gt;2010&lt;/Year&gt;&lt;RecNum&gt;187&lt;/RecNum&gt;&lt;DisplayText&gt;(R. Scarpa &amp;amp; K. Willis, 2010)&lt;/DisplayText&gt;&lt;record&gt;&lt;rec-number&gt;187&lt;/rec-number&gt;&lt;foreign-keys&gt;&lt;key app="EN" db-id="50wxdpzd9vd5r7e9t5b595djrfpttrxw9avp" timestamp="1525076335"&gt;187&lt;/key&gt;&lt;/foreign-keys&gt;&lt;ref-type name="Journal Article"&gt;17&lt;/ref-type&gt;&lt;contributors&gt;&lt;authors&gt;&lt;author&gt;Scarpa, R.&lt;/author&gt;&lt;author&gt;K. Willis&lt;/author&gt;&lt;/authors&gt;&lt;/contributors&gt;&lt;titles&gt;&lt;title&gt;Willingness-to-pay for renewable energy: Primary and discretionary choice of British households&amp;apos; &lt;/title&gt;&lt;secondary-title&gt;Energy Econmics&lt;/secondary-title&gt;&lt;short-title&gt;Scarpa, R. and K. Willis 2010 – Willingness-to-pay for renewable energy&lt;/short-title&gt;&lt;/titles&gt;&lt;pages&gt;p. 129-136&lt;/pages&gt;&lt;volume&gt;32&lt;/volume&gt;&lt;number&gt;1&lt;/number&gt;&lt;dates&gt;&lt;year&gt;2010&lt;/year&gt;&lt;/dates&gt;&lt;urls&gt;&lt;/urls&gt;&lt;/record&gt;&lt;/Cite&gt;&lt;/EndNote&gt;</w:instrText>
      </w:r>
      <w:r w:rsidR="001C3E02" w:rsidRPr="00C90AC9">
        <w:rPr>
          <w:rFonts w:eastAsia="Calibri"/>
          <w:lang w:eastAsia="en-US"/>
        </w:rPr>
        <w:fldChar w:fldCharType="separate"/>
      </w:r>
      <w:r w:rsidR="00FD10CE" w:rsidRPr="00C90AC9">
        <w:rPr>
          <w:rFonts w:eastAsia="Calibri"/>
          <w:lang w:eastAsia="en-US"/>
        </w:rPr>
        <w:t>(R. Scarpa &amp; K. Willis, 2010)</w:t>
      </w:r>
      <w:r w:rsidR="001C3E02" w:rsidRPr="00C90AC9">
        <w:rPr>
          <w:rFonts w:eastAsia="Calibri"/>
          <w:lang w:eastAsia="en-US"/>
        </w:rPr>
        <w:fldChar w:fldCharType="end"/>
      </w:r>
      <w:r w:rsidR="00C04627" w:rsidRPr="00C90AC9">
        <w:rPr>
          <w:rFonts w:eastAsia="Calibri"/>
          <w:lang w:eastAsia="en-US"/>
        </w:rPr>
        <w:t xml:space="preserve">. </w:t>
      </w:r>
    </w:p>
    <w:p w:rsidR="00D168B0" w:rsidRPr="00C90AC9" w:rsidRDefault="005F54AB" w:rsidP="00F521EF">
      <w:pPr>
        <w:pStyle w:val="ListContinue"/>
        <w:spacing w:line="360" w:lineRule="auto"/>
        <w:ind w:left="0"/>
        <w:rPr>
          <w:rFonts w:eastAsia="Calibri"/>
          <w:lang w:eastAsia="en-US"/>
        </w:rPr>
      </w:pPr>
      <w:r w:rsidRPr="00C90AC9">
        <w:rPr>
          <w:rFonts w:eastAsia="Calibri"/>
          <w:lang w:eastAsia="en-US"/>
        </w:rPr>
        <w:t>Micro-generation technologies</w:t>
      </w:r>
      <w:r w:rsidR="00C83176" w:rsidRPr="00C90AC9">
        <w:rPr>
          <w:rFonts w:eastAsia="Calibri"/>
          <w:lang w:eastAsia="en-US"/>
        </w:rPr>
        <w:t xml:space="preserve"> have one significant benefit over large-scale energy production plan</w:t>
      </w:r>
      <w:r w:rsidR="00485CD2" w:rsidRPr="00C90AC9">
        <w:rPr>
          <w:rFonts w:eastAsia="Calibri"/>
          <w:lang w:eastAsia="en-US"/>
        </w:rPr>
        <w:t>t</w:t>
      </w:r>
      <w:r w:rsidR="00C83176" w:rsidRPr="00C90AC9">
        <w:rPr>
          <w:rFonts w:eastAsia="Calibri"/>
          <w:lang w:eastAsia="en-US"/>
        </w:rPr>
        <w:t>s</w:t>
      </w:r>
      <w:r w:rsidR="00485CD2" w:rsidRPr="00C90AC9">
        <w:rPr>
          <w:rFonts w:eastAsia="Calibri"/>
          <w:lang w:eastAsia="en-US"/>
        </w:rPr>
        <w:t>,</w:t>
      </w:r>
      <w:r w:rsidR="00C83176" w:rsidRPr="00C90AC9">
        <w:rPr>
          <w:rFonts w:eastAsia="Calibri"/>
          <w:lang w:eastAsia="en-US"/>
        </w:rPr>
        <w:t xml:space="preserve"> in that they produce the energy closer to where it is utilise</w:t>
      </w:r>
      <w:r w:rsidR="005D46A3" w:rsidRPr="00C90AC9">
        <w:rPr>
          <w:rFonts w:eastAsia="Calibri"/>
          <w:lang w:eastAsia="en-US"/>
        </w:rPr>
        <w:t>d</w:t>
      </w:r>
      <w:r w:rsidR="00C83176" w:rsidRPr="00C90AC9">
        <w:rPr>
          <w:rFonts w:eastAsia="Calibri"/>
          <w:lang w:eastAsia="en-US"/>
        </w:rPr>
        <w:t xml:space="preserve"> and thus </w:t>
      </w:r>
      <w:r w:rsidR="0006504B" w:rsidRPr="00C90AC9">
        <w:rPr>
          <w:rFonts w:eastAsia="Calibri"/>
          <w:lang w:eastAsia="en-US"/>
        </w:rPr>
        <w:t>suffer</w:t>
      </w:r>
      <w:r w:rsidR="00C83176" w:rsidRPr="00C90AC9">
        <w:rPr>
          <w:rFonts w:eastAsia="Calibri"/>
          <w:lang w:eastAsia="en-US"/>
        </w:rPr>
        <w:t xml:space="preserve"> little or no efficiency losses due to transportation which is particularly true of </w:t>
      </w:r>
      <w:r w:rsidR="006518C0" w:rsidRPr="00C90AC9">
        <w:rPr>
          <w:rFonts w:eastAsia="Calibri"/>
          <w:lang w:eastAsia="en-US"/>
        </w:rPr>
        <w:t>STPs</w:t>
      </w:r>
      <w:r w:rsidR="00C83176" w:rsidRPr="00C90AC9">
        <w:rPr>
          <w:rFonts w:eastAsia="Calibri"/>
          <w:lang w:eastAsia="en-US"/>
        </w:rPr>
        <w:t xml:space="preserve"> </w:t>
      </w:r>
      <w:r w:rsidR="0047562B" w:rsidRPr="00C90AC9">
        <w:rPr>
          <w:rFonts w:eastAsia="Calibri"/>
          <w:lang w:eastAsia="en-US"/>
        </w:rPr>
        <w:fldChar w:fldCharType="begin"/>
      </w:r>
      <w:r w:rsidR="0047562B" w:rsidRPr="00C90AC9">
        <w:rPr>
          <w:rFonts w:eastAsia="Calibri"/>
          <w:lang w:eastAsia="en-US"/>
        </w:rPr>
        <w:instrText xml:space="preserve"> ADDIN EN.CITE &lt;EndNote&gt;&lt;Cite&gt;&lt;Author&gt;Allen&lt;/Author&gt;&lt;Year&gt;2010&lt;/Year&gt;&lt;RecNum&gt;113&lt;/RecNum&gt;&lt;DisplayText&gt;(S. R. Allen, . &amp;amp; et al., 2010)&lt;/DisplayText&gt;&lt;record&gt;&lt;rec-number&gt;113&lt;/rec-number&gt;&lt;foreign-keys&gt;&lt;key app="EN" db-id="50wxdpzd9vd5r7e9t5b595djrfpttrxw9avp" timestamp="1525076334"&gt;113&lt;/key&gt;&lt;/foreign-keys&gt;&lt;ref-type name="Journal Article"&gt;17&lt;/ref-type&gt;&lt;contributors&gt;&lt;authors&gt;&lt;author&gt;Allen, S.R., .&lt;/author&gt;&lt;author&gt;et al.,&lt;/author&gt;&lt;/authors&gt;&lt;/contributors&gt;&lt;titles&gt;&lt;title&gt;Integrated appraisal of a Solar Hot Water system&lt;/title&gt;&lt;secondary-title&gt;Energy Econmics&lt;/secondary-title&gt;&lt;short-title&gt;Allen, S.R., et al. 2010 – Integrated appraisal of a Solar&lt;/short-title&gt;&lt;/titles&gt;&lt;pages&gt;p. 1351-1362&lt;/pages&gt;&lt;volume&gt;35&lt;/volume&gt;&lt;number&gt;3&lt;/number&gt;&lt;dates&gt;&lt;year&gt;2010&lt;/year&gt;&lt;/dates&gt;&lt;urls&gt;&lt;/urls&gt;&lt;/record&gt;&lt;/Cite&gt;&lt;/EndNote&gt;</w:instrText>
      </w:r>
      <w:r w:rsidR="0047562B" w:rsidRPr="00C90AC9">
        <w:rPr>
          <w:rFonts w:eastAsia="Calibri"/>
          <w:lang w:eastAsia="en-US"/>
        </w:rPr>
        <w:fldChar w:fldCharType="separate"/>
      </w:r>
      <w:r w:rsidR="0047562B" w:rsidRPr="00C90AC9">
        <w:rPr>
          <w:rFonts w:eastAsia="Calibri"/>
          <w:lang w:eastAsia="en-US"/>
        </w:rPr>
        <w:t xml:space="preserve">(S. R. Allen, . </w:t>
      </w:r>
      <w:r w:rsidR="00EE66A8" w:rsidRPr="00C90AC9">
        <w:rPr>
          <w:rFonts w:eastAsia="Calibri"/>
          <w:lang w:eastAsia="en-US"/>
        </w:rPr>
        <w:t>et al</w:t>
      </w:r>
      <w:r w:rsidR="0047562B" w:rsidRPr="00C90AC9">
        <w:rPr>
          <w:rFonts w:eastAsia="Calibri"/>
          <w:lang w:eastAsia="en-US"/>
        </w:rPr>
        <w:t>., 2010)</w:t>
      </w:r>
      <w:r w:rsidR="0047562B" w:rsidRPr="00C90AC9">
        <w:rPr>
          <w:rFonts w:eastAsia="Calibri"/>
          <w:lang w:eastAsia="en-US"/>
        </w:rPr>
        <w:fldChar w:fldCharType="end"/>
      </w:r>
      <w:r w:rsidR="0047562B" w:rsidRPr="00C90AC9">
        <w:rPr>
          <w:rFonts w:eastAsia="Calibri"/>
          <w:lang w:eastAsia="en-US"/>
        </w:rPr>
        <w:t xml:space="preserve">. </w:t>
      </w:r>
      <w:r w:rsidR="005D46A3" w:rsidRPr="00C90AC9">
        <w:rPr>
          <w:rFonts w:eastAsia="Calibri"/>
          <w:lang w:eastAsia="en-US"/>
        </w:rPr>
        <w:t>H</w:t>
      </w:r>
      <w:r w:rsidR="001B2697" w:rsidRPr="00C90AC9">
        <w:rPr>
          <w:rFonts w:eastAsia="Calibri"/>
          <w:lang w:eastAsia="en-US"/>
        </w:rPr>
        <w:t>ot water</w:t>
      </w:r>
      <w:r w:rsidR="005D46A3" w:rsidRPr="00C90AC9">
        <w:rPr>
          <w:rFonts w:eastAsia="Calibri"/>
          <w:lang w:eastAsia="en-US"/>
        </w:rPr>
        <w:t xml:space="preserve"> loses heat when</w:t>
      </w:r>
      <w:r w:rsidR="001B2697" w:rsidRPr="00C90AC9">
        <w:rPr>
          <w:rFonts w:eastAsia="Calibri"/>
          <w:lang w:eastAsia="en-US"/>
        </w:rPr>
        <w:t xml:space="preserve"> stored in a hot water tank</w:t>
      </w:r>
      <w:r w:rsidR="005D46A3" w:rsidRPr="00C90AC9">
        <w:rPr>
          <w:rFonts w:eastAsia="Calibri"/>
          <w:lang w:eastAsia="en-US"/>
        </w:rPr>
        <w:t xml:space="preserve"> as a hot water tank is not 100% efficient and there will </w:t>
      </w:r>
      <w:r w:rsidR="0006504B" w:rsidRPr="00C90AC9">
        <w:rPr>
          <w:rFonts w:eastAsia="Calibri"/>
          <w:lang w:eastAsia="en-US"/>
        </w:rPr>
        <w:t xml:space="preserve">therefore </w:t>
      </w:r>
      <w:r w:rsidR="005D46A3" w:rsidRPr="00C90AC9">
        <w:rPr>
          <w:rFonts w:eastAsia="Calibri"/>
          <w:lang w:eastAsia="en-US"/>
        </w:rPr>
        <w:t>always be some heat loses over time. Additionally, hot water</w:t>
      </w:r>
      <w:r w:rsidR="001B2697" w:rsidRPr="00C90AC9">
        <w:rPr>
          <w:rFonts w:eastAsia="Calibri"/>
          <w:lang w:eastAsia="en-US"/>
        </w:rPr>
        <w:t xml:space="preserve"> is unable to be fed into a ‘National Grid’ system</w:t>
      </w:r>
      <w:r w:rsidR="005D46A3" w:rsidRPr="00C90AC9">
        <w:rPr>
          <w:rFonts w:eastAsia="Calibri"/>
          <w:lang w:eastAsia="en-US"/>
        </w:rPr>
        <w:t xml:space="preserve"> which is available in the case of electricity which can be fed into the National Grid to be used at other locations other tha</w:t>
      </w:r>
      <w:r w:rsidR="00310B64" w:rsidRPr="00C90AC9">
        <w:rPr>
          <w:rFonts w:eastAsia="Calibri"/>
          <w:lang w:eastAsia="en-US"/>
        </w:rPr>
        <w:t>n</w:t>
      </w:r>
      <w:r w:rsidR="005D46A3" w:rsidRPr="00C90AC9">
        <w:rPr>
          <w:rFonts w:eastAsia="Calibri"/>
          <w:lang w:eastAsia="en-US"/>
        </w:rPr>
        <w:t xml:space="preserve"> where it was first generated</w:t>
      </w:r>
      <w:r w:rsidR="001B2697" w:rsidRPr="00C90AC9">
        <w:rPr>
          <w:rFonts w:eastAsia="Calibri"/>
          <w:lang w:eastAsia="en-US"/>
        </w:rPr>
        <w:t xml:space="preserve"> </w:t>
      </w:r>
      <w:r w:rsidR="00EF4F26" w:rsidRPr="00C90AC9">
        <w:rPr>
          <w:rFonts w:eastAsia="Calibri"/>
          <w:lang w:eastAsia="en-US"/>
        </w:rPr>
        <w:fldChar w:fldCharType="begin"/>
      </w:r>
      <w:r w:rsidR="00EF4F26" w:rsidRPr="00C90AC9">
        <w:rPr>
          <w:rFonts w:eastAsia="Calibri"/>
          <w:lang w:eastAsia="en-US"/>
        </w:rPr>
        <w:instrText xml:space="preserve"> ADDIN EN.CITE &lt;EndNote&gt;&lt;Cite&gt;&lt;Author&gt;Allen&lt;/Author&gt;&lt;Year&gt;2010&lt;/Year&gt;&lt;RecNum&gt;113&lt;/RecNum&gt;&lt;DisplayText&gt;(S. R. Allen, . &amp;amp; et al., 2010)&lt;/DisplayText&gt;&lt;record&gt;&lt;rec-number&gt;113&lt;/rec-number&gt;&lt;foreign-keys&gt;&lt;key app="EN" db-id="50wxdpzd9vd5r7e9t5b595djrfpttrxw9avp" timestamp="1525076334"&gt;113&lt;/key&gt;&lt;/foreign-keys&gt;&lt;ref-type name="Journal Article"&gt;17&lt;/ref-type&gt;&lt;contributors&gt;&lt;authors&gt;&lt;author&gt;Allen, S.R., .&lt;/author&gt;&lt;author&gt;et al.,&lt;/author&gt;&lt;/authors&gt;&lt;/contributors&gt;&lt;titles&gt;&lt;title&gt;Integrated appraisal of a Solar Hot Water system&lt;/title&gt;&lt;secondary-title&gt;Energy Econmics&lt;/secondary-title&gt;&lt;short-title&gt;Allen, S.R., et al. 2010 – Integrated appraisal of a Solar&lt;/short-title&gt;&lt;/titles&gt;&lt;pages&gt;p. 1351-1362&lt;/pages&gt;&lt;volume&gt;35&lt;/volume&gt;&lt;number&gt;3&lt;/number&gt;&lt;dates&gt;&lt;year&gt;2010&lt;/year&gt;&lt;/dates&gt;&lt;urls&gt;&lt;/urls&gt;&lt;/record&gt;&lt;/Cite&gt;&lt;/EndNote&gt;</w:instrText>
      </w:r>
      <w:r w:rsidR="00EF4F26" w:rsidRPr="00C90AC9">
        <w:rPr>
          <w:rFonts w:eastAsia="Calibri"/>
          <w:lang w:eastAsia="en-US"/>
        </w:rPr>
        <w:fldChar w:fldCharType="separate"/>
      </w:r>
      <w:r w:rsidR="00EF4F26" w:rsidRPr="00C90AC9">
        <w:rPr>
          <w:rFonts w:eastAsia="Calibri"/>
          <w:lang w:eastAsia="en-US"/>
        </w:rPr>
        <w:t xml:space="preserve">(S. R. Allen, . </w:t>
      </w:r>
      <w:r w:rsidR="00EE66A8" w:rsidRPr="00C90AC9">
        <w:rPr>
          <w:rFonts w:eastAsia="Calibri"/>
          <w:lang w:eastAsia="en-US"/>
        </w:rPr>
        <w:t>et al</w:t>
      </w:r>
      <w:r w:rsidR="00EF4F26" w:rsidRPr="00C90AC9">
        <w:rPr>
          <w:rFonts w:eastAsia="Calibri"/>
          <w:lang w:eastAsia="en-US"/>
        </w:rPr>
        <w:t>., 2010)</w:t>
      </w:r>
      <w:r w:rsidR="00EF4F26" w:rsidRPr="00C90AC9">
        <w:rPr>
          <w:rFonts w:eastAsia="Calibri"/>
          <w:lang w:eastAsia="en-US"/>
        </w:rPr>
        <w:fldChar w:fldCharType="end"/>
      </w:r>
      <w:r w:rsidR="00EF4F26" w:rsidRPr="00C90AC9">
        <w:rPr>
          <w:rFonts w:eastAsia="Calibri"/>
          <w:lang w:eastAsia="en-US"/>
        </w:rPr>
        <w:t xml:space="preserve">. </w:t>
      </w:r>
      <w:r w:rsidR="00C04627" w:rsidRPr="00C90AC9">
        <w:rPr>
          <w:rFonts w:eastAsia="Calibri"/>
          <w:lang w:eastAsia="en-US"/>
        </w:rPr>
        <w:t>Thus, microgeneration technologies have a role to play if the UK is to reduce its CO</w:t>
      </w:r>
      <w:r w:rsidR="00C04627" w:rsidRPr="00C90AC9">
        <w:rPr>
          <w:rFonts w:eastAsia="Calibri"/>
          <w:vertAlign w:val="subscript"/>
          <w:lang w:eastAsia="en-US"/>
        </w:rPr>
        <w:t>2</w:t>
      </w:r>
      <w:r w:rsidR="00C04627" w:rsidRPr="00C90AC9">
        <w:rPr>
          <w:rFonts w:eastAsia="Calibri"/>
          <w:lang w:eastAsia="en-US"/>
        </w:rPr>
        <w:t xml:space="preserve"> output whilst </w:t>
      </w:r>
      <w:r w:rsidR="00E82522" w:rsidRPr="00C90AC9">
        <w:rPr>
          <w:rFonts w:eastAsia="Calibri"/>
          <w:lang w:eastAsia="en-US"/>
        </w:rPr>
        <w:t>main</w:t>
      </w:r>
      <w:r w:rsidR="00C04627" w:rsidRPr="00C90AC9">
        <w:rPr>
          <w:rFonts w:eastAsia="Calibri"/>
          <w:lang w:eastAsia="en-US"/>
        </w:rPr>
        <w:t xml:space="preserve">taining its high use of energy </w:t>
      </w:r>
      <w:r w:rsidR="00C04627" w:rsidRPr="00C90AC9">
        <w:rPr>
          <w:rFonts w:eastAsia="Calibri"/>
          <w:lang w:eastAsia="en-US"/>
        </w:rPr>
        <w:fldChar w:fldCharType="begin"/>
      </w:r>
      <w:r w:rsidR="00C04627" w:rsidRPr="00C90AC9">
        <w:rPr>
          <w:rFonts w:eastAsia="Calibri"/>
          <w:lang w:eastAsia="en-US"/>
        </w:rPr>
        <w:instrText xml:space="preserve"> ADDIN EN.CITE &lt;EndNote&gt;&lt;Cite&gt;&lt;Author&gt;Allen&lt;/Author&gt;&lt;Year&gt;2008&lt;/Year&gt;&lt;RecNum&gt;211&lt;/RecNum&gt;&lt;DisplayText&gt;(S. Allen et al., 2008; S. R. Allen, . &amp;amp; et al., 2010)&lt;/DisplayText&gt;&lt;record&gt;&lt;rec-number&gt;211&lt;/rec-number&gt;&lt;foreign-keys&gt;&lt;key app="EN" db-id="50wxdpzd9vd5r7e9t5b595djrfpttrxw9avp" timestamp="1525464920"&gt;211&lt;/key&gt;&lt;/foreign-keys&gt;&lt;ref-type name="Book"&gt;6&lt;/ref-type&gt;&lt;contributors&gt;&lt;authors&gt;&lt;author&gt;Allen, Stephen&lt;/author&gt;&lt;author&gt;Hammond, Geoffrey&lt;/author&gt;&lt;author&gt;McManus, Marcelle&lt;/author&gt;&lt;/authors&gt;&lt;/contributors&gt;&lt;titles&gt;&lt;title&gt;Prospects for and barriers to domestic micro-generation: A United Kingdom perspective&lt;/title&gt;&lt;/titles&gt;&lt;pages&gt;528-544&lt;/pages&gt;&lt;volume&gt;85&lt;/volume&gt;&lt;dates&gt;&lt;year&gt;2008&lt;/year&gt;&lt;/dates&gt;&lt;urls&gt;&lt;/urls&gt;&lt;electronic-resource-num&gt;10.1016/j.apenergy.2007.09.006&lt;/electronic-resource-num&gt;&lt;/record&gt;&lt;/Cite&gt;&lt;Cite&gt;&lt;Author&gt;Allen&lt;/Author&gt;&lt;Year&gt;2010&lt;/Year&gt;&lt;RecNum&gt;113&lt;/RecNum&gt;&lt;record&gt;&lt;rec-number&gt;113&lt;/rec-number&gt;&lt;foreign-keys&gt;&lt;key app="EN" db-id="50wxdpzd9vd5r7e9t5b595djrfpttrxw9avp" timestamp="1525076334"&gt;113&lt;/key&gt;&lt;/foreign-keys&gt;&lt;ref-type name="Journal Article"&gt;17&lt;/ref-type&gt;&lt;contributors&gt;&lt;authors&gt;&lt;author&gt;Allen, S.R., .&lt;/author&gt;&lt;author&gt;et al.,&lt;/author&gt;&lt;/authors&gt;&lt;/contributors&gt;&lt;titles&gt;&lt;title&gt;Integrated appraisal of a Solar Hot Water system&lt;/title&gt;&lt;secondary-title&gt;Energy Econmics&lt;/secondary-title&gt;&lt;short-title&gt;Allen, S.R., et al. 2010 – Integrated appraisal of a Solar&lt;/short-title&gt;&lt;/titles&gt;&lt;pages&gt;p. 1351-1362&lt;/pages&gt;&lt;volume&gt;35&lt;/volume&gt;&lt;number&gt;3&lt;/number&gt;&lt;dates&gt;&lt;year&gt;2010&lt;/year&gt;&lt;/dates&gt;&lt;urls&gt;&lt;/urls&gt;&lt;/record&gt;&lt;/Cite&gt;&lt;/EndNote&gt;</w:instrText>
      </w:r>
      <w:r w:rsidR="00C04627" w:rsidRPr="00C90AC9">
        <w:rPr>
          <w:rFonts w:eastAsia="Calibri"/>
          <w:lang w:eastAsia="en-US"/>
        </w:rPr>
        <w:fldChar w:fldCharType="separate"/>
      </w:r>
      <w:r w:rsidR="00C04627" w:rsidRPr="00C90AC9">
        <w:rPr>
          <w:rFonts w:eastAsia="Calibri"/>
          <w:lang w:eastAsia="en-US"/>
        </w:rPr>
        <w:t>(</w:t>
      </w:r>
      <w:r w:rsidR="00432861" w:rsidRPr="00C90AC9">
        <w:rPr>
          <w:rFonts w:eastAsia="Calibri"/>
          <w:lang w:eastAsia="en-US"/>
        </w:rPr>
        <w:t>S. R. Allen</w:t>
      </w:r>
      <w:r w:rsidR="00C04627" w:rsidRPr="00C90AC9">
        <w:rPr>
          <w:rFonts w:eastAsia="Calibri"/>
          <w:lang w:eastAsia="en-US"/>
        </w:rPr>
        <w:t xml:space="preserve"> et al., 2008; S. R. Allen, . </w:t>
      </w:r>
      <w:r w:rsidR="00EE66A8" w:rsidRPr="00C90AC9">
        <w:rPr>
          <w:rFonts w:eastAsia="Calibri"/>
          <w:lang w:eastAsia="en-US"/>
        </w:rPr>
        <w:t>et al</w:t>
      </w:r>
      <w:r w:rsidR="00C04627" w:rsidRPr="00C90AC9">
        <w:rPr>
          <w:rFonts w:eastAsia="Calibri"/>
          <w:lang w:eastAsia="en-US"/>
        </w:rPr>
        <w:t>., 2010)</w:t>
      </w:r>
      <w:r w:rsidR="00C04627" w:rsidRPr="00C90AC9">
        <w:rPr>
          <w:rFonts w:eastAsia="Calibri"/>
          <w:lang w:eastAsia="en-US"/>
        </w:rPr>
        <w:fldChar w:fldCharType="end"/>
      </w:r>
      <w:r w:rsidR="00C04627" w:rsidRPr="00C90AC9">
        <w:rPr>
          <w:rFonts w:eastAsia="Calibri"/>
          <w:lang w:eastAsia="en-US"/>
        </w:rPr>
        <w:t xml:space="preserve">. Understanding how consumers arrive at their decision about whether to adopt a microgeneration technology will </w:t>
      </w:r>
      <w:r w:rsidR="00C04627" w:rsidRPr="00C90AC9">
        <w:rPr>
          <w:rFonts w:eastAsia="Calibri"/>
          <w:lang w:eastAsia="en-US"/>
        </w:rPr>
        <w:lastRenderedPageBreak/>
        <w:t xml:space="preserve">improve the schemes and incentives used to encourage adoption of microgeneration technologies </w:t>
      </w:r>
      <w:r w:rsidR="001C3E02" w:rsidRPr="00C90AC9">
        <w:rPr>
          <w:rFonts w:eastAsia="Calibri"/>
          <w:lang w:eastAsia="en-US"/>
        </w:rPr>
        <w:fldChar w:fldCharType="begin"/>
      </w:r>
      <w:r w:rsidR="001C3E02" w:rsidRPr="00C90AC9">
        <w:rPr>
          <w:rFonts w:eastAsia="Calibri"/>
          <w:lang w:eastAsia="en-US"/>
        </w:rPr>
        <w:instrText xml:space="preserve"> ADDIN EN.CITE &lt;EndNote&gt;&lt;Cite&gt;&lt;Author&gt;Allen&lt;/Author&gt;&lt;Year&gt;2008&lt;/Year&gt;&lt;RecNum&gt;112&lt;/RecNum&gt;&lt;DisplayText&gt;(S. R. Allen, 2008)&lt;/DisplayText&gt;&lt;record&gt;&lt;rec-number&gt;112&lt;/rec-number&gt;&lt;foreign-keys&gt;&lt;key app="EN" db-id="50wxdpzd9vd5r7e9t5b595djrfpttrxw9avp" timestamp="1525076334"&gt;112&lt;/key&gt;&lt;/foreign-keys&gt;&lt;ref-type name="Journal Article"&gt;17&lt;/ref-type&gt;&lt;contributors&gt;&lt;authors&gt;&lt;author&gt;Allen, S. R.&lt;/author&gt;&lt;/authors&gt;&lt;/contributors&gt;&lt;titles&gt;&lt;title&gt;Prospects for and barriers to domestic micro-generation: A United Kingdom Perspective&lt;/title&gt;&lt;secondary-title&gt;Applied Energy&lt;/secondary-title&gt;&lt;short-title&gt;Allen 2008 – Prospects for and barriers&lt;/short-title&gt;&lt;/titles&gt;&lt;pages&gt;p. 528-544&lt;/pages&gt;&lt;volume&gt;85&lt;/volume&gt;&lt;number&gt;6&lt;/number&gt;&lt;dates&gt;&lt;year&gt;2008&lt;/year&gt;&lt;/dates&gt;&lt;urls&gt;&lt;/urls&gt;&lt;/record&gt;&lt;/Cite&gt;&lt;/EndNote&gt;</w:instrText>
      </w:r>
      <w:r w:rsidR="001C3E02" w:rsidRPr="00C90AC9">
        <w:rPr>
          <w:rFonts w:eastAsia="Calibri"/>
          <w:lang w:eastAsia="en-US"/>
        </w:rPr>
        <w:fldChar w:fldCharType="separate"/>
      </w:r>
      <w:r w:rsidR="001C3E02" w:rsidRPr="00C90AC9">
        <w:rPr>
          <w:rFonts w:eastAsia="Calibri"/>
          <w:lang w:eastAsia="en-US"/>
        </w:rPr>
        <w:t>(S. R. Allen, 2008)</w:t>
      </w:r>
      <w:r w:rsidR="001C3E02" w:rsidRPr="00C90AC9">
        <w:rPr>
          <w:rFonts w:eastAsia="Calibri"/>
          <w:lang w:eastAsia="en-US"/>
        </w:rPr>
        <w:fldChar w:fldCharType="end"/>
      </w:r>
      <w:r w:rsidR="00C04627" w:rsidRPr="00C90AC9">
        <w:rPr>
          <w:rFonts w:eastAsia="Calibri"/>
          <w:lang w:eastAsia="en-US"/>
        </w:rPr>
        <w:t>.</w:t>
      </w:r>
      <w:r w:rsidR="00EF4F26" w:rsidRPr="00C90AC9">
        <w:rPr>
          <w:rFonts w:eastAsia="Calibri"/>
          <w:lang w:eastAsia="en-US"/>
        </w:rPr>
        <w:tab/>
      </w:r>
      <w:r w:rsidR="00682CD6" w:rsidRPr="00C90AC9">
        <w:rPr>
          <w:rFonts w:eastAsia="Calibri"/>
          <w:lang w:eastAsia="en-US"/>
        </w:rPr>
        <w:br/>
      </w:r>
      <w:r w:rsidR="00C04627" w:rsidRPr="00C90AC9">
        <w:rPr>
          <w:rFonts w:eastAsia="Calibri"/>
          <w:lang w:eastAsia="en-US"/>
        </w:rPr>
        <w:t>It has been noted by later researchers that the use of financial incentives does not necessarily result in a higher adoption rate o</w:t>
      </w:r>
      <w:r w:rsidR="001C3E02" w:rsidRPr="00C90AC9">
        <w:rPr>
          <w:rFonts w:eastAsia="Calibri"/>
          <w:lang w:eastAsia="en-US"/>
        </w:rPr>
        <w:t xml:space="preserve">f microgeneration technologies </w:t>
      </w:r>
      <w:r w:rsidR="00C04627" w:rsidRPr="00C90AC9">
        <w:rPr>
          <w:rFonts w:eastAsia="Calibri"/>
          <w:lang w:eastAsia="en-US"/>
        </w:rPr>
        <w:t>as consumers consider</w:t>
      </w:r>
      <w:r w:rsidR="001C3E02" w:rsidRPr="00C90AC9">
        <w:rPr>
          <w:rFonts w:eastAsia="Calibri"/>
          <w:lang w:eastAsia="en-US"/>
        </w:rPr>
        <w:t xml:space="preserve"> more factors than simply the financial benefits of adopting a microgeneration technology </w:t>
      </w:r>
      <w:r w:rsidR="001C3E02" w:rsidRPr="00C90AC9">
        <w:rPr>
          <w:rFonts w:eastAsia="Calibri"/>
          <w:lang w:eastAsia="en-US"/>
        </w:rPr>
        <w:fldChar w:fldCharType="begin"/>
      </w:r>
      <w:r w:rsidR="001C3E02" w:rsidRPr="00C90AC9">
        <w:rPr>
          <w:rFonts w:eastAsia="Calibri"/>
          <w:lang w:eastAsia="en-US"/>
        </w:rPr>
        <w:instrText xml:space="preserve"> ADDIN EN.CITE &lt;EndNote&gt;&lt;Cite&gt;&lt;Author&gt;Allen&lt;/Author&gt;&lt;Year&gt;2008&lt;/Year&gt;&lt;RecNum&gt;211&lt;/RecNum&gt;&lt;DisplayText&gt;(S. Allen et al., 2008)&lt;/DisplayText&gt;&lt;record&gt;&lt;rec-number&gt;211&lt;/rec-number&gt;&lt;foreign-keys&gt;&lt;key app="EN" db-id="50wxdpzd9vd5r7e9t5b595djrfpttrxw9avp" timestamp="1525464920"&gt;211&lt;/key&gt;&lt;/foreign-keys&gt;&lt;ref-type name="Book"&gt;6&lt;/ref-type&gt;&lt;contributors&gt;&lt;authors&gt;&lt;author&gt;Allen, Stephen&lt;/author&gt;&lt;author&gt;Hammond, Geoffrey&lt;/author&gt;&lt;author&gt;McManus, Marcelle&lt;/author&gt;&lt;/authors&gt;&lt;/contributors&gt;&lt;titles&gt;&lt;title&gt;Prospects for and barriers to domestic micro-generation: A United Kingdom perspective&lt;/title&gt;&lt;/titles&gt;&lt;pages&gt;528-544&lt;/pages&gt;&lt;volume&gt;85&lt;/volume&gt;&lt;dates&gt;&lt;year&gt;2008&lt;/year&gt;&lt;/dates&gt;&lt;urls&gt;&lt;/urls&gt;&lt;electronic-resource-num&gt;10.1016/j.apenergy.2007.09.006&lt;/electronic-resource-num&gt;&lt;/record&gt;&lt;/Cite&gt;&lt;/EndNote&gt;</w:instrText>
      </w:r>
      <w:r w:rsidR="001C3E02" w:rsidRPr="00C90AC9">
        <w:rPr>
          <w:rFonts w:eastAsia="Calibri"/>
          <w:lang w:eastAsia="en-US"/>
        </w:rPr>
        <w:fldChar w:fldCharType="separate"/>
      </w:r>
      <w:r w:rsidR="001C3E02" w:rsidRPr="00C90AC9">
        <w:rPr>
          <w:rFonts w:eastAsia="Calibri"/>
          <w:lang w:eastAsia="en-US"/>
        </w:rPr>
        <w:t>(</w:t>
      </w:r>
      <w:r w:rsidR="00432861" w:rsidRPr="00C90AC9">
        <w:rPr>
          <w:rFonts w:eastAsia="Calibri"/>
          <w:lang w:eastAsia="en-US"/>
        </w:rPr>
        <w:t>S. R. Allen</w:t>
      </w:r>
      <w:r w:rsidR="001C3E02" w:rsidRPr="00C90AC9">
        <w:rPr>
          <w:rFonts w:eastAsia="Calibri"/>
          <w:lang w:eastAsia="en-US"/>
        </w:rPr>
        <w:t xml:space="preserve"> et al., 2008)</w:t>
      </w:r>
      <w:r w:rsidR="001C3E02" w:rsidRPr="00C90AC9">
        <w:rPr>
          <w:rFonts w:eastAsia="Calibri"/>
          <w:lang w:eastAsia="en-US"/>
        </w:rPr>
        <w:fldChar w:fldCharType="end"/>
      </w:r>
      <w:r w:rsidR="001C3E02" w:rsidRPr="00C90AC9">
        <w:rPr>
          <w:rFonts w:eastAsia="Calibri"/>
          <w:lang w:eastAsia="en-US"/>
        </w:rPr>
        <w:t xml:space="preserve">. Homeowners consider factors such as the perceived upheaval of installing the microgeneration technology as well as the continuing costs to </w:t>
      </w:r>
      <w:r w:rsidR="00E82522" w:rsidRPr="00C90AC9">
        <w:rPr>
          <w:rFonts w:eastAsia="Calibri"/>
          <w:lang w:eastAsia="en-US"/>
        </w:rPr>
        <w:t>main</w:t>
      </w:r>
      <w:r w:rsidR="001C3E02" w:rsidRPr="00C90AC9">
        <w:rPr>
          <w:rFonts w:eastAsia="Calibri"/>
          <w:lang w:eastAsia="en-US"/>
        </w:rPr>
        <w:t xml:space="preserve">tain and service technology </w:t>
      </w:r>
      <w:r w:rsidR="00FD10CE" w:rsidRPr="00C90AC9">
        <w:rPr>
          <w:rFonts w:eastAsia="Calibri"/>
          <w:lang w:eastAsia="en-US"/>
        </w:rPr>
        <w:fldChar w:fldCharType="begin"/>
      </w:r>
      <w:r w:rsidR="00FD10CE" w:rsidRPr="00C90AC9">
        <w:rPr>
          <w:rFonts w:eastAsia="Calibri"/>
          <w:lang w:eastAsia="en-US"/>
        </w:rPr>
        <w:instrText xml:space="preserve"> ADDIN EN.CITE &lt;EndNote&gt;&lt;Cite&gt;&lt;Author&gt;Scarpa&lt;/Author&gt;&lt;Year&gt;2010&lt;/Year&gt;&lt;RecNum&gt;187&lt;/RecNum&gt;&lt;DisplayText&gt;(R. Scarpa &amp;amp; K. Willis, 2010)&lt;/DisplayText&gt;&lt;record&gt;&lt;rec-number&gt;187&lt;/rec-number&gt;&lt;foreign-keys&gt;&lt;key app="EN" db-id="50wxdpzd9vd5r7e9t5b595djrfpttrxw9avp" timestamp="1525076335"&gt;187&lt;/key&gt;&lt;/foreign-keys&gt;&lt;ref-type name="Journal Article"&gt;17&lt;/ref-type&gt;&lt;contributors&gt;&lt;authors&gt;&lt;author&gt;Scarpa, R.&lt;/author&gt;&lt;author&gt;K. Willis&lt;/author&gt;&lt;/authors&gt;&lt;/contributors&gt;&lt;titles&gt;&lt;title&gt;Willingness-to-pay for renewable energy: Primary and discretionary choice of British households&amp;apos; &lt;/title&gt;&lt;secondary-title&gt;Energy Econmics&lt;/secondary-title&gt;&lt;short-title&gt;Scarpa, R. and K. Willis 2010 – Willingness-to-pay for renewable energy&lt;/short-title&gt;&lt;/titles&gt;&lt;pages&gt;p. 129-136&lt;/pages&gt;&lt;volume&gt;32&lt;/volume&gt;&lt;number&gt;1&lt;/number&gt;&lt;dates&gt;&lt;year&gt;2010&lt;/year&gt;&lt;/dates&gt;&lt;urls&gt;&lt;/urls&gt;&lt;/record&gt;&lt;/Cite&gt;&lt;/EndNote&gt;</w:instrText>
      </w:r>
      <w:r w:rsidR="00FD10CE" w:rsidRPr="00C90AC9">
        <w:rPr>
          <w:rFonts w:eastAsia="Calibri"/>
          <w:lang w:eastAsia="en-US"/>
        </w:rPr>
        <w:fldChar w:fldCharType="separate"/>
      </w:r>
      <w:r w:rsidR="00FD10CE" w:rsidRPr="00C90AC9">
        <w:rPr>
          <w:rFonts w:eastAsia="Calibri"/>
          <w:lang w:eastAsia="en-US"/>
        </w:rPr>
        <w:t>(R. Scarpa &amp; K. Willis, 2010)</w:t>
      </w:r>
      <w:r w:rsidR="00FD10CE" w:rsidRPr="00C90AC9">
        <w:rPr>
          <w:rFonts w:eastAsia="Calibri"/>
          <w:lang w:eastAsia="en-US"/>
        </w:rPr>
        <w:fldChar w:fldCharType="end"/>
      </w:r>
      <w:r w:rsidR="001C3E02" w:rsidRPr="00C90AC9">
        <w:rPr>
          <w:rFonts w:eastAsia="Calibri"/>
          <w:lang w:eastAsia="en-US"/>
        </w:rPr>
        <w:t>. The initial capital cost</w:t>
      </w:r>
      <w:r w:rsidR="00E97678" w:rsidRPr="00C90AC9">
        <w:rPr>
          <w:rFonts w:eastAsia="Calibri"/>
          <w:lang w:eastAsia="en-US"/>
        </w:rPr>
        <w:t xml:space="preserve"> of the renewable technology</w:t>
      </w:r>
      <w:r w:rsidR="001C3E02" w:rsidRPr="00C90AC9">
        <w:rPr>
          <w:rFonts w:eastAsia="Calibri"/>
          <w:lang w:eastAsia="en-US"/>
        </w:rPr>
        <w:t xml:space="preserve"> </w:t>
      </w:r>
      <w:r w:rsidR="00E97678" w:rsidRPr="00C90AC9">
        <w:rPr>
          <w:rFonts w:eastAsia="Calibri"/>
          <w:lang w:eastAsia="en-US"/>
        </w:rPr>
        <w:t xml:space="preserve">is offset by </w:t>
      </w:r>
      <w:r w:rsidR="001C3E02" w:rsidRPr="00C90AC9">
        <w:rPr>
          <w:rFonts w:eastAsia="Calibri"/>
          <w:lang w:eastAsia="en-US"/>
        </w:rPr>
        <w:t>cost savings</w:t>
      </w:r>
      <w:r w:rsidR="00E97678" w:rsidRPr="00C90AC9">
        <w:rPr>
          <w:rFonts w:eastAsia="Calibri"/>
          <w:lang w:eastAsia="en-US"/>
        </w:rPr>
        <w:t xml:space="preserve"> which are achieved by installing the technology </w:t>
      </w:r>
      <w:r w:rsidR="00FD10CE" w:rsidRPr="00C90AC9">
        <w:rPr>
          <w:rFonts w:eastAsia="Calibri"/>
          <w:lang w:eastAsia="en-US"/>
        </w:rPr>
        <w:fldChar w:fldCharType="begin"/>
      </w:r>
      <w:r w:rsidR="00FD10CE" w:rsidRPr="00C90AC9">
        <w:rPr>
          <w:rFonts w:eastAsia="Calibri"/>
          <w:lang w:eastAsia="en-US"/>
        </w:rPr>
        <w:instrText xml:space="preserve"> ADDIN EN.CITE &lt;EndNote&gt;&lt;Cite&gt;&lt;Author&gt;Scarpa&lt;/Author&gt;&lt;Year&gt;2010&lt;/Year&gt;&lt;RecNum&gt;210&lt;/RecNum&gt;&lt;DisplayText&gt;(Riccardo Scarpa &amp;amp; Ken Willis, 2010)&lt;/DisplayText&gt;&lt;record&gt;&lt;rec-number&gt;210&lt;/rec-number&gt;&lt;foreign-keys&gt;&lt;key app="EN" db-id="50wxdpzd9vd5r7e9t5b595djrfpttrxw9avp" timestamp="1525464733"&gt;210&lt;/key&gt;&lt;/foreign-keys&gt;&lt;ref-type name="Journal Article"&gt;17&lt;/ref-type&gt;&lt;contributors&gt;&lt;authors&gt;&lt;author&gt;Scarpa, Riccardo&lt;/author&gt;&lt;author&gt;Willis, Ken&lt;/author&gt;&lt;/authors&gt;&lt;/contributors&gt;&lt;titles&gt;&lt;title&gt;Willingness-to-pay for renewable energy: Primary and discretionary choice of British households&amp;apos; for micro-generation technologies&lt;/title&gt;&lt;secondary-title&gt;Energy Economics&lt;/secondary-title&gt;&lt;/titles&gt;&lt;pages&gt;129-136&lt;/pages&gt;&lt;volume&gt;32&lt;/volume&gt;&lt;number&gt;1&lt;/number&gt;&lt;keywords&gt;&lt;keyword&gt;Renewable energy&lt;/keyword&gt;&lt;keyword&gt;Micro-generation&lt;/keyword&gt;&lt;keyword&gt;Choice modelling&lt;/keyword&gt;&lt;keyword&gt;Mixed logit&lt;/keyword&gt;&lt;/keywords&gt;&lt;dates&gt;&lt;year&gt;2010&lt;/year&gt;&lt;pub-dates&gt;&lt;date&gt;2010/01/01/&lt;/date&gt;&lt;/pub-dates&gt;&lt;/dates&gt;&lt;isbn&gt;0140-9883&lt;/isbn&gt;&lt;urls&gt;&lt;related-urls&gt;&lt;url&gt;http://www.sciencedirect.com/science/article/pii/S0140988309001030&lt;/url&gt;&lt;/related-urls&gt;&lt;/urls&gt;&lt;electronic-resource-num&gt;https://doi.org/10.1016/j.eneco.2009.06.004&lt;/electronic-resource-num&gt;&lt;/record&gt;&lt;/Cite&gt;&lt;/EndNote&gt;</w:instrText>
      </w:r>
      <w:r w:rsidR="00FD10CE" w:rsidRPr="00C90AC9">
        <w:rPr>
          <w:rFonts w:eastAsia="Calibri"/>
          <w:lang w:eastAsia="en-US"/>
        </w:rPr>
        <w:fldChar w:fldCharType="separate"/>
      </w:r>
      <w:r w:rsidR="00FD10CE" w:rsidRPr="00C90AC9">
        <w:rPr>
          <w:rFonts w:eastAsia="Calibri"/>
          <w:lang w:eastAsia="en-US"/>
        </w:rPr>
        <w:t>(Riccardo Scarpa &amp; Ken Willis, 2010)</w:t>
      </w:r>
      <w:r w:rsidR="00FD10CE" w:rsidRPr="00C90AC9">
        <w:rPr>
          <w:rFonts w:eastAsia="Calibri"/>
          <w:lang w:eastAsia="en-US"/>
        </w:rPr>
        <w:fldChar w:fldCharType="end"/>
      </w:r>
      <w:r w:rsidR="00E97678" w:rsidRPr="00C90AC9">
        <w:rPr>
          <w:rFonts w:eastAsia="Calibri"/>
          <w:lang w:eastAsia="en-US"/>
        </w:rPr>
        <w:t xml:space="preserve">. Thus, cost savings for the homeowner are achieved only at a later date from when the microgeneration technologies is installed a variable which homeowners can evaluate when assessing payback period of the technology </w:t>
      </w:r>
      <w:r w:rsidR="00FD10CE" w:rsidRPr="00C90AC9">
        <w:rPr>
          <w:rFonts w:eastAsia="Calibri"/>
          <w:lang w:eastAsia="en-US"/>
        </w:rPr>
        <w:fldChar w:fldCharType="begin"/>
      </w:r>
      <w:r w:rsidR="00FD10CE" w:rsidRPr="00C90AC9">
        <w:rPr>
          <w:rFonts w:eastAsia="Calibri"/>
          <w:lang w:eastAsia="en-US"/>
        </w:rPr>
        <w:instrText xml:space="preserve"> ADDIN EN.CITE &lt;EndNote&gt;&lt;Cite&gt;&lt;Author&gt;Scarpa&lt;/Author&gt;&lt;Year&gt;2010&lt;/Year&gt;&lt;RecNum&gt;187&lt;/RecNum&gt;&lt;DisplayText&gt;(R. Scarpa &amp;amp; K. Willis, 2010)&lt;/DisplayText&gt;&lt;record&gt;&lt;rec-number&gt;187&lt;/rec-number&gt;&lt;foreign-keys&gt;&lt;key app="EN" db-id="50wxdpzd9vd5r7e9t5b595djrfpttrxw9avp" timestamp="1525076335"&gt;187&lt;/key&gt;&lt;/foreign-keys&gt;&lt;ref-type name="Journal Article"&gt;17&lt;/ref-type&gt;&lt;contributors&gt;&lt;authors&gt;&lt;author&gt;Scarpa, R.&lt;/author&gt;&lt;author&gt;K. Willis&lt;/author&gt;&lt;/authors&gt;&lt;/contributors&gt;&lt;titles&gt;&lt;title&gt;Willingness-to-pay for renewable energy: Primary and discretionary choice of British households&amp;apos; &lt;/title&gt;&lt;secondary-title&gt;Energy Econmics&lt;/secondary-title&gt;&lt;short-title&gt;Scarpa, R. and K. Willis 2010 – Willingness-to-pay for renewable energy&lt;/short-title&gt;&lt;/titles&gt;&lt;pages&gt;p. 129-136&lt;/pages&gt;&lt;volume&gt;32&lt;/volume&gt;&lt;number&gt;1&lt;/number&gt;&lt;dates&gt;&lt;year&gt;2010&lt;/year&gt;&lt;/dates&gt;&lt;urls&gt;&lt;/urls&gt;&lt;/record&gt;&lt;/Cite&gt;&lt;/EndNote&gt;</w:instrText>
      </w:r>
      <w:r w:rsidR="00FD10CE" w:rsidRPr="00C90AC9">
        <w:rPr>
          <w:rFonts w:eastAsia="Calibri"/>
          <w:lang w:eastAsia="en-US"/>
        </w:rPr>
        <w:fldChar w:fldCharType="separate"/>
      </w:r>
      <w:r w:rsidR="00FD10CE" w:rsidRPr="00C90AC9">
        <w:rPr>
          <w:rFonts w:eastAsia="Calibri"/>
          <w:lang w:eastAsia="en-US"/>
        </w:rPr>
        <w:t>(R. Scarpa &amp; K. Willis, 2010)</w:t>
      </w:r>
      <w:r w:rsidR="00FD10CE" w:rsidRPr="00C90AC9">
        <w:rPr>
          <w:rFonts w:eastAsia="Calibri"/>
          <w:lang w:eastAsia="en-US"/>
        </w:rPr>
        <w:fldChar w:fldCharType="end"/>
      </w:r>
      <w:r w:rsidR="00E97678" w:rsidRPr="00C90AC9">
        <w:rPr>
          <w:rFonts w:eastAsia="Calibri"/>
          <w:lang w:eastAsia="en-US"/>
        </w:rPr>
        <w:t xml:space="preserve">. Researchers have therefore suggested that the government increase the incentives made to potential adopters of microgeneration technology as microgeneration technologies typically have a long payback period </w:t>
      </w:r>
      <w:r w:rsidR="00FD10CE" w:rsidRPr="00C90AC9">
        <w:rPr>
          <w:rFonts w:eastAsia="Calibri"/>
          <w:lang w:eastAsia="en-US"/>
        </w:rPr>
        <w:fldChar w:fldCharType="begin"/>
      </w:r>
      <w:r w:rsidR="00FD10CE" w:rsidRPr="00C90AC9">
        <w:rPr>
          <w:rFonts w:eastAsia="Calibri"/>
          <w:lang w:eastAsia="en-US"/>
        </w:rPr>
        <w:instrText xml:space="preserve"> ADDIN EN.CITE &lt;EndNote&gt;&lt;Cite&gt;&lt;Author&gt;Scarpa&lt;/Author&gt;&lt;Year&gt;2010&lt;/Year&gt;&lt;RecNum&gt;187&lt;/RecNum&gt;&lt;DisplayText&gt;(R. Scarpa &amp;amp; K. Willis, 2010)&lt;/DisplayText&gt;&lt;record&gt;&lt;rec-number&gt;187&lt;/rec-number&gt;&lt;foreign-keys&gt;&lt;key app="EN" db-id="50wxdpzd9vd5r7e9t5b595djrfpttrxw9avp" timestamp="1525076335"&gt;187&lt;/key&gt;&lt;/foreign-keys&gt;&lt;ref-type name="Journal Article"&gt;17&lt;/ref-type&gt;&lt;contributors&gt;&lt;authors&gt;&lt;author&gt;Scarpa, R.&lt;/author&gt;&lt;author&gt;K. Willis&lt;/author&gt;&lt;/authors&gt;&lt;/contributors&gt;&lt;titles&gt;&lt;title&gt;Willingness-to-pay for renewable energy: Primary and discretionary choice of British households&amp;apos; &lt;/title&gt;&lt;secondary-title&gt;Energy Econmics&lt;/secondary-title&gt;&lt;short-title&gt;Scarpa, R. and K. Willis 2010 – Willingness-to-pay for renewable energy&lt;/short-title&gt;&lt;/titles&gt;&lt;pages&gt;p. 129-136&lt;/pages&gt;&lt;volume&gt;32&lt;/volume&gt;&lt;number&gt;1&lt;/number&gt;&lt;dates&gt;&lt;year&gt;2010&lt;/year&gt;&lt;/dates&gt;&lt;urls&gt;&lt;/urls&gt;&lt;/record&gt;&lt;/Cite&gt;&lt;/EndNote&gt;</w:instrText>
      </w:r>
      <w:r w:rsidR="00FD10CE" w:rsidRPr="00C90AC9">
        <w:rPr>
          <w:rFonts w:eastAsia="Calibri"/>
          <w:lang w:eastAsia="en-US"/>
        </w:rPr>
        <w:fldChar w:fldCharType="separate"/>
      </w:r>
      <w:r w:rsidR="00FD10CE" w:rsidRPr="00C90AC9">
        <w:rPr>
          <w:rFonts w:eastAsia="Calibri"/>
          <w:lang w:eastAsia="en-US"/>
        </w:rPr>
        <w:t>(R. Scarpa &amp; K. Willis, 2010)</w:t>
      </w:r>
      <w:r w:rsidR="00FD10CE" w:rsidRPr="00C90AC9">
        <w:rPr>
          <w:rFonts w:eastAsia="Calibri"/>
          <w:lang w:eastAsia="en-US"/>
        </w:rPr>
        <w:fldChar w:fldCharType="end"/>
      </w:r>
      <w:r w:rsidR="00E97678" w:rsidRPr="00C90AC9">
        <w:rPr>
          <w:rFonts w:eastAsia="Calibri"/>
          <w:lang w:eastAsia="en-US"/>
        </w:rPr>
        <w:t>.</w:t>
      </w:r>
    </w:p>
    <w:p w:rsidR="00432639" w:rsidRPr="00C90AC9" w:rsidRDefault="00432639">
      <w:pPr>
        <w:rPr>
          <w:rStyle w:val="SubtleEmphasis"/>
          <w:rFonts w:cs="Times New Roman"/>
          <w:bCs/>
          <w:iCs/>
          <w:color w:val="000000" w:themeColor="text1"/>
          <w:szCs w:val="24"/>
        </w:rPr>
      </w:pPr>
      <w:r w:rsidRPr="00C90AC9">
        <w:rPr>
          <w:rStyle w:val="SubtleEmphasis"/>
          <w:bCs/>
        </w:rPr>
        <w:br w:type="page"/>
      </w:r>
    </w:p>
    <w:p w:rsidR="00424032" w:rsidRPr="00C90AC9" w:rsidRDefault="00991323" w:rsidP="00162965">
      <w:pPr>
        <w:pStyle w:val="Heading1"/>
        <w:rPr>
          <w:rStyle w:val="SubtleEmphasis"/>
          <w:bCs/>
        </w:rPr>
      </w:pPr>
      <w:r w:rsidRPr="00C90AC9">
        <w:rPr>
          <w:rStyle w:val="SubtleEmphasis"/>
          <w:bCs/>
        </w:rPr>
        <w:lastRenderedPageBreak/>
        <w:t>Solar energy</w:t>
      </w:r>
    </w:p>
    <w:p w:rsidR="00E37E65" w:rsidRPr="00C90AC9" w:rsidRDefault="00682CD6" w:rsidP="00F521EF">
      <w:pPr>
        <w:pStyle w:val="ListContinue"/>
        <w:spacing w:line="360" w:lineRule="auto"/>
        <w:ind w:left="0"/>
        <w:rPr>
          <w:rFonts w:eastAsia="Calibri"/>
          <w:lang w:eastAsia="en-US"/>
        </w:rPr>
      </w:pPr>
      <w:r w:rsidRPr="00C90AC9">
        <w:rPr>
          <w:rFonts w:eastAsia="Calibri"/>
          <w:lang w:eastAsia="en-US"/>
        </w:rPr>
        <w:tab/>
      </w:r>
      <w:r w:rsidR="00424032" w:rsidRPr="00C90AC9">
        <w:rPr>
          <w:rFonts w:eastAsia="Calibri"/>
          <w:lang w:eastAsia="en-US"/>
        </w:rPr>
        <w:t xml:space="preserve">The </w:t>
      </w:r>
      <w:r w:rsidR="000450FC" w:rsidRPr="00C90AC9">
        <w:rPr>
          <w:rFonts w:eastAsia="Calibri"/>
          <w:lang w:eastAsia="en-US"/>
        </w:rPr>
        <w:t>sun</w:t>
      </w:r>
      <w:r w:rsidR="00424032" w:rsidRPr="00C90AC9">
        <w:rPr>
          <w:rFonts w:eastAsia="Calibri"/>
          <w:lang w:eastAsia="en-US"/>
        </w:rPr>
        <w:t xml:space="preserve"> releases vast quantities of radiation energy to its surroundings, approximately 174PW (1PW = 10</w:t>
      </w:r>
      <w:r w:rsidR="00424032" w:rsidRPr="00C90AC9">
        <w:rPr>
          <w:rFonts w:eastAsia="Calibri"/>
          <w:vertAlign w:val="superscript"/>
          <w:lang w:eastAsia="en-US"/>
        </w:rPr>
        <w:t xml:space="preserve">15 </w:t>
      </w:r>
      <w:r w:rsidR="00424032" w:rsidRPr="00C90AC9">
        <w:rPr>
          <w:rFonts w:eastAsia="Calibri"/>
          <w:lang w:eastAsia="en-US"/>
        </w:rPr>
        <w:t xml:space="preserve">W) to the upper atmosphere of the Earth </w:t>
      </w:r>
      <w:r w:rsidR="007E7C0E" w:rsidRPr="00C90AC9">
        <w:rPr>
          <w:rFonts w:eastAsia="Calibri"/>
          <w:lang w:eastAsia="en-US"/>
        </w:rPr>
        <w:fldChar w:fldCharType="begin"/>
      </w:r>
      <w:r w:rsidR="007E7C0E" w:rsidRPr="00C90AC9">
        <w:rPr>
          <w:rFonts w:eastAsia="Calibri"/>
          <w:lang w:eastAsia="en-US"/>
        </w:rPr>
        <w:instrText xml:space="preserve"> ADDIN EN.CITE &lt;EndNote&gt;&lt;Cite&gt;&lt;Author&gt;Tian&lt;/Author&gt;&lt;Year&gt;2013&lt;/Year&gt;&lt;RecNum&gt;199&lt;/RecNum&gt;&lt;DisplayText&gt;(Tian &amp;amp; Zhao, 2013)&lt;/DisplayText&gt;&lt;record&gt;&lt;rec-number&gt;199&lt;/rec-number&gt;&lt;foreign-keys&gt;&lt;key app="EN" db-id="50wxdpzd9vd5r7e9t5b595djrfpttrxw9avp" timestamp="1525076335"&gt;199&lt;/key&gt;&lt;/foreign-keys&gt;&lt;ref-type name="Journal Article"&gt;17&lt;/ref-type&gt;&lt;contributors&gt;&lt;authors&gt;&lt;author&gt;Tian, Y.&lt;/author&gt;&lt;author&gt;C.Y. Zhao&lt;/author&gt;&lt;/authors&gt;&lt;/contributors&gt;&lt;titles&gt;&lt;title&gt;A review of solar collectors and thermal energy storage in solar thermal applications&lt;/title&gt;&lt;secondary-title&gt;Applied Energy&lt;/secondary-title&gt;&lt;short-title&gt;Tian, Y. and C.Y. Zhao 2013 – A review of solar collectors&lt;/short-title&gt;&lt;/titles&gt;&lt;pages&gt;p. 538-553&lt;/pages&gt;&lt;volume&gt;104&lt;/volume&gt;&lt;dates&gt;&lt;year&gt;2013&lt;/year&gt;&lt;/dates&gt;&lt;urls&gt;&lt;/urls&gt;&lt;/record&gt;&lt;/Cite&gt;&lt;/EndNote&gt;</w:instrText>
      </w:r>
      <w:r w:rsidR="007E7C0E" w:rsidRPr="00C90AC9">
        <w:rPr>
          <w:rFonts w:eastAsia="Calibri"/>
          <w:lang w:eastAsia="en-US"/>
        </w:rPr>
        <w:fldChar w:fldCharType="separate"/>
      </w:r>
      <w:r w:rsidR="007E7C0E" w:rsidRPr="00C90AC9">
        <w:rPr>
          <w:rFonts w:eastAsia="Calibri"/>
          <w:lang w:eastAsia="en-US"/>
        </w:rPr>
        <w:t>(Tian &amp; Zhao, 2013)</w:t>
      </w:r>
      <w:r w:rsidR="007E7C0E" w:rsidRPr="00C90AC9">
        <w:rPr>
          <w:rFonts w:eastAsia="Calibri"/>
          <w:lang w:eastAsia="en-US"/>
        </w:rPr>
        <w:fldChar w:fldCharType="end"/>
      </w:r>
      <w:r w:rsidR="007F1951" w:rsidRPr="00C90AC9">
        <w:rPr>
          <w:rFonts w:eastAsia="Calibri"/>
          <w:lang w:eastAsia="en-US"/>
        </w:rPr>
        <w:t>. W</w:t>
      </w:r>
      <w:r w:rsidR="00424032" w:rsidRPr="00C90AC9">
        <w:rPr>
          <w:rFonts w:eastAsia="Calibri"/>
          <w:lang w:eastAsia="en-US"/>
        </w:rPr>
        <w:t xml:space="preserve">hilst not all of this radiation arrives at the surface of the Earth (due to </w:t>
      </w:r>
      <w:r w:rsidR="007F1951" w:rsidRPr="00C90AC9">
        <w:rPr>
          <w:rFonts w:eastAsia="Calibri"/>
          <w:lang w:eastAsia="en-US"/>
        </w:rPr>
        <w:t xml:space="preserve">the atmosphere and particulates and </w:t>
      </w:r>
      <w:r w:rsidR="00424032" w:rsidRPr="00C90AC9">
        <w:rPr>
          <w:rFonts w:eastAsia="Calibri"/>
          <w:lang w:eastAsia="en-US"/>
        </w:rPr>
        <w:t>clouds</w:t>
      </w:r>
      <w:r w:rsidR="007F1951" w:rsidRPr="00C90AC9">
        <w:rPr>
          <w:rFonts w:eastAsia="Calibri"/>
          <w:lang w:eastAsia="en-US"/>
        </w:rPr>
        <w:t xml:space="preserve"> in the </w:t>
      </w:r>
      <w:r w:rsidR="00424032" w:rsidRPr="00C90AC9">
        <w:rPr>
          <w:rFonts w:eastAsia="Calibri"/>
          <w:lang w:eastAsia="en-US"/>
        </w:rPr>
        <w:t xml:space="preserve">atmosphere) 51% of this amount </w:t>
      </w:r>
      <w:r w:rsidR="00FF15D4" w:rsidRPr="00C90AC9">
        <w:rPr>
          <w:rFonts w:eastAsia="Calibri"/>
          <w:lang w:eastAsia="en-US"/>
        </w:rPr>
        <w:t>does reach</w:t>
      </w:r>
      <w:r w:rsidR="00424032" w:rsidRPr="00C90AC9">
        <w:rPr>
          <w:rFonts w:eastAsia="Calibri"/>
          <w:lang w:eastAsia="en-US"/>
        </w:rPr>
        <w:t xml:space="preserve"> the Earth’s surface and is absorbed by the land and oceans </w:t>
      </w:r>
      <w:r w:rsidR="007F1951" w:rsidRPr="00C90AC9">
        <w:rPr>
          <w:rFonts w:eastAsia="Calibri"/>
          <w:lang w:eastAsia="en-US"/>
        </w:rPr>
        <w:t xml:space="preserve">as shown in </w:t>
      </w:r>
      <w:r w:rsidR="00424032" w:rsidRPr="00C90AC9">
        <w:rPr>
          <w:rFonts w:eastAsia="Calibri"/>
          <w:lang w:eastAsia="en-US"/>
        </w:rPr>
        <w:t>Figure</w:t>
      </w:r>
      <w:r w:rsidR="0047562B" w:rsidRPr="00C90AC9">
        <w:rPr>
          <w:rFonts w:eastAsia="Calibri"/>
          <w:lang w:eastAsia="en-US"/>
        </w:rPr>
        <w:t xml:space="preserve"> 1.</w:t>
      </w:r>
      <w:r w:rsidR="00F17541" w:rsidRPr="00C90AC9">
        <w:rPr>
          <w:rFonts w:eastAsia="Calibri"/>
          <w:lang w:eastAsia="en-US"/>
        </w:rPr>
        <w:t>9</w:t>
      </w:r>
      <w:r w:rsidR="0047562B" w:rsidRPr="00C90AC9">
        <w:rPr>
          <w:rFonts w:eastAsia="Calibri"/>
          <w:lang w:eastAsia="en-US"/>
        </w:rPr>
        <w:t xml:space="preserve">. </w:t>
      </w:r>
      <w:r w:rsidR="00424032" w:rsidRPr="00C90AC9">
        <w:rPr>
          <w:rFonts w:eastAsia="Calibri"/>
          <w:lang w:eastAsia="en-US"/>
        </w:rPr>
        <w:t xml:space="preserve">Solar energy is the most abundant renewable energy </w:t>
      </w:r>
      <w:r w:rsidR="00471B12" w:rsidRPr="00C90AC9">
        <w:rPr>
          <w:rFonts w:eastAsia="Calibri"/>
          <w:lang w:eastAsia="en-US"/>
        </w:rPr>
        <w:t xml:space="preserve">resource and is </w:t>
      </w:r>
      <w:r w:rsidR="00424032" w:rsidRPr="00C90AC9">
        <w:rPr>
          <w:rFonts w:eastAsia="Calibri"/>
          <w:lang w:eastAsia="en-US"/>
        </w:rPr>
        <w:t>available in both direct and indirect forms</w:t>
      </w:r>
      <w:r w:rsidR="00471B12" w:rsidRPr="00C90AC9">
        <w:rPr>
          <w:rFonts w:eastAsia="Calibri"/>
          <w:lang w:eastAsia="en-US"/>
        </w:rPr>
        <w:t xml:space="preserve"> </w:t>
      </w:r>
      <w:r w:rsidR="00BC7E2C" w:rsidRPr="00C90AC9">
        <w:rPr>
          <w:rFonts w:eastAsia="Calibri"/>
          <w:lang w:eastAsia="en-US"/>
        </w:rPr>
        <w:t xml:space="preserve">of </w:t>
      </w:r>
      <w:r w:rsidR="00471B12" w:rsidRPr="00C90AC9">
        <w:rPr>
          <w:rFonts w:eastAsia="Calibri"/>
          <w:lang w:eastAsia="en-US"/>
        </w:rPr>
        <w:t>solar radiation</w:t>
      </w:r>
      <w:r w:rsidR="00424032" w:rsidRPr="00C90AC9">
        <w:rPr>
          <w:rFonts w:eastAsia="Calibri"/>
          <w:lang w:eastAsia="en-US"/>
        </w:rPr>
        <w:t xml:space="preserve"> </w:t>
      </w:r>
      <w:r w:rsidR="00BC7E2C" w:rsidRPr="00C90AC9">
        <w:rPr>
          <w:rFonts w:eastAsia="Calibri"/>
          <w:lang w:eastAsia="en-US"/>
        </w:rPr>
        <w:fldChar w:fldCharType="begin"/>
      </w:r>
      <w:r w:rsidR="00A6686F" w:rsidRPr="00C90AC9">
        <w:rPr>
          <w:rFonts w:eastAsia="Calibri"/>
          <w:lang w:eastAsia="en-US"/>
        </w:rPr>
        <w:instrText xml:space="preserve"> ADDIN EN.CITE &lt;EndNote&gt;&lt;Cite&gt;&lt;Author&gt;Thür&lt;/Author&gt;&lt;Year&gt;2006&lt;/Year&gt;&lt;RecNum&gt;198&lt;/RecNum&gt;&lt;DisplayText&gt;(Smil, 1991; Thür &amp;amp; Shah, 2006)&lt;/DisplayText&gt;&lt;record&gt;&lt;rec-number&gt;198&lt;/rec-number&gt;&lt;foreign-keys&gt;&lt;key app="EN" db-id="50wxdpzd9vd5r7e9t5b595djrfpttrxw9avp" timestamp="1525076335"&gt;198&lt;/key&gt;&lt;/foreign-keys&gt;&lt;ref-type name="Journal Article"&gt;17&lt;/ref-type&gt;&lt;contributors&gt;&lt;authors&gt;&lt;author&gt;Thür, A., S. Furbo,&lt;/author&gt;&lt;author&gt;L.J. Shah&lt;/author&gt;&lt;/authors&gt;&lt;/contributors&gt;&lt;titles&gt;&lt;title&gt;Energy savings for solar heating systems&lt;/title&gt;&lt;secondary-title&gt;Solar Energy&lt;/secondary-title&gt;&lt;short-title&gt;Thür, A., S. Furbo, and L.J. Shah 2006 – Energy savings for solar heating&lt;/short-title&gt;&lt;/titles&gt;&lt;pages&gt;p. 1463-1474&lt;/pages&gt;&lt;volume&gt;80&lt;/volume&gt;&lt;number&gt;80&lt;/number&gt;&lt;dates&gt;&lt;year&gt;2006&lt;/year&gt;&lt;/dates&gt;&lt;urls&gt;&lt;/urls&gt;&lt;/record&gt;&lt;/Cite&gt;&lt;Cite&gt;&lt;Author&gt;Smil&lt;/Author&gt;&lt;Year&gt;1991&lt;/Year&gt;&lt;RecNum&gt;189&lt;/RecNum&gt;&lt;record&gt;&lt;rec-number&gt;189&lt;/rec-number&gt;&lt;foreign-keys&gt;&lt;key app="EN" db-id="50wxdpzd9vd5r7e9t5b595djrfpttrxw9avp" timestamp="1525076335"&gt;189&lt;/key&gt;&lt;/foreign-keys&gt;&lt;ref-type name="Book"&gt;6&lt;/ref-type&gt;&lt;contributors&gt;&lt;authors&gt;&lt;author&gt;Smil, V.&lt;/author&gt;&lt;/authors&gt;&lt;/contributors&gt;&lt;titles&gt;&lt;title&gt;General energetics: energy in the biosphere and civilization&lt;/title&gt;&lt;short-title&gt;Smil 1991 – General energetics&lt;/short-title&gt;&lt;/titles&gt;&lt;dates&gt;&lt;year&gt;1991&lt;/year&gt;&lt;/dates&gt;&lt;publisher&gt;Wiley&lt;/publisher&gt;&lt;urls&gt;&lt;/urls&gt;&lt;/record&gt;&lt;/Cite&gt;&lt;/EndNote&gt;</w:instrText>
      </w:r>
      <w:r w:rsidR="00BC7E2C" w:rsidRPr="00C90AC9">
        <w:rPr>
          <w:rFonts w:eastAsia="Calibri"/>
          <w:lang w:eastAsia="en-US"/>
        </w:rPr>
        <w:fldChar w:fldCharType="separate"/>
      </w:r>
      <w:r w:rsidR="00A6686F" w:rsidRPr="00C90AC9">
        <w:rPr>
          <w:rFonts w:eastAsia="Calibri"/>
          <w:lang w:eastAsia="en-US"/>
        </w:rPr>
        <w:t>(Smil, 1991; Thür &amp; Shah, 2006)</w:t>
      </w:r>
      <w:r w:rsidR="00BC7E2C" w:rsidRPr="00C90AC9">
        <w:rPr>
          <w:rFonts w:eastAsia="Calibri"/>
          <w:lang w:eastAsia="en-US"/>
        </w:rPr>
        <w:fldChar w:fldCharType="end"/>
      </w:r>
      <w:r w:rsidR="00424032" w:rsidRPr="00C90AC9">
        <w:rPr>
          <w:rFonts w:eastAsia="Calibri"/>
          <w:lang w:eastAsia="en-US"/>
        </w:rPr>
        <w:t>. To capture this solar energy</w:t>
      </w:r>
      <w:r w:rsidR="00471B12" w:rsidRPr="00C90AC9">
        <w:rPr>
          <w:rFonts w:eastAsia="Calibri"/>
          <w:lang w:eastAsia="en-US"/>
        </w:rPr>
        <w:t>,</w:t>
      </w:r>
      <w:r w:rsidR="00424032" w:rsidRPr="00C90AC9">
        <w:rPr>
          <w:rFonts w:eastAsia="Calibri"/>
          <w:lang w:eastAsia="en-US"/>
        </w:rPr>
        <w:t xml:space="preserve"> solar collectors are used to either store the radiated energy in the form of thermal energy in a working fluid (typically water or oil), or </w:t>
      </w:r>
      <w:r w:rsidR="00471B12" w:rsidRPr="00C90AC9">
        <w:rPr>
          <w:rFonts w:eastAsia="Calibri"/>
          <w:lang w:eastAsia="en-US"/>
        </w:rPr>
        <w:t xml:space="preserve">solar radiation is captured as </w:t>
      </w:r>
      <w:r w:rsidR="00424032" w:rsidRPr="00C90AC9">
        <w:rPr>
          <w:rFonts w:eastAsia="Calibri"/>
          <w:lang w:eastAsia="en-US"/>
        </w:rPr>
        <w:t>electrical</w:t>
      </w:r>
      <w:r w:rsidR="00471B12" w:rsidRPr="00C90AC9">
        <w:rPr>
          <w:rFonts w:eastAsia="Calibri"/>
          <w:lang w:eastAsia="en-US"/>
        </w:rPr>
        <w:t xml:space="preserve"> energy through the employment of PV systems </w:t>
      </w:r>
      <w:r w:rsidR="00B80A02" w:rsidRPr="00C90AC9">
        <w:rPr>
          <w:rFonts w:eastAsia="Calibri"/>
          <w:lang w:eastAsia="en-US"/>
        </w:rPr>
        <w:fldChar w:fldCharType="begin"/>
      </w:r>
      <w:r w:rsidR="00B80A02" w:rsidRPr="00C90AC9">
        <w:rPr>
          <w:rFonts w:eastAsia="Calibri"/>
          <w:lang w:eastAsia="en-US"/>
        </w:rPr>
        <w:instrText xml:space="preserve"> ADDIN EN.CITE &lt;EndNote&gt;&lt;Cite&gt;&lt;Author&gt;Thür&lt;/Author&gt;&lt;Year&gt;2006&lt;/Year&gt;&lt;RecNum&gt;198&lt;/RecNum&gt;&lt;DisplayText&gt;(Thür &amp;amp; Shah, 2006)&lt;/DisplayText&gt;&lt;record&gt;&lt;rec-number&gt;198&lt;/rec-number&gt;&lt;foreign-keys&gt;&lt;key app="EN" db-id="50wxdpzd9vd5r7e9t5b595djrfpttrxw9avp" timestamp="1525076335"&gt;198&lt;/key&gt;&lt;/foreign-keys&gt;&lt;ref-type name="Journal Article"&gt;17&lt;/ref-type&gt;&lt;contributors&gt;&lt;authors&gt;&lt;author&gt;Thür, A., S. Furbo,&lt;/author&gt;&lt;author&gt;L.J. Shah&lt;/author&gt;&lt;/authors&gt;&lt;/contributors&gt;&lt;titles&gt;&lt;title&gt;Energy savings for solar heating systems&lt;/title&gt;&lt;secondary-title&gt;Solar Energy&lt;/secondary-title&gt;&lt;short-title&gt;Thür, A., S. Furbo, and L.J. Shah 2006 – Energy savings for solar heating&lt;/short-title&gt;&lt;/titles&gt;&lt;pages&gt;p. 1463-1474&lt;/pages&gt;&lt;volume&gt;80&lt;/volume&gt;&lt;number&gt;80&lt;/number&gt;&lt;dates&gt;&lt;year&gt;2006&lt;/year&gt;&lt;/dates&gt;&lt;urls&gt;&lt;/urls&gt;&lt;/record&gt;&lt;/Cite&gt;&lt;/EndNote&gt;</w:instrText>
      </w:r>
      <w:r w:rsidR="00B80A02" w:rsidRPr="00C90AC9">
        <w:rPr>
          <w:rFonts w:eastAsia="Calibri"/>
          <w:lang w:eastAsia="en-US"/>
        </w:rPr>
        <w:fldChar w:fldCharType="separate"/>
      </w:r>
      <w:r w:rsidR="00B80A02" w:rsidRPr="00C90AC9">
        <w:rPr>
          <w:rFonts w:eastAsia="Calibri"/>
          <w:lang w:eastAsia="en-US"/>
        </w:rPr>
        <w:t>(Thür &amp; Shah, 2006)</w:t>
      </w:r>
      <w:r w:rsidR="00B80A02" w:rsidRPr="00C90AC9">
        <w:rPr>
          <w:rFonts w:eastAsia="Calibri"/>
          <w:lang w:eastAsia="en-US"/>
        </w:rPr>
        <w:fldChar w:fldCharType="end"/>
      </w:r>
      <w:r w:rsidR="00BC7E2C" w:rsidRPr="00C90AC9">
        <w:rPr>
          <w:rFonts w:eastAsia="Calibri"/>
          <w:lang w:eastAsia="en-US"/>
        </w:rPr>
        <w:t>.</w:t>
      </w:r>
      <w:r w:rsidR="00424032" w:rsidRPr="00C90AC9">
        <w:rPr>
          <w:rFonts w:eastAsia="Calibri"/>
          <w:lang w:eastAsia="en-US"/>
        </w:rPr>
        <w:t xml:space="preserve"> </w:t>
      </w:r>
    </w:p>
    <w:p w:rsidR="00E37E65" w:rsidRPr="00C90AC9" w:rsidRDefault="00424032" w:rsidP="00F521EF">
      <w:pPr>
        <w:pStyle w:val="ListContinue"/>
        <w:spacing w:line="360" w:lineRule="auto"/>
        <w:ind w:left="0"/>
        <w:rPr>
          <w:rFonts w:eastAsia="Calibri"/>
          <w:lang w:eastAsia="en-US"/>
        </w:rPr>
      </w:pPr>
      <w:r w:rsidRPr="00C90AC9">
        <w:rPr>
          <w:rFonts w:eastAsia="Calibri"/>
          <w:lang w:eastAsia="en-US"/>
        </w:rPr>
        <w:t>Capturing as much solar energy which can then be utilised in domestic properties</w:t>
      </w:r>
      <w:r w:rsidR="00471B12" w:rsidRPr="00C90AC9">
        <w:rPr>
          <w:rFonts w:eastAsia="Calibri"/>
          <w:lang w:eastAsia="en-US"/>
        </w:rPr>
        <w:t xml:space="preserve"> will </w:t>
      </w:r>
      <w:r w:rsidRPr="00C90AC9">
        <w:rPr>
          <w:rFonts w:eastAsia="Calibri"/>
          <w:lang w:eastAsia="en-US"/>
        </w:rPr>
        <w:t xml:space="preserve">positively contribute to the UK achieving the EU targets to reduce </w:t>
      </w:r>
      <w:r w:rsidR="007E00BF" w:rsidRPr="00C90AC9">
        <w:rPr>
          <w:rFonts w:eastAsia="Calibri"/>
          <w:lang w:eastAsia="en-US"/>
        </w:rPr>
        <w:t>CO</w:t>
      </w:r>
      <w:r w:rsidR="007E00BF" w:rsidRPr="00C90AC9">
        <w:rPr>
          <w:rFonts w:eastAsia="Calibri"/>
          <w:vertAlign w:val="subscript"/>
          <w:lang w:eastAsia="en-US"/>
        </w:rPr>
        <w:t>2</w:t>
      </w:r>
      <w:r w:rsidRPr="00C90AC9">
        <w:rPr>
          <w:rFonts w:eastAsia="Calibri"/>
          <w:lang w:eastAsia="en-US"/>
        </w:rPr>
        <w:t xml:space="preserve"> emissions </w:t>
      </w:r>
      <w:r w:rsidR="00471B12" w:rsidRPr="00C90AC9">
        <w:rPr>
          <w:rFonts w:eastAsia="Calibri"/>
          <w:lang w:eastAsia="en-US"/>
        </w:rPr>
        <w:t xml:space="preserve"> as renewable source</w:t>
      </w:r>
      <w:r w:rsidR="002F3DFD" w:rsidRPr="00C90AC9">
        <w:rPr>
          <w:rFonts w:eastAsia="Calibri"/>
          <w:lang w:eastAsia="en-US"/>
        </w:rPr>
        <w:t>s have</w:t>
      </w:r>
      <w:r w:rsidR="00471B12" w:rsidRPr="00C90AC9">
        <w:rPr>
          <w:rFonts w:eastAsia="Calibri"/>
          <w:lang w:eastAsia="en-US"/>
        </w:rPr>
        <w:t xml:space="preserve"> no associated GHG emissions associated with their use</w:t>
      </w:r>
      <w:r w:rsidR="00FF15D4" w:rsidRPr="00C90AC9">
        <w:rPr>
          <w:rFonts w:eastAsia="Calibri"/>
          <w:lang w:eastAsia="en-US"/>
        </w:rPr>
        <w:t xml:space="preserve"> </w:t>
      </w:r>
      <w:r w:rsidR="00FF15D4" w:rsidRPr="00C90AC9">
        <w:rPr>
          <w:rFonts w:eastAsia="Calibri"/>
          <w:lang w:eastAsia="en-US"/>
        </w:rPr>
        <w:fldChar w:fldCharType="begin"/>
      </w:r>
      <w:r w:rsidR="00FF15D4" w:rsidRPr="00C90AC9">
        <w:rPr>
          <w:rFonts w:eastAsia="Calibri"/>
          <w:lang w:eastAsia="en-US"/>
        </w:rPr>
        <w:instrText xml:space="preserve"> ADDIN EN.CITE &lt;EndNote&gt;&lt;Cite&gt;&lt;Author&gt;ESTIF&lt;/Author&gt;&lt;Year&gt;2013&lt;/Year&gt;&lt;RecNum&gt;140&lt;/RecNum&gt;&lt;DisplayText&gt;(ESTIF, 2013)&lt;/DisplayText&gt;&lt;record&gt;&lt;rec-number&gt;140&lt;/rec-number&gt;&lt;foreign-keys&gt;&lt;key app="EN" db-id="50wxdpzd9vd5r7e9t5b595djrfpttrxw9avp" timestamp="1525076334"&gt;140&lt;/key&gt;&lt;/foreign-keys&gt;&lt;ref-type name="Unpublished Work"&gt;34&lt;/ref-type&gt;&lt;contributors&gt;&lt;authors&gt;&lt;author&gt;ESTIF&lt;/author&gt;&lt;/authors&gt;&lt;/contributors&gt;&lt;titles&gt;&lt;title&gt;Solar Thermal Markets in Europe, Trends and Market Statistics&lt;/title&gt;&lt;short-title&gt;ESTIF 2013 – Solar Thermal Markets in Europe&lt;/short-title&gt;&lt;/titles&gt;&lt;dates&gt;&lt;year&gt;2013&lt;/year&gt;&lt;/dates&gt;&lt;urls&gt;&lt;/urls&gt;&lt;/record&gt;&lt;/Cite&gt;&lt;/EndNote&gt;</w:instrText>
      </w:r>
      <w:r w:rsidR="00FF15D4" w:rsidRPr="00C90AC9">
        <w:rPr>
          <w:rFonts w:eastAsia="Calibri"/>
          <w:lang w:eastAsia="en-US"/>
        </w:rPr>
        <w:fldChar w:fldCharType="separate"/>
      </w:r>
      <w:r w:rsidR="00FF15D4" w:rsidRPr="00C90AC9">
        <w:rPr>
          <w:rFonts w:eastAsia="Calibri"/>
          <w:lang w:eastAsia="en-US"/>
        </w:rPr>
        <w:t>(ESTIF, 2013)</w:t>
      </w:r>
      <w:r w:rsidR="00FF15D4" w:rsidRPr="00C90AC9">
        <w:rPr>
          <w:rFonts w:eastAsia="Calibri"/>
          <w:lang w:eastAsia="en-US"/>
        </w:rPr>
        <w:fldChar w:fldCharType="end"/>
      </w:r>
      <w:r w:rsidRPr="00C90AC9">
        <w:rPr>
          <w:rFonts w:eastAsia="Calibri"/>
          <w:lang w:eastAsia="en-US"/>
        </w:rPr>
        <w:t>. In 2011</w:t>
      </w:r>
      <w:r w:rsidR="00FF15D4" w:rsidRPr="00C90AC9">
        <w:rPr>
          <w:rFonts w:eastAsia="Calibri"/>
          <w:lang w:eastAsia="en-US"/>
        </w:rPr>
        <w:t>,</w:t>
      </w:r>
      <w:r w:rsidRPr="00C90AC9">
        <w:rPr>
          <w:rFonts w:eastAsia="Calibri"/>
          <w:lang w:eastAsia="en-US"/>
        </w:rPr>
        <w:t xml:space="preserve"> </w:t>
      </w:r>
      <w:r w:rsidR="00FF15D4" w:rsidRPr="00C90AC9">
        <w:rPr>
          <w:rFonts w:eastAsia="Calibri"/>
          <w:lang w:eastAsia="en-US"/>
        </w:rPr>
        <w:t xml:space="preserve">STPs </w:t>
      </w:r>
      <w:r w:rsidRPr="00C90AC9">
        <w:rPr>
          <w:rFonts w:eastAsia="Calibri"/>
          <w:lang w:eastAsia="en-US"/>
        </w:rPr>
        <w:t>were the most established form of micro-generated technology in the UK accounting for at least 100,000 installed systems</w:t>
      </w:r>
      <w:r w:rsidR="00471B12" w:rsidRPr="00C90AC9">
        <w:rPr>
          <w:rFonts w:eastAsia="Calibri"/>
          <w:lang w:eastAsia="en-US"/>
        </w:rPr>
        <w:t xml:space="preserve"> on domestic properties </w:t>
      </w:r>
      <w:r w:rsidR="00FF15D4" w:rsidRPr="00C90AC9">
        <w:rPr>
          <w:rFonts w:eastAsia="Calibri"/>
          <w:lang w:eastAsia="en-US"/>
        </w:rPr>
        <w:t xml:space="preserve">in the </w:t>
      </w:r>
      <w:r w:rsidRPr="00C90AC9">
        <w:rPr>
          <w:rFonts w:eastAsia="Calibri"/>
          <w:lang w:eastAsia="en-US"/>
        </w:rPr>
        <w:t>UK</w:t>
      </w:r>
      <w:r w:rsidR="00BC7E2C" w:rsidRPr="00C90AC9">
        <w:rPr>
          <w:rFonts w:eastAsia="Calibri"/>
          <w:lang w:eastAsia="en-US"/>
        </w:rPr>
        <w:t xml:space="preserve"> </w:t>
      </w:r>
      <w:r w:rsidR="002F3DFD" w:rsidRPr="00C90AC9">
        <w:rPr>
          <w:rFonts w:eastAsia="Calibri"/>
          <w:lang w:eastAsia="en-US"/>
        </w:rPr>
        <w:fldChar w:fldCharType="begin"/>
      </w:r>
      <w:r w:rsidR="002F3DFD" w:rsidRPr="00C90AC9">
        <w:rPr>
          <w:rFonts w:eastAsia="Calibri"/>
          <w:lang w:eastAsia="en-US"/>
        </w:rPr>
        <w:instrText xml:space="preserve"> ADDIN EN.CITE &lt;EndNote&gt;&lt;Cite&gt;&lt;Author&gt;ESTIF&lt;/Author&gt;&lt;Year&gt;2013&lt;/Year&gt;&lt;RecNum&gt;140&lt;/RecNum&gt;&lt;DisplayText&gt;(ESTIF, 2013)&lt;/DisplayText&gt;&lt;record&gt;&lt;rec-number&gt;140&lt;/rec-number&gt;&lt;foreign-keys&gt;&lt;key app="EN" db-id="50wxdpzd9vd5r7e9t5b595djrfpttrxw9avp" timestamp="1525076334"&gt;140&lt;/key&gt;&lt;/foreign-keys&gt;&lt;ref-type name="Unpublished Work"&gt;34&lt;/ref-type&gt;&lt;contributors&gt;&lt;authors&gt;&lt;author&gt;ESTIF&lt;/author&gt;&lt;/authors&gt;&lt;/contributors&gt;&lt;titles&gt;&lt;title&gt;Solar Thermal Markets in Europe, Trends and Market Statistics&lt;/title&gt;&lt;short-title&gt;ESTIF 2013 – Solar Thermal Markets in Europe&lt;/short-title&gt;&lt;/titles&gt;&lt;dates&gt;&lt;year&gt;2013&lt;/year&gt;&lt;/dates&gt;&lt;urls&gt;&lt;/urls&gt;&lt;/record&gt;&lt;/Cite&gt;&lt;/EndNote&gt;</w:instrText>
      </w:r>
      <w:r w:rsidR="002F3DFD" w:rsidRPr="00C90AC9">
        <w:rPr>
          <w:rFonts w:eastAsia="Calibri"/>
          <w:lang w:eastAsia="en-US"/>
        </w:rPr>
        <w:fldChar w:fldCharType="separate"/>
      </w:r>
      <w:r w:rsidR="002F3DFD" w:rsidRPr="00C90AC9">
        <w:rPr>
          <w:rFonts w:eastAsia="Calibri"/>
          <w:lang w:eastAsia="en-US"/>
        </w:rPr>
        <w:t>(ESTIF, 2013)</w:t>
      </w:r>
      <w:r w:rsidR="002F3DFD" w:rsidRPr="00C90AC9">
        <w:rPr>
          <w:rFonts w:eastAsia="Calibri"/>
          <w:lang w:eastAsia="en-US"/>
        </w:rPr>
        <w:fldChar w:fldCharType="end"/>
      </w:r>
      <w:r w:rsidR="00BC7E2C" w:rsidRPr="00C90AC9">
        <w:rPr>
          <w:rFonts w:eastAsia="Calibri"/>
          <w:lang w:eastAsia="en-US"/>
        </w:rPr>
        <w:t>.</w:t>
      </w:r>
      <w:r w:rsidRPr="00C90AC9">
        <w:rPr>
          <w:rFonts w:eastAsia="Calibri"/>
          <w:lang w:eastAsia="en-US"/>
        </w:rPr>
        <w:t xml:space="preserve"> Whilst not every prop</w:t>
      </w:r>
      <w:r w:rsidR="00471B12" w:rsidRPr="00C90AC9">
        <w:rPr>
          <w:rFonts w:eastAsia="Calibri"/>
          <w:lang w:eastAsia="en-US"/>
        </w:rPr>
        <w:t>erty of the UK’s housing stock (</w:t>
      </w:r>
      <w:r w:rsidRPr="00C90AC9">
        <w:rPr>
          <w:rFonts w:eastAsia="Calibri"/>
          <w:lang w:eastAsia="en-US"/>
        </w:rPr>
        <w:t>an estimated 27 million dwellings</w:t>
      </w:r>
      <w:r w:rsidR="00471B12" w:rsidRPr="00C90AC9">
        <w:rPr>
          <w:rFonts w:eastAsia="Calibri"/>
          <w:lang w:eastAsia="en-US"/>
        </w:rPr>
        <w:t xml:space="preserve">) is </w:t>
      </w:r>
      <w:r w:rsidRPr="00C90AC9">
        <w:rPr>
          <w:rFonts w:eastAsia="Calibri"/>
          <w:lang w:eastAsia="en-US"/>
        </w:rPr>
        <w:t xml:space="preserve">suitable for </w:t>
      </w:r>
      <w:r w:rsidR="006518C0" w:rsidRPr="00C90AC9">
        <w:rPr>
          <w:rFonts w:eastAsia="Calibri"/>
          <w:lang w:eastAsia="en-US"/>
        </w:rPr>
        <w:t>STPs</w:t>
      </w:r>
      <w:r w:rsidR="00FF15D4" w:rsidRPr="00C90AC9">
        <w:rPr>
          <w:rFonts w:eastAsia="Calibri"/>
          <w:lang w:eastAsia="en-US"/>
        </w:rPr>
        <w:t>,</w:t>
      </w:r>
      <w:r w:rsidRPr="00C90AC9">
        <w:rPr>
          <w:rFonts w:eastAsia="Calibri"/>
          <w:lang w:eastAsia="en-US"/>
        </w:rPr>
        <w:t xml:space="preserve"> this suggests that only 0.37% of the entire housing stock currently employ </w:t>
      </w:r>
      <w:r w:rsidR="006518C0" w:rsidRPr="00C90AC9">
        <w:rPr>
          <w:rFonts w:eastAsia="Calibri"/>
          <w:lang w:eastAsia="en-US"/>
        </w:rPr>
        <w:t>STPs</w:t>
      </w:r>
      <w:r w:rsidR="00310C75" w:rsidRPr="00C90AC9">
        <w:rPr>
          <w:rFonts w:eastAsia="Calibri"/>
          <w:lang w:eastAsia="en-US"/>
        </w:rPr>
        <w:t xml:space="preserve"> </w:t>
      </w:r>
      <w:r w:rsidR="002F3DFD" w:rsidRPr="00C90AC9">
        <w:rPr>
          <w:rFonts w:eastAsia="Calibri"/>
          <w:lang w:eastAsia="en-US"/>
        </w:rPr>
        <w:fldChar w:fldCharType="begin"/>
      </w:r>
      <w:r w:rsidR="002F3DFD" w:rsidRPr="00C90AC9">
        <w:rPr>
          <w:rFonts w:eastAsia="Calibri"/>
          <w:lang w:eastAsia="en-US"/>
        </w:rPr>
        <w:instrText xml:space="preserve"> ADDIN EN.CITE &lt;EndNote&gt;&lt;Cite&gt;&lt;Author&gt;ESTIF&lt;/Author&gt;&lt;Year&gt;2013&lt;/Year&gt;&lt;RecNum&gt;140&lt;/RecNum&gt;&lt;DisplayText&gt;(ESTIF, 2013)&lt;/DisplayText&gt;&lt;record&gt;&lt;rec-number&gt;140&lt;/rec-number&gt;&lt;foreign-keys&gt;&lt;key app="EN" db-id="50wxdpzd9vd5r7e9t5b595djrfpttrxw9avp" timestamp="1525076334"&gt;140&lt;/key&gt;&lt;/foreign-keys&gt;&lt;ref-type name="Unpublished Work"&gt;34&lt;/ref-type&gt;&lt;contributors&gt;&lt;authors&gt;&lt;author&gt;ESTIF&lt;/author&gt;&lt;/authors&gt;&lt;/contributors&gt;&lt;titles&gt;&lt;title&gt;Solar Thermal Markets in Europe, Trends and Market Statistics&lt;/title&gt;&lt;short-title&gt;ESTIF 2013 – Solar Thermal Markets in Europe&lt;/short-title&gt;&lt;/titles&gt;&lt;dates&gt;&lt;year&gt;2013&lt;/year&gt;&lt;/dates&gt;&lt;urls&gt;&lt;/urls&gt;&lt;/record&gt;&lt;/Cite&gt;&lt;/EndNote&gt;</w:instrText>
      </w:r>
      <w:r w:rsidR="002F3DFD" w:rsidRPr="00C90AC9">
        <w:rPr>
          <w:rFonts w:eastAsia="Calibri"/>
          <w:lang w:eastAsia="en-US"/>
        </w:rPr>
        <w:fldChar w:fldCharType="separate"/>
      </w:r>
      <w:r w:rsidR="002F3DFD" w:rsidRPr="00C90AC9">
        <w:rPr>
          <w:rFonts w:eastAsia="Calibri"/>
          <w:lang w:eastAsia="en-US"/>
        </w:rPr>
        <w:t>(ESTIF, 2013)</w:t>
      </w:r>
      <w:r w:rsidR="002F3DFD" w:rsidRPr="00C90AC9">
        <w:rPr>
          <w:rFonts w:eastAsia="Calibri"/>
          <w:lang w:eastAsia="en-US"/>
        </w:rPr>
        <w:fldChar w:fldCharType="end"/>
      </w:r>
      <w:r w:rsidR="002F3DFD" w:rsidRPr="00C90AC9">
        <w:rPr>
          <w:rFonts w:eastAsia="Calibri"/>
          <w:lang w:eastAsia="en-US"/>
        </w:rPr>
        <w:t>.</w:t>
      </w:r>
      <w:r w:rsidR="007E7C0E" w:rsidRPr="00C90AC9">
        <w:rPr>
          <w:rFonts w:eastAsia="Calibri"/>
          <w:lang w:eastAsia="en-US"/>
        </w:rPr>
        <w:t xml:space="preserve"> </w:t>
      </w:r>
      <w:r w:rsidR="00471B12" w:rsidRPr="00C90AC9">
        <w:rPr>
          <w:rFonts w:eastAsia="Calibri"/>
          <w:lang w:eastAsia="en-US"/>
        </w:rPr>
        <w:t>Homes which are considered to be</w:t>
      </w:r>
      <w:r w:rsidR="007A49AA" w:rsidRPr="00C90AC9">
        <w:rPr>
          <w:rFonts w:eastAsia="Calibri"/>
          <w:lang w:eastAsia="en-US"/>
        </w:rPr>
        <w:t xml:space="preserve"> a</w:t>
      </w:r>
      <w:r w:rsidR="00471B12" w:rsidRPr="00C90AC9">
        <w:rPr>
          <w:rFonts w:eastAsia="Calibri"/>
          <w:lang w:eastAsia="en-US"/>
        </w:rPr>
        <w:t xml:space="preserve"> poor choice for </w:t>
      </w:r>
      <w:r w:rsidR="006518C0" w:rsidRPr="00C90AC9">
        <w:rPr>
          <w:rFonts w:eastAsia="Calibri"/>
          <w:lang w:eastAsia="en-US"/>
        </w:rPr>
        <w:t>STPs</w:t>
      </w:r>
      <w:r w:rsidR="00471B12" w:rsidRPr="00C90AC9">
        <w:rPr>
          <w:rFonts w:eastAsia="Calibri"/>
          <w:lang w:eastAsia="en-US"/>
        </w:rPr>
        <w:t xml:space="preserve"> </w:t>
      </w:r>
      <w:r w:rsidR="007A49AA" w:rsidRPr="00C90AC9">
        <w:rPr>
          <w:rFonts w:eastAsia="Calibri"/>
          <w:lang w:eastAsia="en-US"/>
        </w:rPr>
        <w:t>are</w:t>
      </w:r>
      <w:r w:rsidR="00484A32" w:rsidRPr="00C90AC9">
        <w:rPr>
          <w:rFonts w:eastAsia="Calibri"/>
          <w:lang w:eastAsia="en-US"/>
        </w:rPr>
        <w:t xml:space="preserve"> typically</w:t>
      </w:r>
      <w:r w:rsidR="00C80892" w:rsidRPr="00C90AC9">
        <w:rPr>
          <w:rFonts w:eastAsia="Calibri"/>
          <w:lang w:eastAsia="en-US"/>
        </w:rPr>
        <w:t xml:space="preserve"> orientated </w:t>
      </w:r>
      <w:r w:rsidR="00CF75F1" w:rsidRPr="00C90AC9">
        <w:rPr>
          <w:rFonts w:eastAsia="Calibri"/>
          <w:lang w:eastAsia="en-US"/>
        </w:rPr>
        <w:t>in a direction way from due s</w:t>
      </w:r>
      <w:r w:rsidR="007A49AA" w:rsidRPr="00C90AC9">
        <w:rPr>
          <w:rFonts w:eastAsia="Calibri"/>
          <w:lang w:eastAsia="en-US"/>
        </w:rPr>
        <w:t xml:space="preserve">outh </w:t>
      </w:r>
      <w:r w:rsidR="00BC7E2C" w:rsidRPr="00C90AC9">
        <w:rPr>
          <w:rFonts w:eastAsia="Calibri"/>
          <w:lang w:eastAsia="en-US"/>
        </w:rPr>
        <w:t>(</w:t>
      </w:r>
      <w:r w:rsidR="00FF15D4" w:rsidRPr="00C90AC9">
        <w:rPr>
          <w:rFonts w:eastAsia="Calibri"/>
          <w:lang w:eastAsia="en-US"/>
        </w:rPr>
        <w:t>in the northern hemisphere</w:t>
      </w:r>
      <w:r w:rsidR="00BC7E2C" w:rsidRPr="00C90AC9">
        <w:rPr>
          <w:rFonts w:eastAsia="Calibri"/>
          <w:lang w:eastAsia="en-US"/>
        </w:rPr>
        <w:t xml:space="preserve">) </w:t>
      </w:r>
      <w:r w:rsidR="007A49AA" w:rsidRPr="00C90AC9">
        <w:rPr>
          <w:rFonts w:eastAsia="Calibri"/>
          <w:lang w:eastAsia="en-US"/>
        </w:rPr>
        <w:t>as</w:t>
      </w:r>
      <w:r w:rsidR="00BC7E2C" w:rsidRPr="00C90AC9">
        <w:rPr>
          <w:rFonts w:eastAsia="Calibri"/>
          <w:lang w:eastAsia="en-US"/>
        </w:rPr>
        <w:t xml:space="preserve"> due south</w:t>
      </w:r>
      <w:r w:rsidR="007A49AA" w:rsidRPr="00C90AC9">
        <w:rPr>
          <w:rFonts w:eastAsia="Calibri"/>
          <w:lang w:eastAsia="en-US"/>
        </w:rPr>
        <w:t xml:space="preserve"> </w:t>
      </w:r>
      <w:r w:rsidR="00CF75F1" w:rsidRPr="00C90AC9">
        <w:rPr>
          <w:rFonts w:eastAsia="Calibri"/>
          <w:lang w:eastAsia="en-US"/>
        </w:rPr>
        <w:t>is the</w:t>
      </w:r>
      <w:r w:rsidR="007A49AA" w:rsidRPr="00C90AC9">
        <w:rPr>
          <w:rFonts w:eastAsia="Calibri"/>
          <w:lang w:eastAsia="en-US"/>
        </w:rPr>
        <w:t xml:space="preserve"> </w:t>
      </w:r>
      <w:r w:rsidR="00C80892" w:rsidRPr="00C90AC9">
        <w:rPr>
          <w:rFonts w:eastAsia="Calibri"/>
          <w:lang w:eastAsia="en-US"/>
        </w:rPr>
        <w:t xml:space="preserve">optimal direction for a home to be facing </w:t>
      </w:r>
      <w:r w:rsidR="00FF15D4" w:rsidRPr="00C90AC9">
        <w:rPr>
          <w:rFonts w:eastAsia="Calibri"/>
          <w:lang w:eastAsia="en-US"/>
        </w:rPr>
        <w:t xml:space="preserve">to </w:t>
      </w:r>
      <w:r w:rsidR="00BC7E2C" w:rsidRPr="00C90AC9">
        <w:rPr>
          <w:rFonts w:eastAsia="Calibri"/>
          <w:lang w:eastAsia="en-US"/>
        </w:rPr>
        <w:t>receive the</w:t>
      </w:r>
      <w:r w:rsidR="00C80892" w:rsidRPr="00C90AC9">
        <w:rPr>
          <w:rFonts w:eastAsia="Calibri"/>
          <w:lang w:eastAsia="en-US"/>
        </w:rPr>
        <w:t xml:space="preserve"> maximum amount of solar irradiation will be in contact with the STPs surface</w:t>
      </w:r>
      <w:r w:rsidR="002F3DFD" w:rsidRPr="00C90AC9">
        <w:rPr>
          <w:rFonts w:eastAsia="Calibri"/>
          <w:lang w:eastAsia="en-US"/>
        </w:rPr>
        <w:t xml:space="preserve"> </w:t>
      </w:r>
      <w:r w:rsidR="002F3DFD" w:rsidRPr="00C90AC9">
        <w:rPr>
          <w:rFonts w:eastAsia="Calibri"/>
          <w:lang w:eastAsia="en-US"/>
        </w:rPr>
        <w:fldChar w:fldCharType="begin"/>
      </w:r>
      <w:r w:rsidR="002F3DFD" w:rsidRPr="00C90AC9">
        <w:rPr>
          <w:rFonts w:eastAsia="Calibri"/>
          <w:lang w:eastAsia="en-US"/>
        </w:rPr>
        <w:instrText xml:space="preserve"> ADDIN EN.CITE &lt;EndNote&gt;&lt;Cite&gt;&lt;Author&gt;Thür&lt;/Author&gt;&lt;Year&gt;2006&lt;/Year&gt;&lt;RecNum&gt;198&lt;/RecNum&gt;&lt;DisplayText&gt;(Thür &amp;amp; Shah, 2006)&lt;/DisplayText&gt;&lt;record&gt;&lt;rec-number&gt;198&lt;/rec-number&gt;&lt;foreign-keys&gt;&lt;key app="EN" db-id="50wxdpzd9vd5r7e9t5b595djrfpttrxw9avp" timestamp="1525076335"&gt;198&lt;/key&gt;&lt;/foreign-keys&gt;&lt;ref-type name="Journal Article"&gt;17&lt;/ref-type&gt;&lt;contributors&gt;&lt;authors&gt;&lt;author&gt;Thür, A., S. Furbo,&lt;/author&gt;&lt;author&gt;L.J. Shah&lt;/author&gt;&lt;/authors&gt;&lt;/contributors&gt;&lt;titles&gt;&lt;title&gt;Energy savings for solar heating systems&lt;/title&gt;&lt;secondary-title&gt;Solar Energy&lt;/secondary-title&gt;&lt;short-title&gt;Thür, A., S. Furbo, and L.J. Shah 2006 – Energy savings for solar heating&lt;/short-title&gt;&lt;/titles&gt;&lt;pages&gt;p. 1463-1474&lt;/pages&gt;&lt;volume&gt;80&lt;/volume&gt;&lt;number&gt;80&lt;/number&gt;&lt;dates&gt;&lt;year&gt;2006&lt;/year&gt;&lt;/dates&gt;&lt;urls&gt;&lt;/urls&gt;&lt;/record&gt;&lt;/Cite&gt;&lt;/EndNote&gt;</w:instrText>
      </w:r>
      <w:r w:rsidR="002F3DFD" w:rsidRPr="00C90AC9">
        <w:rPr>
          <w:rFonts w:eastAsia="Calibri"/>
          <w:lang w:eastAsia="en-US"/>
        </w:rPr>
        <w:fldChar w:fldCharType="separate"/>
      </w:r>
      <w:r w:rsidR="002F3DFD" w:rsidRPr="00C90AC9">
        <w:rPr>
          <w:rFonts w:eastAsia="Calibri"/>
          <w:lang w:eastAsia="en-US"/>
        </w:rPr>
        <w:t>(Thür &amp; Shah, 2006)</w:t>
      </w:r>
      <w:r w:rsidR="002F3DFD" w:rsidRPr="00C90AC9">
        <w:rPr>
          <w:rFonts w:eastAsia="Calibri"/>
          <w:lang w:eastAsia="en-US"/>
        </w:rPr>
        <w:fldChar w:fldCharType="end"/>
      </w:r>
      <w:r w:rsidR="00C80892" w:rsidRPr="00C90AC9">
        <w:rPr>
          <w:rFonts w:eastAsia="Calibri"/>
          <w:lang w:eastAsia="en-US"/>
        </w:rPr>
        <w:t>.</w:t>
      </w:r>
      <w:r w:rsidR="007A49AA" w:rsidRPr="00C90AC9">
        <w:rPr>
          <w:rFonts w:eastAsia="Calibri"/>
          <w:lang w:eastAsia="en-US"/>
        </w:rPr>
        <w:t xml:space="preserve"> </w:t>
      </w:r>
      <w:r w:rsidR="00FF15D4" w:rsidRPr="00C90AC9">
        <w:rPr>
          <w:rFonts w:eastAsia="Calibri"/>
          <w:lang w:eastAsia="en-US"/>
        </w:rPr>
        <w:t>For</w:t>
      </w:r>
      <w:r w:rsidR="002314AC" w:rsidRPr="00C90AC9">
        <w:rPr>
          <w:rFonts w:eastAsia="Calibri"/>
          <w:lang w:eastAsia="en-US"/>
        </w:rPr>
        <w:t xml:space="preserve"> the southern hemisphere, the reverse is true, with north being the most advantageous direction to face solar collectors </w:t>
      </w:r>
      <w:r w:rsidR="002314AC" w:rsidRPr="00C90AC9">
        <w:rPr>
          <w:rFonts w:eastAsia="Calibri"/>
          <w:lang w:eastAsia="en-US"/>
        </w:rPr>
        <w:fldChar w:fldCharType="begin"/>
      </w:r>
      <w:r w:rsidR="00A6686F" w:rsidRPr="00C90AC9">
        <w:rPr>
          <w:rFonts w:eastAsia="Calibri"/>
          <w:lang w:eastAsia="en-US"/>
        </w:rPr>
        <w:instrText xml:space="preserve"> ADDIN EN.CITE &lt;EndNote&gt;&lt;Cite&gt;&lt;Author&gt;Thür&lt;/Author&gt;&lt;Year&gt;2006&lt;/Year&gt;&lt;RecNum&gt;198&lt;/RecNum&gt;&lt;DisplayText&gt;(Thür &amp;amp; Shah, 2006)&lt;/DisplayText&gt;&lt;record&gt;&lt;rec-number&gt;198&lt;/rec-number&gt;&lt;foreign-keys&gt;&lt;key app="EN" db-id="50wxdpzd9vd5r7e9t5b595djrfpttrxw9avp" timestamp="1525076335"&gt;198&lt;/key&gt;&lt;/foreign-keys&gt;&lt;ref-type name="Journal Article"&gt;17&lt;/ref-type&gt;&lt;contributors&gt;&lt;authors&gt;&lt;author&gt;Thür, A., S. Furbo,&lt;/author&gt;&lt;author&gt;L.J. Shah&lt;/author&gt;&lt;/authors&gt;&lt;/contributors&gt;&lt;titles&gt;&lt;title&gt;Energy savings for solar heating systems&lt;/title&gt;&lt;secondary-title&gt;Solar Energy&lt;/secondary-title&gt;&lt;short-title&gt;Thür, A., S. Furbo, and L.J. Shah 2006 – Energy savings for solar heating&lt;/short-title&gt;&lt;/titles&gt;&lt;pages&gt;p. 1463-1474&lt;/pages&gt;&lt;volume&gt;80&lt;/volume&gt;&lt;number&gt;80&lt;/number&gt;&lt;dates&gt;&lt;year&gt;2006&lt;/year&gt;&lt;/dates&gt;&lt;urls&gt;&lt;/urls&gt;&lt;/record&gt;&lt;/Cite&gt;&lt;/EndNote&gt;</w:instrText>
      </w:r>
      <w:r w:rsidR="002314AC" w:rsidRPr="00C90AC9">
        <w:rPr>
          <w:rFonts w:eastAsia="Calibri"/>
          <w:lang w:eastAsia="en-US"/>
        </w:rPr>
        <w:fldChar w:fldCharType="separate"/>
      </w:r>
      <w:r w:rsidR="00A6686F" w:rsidRPr="00C90AC9">
        <w:rPr>
          <w:rFonts w:eastAsia="Calibri"/>
          <w:lang w:eastAsia="en-US"/>
        </w:rPr>
        <w:t>(Thür &amp; Shah, 2006)</w:t>
      </w:r>
      <w:r w:rsidR="002314AC" w:rsidRPr="00C90AC9">
        <w:rPr>
          <w:rFonts w:eastAsia="Calibri"/>
          <w:lang w:eastAsia="en-US"/>
        </w:rPr>
        <w:fldChar w:fldCharType="end"/>
      </w:r>
      <w:r w:rsidR="002314AC" w:rsidRPr="00C90AC9">
        <w:rPr>
          <w:rFonts w:eastAsia="Calibri"/>
          <w:lang w:eastAsia="en-US"/>
        </w:rPr>
        <w:t>.</w:t>
      </w:r>
    </w:p>
    <w:p w:rsidR="00432639" w:rsidRPr="00C90AC9" w:rsidRDefault="00432639">
      <w:pPr>
        <w:rPr>
          <w:rFonts w:eastAsia="Calibri"/>
          <w:lang w:eastAsia="en-US"/>
        </w:rPr>
      </w:pPr>
      <w:r w:rsidRPr="00C90AC9">
        <w:rPr>
          <w:rFonts w:eastAsia="Calibri"/>
          <w:lang w:eastAsia="en-US"/>
        </w:rPr>
        <w:br w:type="page"/>
      </w:r>
    </w:p>
    <w:p w:rsidR="00424032" w:rsidRPr="00C90AC9" w:rsidRDefault="00432639" w:rsidP="00B06779">
      <w:pPr>
        <w:rPr>
          <w:rFonts w:eastAsia="Calibri"/>
          <w:lang w:eastAsia="en-US"/>
        </w:rPr>
      </w:pPr>
      <w:r w:rsidRPr="00C90AC9">
        <w:rPr>
          <w:noProof/>
        </w:rPr>
        <w:lastRenderedPageBreak/>
        <w:drawing>
          <wp:anchor distT="0" distB="0" distL="114300" distR="114300" simplePos="0" relativeHeight="251956224" behindDoc="0" locked="0" layoutInCell="1" allowOverlap="1" wp14:anchorId="1B0CD8A3" wp14:editId="56DFB7C9">
            <wp:simplePos x="0" y="0"/>
            <wp:positionH relativeFrom="column">
              <wp:posOffset>17145</wp:posOffset>
            </wp:positionH>
            <wp:positionV relativeFrom="paragraph">
              <wp:posOffset>410210</wp:posOffset>
            </wp:positionV>
            <wp:extent cx="5581015" cy="4450715"/>
            <wp:effectExtent l="19050" t="19050" r="19685" b="26035"/>
            <wp:wrapSquare wrapText="bothSides"/>
            <wp:docPr id="474" name="Picture 474" descr="https://upload.wikimedia.org/wikipedia/commons/b/bb/The-NASA-Earth's-Energy-Budget-Poster-Radiant-Energy-System-satellite-infrared-radiation-flux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s://upload.wikimedia.org/wikipedia/commons/b/bb/The-NASA-Earth's-Energy-Budget-Poster-Radiant-Energy-System-satellite-infrared-radiation-fluxes.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81015" cy="44507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80A02" w:rsidRPr="00C90AC9">
        <w:rPr>
          <w:rFonts w:eastAsia="Calibri"/>
          <w:lang w:eastAsia="en-US"/>
        </w:rPr>
        <w:t xml:space="preserve">Figure 1.9. The Earth’s Energy Budget </w:t>
      </w:r>
      <w:r w:rsidR="00B80A02" w:rsidRPr="00C90AC9">
        <w:rPr>
          <w:rFonts w:eastAsia="Calibri"/>
          <w:lang w:eastAsia="en-US"/>
        </w:rPr>
        <w:fldChar w:fldCharType="begin"/>
      </w:r>
      <w:r w:rsidR="00B80A02" w:rsidRPr="00C90AC9">
        <w:rPr>
          <w:rFonts w:eastAsia="Calibri"/>
          <w:lang w:eastAsia="en-US"/>
        </w:rPr>
        <w:instrText xml:space="preserve"> ADDIN EN.CITE &lt;EndNote&gt;&lt;Cite&gt;&lt;Author&gt;NASA&lt;/Author&gt;&lt;Year&gt;2016&lt;/Year&gt;&lt;RecNum&gt;176&lt;/RecNum&gt;&lt;DisplayText&gt;(NASA, 2016)&lt;/DisplayText&gt;&lt;record&gt;&lt;rec-number&gt;176&lt;/rec-number&gt;&lt;foreign-keys&gt;&lt;key app="EN" db-id="50wxdpzd9vd5r7e9t5b595djrfpttrxw9avp" timestamp="1525076335"&gt;176&lt;/key&gt;&lt;/foreign-keys&gt;&lt;ref-type name="Unpublished Work"&gt;34&lt;/ref-type&gt;&lt;contributors&gt;&lt;authors&gt;&lt;author&gt;NASA&lt;/author&gt;&lt;/authors&gt;&lt;/contributors&gt;&lt;titles&gt;&lt;title&gt;The Earth&amp;apos;s Energy Budget&lt;/title&gt;&lt;short-title&gt;NASA 2016 – The Earth&amp;apos;s Energy Budget&lt;/short-title&gt;&lt;/titles&gt;&lt;dates&gt;&lt;year&gt;2016&lt;/year&gt;&lt;/dates&gt;&lt;publisher&gt;NASA&lt;/publisher&gt;&lt;urls&gt;&lt;/urls&gt;&lt;/record&gt;&lt;/Cite&gt;&lt;/EndNote&gt;</w:instrText>
      </w:r>
      <w:r w:rsidR="00B80A02" w:rsidRPr="00C90AC9">
        <w:rPr>
          <w:rFonts w:eastAsia="Calibri"/>
          <w:lang w:eastAsia="en-US"/>
        </w:rPr>
        <w:fldChar w:fldCharType="separate"/>
      </w:r>
      <w:r w:rsidR="00B80A02" w:rsidRPr="00C90AC9">
        <w:rPr>
          <w:rFonts w:eastAsia="Calibri"/>
          <w:lang w:eastAsia="en-US"/>
        </w:rPr>
        <w:t>(NASA, 2016)</w:t>
      </w:r>
      <w:r w:rsidR="00B80A02" w:rsidRPr="00C90AC9">
        <w:rPr>
          <w:rFonts w:eastAsia="Calibri"/>
          <w:lang w:eastAsia="en-US"/>
        </w:rPr>
        <w:fldChar w:fldCharType="end"/>
      </w:r>
    </w:p>
    <w:p w:rsidR="00432639" w:rsidRPr="00C90AC9" w:rsidRDefault="00432639" w:rsidP="00CF75F1">
      <w:pPr>
        <w:pStyle w:val="BodyText"/>
        <w:spacing w:line="360" w:lineRule="auto"/>
        <w:rPr>
          <w:rFonts w:eastAsia="Calibri"/>
          <w:lang w:eastAsia="en-US"/>
        </w:rPr>
      </w:pPr>
    </w:p>
    <w:p w:rsidR="002314AC" w:rsidRPr="00C90AC9" w:rsidRDefault="002F3DFD" w:rsidP="00CF75F1">
      <w:pPr>
        <w:pStyle w:val="BodyText"/>
        <w:spacing w:line="360" w:lineRule="auto"/>
        <w:rPr>
          <w:rFonts w:eastAsia="Calibri"/>
          <w:lang w:eastAsia="en-US"/>
        </w:rPr>
      </w:pPr>
      <w:r w:rsidRPr="00C90AC9">
        <w:rPr>
          <w:rFonts w:eastAsia="Calibri"/>
          <w:lang w:eastAsia="en-US"/>
        </w:rPr>
        <w:tab/>
      </w:r>
      <w:r w:rsidR="00A16B8C" w:rsidRPr="00C90AC9">
        <w:rPr>
          <w:rFonts w:eastAsia="Calibri"/>
          <w:lang w:eastAsia="en-US"/>
        </w:rPr>
        <w:t xml:space="preserve">In 2008 the study by Allen et al highlighted </w:t>
      </w:r>
      <w:r w:rsidR="002B2A1C" w:rsidRPr="00C90AC9">
        <w:rPr>
          <w:rFonts w:eastAsia="Calibri"/>
          <w:lang w:eastAsia="en-US"/>
        </w:rPr>
        <w:t>both</w:t>
      </w:r>
      <w:r w:rsidR="00A16B8C" w:rsidRPr="00C90AC9">
        <w:rPr>
          <w:rFonts w:eastAsia="Calibri"/>
          <w:lang w:eastAsia="en-US"/>
        </w:rPr>
        <w:t xml:space="preserve"> advantages and disadvantages of various micro-generation technologies in the UK including Solar Thermal </w:t>
      </w:r>
      <w:r w:rsidRPr="00C90AC9">
        <w:rPr>
          <w:rFonts w:eastAsia="Calibri"/>
          <w:lang w:eastAsia="en-US"/>
        </w:rPr>
        <w:fldChar w:fldCharType="begin"/>
      </w:r>
      <w:r w:rsidRPr="00C90AC9">
        <w:rPr>
          <w:rFonts w:eastAsia="Calibri"/>
          <w:lang w:eastAsia="en-US"/>
        </w:rPr>
        <w:instrText xml:space="preserve"> ADDIN EN.CITE &lt;EndNote&gt;&lt;Cite&gt;&lt;Author&gt;Allen&lt;/Author&gt;&lt;Year&gt;2008&lt;/Year&gt;&lt;RecNum&gt;112&lt;/RecNum&gt;&lt;DisplayText&gt;(S. R. Allen, 2008)&lt;/DisplayText&gt;&lt;record&gt;&lt;rec-number&gt;112&lt;/rec-number&gt;&lt;foreign-keys&gt;&lt;key app="EN" db-id="50wxdpzd9vd5r7e9t5b595djrfpttrxw9avp" timestamp="1525076334"&gt;112&lt;/key&gt;&lt;/foreign-keys&gt;&lt;ref-type name="Journal Article"&gt;17&lt;/ref-type&gt;&lt;contributors&gt;&lt;authors&gt;&lt;author&gt;Allen, S. R.&lt;/author&gt;&lt;/authors&gt;&lt;/contributors&gt;&lt;titles&gt;&lt;title&gt;Prospects for and barriers to domestic micro-generation: A United Kingdom Perspective&lt;/title&gt;&lt;secondary-title&gt;Applied Energy&lt;/secondary-title&gt;&lt;short-title&gt;Allen 2008 – Prospects for and barriers&lt;/short-title&gt;&lt;/titles&gt;&lt;pages&gt;p. 528-544&lt;/pages&gt;&lt;volume&gt;85&lt;/volume&gt;&lt;number&gt;6&lt;/number&gt;&lt;dates&gt;&lt;year&gt;2008&lt;/year&gt;&lt;/dates&gt;&lt;urls&gt;&lt;/urls&gt;&lt;/record&gt;&lt;/Cite&gt;&lt;/EndNote&gt;</w:instrText>
      </w:r>
      <w:r w:rsidRPr="00C90AC9">
        <w:rPr>
          <w:rFonts w:eastAsia="Calibri"/>
          <w:lang w:eastAsia="en-US"/>
        </w:rPr>
        <w:fldChar w:fldCharType="separate"/>
      </w:r>
      <w:r w:rsidRPr="00C90AC9">
        <w:rPr>
          <w:rFonts w:eastAsia="Calibri"/>
          <w:lang w:eastAsia="en-US"/>
        </w:rPr>
        <w:t>(S. R. Allen, 2008)</w:t>
      </w:r>
      <w:r w:rsidRPr="00C90AC9">
        <w:rPr>
          <w:rFonts w:eastAsia="Calibri"/>
          <w:lang w:eastAsia="en-US"/>
        </w:rPr>
        <w:fldChar w:fldCharType="end"/>
      </w:r>
      <w:r w:rsidR="00424032" w:rsidRPr="00C90AC9">
        <w:rPr>
          <w:rFonts w:eastAsia="Calibri"/>
          <w:lang w:eastAsia="en-US"/>
        </w:rPr>
        <w:t xml:space="preserve">. Table 1.1. </w:t>
      </w:r>
      <w:r w:rsidR="002314AC" w:rsidRPr="00C90AC9">
        <w:rPr>
          <w:rFonts w:eastAsia="Calibri"/>
          <w:lang w:eastAsia="en-US"/>
        </w:rPr>
        <w:t xml:space="preserve">shows </w:t>
      </w:r>
      <w:r w:rsidR="002A103C" w:rsidRPr="00C90AC9">
        <w:rPr>
          <w:rFonts w:eastAsia="Calibri"/>
          <w:lang w:eastAsia="en-US"/>
        </w:rPr>
        <w:t>the</w:t>
      </w:r>
      <w:r w:rsidR="00A16B8C" w:rsidRPr="00C90AC9">
        <w:rPr>
          <w:rFonts w:eastAsia="Calibri"/>
          <w:lang w:eastAsia="en-US"/>
        </w:rPr>
        <w:t xml:space="preserve"> findings </w:t>
      </w:r>
      <w:r w:rsidR="002314AC" w:rsidRPr="00C90AC9">
        <w:rPr>
          <w:rFonts w:eastAsia="Calibri"/>
          <w:lang w:eastAsia="en-US"/>
        </w:rPr>
        <w:t xml:space="preserve">of the study </w:t>
      </w:r>
      <w:r w:rsidR="00A85ECC" w:rsidRPr="00C90AC9">
        <w:rPr>
          <w:rFonts w:eastAsia="Calibri"/>
          <w:lang w:eastAsia="en-US"/>
        </w:rPr>
        <w:t>w</w:t>
      </w:r>
      <w:r w:rsidR="002A103C" w:rsidRPr="00C90AC9">
        <w:rPr>
          <w:rFonts w:eastAsia="Calibri"/>
          <w:lang w:eastAsia="en-US"/>
        </w:rPr>
        <w:t xml:space="preserve">hich highlights that there are advantages to utilising STPs such as </w:t>
      </w:r>
      <w:r w:rsidR="002314AC" w:rsidRPr="00C90AC9">
        <w:rPr>
          <w:rFonts w:eastAsia="Calibri"/>
          <w:lang w:eastAsia="en-US"/>
        </w:rPr>
        <w:t>STPs</w:t>
      </w:r>
      <w:r w:rsidR="00A85ECC" w:rsidRPr="00C90AC9">
        <w:rPr>
          <w:rFonts w:eastAsia="Calibri"/>
          <w:lang w:eastAsia="en-US"/>
        </w:rPr>
        <w:t xml:space="preserve"> </w:t>
      </w:r>
      <w:r w:rsidR="002A103C" w:rsidRPr="00C90AC9">
        <w:rPr>
          <w:rFonts w:eastAsia="Calibri"/>
          <w:lang w:eastAsia="en-US"/>
        </w:rPr>
        <w:t>being</w:t>
      </w:r>
      <w:r w:rsidR="00A85ECC" w:rsidRPr="00C90AC9">
        <w:rPr>
          <w:rFonts w:eastAsia="Calibri"/>
          <w:lang w:eastAsia="en-US"/>
        </w:rPr>
        <w:t xml:space="preserve"> a reliable source of energy </w:t>
      </w:r>
      <w:r w:rsidR="002A103C" w:rsidRPr="00C90AC9">
        <w:rPr>
          <w:rFonts w:eastAsia="Calibri"/>
          <w:lang w:eastAsia="en-US"/>
        </w:rPr>
        <w:t xml:space="preserve">and </w:t>
      </w:r>
      <w:r w:rsidR="00A85ECC" w:rsidRPr="00C90AC9">
        <w:rPr>
          <w:rFonts w:eastAsia="Calibri"/>
          <w:lang w:eastAsia="en-US"/>
        </w:rPr>
        <w:t xml:space="preserve">an </w:t>
      </w:r>
      <w:r w:rsidR="002A103C" w:rsidRPr="00C90AC9">
        <w:rPr>
          <w:rFonts w:eastAsia="Calibri"/>
          <w:lang w:eastAsia="en-US"/>
        </w:rPr>
        <w:t>established technology</w:t>
      </w:r>
      <w:r w:rsidRPr="00C90AC9">
        <w:rPr>
          <w:rFonts w:eastAsia="Calibri"/>
          <w:lang w:eastAsia="en-US"/>
        </w:rPr>
        <w:t xml:space="preserve"> </w:t>
      </w:r>
      <w:r w:rsidRPr="00C90AC9">
        <w:rPr>
          <w:rFonts w:eastAsia="Calibri"/>
          <w:lang w:eastAsia="en-US"/>
        </w:rPr>
        <w:fldChar w:fldCharType="begin"/>
      </w:r>
      <w:r w:rsidRPr="00C90AC9">
        <w:rPr>
          <w:rFonts w:eastAsia="Calibri"/>
          <w:lang w:eastAsia="en-US"/>
        </w:rPr>
        <w:instrText xml:space="preserve"> ADDIN EN.CITE &lt;EndNote&gt;&lt;Cite&gt;&lt;Author&gt;Allen&lt;/Author&gt;&lt;Year&gt;2008&lt;/Year&gt;&lt;RecNum&gt;112&lt;/RecNum&gt;&lt;DisplayText&gt;(S. R. Allen, 2008)&lt;/DisplayText&gt;&lt;record&gt;&lt;rec-number&gt;112&lt;/rec-number&gt;&lt;foreign-keys&gt;&lt;key app="EN" db-id="50wxdpzd9vd5r7e9t5b595djrfpttrxw9avp" timestamp="1525076334"&gt;112&lt;/key&gt;&lt;/foreign-keys&gt;&lt;ref-type name="Journal Article"&gt;17&lt;/ref-type&gt;&lt;contributors&gt;&lt;authors&gt;&lt;author&gt;Allen, S. R.&lt;/author&gt;&lt;/authors&gt;&lt;/contributors&gt;&lt;titles&gt;&lt;title&gt;Prospects for and barriers to domestic micro-generation: A United Kingdom Perspective&lt;/title&gt;&lt;secondary-title&gt;Applied Energy&lt;/secondary-title&gt;&lt;short-title&gt;Allen 2008 – Prospects for and barriers&lt;/short-title&gt;&lt;/titles&gt;&lt;pages&gt;p. 528-544&lt;/pages&gt;&lt;volume&gt;85&lt;/volume&gt;&lt;number&gt;6&lt;/number&gt;&lt;dates&gt;&lt;year&gt;2008&lt;/year&gt;&lt;/dates&gt;&lt;urls&gt;&lt;/urls&gt;&lt;/record&gt;&lt;/Cite&gt;&lt;/EndNote&gt;</w:instrText>
      </w:r>
      <w:r w:rsidRPr="00C90AC9">
        <w:rPr>
          <w:rFonts w:eastAsia="Calibri"/>
          <w:lang w:eastAsia="en-US"/>
        </w:rPr>
        <w:fldChar w:fldCharType="separate"/>
      </w:r>
      <w:r w:rsidRPr="00C90AC9">
        <w:rPr>
          <w:rFonts w:eastAsia="Calibri"/>
          <w:lang w:eastAsia="en-US"/>
        </w:rPr>
        <w:t>(S. R. Allen, 2008)</w:t>
      </w:r>
      <w:r w:rsidRPr="00C90AC9">
        <w:rPr>
          <w:rFonts w:eastAsia="Calibri"/>
          <w:lang w:eastAsia="en-US"/>
        </w:rPr>
        <w:fldChar w:fldCharType="end"/>
      </w:r>
      <w:r w:rsidR="002A103C" w:rsidRPr="00C90AC9">
        <w:rPr>
          <w:rFonts w:eastAsia="Calibri"/>
          <w:lang w:eastAsia="en-US"/>
        </w:rPr>
        <w:t>.  However,</w:t>
      </w:r>
      <w:r w:rsidRPr="00C90AC9">
        <w:rPr>
          <w:rFonts w:eastAsia="Calibri"/>
          <w:lang w:eastAsia="en-US"/>
        </w:rPr>
        <w:t xml:space="preserve"> Allen noted</w:t>
      </w:r>
      <w:r w:rsidR="002A103C" w:rsidRPr="00C90AC9">
        <w:rPr>
          <w:rFonts w:eastAsia="Calibri"/>
          <w:lang w:eastAsia="en-US"/>
        </w:rPr>
        <w:t xml:space="preserve"> that there are some disadvantages </w:t>
      </w:r>
      <w:r w:rsidR="00A85ECC" w:rsidRPr="00C90AC9">
        <w:rPr>
          <w:rFonts w:eastAsia="Calibri"/>
          <w:lang w:eastAsia="en-US"/>
        </w:rPr>
        <w:t xml:space="preserve">with STPS </w:t>
      </w:r>
      <w:r w:rsidR="002A103C" w:rsidRPr="00C90AC9">
        <w:rPr>
          <w:rFonts w:eastAsia="Calibri"/>
          <w:lang w:eastAsia="en-US"/>
        </w:rPr>
        <w:t>such as the technology</w:t>
      </w:r>
      <w:r w:rsidR="00A85ECC" w:rsidRPr="00C90AC9">
        <w:rPr>
          <w:rFonts w:eastAsia="Calibri"/>
          <w:lang w:eastAsia="en-US"/>
        </w:rPr>
        <w:t xml:space="preserve"> </w:t>
      </w:r>
      <w:r w:rsidRPr="00C90AC9">
        <w:rPr>
          <w:rFonts w:eastAsia="Calibri"/>
          <w:lang w:eastAsia="en-US"/>
        </w:rPr>
        <w:t xml:space="preserve">is </w:t>
      </w:r>
      <w:r w:rsidR="00A85ECC" w:rsidRPr="00C90AC9">
        <w:rPr>
          <w:rFonts w:eastAsia="Calibri"/>
          <w:lang w:eastAsia="en-US"/>
        </w:rPr>
        <w:t xml:space="preserve">not </w:t>
      </w:r>
      <w:r w:rsidR="002A103C" w:rsidRPr="00C90AC9">
        <w:rPr>
          <w:rFonts w:eastAsia="Calibri"/>
          <w:lang w:eastAsia="en-US"/>
        </w:rPr>
        <w:t>current</w:t>
      </w:r>
      <w:r w:rsidR="00A85ECC" w:rsidRPr="00C90AC9">
        <w:rPr>
          <w:rFonts w:eastAsia="Calibri"/>
          <w:lang w:eastAsia="en-US"/>
        </w:rPr>
        <w:t>ly being cost-effective</w:t>
      </w:r>
      <w:r w:rsidRPr="00C90AC9">
        <w:rPr>
          <w:rFonts w:eastAsia="Calibri"/>
          <w:lang w:eastAsia="en-US"/>
        </w:rPr>
        <w:t xml:space="preserve"> </w:t>
      </w:r>
      <w:r w:rsidRPr="00C90AC9">
        <w:rPr>
          <w:rFonts w:eastAsia="Calibri"/>
          <w:lang w:eastAsia="en-US"/>
        </w:rPr>
        <w:fldChar w:fldCharType="begin"/>
      </w:r>
      <w:r w:rsidRPr="00C90AC9">
        <w:rPr>
          <w:rFonts w:eastAsia="Calibri"/>
          <w:lang w:eastAsia="en-US"/>
        </w:rPr>
        <w:instrText xml:space="preserve"> ADDIN EN.CITE &lt;EndNote&gt;&lt;Cite&gt;&lt;Author&gt;Allen&lt;/Author&gt;&lt;Year&gt;2008&lt;/Year&gt;&lt;RecNum&gt;112&lt;/RecNum&gt;&lt;DisplayText&gt;(S. R. Allen, 2008)&lt;/DisplayText&gt;&lt;record&gt;&lt;rec-number&gt;112&lt;/rec-number&gt;&lt;foreign-keys&gt;&lt;key app="EN" db-id="50wxdpzd9vd5r7e9t5b595djrfpttrxw9avp" timestamp="1525076334"&gt;112&lt;/key&gt;&lt;/foreign-keys&gt;&lt;ref-type name="Journal Article"&gt;17&lt;/ref-type&gt;&lt;contributors&gt;&lt;authors&gt;&lt;author&gt;Allen, S. R.&lt;/author&gt;&lt;/authors&gt;&lt;/contributors&gt;&lt;titles&gt;&lt;title&gt;Prospects for and barriers to domestic micro-generation: A United Kingdom Perspective&lt;/title&gt;&lt;secondary-title&gt;Applied Energy&lt;/secondary-title&gt;&lt;short-title&gt;Allen 2008 – Prospects for and barriers&lt;/short-title&gt;&lt;/titles&gt;&lt;pages&gt;p. 528-544&lt;/pages&gt;&lt;volume&gt;85&lt;/volume&gt;&lt;number&gt;6&lt;/number&gt;&lt;dates&gt;&lt;year&gt;2008&lt;/year&gt;&lt;/dates&gt;&lt;urls&gt;&lt;/urls&gt;&lt;/record&gt;&lt;/Cite&gt;&lt;/EndNote&gt;</w:instrText>
      </w:r>
      <w:r w:rsidRPr="00C90AC9">
        <w:rPr>
          <w:rFonts w:eastAsia="Calibri"/>
          <w:lang w:eastAsia="en-US"/>
        </w:rPr>
        <w:fldChar w:fldCharType="separate"/>
      </w:r>
      <w:r w:rsidRPr="00C90AC9">
        <w:rPr>
          <w:rFonts w:eastAsia="Calibri"/>
          <w:lang w:eastAsia="en-US"/>
        </w:rPr>
        <w:t>(S. R. Allen, 2008)</w:t>
      </w:r>
      <w:r w:rsidRPr="00C90AC9">
        <w:rPr>
          <w:rFonts w:eastAsia="Calibri"/>
          <w:lang w:eastAsia="en-US"/>
        </w:rPr>
        <w:fldChar w:fldCharType="end"/>
      </w:r>
      <w:r w:rsidR="00A85ECC" w:rsidRPr="00C90AC9">
        <w:rPr>
          <w:rFonts w:eastAsia="Calibri"/>
          <w:lang w:eastAsia="en-US"/>
        </w:rPr>
        <w:t xml:space="preserve">.  </w:t>
      </w:r>
    </w:p>
    <w:p w:rsidR="00CF75F1" w:rsidRPr="00C90AC9" w:rsidRDefault="00A85ECC" w:rsidP="00CF75F1">
      <w:pPr>
        <w:pStyle w:val="BodyText"/>
        <w:spacing w:line="360" w:lineRule="auto"/>
        <w:rPr>
          <w:rFonts w:eastAsia="Calibri"/>
          <w:lang w:eastAsia="en-US"/>
        </w:rPr>
      </w:pPr>
      <w:r w:rsidRPr="00C90AC9">
        <w:rPr>
          <w:rFonts w:eastAsia="Calibri"/>
          <w:lang w:eastAsia="en-US"/>
        </w:rPr>
        <w:t>T</w:t>
      </w:r>
      <w:r w:rsidR="002A103C" w:rsidRPr="00C90AC9">
        <w:rPr>
          <w:rFonts w:eastAsia="Calibri"/>
          <w:lang w:eastAsia="en-US"/>
        </w:rPr>
        <w:t xml:space="preserve">he study noted that there is no cost-reduction potential and </w:t>
      </w:r>
      <w:r w:rsidRPr="00C90AC9">
        <w:rPr>
          <w:rFonts w:eastAsia="Calibri"/>
          <w:lang w:eastAsia="en-US"/>
        </w:rPr>
        <w:t xml:space="preserve">that there is a </w:t>
      </w:r>
      <w:r w:rsidR="002A103C" w:rsidRPr="00C90AC9">
        <w:rPr>
          <w:rFonts w:eastAsia="Calibri"/>
          <w:lang w:eastAsia="en-US"/>
        </w:rPr>
        <w:t>long payback period</w:t>
      </w:r>
      <w:r w:rsidRPr="00C90AC9">
        <w:rPr>
          <w:rFonts w:eastAsia="Calibri"/>
          <w:lang w:eastAsia="en-US"/>
        </w:rPr>
        <w:t xml:space="preserve"> for the technology. The study found that a significant disadvantage of STPS</w:t>
      </w:r>
      <w:r w:rsidR="002A103C" w:rsidRPr="00C90AC9">
        <w:rPr>
          <w:rFonts w:eastAsia="Calibri"/>
          <w:lang w:eastAsia="en-US"/>
        </w:rPr>
        <w:t xml:space="preserve"> technology </w:t>
      </w:r>
      <w:r w:rsidR="00EA70AA" w:rsidRPr="00C90AC9">
        <w:rPr>
          <w:rFonts w:eastAsia="Calibri"/>
          <w:lang w:eastAsia="en-US"/>
        </w:rPr>
        <w:t>in the UK is that</w:t>
      </w:r>
      <w:r w:rsidRPr="00C90AC9">
        <w:rPr>
          <w:rFonts w:eastAsia="Calibri"/>
          <w:lang w:eastAsia="en-US"/>
        </w:rPr>
        <w:t xml:space="preserve"> </w:t>
      </w:r>
      <w:r w:rsidR="0037115D" w:rsidRPr="00C90AC9">
        <w:rPr>
          <w:rFonts w:eastAsia="Calibri"/>
          <w:lang w:eastAsia="en-US"/>
        </w:rPr>
        <w:t>during the winter months when the solar Irradiance and temperature are low</w:t>
      </w:r>
      <w:r w:rsidR="002314AC" w:rsidRPr="00C90AC9">
        <w:rPr>
          <w:rFonts w:eastAsia="Calibri"/>
          <w:lang w:eastAsia="en-US"/>
        </w:rPr>
        <w:t>.</w:t>
      </w:r>
      <w:r w:rsidR="00EA70AA" w:rsidRPr="00C90AC9">
        <w:rPr>
          <w:rFonts w:eastAsia="Calibri"/>
          <w:lang w:eastAsia="en-US"/>
        </w:rPr>
        <w:t xml:space="preserve"> occupants would require a different energy source to heat their water</w:t>
      </w:r>
      <w:r w:rsidR="0037115D" w:rsidRPr="00C90AC9">
        <w:rPr>
          <w:rFonts w:eastAsia="Calibri"/>
          <w:lang w:eastAsia="en-US"/>
        </w:rPr>
        <w:t>.</w:t>
      </w:r>
    </w:p>
    <w:p w:rsidR="00CF75F1" w:rsidRPr="00C90AC9" w:rsidRDefault="00CF75F1" w:rsidP="00CF75F1">
      <w:pPr>
        <w:pStyle w:val="BodyText"/>
        <w:spacing w:line="360" w:lineRule="auto"/>
        <w:rPr>
          <w:rFonts w:eastAsia="Calibri"/>
          <w:lang w:eastAsia="en-US"/>
        </w:rPr>
      </w:pPr>
    </w:p>
    <w:p w:rsidR="007E7C0E" w:rsidRPr="00C90AC9" w:rsidRDefault="007E7C0E">
      <w:pPr>
        <w:rPr>
          <w:rFonts w:eastAsia="Calibri"/>
          <w:lang w:eastAsia="en-US"/>
        </w:rPr>
      </w:pPr>
      <w:r w:rsidRPr="00C90AC9">
        <w:rPr>
          <w:rFonts w:eastAsia="Calibri"/>
          <w:lang w:eastAsia="en-US"/>
        </w:rPr>
        <w:br w:type="page"/>
      </w:r>
    </w:p>
    <w:p w:rsidR="00A16B8C" w:rsidRPr="00C90AC9" w:rsidRDefault="00A16B8C" w:rsidP="00D01EBF">
      <w:pPr>
        <w:pStyle w:val="BodyText"/>
        <w:rPr>
          <w:rFonts w:eastAsia="Calibri"/>
          <w:lang w:eastAsia="en-US"/>
        </w:rPr>
      </w:pPr>
      <w:r w:rsidRPr="00C90AC9">
        <w:rPr>
          <w:rFonts w:eastAsia="Calibri"/>
          <w:lang w:eastAsia="en-US"/>
        </w:rPr>
        <w:lastRenderedPageBreak/>
        <w:t xml:space="preserve">Table 1.1. Comparative advantages and disadvantages of solar thermal technology </w:t>
      </w:r>
      <w:r w:rsidR="007E7C0E" w:rsidRPr="00C90AC9">
        <w:rPr>
          <w:rFonts w:eastAsia="Calibri"/>
          <w:lang w:eastAsia="en-US"/>
        </w:rPr>
        <w:fldChar w:fldCharType="begin"/>
      </w:r>
      <w:r w:rsidR="007E7C0E" w:rsidRPr="00C90AC9">
        <w:rPr>
          <w:rFonts w:eastAsia="Calibri"/>
          <w:lang w:eastAsia="en-US"/>
        </w:rPr>
        <w:instrText xml:space="preserve"> ADDIN EN.CITE &lt;EndNote&gt;&lt;Cite&gt;&lt;Author&gt;Allen&lt;/Author&gt;&lt;Year&gt;2008&lt;/Year&gt;&lt;RecNum&gt;211&lt;/RecNum&gt;&lt;DisplayText&gt;(S. Allen et al., 2008)&lt;/DisplayText&gt;&lt;record&gt;&lt;rec-number&gt;211&lt;/rec-number&gt;&lt;foreign-keys&gt;&lt;key app="EN" db-id="50wxdpzd9vd5r7e9t5b595djrfpttrxw9avp" timestamp="1525464920"&gt;211&lt;/key&gt;&lt;/foreign-keys&gt;&lt;ref-type name="Book"&gt;6&lt;/ref-type&gt;&lt;contributors&gt;&lt;authors&gt;&lt;author&gt;Allen, Stephen&lt;/author&gt;&lt;author&gt;Hammond, Geoffrey&lt;/author&gt;&lt;author&gt;McManus, Marcelle&lt;/author&gt;&lt;/authors&gt;&lt;/contributors&gt;&lt;titles&gt;&lt;title&gt;Prospects for and barriers to domestic micro-generation: A United Kingdom perspective&lt;/title&gt;&lt;/titles&gt;&lt;pages&gt;528-544&lt;/pages&gt;&lt;volume&gt;85&lt;/volume&gt;&lt;dates&gt;&lt;year&gt;2008&lt;/year&gt;&lt;/dates&gt;&lt;urls&gt;&lt;/urls&gt;&lt;electronic-resource-num&gt;10.1016/j.apenergy.2007.09.006&lt;/electronic-resource-num&gt;&lt;/record&gt;&lt;/Cite&gt;&lt;/EndNote&gt;</w:instrText>
      </w:r>
      <w:r w:rsidR="007E7C0E" w:rsidRPr="00C90AC9">
        <w:rPr>
          <w:rFonts w:eastAsia="Calibri"/>
          <w:lang w:eastAsia="en-US"/>
        </w:rPr>
        <w:fldChar w:fldCharType="separate"/>
      </w:r>
      <w:r w:rsidR="007E7C0E" w:rsidRPr="00C90AC9">
        <w:rPr>
          <w:rFonts w:eastAsia="Calibri"/>
          <w:lang w:eastAsia="en-US"/>
        </w:rPr>
        <w:t>(</w:t>
      </w:r>
      <w:r w:rsidR="00432861" w:rsidRPr="00C90AC9">
        <w:rPr>
          <w:rFonts w:eastAsia="Calibri"/>
          <w:lang w:eastAsia="en-US"/>
        </w:rPr>
        <w:t>S. R. Allen</w:t>
      </w:r>
      <w:r w:rsidR="007E7C0E" w:rsidRPr="00C90AC9">
        <w:rPr>
          <w:rFonts w:eastAsia="Calibri"/>
          <w:lang w:eastAsia="en-US"/>
        </w:rPr>
        <w:t xml:space="preserve"> et al., 2008)</w:t>
      </w:r>
      <w:r w:rsidR="007E7C0E" w:rsidRPr="00C90AC9">
        <w:rPr>
          <w:rFonts w:eastAsia="Calibri"/>
          <w:lang w:eastAsia="en-US"/>
        </w:rPr>
        <w:fldChar w:fldCharType="end"/>
      </w:r>
    </w:p>
    <w:tbl>
      <w:tblPr>
        <w:tblStyle w:val="TableGrid1"/>
        <w:tblW w:w="0" w:type="auto"/>
        <w:jc w:val="center"/>
        <w:tblLook w:val="04A0" w:firstRow="1" w:lastRow="0" w:firstColumn="1" w:lastColumn="0" w:noHBand="0" w:noVBand="1"/>
      </w:tblPr>
      <w:tblGrid>
        <w:gridCol w:w="2143"/>
        <w:gridCol w:w="1953"/>
        <w:gridCol w:w="2563"/>
        <w:gridCol w:w="2239"/>
      </w:tblGrid>
      <w:tr w:rsidR="00A16B8C" w:rsidRPr="00C90AC9" w:rsidTr="006518C0">
        <w:trPr>
          <w:jc w:val="center"/>
        </w:trPr>
        <w:tc>
          <w:tcPr>
            <w:tcW w:w="2168" w:type="dxa"/>
            <w:tcBorders>
              <w:bottom w:val="double" w:sz="4" w:space="0" w:color="auto"/>
            </w:tcBorders>
            <w:shd w:val="pct12" w:color="auto" w:fill="auto"/>
          </w:tcPr>
          <w:p w:rsidR="00A16B8C" w:rsidRPr="00C90AC9" w:rsidRDefault="00A16B8C" w:rsidP="007E7C0E">
            <w:pPr>
              <w:jc w:val="center"/>
              <w:rPr>
                <w:rFonts w:eastAsia="Calibri"/>
                <w:lang w:eastAsia="en-US"/>
              </w:rPr>
            </w:pPr>
            <w:r w:rsidRPr="00C90AC9">
              <w:rPr>
                <w:rFonts w:eastAsia="Calibri"/>
                <w:lang w:eastAsia="en-US"/>
              </w:rPr>
              <w:t>Micro-generation technology</w:t>
            </w:r>
          </w:p>
        </w:tc>
        <w:tc>
          <w:tcPr>
            <w:tcW w:w="1982" w:type="dxa"/>
            <w:tcBorders>
              <w:bottom w:val="double" w:sz="4" w:space="0" w:color="auto"/>
            </w:tcBorders>
            <w:shd w:val="pct12" w:color="auto" w:fill="auto"/>
          </w:tcPr>
          <w:p w:rsidR="00A16B8C" w:rsidRPr="00C90AC9" w:rsidRDefault="00A16B8C" w:rsidP="007E7C0E">
            <w:pPr>
              <w:jc w:val="center"/>
              <w:rPr>
                <w:rFonts w:eastAsia="Calibri"/>
                <w:lang w:eastAsia="en-US"/>
              </w:rPr>
            </w:pPr>
            <w:r w:rsidRPr="00C90AC9">
              <w:rPr>
                <w:rFonts w:eastAsia="Calibri"/>
                <w:lang w:eastAsia="en-US"/>
              </w:rPr>
              <w:t>Typical</w:t>
            </w:r>
            <w:r w:rsidR="006518C0" w:rsidRPr="00C90AC9">
              <w:rPr>
                <w:rFonts w:eastAsia="Calibri"/>
                <w:lang w:eastAsia="en-US"/>
              </w:rPr>
              <w:t xml:space="preserve"> capital</w:t>
            </w:r>
            <w:r w:rsidRPr="00C90AC9">
              <w:rPr>
                <w:rFonts w:eastAsia="Calibri"/>
                <w:lang w:eastAsia="en-US"/>
              </w:rPr>
              <w:t xml:space="preserve"> costs</w:t>
            </w:r>
          </w:p>
        </w:tc>
        <w:tc>
          <w:tcPr>
            <w:tcW w:w="2578" w:type="dxa"/>
            <w:tcBorders>
              <w:bottom w:val="double" w:sz="4" w:space="0" w:color="auto"/>
            </w:tcBorders>
            <w:shd w:val="pct12" w:color="auto" w:fill="auto"/>
          </w:tcPr>
          <w:p w:rsidR="00A16B8C" w:rsidRPr="00C90AC9" w:rsidRDefault="00A16B8C" w:rsidP="007E7C0E">
            <w:pPr>
              <w:jc w:val="center"/>
              <w:rPr>
                <w:rFonts w:eastAsia="Calibri"/>
                <w:lang w:eastAsia="en-US"/>
              </w:rPr>
            </w:pPr>
            <w:r w:rsidRPr="00C90AC9">
              <w:rPr>
                <w:rFonts w:eastAsia="Calibri"/>
                <w:lang w:eastAsia="en-US"/>
              </w:rPr>
              <w:t>Advantages</w:t>
            </w:r>
          </w:p>
        </w:tc>
        <w:tc>
          <w:tcPr>
            <w:tcW w:w="2257" w:type="dxa"/>
            <w:tcBorders>
              <w:bottom w:val="double" w:sz="4" w:space="0" w:color="auto"/>
            </w:tcBorders>
            <w:shd w:val="pct12" w:color="auto" w:fill="auto"/>
          </w:tcPr>
          <w:p w:rsidR="00A16B8C" w:rsidRPr="00C90AC9" w:rsidRDefault="00A16B8C" w:rsidP="007E7C0E">
            <w:pPr>
              <w:jc w:val="center"/>
              <w:rPr>
                <w:rFonts w:eastAsia="Calibri"/>
                <w:lang w:eastAsia="en-US"/>
              </w:rPr>
            </w:pPr>
            <w:r w:rsidRPr="00C90AC9">
              <w:rPr>
                <w:rFonts w:eastAsia="Calibri"/>
                <w:lang w:eastAsia="en-US"/>
              </w:rPr>
              <w:t>Disadvantages</w:t>
            </w:r>
          </w:p>
        </w:tc>
      </w:tr>
      <w:tr w:rsidR="00A16B8C" w:rsidRPr="00C90AC9" w:rsidTr="006518C0">
        <w:trPr>
          <w:jc w:val="center"/>
        </w:trPr>
        <w:tc>
          <w:tcPr>
            <w:tcW w:w="2168" w:type="dxa"/>
            <w:vMerge w:val="restart"/>
            <w:tcBorders>
              <w:top w:val="double" w:sz="4" w:space="0" w:color="auto"/>
            </w:tcBorders>
            <w:vAlign w:val="center"/>
          </w:tcPr>
          <w:p w:rsidR="00A16B8C" w:rsidRPr="00C90AC9" w:rsidRDefault="00A16B8C" w:rsidP="007E7C0E">
            <w:pPr>
              <w:jc w:val="center"/>
              <w:rPr>
                <w:rFonts w:eastAsia="Calibri"/>
                <w:lang w:eastAsia="en-US"/>
              </w:rPr>
            </w:pPr>
            <w:r w:rsidRPr="00C90AC9">
              <w:rPr>
                <w:rFonts w:eastAsia="Calibri"/>
                <w:lang w:eastAsia="en-US"/>
              </w:rPr>
              <w:t>Solar thermal</w:t>
            </w:r>
          </w:p>
        </w:tc>
        <w:tc>
          <w:tcPr>
            <w:tcW w:w="1982" w:type="dxa"/>
            <w:vMerge w:val="restart"/>
            <w:tcBorders>
              <w:top w:val="double" w:sz="4" w:space="0" w:color="auto"/>
            </w:tcBorders>
            <w:vAlign w:val="center"/>
          </w:tcPr>
          <w:p w:rsidR="00A16B8C" w:rsidRPr="00C90AC9" w:rsidRDefault="00A16B8C" w:rsidP="007E7C0E">
            <w:pPr>
              <w:jc w:val="center"/>
              <w:rPr>
                <w:rFonts w:eastAsia="Calibri"/>
                <w:lang w:eastAsia="en-US"/>
              </w:rPr>
            </w:pPr>
            <w:r w:rsidRPr="00C90AC9">
              <w:rPr>
                <w:rFonts w:eastAsia="Calibri"/>
                <w:lang w:eastAsia="en-US"/>
              </w:rPr>
              <w:t>£200 - £4500</w:t>
            </w:r>
          </w:p>
        </w:tc>
        <w:tc>
          <w:tcPr>
            <w:tcW w:w="2578" w:type="dxa"/>
            <w:tcBorders>
              <w:top w:val="double" w:sz="4" w:space="0" w:color="auto"/>
            </w:tcBorders>
            <w:vAlign w:val="center"/>
          </w:tcPr>
          <w:p w:rsidR="00A16B8C" w:rsidRPr="00C90AC9" w:rsidRDefault="00A16B8C" w:rsidP="007E7C0E">
            <w:pPr>
              <w:jc w:val="center"/>
              <w:rPr>
                <w:rFonts w:eastAsia="Calibri"/>
                <w:lang w:eastAsia="en-US"/>
              </w:rPr>
            </w:pPr>
            <w:r w:rsidRPr="00C90AC9">
              <w:rPr>
                <w:rFonts w:eastAsia="Calibri"/>
                <w:lang w:eastAsia="en-US"/>
              </w:rPr>
              <w:t>The solar resource is relatively reliable and predictable</w:t>
            </w:r>
          </w:p>
        </w:tc>
        <w:tc>
          <w:tcPr>
            <w:tcW w:w="2257" w:type="dxa"/>
            <w:tcBorders>
              <w:top w:val="double" w:sz="4" w:space="0" w:color="auto"/>
            </w:tcBorders>
            <w:vAlign w:val="center"/>
          </w:tcPr>
          <w:p w:rsidR="00A16B8C" w:rsidRPr="00C90AC9" w:rsidRDefault="00A16B8C" w:rsidP="007E7C0E">
            <w:pPr>
              <w:jc w:val="center"/>
              <w:rPr>
                <w:rFonts w:eastAsia="Calibri"/>
                <w:lang w:eastAsia="en-US"/>
              </w:rPr>
            </w:pPr>
            <w:r w:rsidRPr="00C90AC9">
              <w:rPr>
                <w:rFonts w:eastAsia="Calibri"/>
                <w:lang w:eastAsia="en-US"/>
              </w:rPr>
              <w:t>Some systems require grid electricity supply</w:t>
            </w:r>
          </w:p>
        </w:tc>
      </w:tr>
      <w:tr w:rsidR="00A16B8C" w:rsidRPr="00C90AC9" w:rsidTr="006518C0">
        <w:trPr>
          <w:jc w:val="center"/>
        </w:trPr>
        <w:tc>
          <w:tcPr>
            <w:tcW w:w="2168" w:type="dxa"/>
            <w:vMerge/>
            <w:vAlign w:val="center"/>
          </w:tcPr>
          <w:p w:rsidR="00A16B8C" w:rsidRPr="00C90AC9" w:rsidRDefault="00A16B8C" w:rsidP="007E7C0E">
            <w:pPr>
              <w:jc w:val="center"/>
              <w:rPr>
                <w:rFonts w:eastAsia="Calibri"/>
                <w:lang w:eastAsia="en-US"/>
              </w:rPr>
            </w:pPr>
          </w:p>
        </w:tc>
        <w:tc>
          <w:tcPr>
            <w:tcW w:w="1982" w:type="dxa"/>
            <w:vMerge/>
            <w:vAlign w:val="center"/>
          </w:tcPr>
          <w:p w:rsidR="00A16B8C" w:rsidRPr="00C90AC9" w:rsidRDefault="00A16B8C" w:rsidP="007E7C0E">
            <w:pPr>
              <w:jc w:val="center"/>
              <w:rPr>
                <w:rFonts w:eastAsia="Calibri"/>
                <w:lang w:eastAsia="en-US"/>
              </w:rPr>
            </w:pPr>
          </w:p>
        </w:tc>
        <w:tc>
          <w:tcPr>
            <w:tcW w:w="2578" w:type="dxa"/>
            <w:vAlign w:val="center"/>
          </w:tcPr>
          <w:p w:rsidR="00A16B8C" w:rsidRPr="00C90AC9" w:rsidRDefault="00A16B8C" w:rsidP="007E7C0E">
            <w:pPr>
              <w:jc w:val="center"/>
              <w:rPr>
                <w:rFonts w:eastAsia="Calibri"/>
                <w:lang w:eastAsia="en-US"/>
              </w:rPr>
            </w:pPr>
            <w:r w:rsidRPr="00C90AC9">
              <w:rPr>
                <w:rFonts w:eastAsia="Calibri"/>
                <w:lang w:eastAsia="en-US"/>
              </w:rPr>
              <w:t>Proven/established technology</w:t>
            </w:r>
          </w:p>
        </w:tc>
        <w:tc>
          <w:tcPr>
            <w:tcW w:w="2257" w:type="dxa"/>
            <w:vAlign w:val="center"/>
          </w:tcPr>
          <w:p w:rsidR="00A16B8C" w:rsidRPr="00C90AC9" w:rsidRDefault="00A16B8C" w:rsidP="007E7C0E">
            <w:pPr>
              <w:jc w:val="center"/>
              <w:rPr>
                <w:rFonts w:eastAsia="Calibri"/>
                <w:lang w:eastAsia="en-US"/>
              </w:rPr>
            </w:pPr>
            <w:r w:rsidRPr="00C90AC9">
              <w:rPr>
                <w:rFonts w:eastAsia="Calibri"/>
                <w:lang w:eastAsia="en-US"/>
              </w:rPr>
              <w:t xml:space="preserve">Low cost-reduction potential due </w:t>
            </w:r>
            <w:r w:rsidR="0040600B" w:rsidRPr="00C90AC9">
              <w:rPr>
                <w:rFonts w:eastAsia="Calibri"/>
                <w:lang w:eastAsia="en-US"/>
              </w:rPr>
              <w:t>to</w:t>
            </w:r>
            <w:r w:rsidRPr="00C90AC9">
              <w:rPr>
                <w:rFonts w:eastAsia="Calibri"/>
                <w:lang w:eastAsia="en-US"/>
              </w:rPr>
              <w:t xml:space="preserve"> established designs</w:t>
            </w:r>
          </w:p>
        </w:tc>
      </w:tr>
      <w:tr w:rsidR="00A16B8C" w:rsidRPr="00C90AC9" w:rsidTr="006518C0">
        <w:trPr>
          <w:jc w:val="center"/>
        </w:trPr>
        <w:tc>
          <w:tcPr>
            <w:tcW w:w="2168" w:type="dxa"/>
            <w:vMerge/>
            <w:vAlign w:val="center"/>
          </w:tcPr>
          <w:p w:rsidR="00A16B8C" w:rsidRPr="00C90AC9" w:rsidRDefault="00A16B8C" w:rsidP="007E7C0E">
            <w:pPr>
              <w:jc w:val="center"/>
              <w:rPr>
                <w:rFonts w:eastAsia="Calibri"/>
                <w:lang w:eastAsia="en-US"/>
              </w:rPr>
            </w:pPr>
          </w:p>
        </w:tc>
        <w:tc>
          <w:tcPr>
            <w:tcW w:w="1982" w:type="dxa"/>
            <w:vMerge/>
            <w:vAlign w:val="center"/>
          </w:tcPr>
          <w:p w:rsidR="00A16B8C" w:rsidRPr="00C90AC9" w:rsidRDefault="00A16B8C" w:rsidP="007E7C0E">
            <w:pPr>
              <w:jc w:val="center"/>
              <w:rPr>
                <w:rFonts w:eastAsia="Calibri"/>
                <w:lang w:eastAsia="en-US"/>
              </w:rPr>
            </w:pPr>
          </w:p>
        </w:tc>
        <w:tc>
          <w:tcPr>
            <w:tcW w:w="2578" w:type="dxa"/>
            <w:vAlign w:val="center"/>
          </w:tcPr>
          <w:p w:rsidR="00A16B8C" w:rsidRPr="00C90AC9" w:rsidRDefault="00A16B8C" w:rsidP="007E7C0E">
            <w:pPr>
              <w:jc w:val="center"/>
              <w:rPr>
                <w:rFonts w:eastAsia="Calibri"/>
                <w:lang w:eastAsia="en-US"/>
              </w:rPr>
            </w:pPr>
            <w:r w:rsidRPr="00C90AC9">
              <w:rPr>
                <w:rFonts w:eastAsia="Calibri"/>
                <w:lang w:eastAsia="en-US"/>
              </w:rPr>
              <w:t>Visually unobtrusive</w:t>
            </w:r>
          </w:p>
        </w:tc>
        <w:tc>
          <w:tcPr>
            <w:tcW w:w="2257" w:type="dxa"/>
            <w:vMerge w:val="restart"/>
            <w:vAlign w:val="center"/>
          </w:tcPr>
          <w:p w:rsidR="00A16B8C" w:rsidRPr="00C90AC9" w:rsidRDefault="00A16B8C" w:rsidP="007E7C0E">
            <w:pPr>
              <w:jc w:val="center"/>
              <w:rPr>
                <w:rFonts w:eastAsia="Calibri"/>
                <w:lang w:eastAsia="en-US"/>
              </w:rPr>
            </w:pPr>
            <w:r w:rsidRPr="00C90AC9">
              <w:rPr>
                <w:rFonts w:eastAsia="Calibri"/>
                <w:lang w:eastAsia="en-US"/>
              </w:rPr>
              <w:t>Not currently cost effective</w:t>
            </w:r>
            <w:r w:rsidR="006518C0" w:rsidRPr="00C90AC9">
              <w:rPr>
                <w:rFonts w:eastAsia="Calibri"/>
                <w:lang w:eastAsia="en-US"/>
              </w:rPr>
              <w:t>, but changing energy costs are changing this</w:t>
            </w:r>
          </w:p>
        </w:tc>
      </w:tr>
      <w:tr w:rsidR="00A16B8C" w:rsidRPr="00C90AC9" w:rsidTr="006518C0">
        <w:trPr>
          <w:trHeight w:val="1594"/>
          <w:jc w:val="center"/>
        </w:trPr>
        <w:tc>
          <w:tcPr>
            <w:tcW w:w="2168" w:type="dxa"/>
            <w:vMerge/>
          </w:tcPr>
          <w:p w:rsidR="00A16B8C" w:rsidRPr="00C90AC9" w:rsidRDefault="00A16B8C" w:rsidP="00B06779">
            <w:pPr>
              <w:rPr>
                <w:rFonts w:eastAsia="Calibri"/>
                <w:lang w:eastAsia="en-US"/>
              </w:rPr>
            </w:pPr>
          </w:p>
        </w:tc>
        <w:tc>
          <w:tcPr>
            <w:tcW w:w="1982" w:type="dxa"/>
            <w:vMerge/>
          </w:tcPr>
          <w:p w:rsidR="00A16B8C" w:rsidRPr="00C90AC9" w:rsidRDefault="00A16B8C" w:rsidP="00B06779">
            <w:pPr>
              <w:rPr>
                <w:rFonts w:eastAsia="Calibri"/>
                <w:lang w:eastAsia="en-US"/>
              </w:rPr>
            </w:pPr>
          </w:p>
        </w:tc>
        <w:tc>
          <w:tcPr>
            <w:tcW w:w="2578" w:type="dxa"/>
            <w:vAlign w:val="center"/>
          </w:tcPr>
          <w:p w:rsidR="00A16B8C" w:rsidRPr="00C90AC9" w:rsidRDefault="00A16B8C" w:rsidP="00B06779">
            <w:pPr>
              <w:rPr>
                <w:rFonts w:eastAsia="Calibri"/>
                <w:lang w:eastAsia="en-US"/>
              </w:rPr>
            </w:pPr>
            <w:r w:rsidRPr="00C90AC9">
              <w:rPr>
                <w:rFonts w:eastAsia="Calibri"/>
                <w:lang w:eastAsia="en-US"/>
              </w:rPr>
              <w:t>Provides hot water all year round (however it will not meet demand in winter)</w:t>
            </w:r>
          </w:p>
        </w:tc>
        <w:tc>
          <w:tcPr>
            <w:tcW w:w="2257" w:type="dxa"/>
            <w:vMerge/>
          </w:tcPr>
          <w:p w:rsidR="00A16B8C" w:rsidRPr="00C90AC9" w:rsidRDefault="00A16B8C" w:rsidP="00B06779">
            <w:pPr>
              <w:rPr>
                <w:rFonts w:eastAsia="Calibri"/>
                <w:lang w:eastAsia="en-US"/>
              </w:rPr>
            </w:pPr>
          </w:p>
        </w:tc>
      </w:tr>
    </w:tbl>
    <w:p w:rsidR="00E02558" w:rsidRPr="00C90AC9" w:rsidRDefault="00EA70AA" w:rsidP="00EF4BE3">
      <w:pPr>
        <w:spacing w:line="360" w:lineRule="auto"/>
        <w:rPr>
          <w:rStyle w:val="Emphasis"/>
          <w:rFonts w:ascii="Times New Roman" w:hAnsi="Times New Roman" w:cs="Times New Roman"/>
          <w:i w:val="0"/>
          <w:iCs w:val="0"/>
          <w:sz w:val="24"/>
          <w:szCs w:val="24"/>
        </w:rPr>
      </w:pPr>
      <w:bookmarkStart w:id="15" w:name="_Toc447173044"/>
      <w:bookmarkEnd w:id="13"/>
      <w:bookmarkEnd w:id="14"/>
      <w:r w:rsidRPr="00C90AC9">
        <w:rPr>
          <w:rStyle w:val="Emphasis"/>
          <w:rFonts w:ascii="Times New Roman" w:hAnsi="Times New Roman" w:cs="Times New Roman"/>
          <w:i w:val="0"/>
          <w:iCs w:val="0"/>
          <w:sz w:val="24"/>
          <w:szCs w:val="24"/>
        </w:rPr>
        <w:br/>
        <w:t xml:space="preserve">The study identified two disadvantages which are likely to change in the future which will impact the way in which consumers perceive the technology. The study identified rising energy costs as making STPS more cost-effective in comparison to </w:t>
      </w:r>
      <w:r w:rsidR="00E02558" w:rsidRPr="00C90AC9">
        <w:rPr>
          <w:rStyle w:val="Emphasis"/>
          <w:rFonts w:ascii="Times New Roman" w:hAnsi="Times New Roman" w:cs="Times New Roman"/>
          <w:i w:val="0"/>
          <w:iCs w:val="0"/>
          <w:sz w:val="24"/>
          <w:szCs w:val="24"/>
        </w:rPr>
        <w:t xml:space="preserve">conventional energy sources, </w:t>
      </w:r>
      <w:r w:rsidRPr="00C90AC9">
        <w:rPr>
          <w:rStyle w:val="Emphasis"/>
          <w:rFonts w:ascii="Times New Roman" w:hAnsi="Times New Roman" w:cs="Times New Roman"/>
          <w:i w:val="0"/>
          <w:iCs w:val="0"/>
          <w:sz w:val="24"/>
          <w:szCs w:val="24"/>
        </w:rPr>
        <w:t xml:space="preserve">as well as improvements to STP design </w:t>
      </w:r>
      <w:r w:rsidR="00E02558" w:rsidRPr="00C90AC9">
        <w:rPr>
          <w:rStyle w:val="Emphasis"/>
          <w:rFonts w:ascii="Times New Roman" w:hAnsi="Times New Roman" w:cs="Times New Roman"/>
          <w:i w:val="0"/>
          <w:iCs w:val="0"/>
          <w:sz w:val="24"/>
          <w:szCs w:val="24"/>
        </w:rPr>
        <w:t>resulting in shorter payback periods and thus more attractive to consumers</w:t>
      </w:r>
      <w:r w:rsidR="007E7C0E" w:rsidRPr="00C90AC9">
        <w:rPr>
          <w:rStyle w:val="Emphasis"/>
          <w:rFonts w:ascii="Times New Roman" w:hAnsi="Times New Roman" w:cs="Times New Roman"/>
          <w:i w:val="0"/>
          <w:iCs w:val="0"/>
          <w:sz w:val="24"/>
          <w:szCs w:val="24"/>
        </w:rPr>
        <w:t xml:space="preserve"> </w:t>
      </w:r>
      <w:r w:rsidR="007E7C0E" w:rsidRPr="00C90AC9">
        <w:rPr>
          <w:rStyle w:val="Emphasis"/>
          <w:rFonts w:ascii="Times New Roman" w:hAnsi="Times New Roman" w:cs="Times New Roman"/>
          <w:i w:val="0"/>
          <w:iCs w:val="0"/>
          <w:sz w:val="24"/>
          <w:szCs w:val="24"/>
        </w:rPr>
        <w:fldChar w:fldCharType="begin"/>
      </w:r>
      <w:r w:rsidR="007E7C0E" w:rsidRPr="00C90AC9">
        <w:rPr>
          <w:rStyle w:val="Emphasis"/>
          <w:rFonts w:ascii="Times New Roman" w:hAnsi="Times New Roman" w:cs="Times New Roman"/>
          <w:i w:val="0"/>
          <w:iCs w:val="0"/>
          <w:sz w:val="24"/>
          <w:szCs w:val="24"/>
        </w:rPr>
        <w:instrText xml:space="preserve"> ADDIN EN.CITE &lt;EndNote&gt;&lt;Cite&gt;&lt;Author&gt;Allen&lt;/Author&gt;&lt;Year&gt;2008&lt;/Year&gt;&lt;RecNum&gt;211&lt;/RecNum&gt;&lt;DisplayText&gt;(S. Allen et al., 2008)&lt;/DisplayText&gt;&lt;record&gt;&lt;rec-number&gt;211&lt;/rec-number&gt;&lt;foreign-keys&gt;&lt;key app="EN" db-id="50wxdpzd9vd5r7e9t5b595djrfpttrxw9avp" timestamp="1525464920"&gt;211&lt;/key&gt;&lt;/foreign-keys&gt;&lt;ref-type name="Book"&gt;6&lt;/ref-type&gt;&lt;contributors&gt;&lt;authors&gt;&lt;author&gt;Allen, Stephen&lt;/author&gt;&lt;author&gt;Hammond, Geoffrey&lt;/author&gt;&lt;author&gt;McManus, Marcelle&lt;/author&gt;&lt;/authors&gt;&lt;/contributors&gt;&lt;titles&gt;&lt;title&gt;Prospects for and barriers to domestic micro-generation: A United Kingdom perspective&lt;/title&gt;&lt;/titles&gt;&lt;pages&gt;528-544&lt;/pages&gt;&lt;volume&gt;85&lt;/volume&gt;&lt;dates&gt;&lt;year&gt;2008&lt;/year&gt;&lt;/dates&gt;&lt;urls&gt;&lt;/urls&gt;&lt;electronic-resource-num&gt;10.1016/j.apenergy.2007.09.006&lt;/electronic-resource-num&gt;&lt;/record&gt;&lt;/Cite&gt;&lt;/EndNote&gt;</w:instrText>
      </w:r>
      <w:r w:rsidR="007E7C0E" w:rsidRPr="00C90AC9">
        <w:rPr>
          <w:rStyle w:val="Emphasis"/>
          <w:rFonts w:ascii="Times New Roman" w:hAnsi="Times New Roman" w:cs="Times New Roman"/>
          <w:i w:val="0"/>
          <w:iCs w:val="0"/>
          <w:sz w:val="24"/>
          <w:szCs w:val="24"/>
        </w:rPr>
        <w:fldChar w:fldCharType="separate"/>
      </w:r>
      <w:r w:rsidR="007E7C0E" w:rsidRPr="00C90AC9">
        <w:rPr>
          <w:rStyle w:val="Emphasis"/>
          <w:rFonts w:ascii="Times New Roman" w:hAnsi="Times New Roman" w:cs="Times New Roman"/>
          <w:i w:val="0"/>
          <w:iCs w:val="0"/>
          <w:sz w:val="24"/>
          <w:szCs w:val="24"/>
        </w:rPr>
        <w:t>(</w:t>
      </w:r>
      <w:r w:rsidR="00432861" w:rsidRPr="00C90AC9">
        <w:rPr>
          <w:rStyle w:val="Emphasis"/>
          <w:rFonts w:ascii="Times New Roman" w:hAnsi="Times New Roman" w:cs="Times New Roman"/>
          <w:i w:val="0"/>
          <w:iCs w:val="0"/>
          <w:sz w:val="24"/>
          <w:szCs w:val="24"/>
        </w:rPr>
        <w:t>S. R. Allen</w:t>
      </w:r>
      <w:r w:rsidR="007E7C0E" w:rsidRPr="00C90AC9">
        <w:rPr>
          <w:rStyle w:val="Emphasis"/>
          <w:rFonts w:ascii="Times New Roman" w:hAnsi="Times New Roman" w:cs="Times New Roman"/>
          <w:i w:val="0"/>
          <w:iCs w:val="0"/>
          <w:sz w:val="24"/>
          <w:szCs w:val="24"/>
        </w:rPr>
        <w:t xml:space="preserve"> et al., 2008)</w:t>
      </w:r>
      <w:r w:rsidR="007E7C0E" w:rsidRPr="00C90AC9">
        <w:rPr>
          <w:rStyle w:val="Emphasis"/>
          <w:rFonts w:ascii="Times New Roman" w:hAnsi="Times New Roman" w:cs="Times New Roman"/>
          <w:i w:val="0"/>
          <w:iCs w:val="0"/>
          <w:sz w:val="24"/>
          <w:szCs w:val="24"/>
        </w:rPr>
        <w:fldChar w:fldCharType="end"/>
      </w:r>
      <w:r w:rsidR="00E02558" w:rsidRPr="00C90AC9">
        <w:rPr>
          <w:rStyle w:val="Emphasis"/>
          <w:rFonts w:ascii="Times New Roman" w:hAnsi="Times New Roman" w:cs="Times New Roman"/>
          <w:i w:val="0"/>
          <w:iCs w:val="0"/>
          <w:sz w:val="24"/>
          <w:szCs w:val="24"/>
        </w:rPr>
        <w:t>.</w:t>
      </w:r>
    </w:p>
    <w:p w:rsidR="00E02558" w:rsidRPr="00C90AC9" w:rsidRDefault="00E02558" w:rsidP="00E02558">
      <w:pPr>
        <w:rPr>
          <w:rStyle w:val="Emphasis"/>
          <w:rFonts w:ascii="Times New Roman" w:hAnsi="Times New Roman" w:cs="Times New Roman"/>
          <w:i w:val="0"/>
          <w:iCs w:val="0"/>
          <w:sz w:val="24"/>
          <w:szCs w:val="24"/>
        </w:rPr>
      </w:pPr>
    </w:p>
    <w:p w:rsidR="00906911" w:rsidRPr="00C90AC9" w:rsidRDefault="00E957F0" w:rsidP="006773E5">
      <w:pPr>
        <w:spacing w:line="360" w:lineRule="auto"/>
        <w:rPr>
          <w:rStyle w:val="SubtleEmphasis"/>
          <w:rFonts w:cs="Times New Roman"/>
          <w:iCs/>
          <w:color w:val="000000" w:themeColor="text1"/>
          <w:szCs w:val="24"/>
        </w:rPr>
      </w:pPr>
      <w:r w:rsidRPr="00C90AC9">
        <w:rPr>
          <w:rStyle w:val="SubtleEmphasis"/>
          <w:sz w:val="24"/>
        </w:rPr>
        <w:t xml:space="preserve">In 2014 Burnett et al reviewed the UK’s solar energy resource and how climate change will impact the UK solar irradiation </w:t>
      </w:r>
      <w:r w:rsidR="006773E5" w:rsidRPr="00C90AC9">
        <w:rPr>
          <w:rStyle w:val="SubtleEmphasis"/>
          <w:sz w:val="24"/>
        </w:rPr>
        <w:fldChar w:fldCharType="begin"/>
      </w:r>
      <w:r w:rsidR="006773E5" w:rsidRPr="00C90AC9">
        <w:rPr>
          <w:rStyle w:val="SubtleEmphasis"/>
          <w:sz w:val="24"/>
        </w:rPr>
        <w:instrText xml:space="preserve"> ADDIN EN.CITE &lt;EndNote&gt;&lt;Cite&gt;&lt;Author&gt;Burnett&lt;/Author&gt;&lt;Year&gt;2014&lt;/Year&gt;&lt;RecNum&gt;284&lt;/RecNum&gt;&lt;DisplayText&gt;(Burnett, Barbour, &amp;amp; Harrison, 2014)&lt;/DisplayText&gt;&lt;record&gt;&lt;rec-number&gt;284&lt;/rec-number&gt;&lt;foreign-keys&gt;&lt;key app="EN" db-id="50wxdpzd9vd5r7e9t5b595djrfpttrxw9avp" timestamp="1526876636"&gt;284&lt;/key&gt;&lt;/foreign-keys&gt;&lt;ref-type name="Journal Article"&gt;17&lt;/ref-type&gt;&lt;contributors&gt;&lt;authors&gt;&lt;author&gt;Burnett, Dougal&lt;/author&gt;&lt;author&gt;Barbour, Edward&lt;/author&gt;&lt;author&gt;Harrison, Gareth P.&lt;/author&gt;&lt;/authors&gt;&lt;/contributors&gt;&lt;titles&gt;&lt;title&gt;The UK solar energy resource and the impact of climate change&lt;/title&gt;&lt;secondary-title&gt;Renewable Energy&lt;/secondary-title&gt;&lt;/titles&gt;&lt;pages&gt;333-343&lt;/pages&gt;&lt;volume&gt;71&lt;/volume&gt;&lt;keywords&gt;&lt;keyword&gt;Solar resource&lt;/keyword&gt;&lt;keyword&gt;UK&lt;/keyword&gt;&lt;keyword&gt;Suehrcke&lt;/keyword&gt;&lt;keyword&gt;Climate change&lt;/keyword&gt;&lt;keyword&gt;Solar irradiation&lt;/keyword&gt;&lt;keyword&gt;Sunshine duration&lt;/keyword&gt;&lt;keyword&gt;UKCP09&lt;/keyword&gt;&lt;keyword&gt;Probabilistic projections&lt;/keyword&gt;&lt;keyword&gt;Solar PV&lt;/keyword&gt;&lt;keyword&gt;Solar thermal&lt;/keyword&gt;&lt;/keywords&gt;&lt;dates&gt;&lt;year&gt;2014&lt;/year&gt;&lt;pub-dates&gt;&lt;date&gt;2014/11/01/&lt;/date&gt;&lt;/pub-dates&gt;&lt;/dates&gt;&lt;isbn&gt;0960-1481&lt;/isbn&gt;&lt;urls&gt;&lt;related-urls&gt;&lt;url&gt;http://www.sciencedirect.com/science/article/pii/S0960148114002857&lt;/url&gt;&lt;/related-urls&gt;&lt;/urls&gt;&lt;electronic-resource-num&gt;https://doi.org/10.1016/j.renene.2014.05.034&lt;/electronic-resource-num&gt;&lt;/record&gt;&lt;/Cite&gt;&lt;/EndNote&gt;</w:instrText>
      </w:r>
      <w:r w:rsidR="006773E5" w:rsidRPr="00C90AC9">
        <w:rPr>
          <w:rStyle w:val="SubtleEmphasis"/>
          <w:sz w:val="24"/>
        </w:rPr>
        <w:fldChar w:fldCharType="separate"/>
      </w:r>
      <w:r w:rsidR="006773E5" w:rsidRPr="00C90AC9">
        <w:rPr>
          <w:rStyle w:val="SubtleEmphasis"/>
          <w:sz w:val="24"/>
        </w:rPr>
        <w:t>(Burnett, Barbour, &amp; Harrison, 2014)</w:t>
      </w:r>
      <w:r w:rsidR="006773E5" w:rsidRPr="00C90AC9">
        <w:rPr>
          <w:rStyle w:val="SubtleEmphasis"/>
          <w:sz w:val="24"/>
        </w:rPr>
        <w:fldChar w:fldCharType="end"/>
      </w:r>
      <w:r w:rsidRPr="00C90AC9">
        <w:rPr>
          <w:rStyle w:val="SubtleEmphasis"/>
          <w:sz w:val="24"/>
        </w:rPr>
        <w:t>. The study analysed 30 years of observed historical monthly average sunshine duration data and found that the current UK average solar resource is 101.2 W/m</w:t>
      </w:r>
      <w:r w:rsidRPr="00C90AC9">
        <w:rPr>
          <w:rStyle w:val="SubtleEmphasis"/>
          <w:sz w:val="24"/>
          <w:vertAlign w:val="superscript"/>
        </w:rPr>
        <w:t>2</w:t>
      </w:r>
      <w:r w:rsidRPr="00C90AC9">
        <w:rPr>
          <w:rStyle w:val="SubtleEmphasis"/>
          <w:sz w:val="24"/>
        </w:rPr>
        <w:t>, ranging from 128.4 W/m</w:t>
      </w:r>
      <w:r w:rsidRPr="00C90AC9">
        <w:rPr>
          <w:rStyle w:val="SubtleEmphasis"/>
          <w:sz w:val="24"/>
          <w:vertAlign w:val="superscript"/>
        </w:rPr>
        <w:t>2</w:t>
      </w:r>
      <w:r w:rsidRPr="00C90AC9">
        <w:rPr>
          <w:rStyle w:val="SubtleEmphasis"/>
          <w:sz w:val="24"/>
        </w:rPr>
        <w:t xml:space="preserve"> in the south of the UK to 71.8 W/m</w:t>
      </w:r>
      <w:r w:rsidRPr="00C90AC9">
        <w:rPr>
          <w:rStyle w:val="SubtleEmphasis"/>
          <w:sz w:val="24"/>
          <w:vertAlign w:val="superscript"/>
        </w:rPr>
        <w:t>2</w:t>
      </w:r>
      <w:r w:rsidRPr="00C90AC9">
        <w:rPr>
          <w:rStyle w:val="SubtleEmphasis"/>
          <w:sz w:val="24"/>
        </w:rPr>
        <w:t xml:space="preserve"> in the northwest of Scotland. They determined that the effects of climate change will increase the average resource in the south of the UK and only marginally decrease it in the northwest </w:t>
      </w:r>
      <w:r w:rsidR="006773E5" w:rsidRPr="00C90AC9">
        <w:rPr>
          <w:rStyle w:val="SubtleEmphasis"/>
          <w:sz w:val="24"/>
        </w:rPr>
        <w:fldChar w:fldCharType="begin"/>
      </w:r>
      <w:r w:rsidR="006773E5" w:rsidRPr="00C90AC9">
        <w:rPr>
          <w:rStyle w:val="SubtleEmphasis"/>
          <w:sz w:val="24"/>
        </w:rPr>
        <w:instrText xml:space="preserve"> ADDIN EN.CITE &lt;EndNote&gt;&lt;Cite&gt;&lt;Author&gt;Burnett&lt;/Author&gt;&lt;Year&gt;2014&lt;/Year&gt;&lt;RecNum&gt;284&lt;/RecNum&gt;&lt;DisplayText&gt;(Burnett et al., 2014)&lt;/DisplayText&gt;&lt;record&gt;&lt;rec-number&gt;284&lt;/rec-number&gt;&lt;foreign-keys&gt;&lt;key app="EN" db-id="50wxdpzd9vd5r7e9t5b595djrfpttrxw9avp" timestamp="1526876636"&gt;284&lt;/key&gt;&lt;/foreign-keys&gt;&lt;ref-type name="Journal Article"&gt;17&lt;/ref-type&gt;&lt;contributors&gt;&lt;authors&gt;&lt;author&gt;Burnett, Dougal&lt;/author&gt;&lt;author&gt;Barbour, Edward&lt;/author&gt;&lt;author&gt;Harrison, Gareth P.&lt;/author&gt;&lt;/authors&gt;&lt;/contributors&gt;&lt;titles&gt;&lt;title&gt;The UK solar energy resource and the impact of climate change&lt;/title&gt;&lt;secondary-title&gt;Renewable Energy&lt;/secondary-title&gt;&lt;/titles&gt;&lt;pages&gt;333-343&lt;/pages&gt;&lt;volume&gt;71&lt;/volume&gt;&lt;keywords&gt;&lt;keyword&gt;Solar resource&lt;/keyword&gt;&lt;keyword&gt;UK&lt;/keyword&gt;&lt;keyword&gt;Suehrcke&lt;/keyword&gt;&lt;keyword&gt;Climate change&lt;/keyword&gt;&lt;keyword&gt;Solar irradiation&lt;/keyword&gt;&lt;keyword&gt;Sunshine duration&lt;/keyword&gt;&lt;keyword&gt;UKCP09&lt;/keyword&gt;&lt;keyword&gt;Probabilistic projections&lt;/keyword&gt;&lt;keyword&gt;Solar PV&lt;/keyword&gt;&lt;keyword&gt;Solar thermal&lt;/keyword&gt;&lt;/keywords&gt;&lt;dates&gt;&lt;year&gt;2014&lt;/year&gt;&lt;pub-dates&gt;&lt;date&gt;2014/11/01/&lt;/date&gt;&lt;/pub-dates&gt;&lt;/dates&gt;&lt;isbn&gt;0960-1481&lt;/isbn&gt;&lt;urls&gt;&lt;related-urls&gt;&lt;url&gt;http://www.sciencedirect.com/science/article/pii/S0960148114002857&lt;/url&gt;&lt;/related-urls&gt;&lt;/urls&gt;&lt;electronic-resource-num&gt;https://doi.org/10.1016/j.renene.2014.05.034&lt;/electronic-resource-num&gt;&lt;/record&gt;&lt;/Cite&gt;&lt;/EndNote&gt;</w:instrText>
      </w:r>
      <w:r w:rsidR="006773E5" w:rsidRPr="00C90AC9">
        <w:rPr>
          <w:rStyle w:val="SubtleEmphasis"/>
          <w:sz w:val="24"/>
        </w:rPr>
        <w:fldChar w:fldCharType="separate"/>
      </w:r>
      <w:r w:rsidR="006773E5" w:rsidRPr="00C90AC9">
        <w:rPr>
          <w:rStyle w:val="SubtleEmphasis"/>
          <w:sz w:val="24"/>
        </w:rPr>
        <w:t>(Burnett et al., 2014)</w:t>
      </w:r>
      <w:r w:rsidR="006773E5" w:rsidRPr="00C90AC9">
        <w:rPr>
          <w:rStyle w:val="SubtleEmphasis"/>
          <w:sz w:val="24"/>
        </w:rPr>
        <w:fldChar w:fldCharType="end"/>
      </w:r>
      <w:r w:rsidRPr="00C90AC9">
        <w:rPr>
          <w:rStyle w:val="SubtleEmphasis"/>
          <w:sz w:val="24"/>
        </w:rPr>
        <w:t xml:space="preserve">. These two findings result in an overall mean increase in the solar resource, however there is likely to be a greater seasonal variability </w:t>
      </w:r>
      <w:r w:rsidR="006773E5" w:rsidRPr="00C90AC9">
        <w:rPr>
          <w:rStyle w:val="SubtleEmphasis"/>
          <w:sz w:val="24"/>
        </w:rPr>
        <w:t xml:space="preserve">and the variations between geographical regions will become more pronounced </w:t>
      </w:r>
      <w:r w:rsidR="006773E5" w:rsidRPr="00C90AC9">
        <w:rPr>
          <w:rStyle w:val="SubtleEmphasis"/>
          <w:sz w:val="24"/>
        </w:rPr>
        <w:fldChar w:fldCharType="begin"/>
      </w:r>
      <w:r w:rsidR="006773E5" w:rsidRPr="00C90AC9">
        <w:rPr>
          <w:rStyle w:val="SubtleEmphasis"/>
          <w:sz w:val="24"/>
        </w:rPr>
        <w:instrText xml:space="preserve"> ADDIN EN.CITE &lt;EndNote&gt;&lt;Cite&gt;&lt;Author&gt;Burnett&lt;/Author&gt;&lt;Year&gt;2014&lt;/Year&gt;&lt;RecNum&gt;284&lt;/RecNum&gt;&lt;DisplayText&gt;(Burnett et al., 2014)&lt;/DisplayText&gt;&lt;record&gt;&lt;rec-number&gt;284&lt;/rec-number&gt;&lt;foreign-keys&gt;&lt;key app="EN" db-id="50wxdpzd9vd5r7e9t5b595djrfpttrxw9avp" timestamp="1526876636"&gt;284&lt;/key&gt;&lt;/foreign-keys&gt;&lt;ref-type name="Journal Article"&gt;17&lt;/ref-type&gt;&lt;contributors&gt;&lt;authors&gt;&lt;author&gt;Burnett, Dougal&lt;/author&gt;&lt;author&gt;Barbour, Edward&lt;/author&gt;&lt;author&gt;Harrison, Gareth P.&lt;/author&gt;&lt;/authors&gt;&lt;/contributors&gt;&lt;titles&gt;&lt;title&gt;The UK solar energy resource and the impact of climate change&lt;/title&gt;&lt;secondary-title&gt;Renewable Energy&lt;/secondary-title&gt;&lt;/titles&gt;&lt;pages&gt;333-343&lt;/pages&gt;&lt;volume&gt;71&lt;/volume&gt;&lt;keywords&gt;&lt;keyword&gt;Solar resource&lt;/keyword&gt;&lt;keyword&gt;UK&lt;/keyword&gt;&lt;keyword&gt;Suehrcke&lt;/keyword&gt;&lt;keyword&gt;Climate change&lt;/keyword&gt;&lt;keyword&gt;Solar irradiation&lt;/keyword&gt;&lt;keyword&gt;Sunshine duration&lt;/keyword&gt;&lt;keyword&gt;UKCP09&lt;/keyword&gt;&lt;keyword&gt;Probabilistic projections&lt;/keyword&gt;&lt;keyword&gt;Solar PV&lt;/keyword&gt;&lt;keyword&gt;Solar thermal&lt;/keyword&gt;&lt;/keywords&gt;&lt;dates&gt;&lt;year&gt;2014&lt;/year&gt;&lt;pub-dates&gt;&lt;date&gt;2014/11/01/&lt;/date&gt;&lt;/pub-dates&gt;&lt;/dates&gt;&lt;isbn&gt;0960-1481&lt;/isbn&gt;&lt;urls&gt;&lt;related-urls&gt;&lt;url&gt;http://www.sciencedirect.com/science/article/pii/S0960148114002857&lt;/url&gt;&lt;/related-urls&gt;&lt;/urls&gt;&lt;electronic-resource-num&gt;https://doi.org/10.1016/j.renene.2014.05.034&lt;/electronic-resource-num&gt;&lt;/record&gt;&lt;/Cite&gt;&lt;/EndNote&gt;</w:instrText>
      </w:r>
      <w:r w:rsidR="006773E5" w:rsidRPr="00C90AC9">
        <w:rPr>
          <w:rStyle w:val="SubtleEmphasis"/>
          <w:sz w:val="24"/>
        </w:rPr>
        <w:fldChar w:fldCharType="separate"/>
      </w:r>
      <w:r w:rsidR="006773E5" w:rsidRPr="00C90AC9">
        <w:rPr>
          <w:rStyle w:val="SubtleEmphasis"/>
          <w:sz w:val="24"/>
        </w:rPr>
        <w:t>(Burnett et al., 2014)</w:t>
      </w:r>
      <w:r w:rsidR="006773E5" w:rsidRPr="00C90AC9">
        <w:rPr>
          <w:rStyle w:val="SubtleEmphasis"/>
          <w:sz w:val="24"/>
        </w:rPr>
        <w:fldChar w:fldCharType="end"/>
      </w:r>
      <w:r w:rsidR="006773E5" w:rsidRPr="00C90AC9">
        <w:rPr>
          <w:rStyle w:val="SubtleEmphasis"/>
          <w:sz w:val="24"/>
        </w:rPr>
        <w:t xml:space="preserve">. The south of the UK is likely to experience a higher intra-variability than other locations in the UK in the coming years in areas which currently experience the greatest amount of solar radiation </w:t>
      </w:r>
      <w:r w:rsidR="006773E5" w:rsidRPr="00C90AC9">
        <w:rPr>
          <w:rStyle w:val="SubtleEmphasis"/>
          <w:sz w:val="24"/>
        </w:rPr>
        <w:fldChar w:fldCharType="begin"/>
      </w:r>
      <w:r w:rsidR="006773E5" w:rsidRPr="00C90AC9">
        <w:rPr>
          <w:rStyle w:val="SubtleEmphasis"/>
          <w:sz w:val="24"/>
        </w:rPr>
        <w:instrText xml:space="preserve"> ADDIN EN.CITE &lt;EndNote&gt;&lt;Cite&gt;&lt;Author&gt;Burnett&lt;/Author&gt;&lt;Year&gt;2014&lt;/Year&gt;&lt;RecNum&gt;284&lt;/RecNum&gt;&lt;DisplayText&gt;(Burnett et al., 2014)&lt;/DisplayText&gt;&lt;record&gt;&lt;rec-number&gt;284&lt;/rec-number&gt;&lt;foreign-keys&gt;&lt;key app="EN" db-id="50wxdpzd9vd5r7e9t5b595djrfpttrxw9avp" timestamp="1526876636"&gt;284&lt;/key&gt;&lt;/foreign-keys&gt;&lt;ref-type name="Journal Article"&gt;17&lt;/ref-type&gt;&lt;contributors&gt;&lt;authors&gt;&lt;author&gt;Burnett, Dougal&lt;/author&gt;&lt;author&gt;Barbour, Edward&lt;/author&gt;&lt;author&gt;Harrison, Gareth P.&lt;/author&gt;&lt;/authors&gt;&lt;/contributors&gt;&lt;titles&gt;&lt;title&gt;The UK solar energy resource and the impact of climate change&lt;/title&gt;&lt;secondary-title&gt;Renewable Energy&lt;/secondary-title&gt;&lt;/titles&gt;&lt;pages&gt;333-343&lt;/pages&gt;&lt;volume&gt;71&lt;/volume&gt;&lt;keywords&gt;&lt;keyword&gt;Solar resource&lt;/keyword&gt;&lt;keyword&gt;UK&lt;/keyword&gt;&lt;keyword&gt;Suehrcke&lt;/keyword&gt;&lt;keyword&gt;Climate change&lt;/keyword&gt;&lt;keyword&gt;Solar irradiation&lt;/keyword&gt;&lt;keyword&gt;Sunshine duration&lt;/keyword&gt;&lt;keyword&gt;UKCP09&lt;/keyword&gt;&lt;keyword&gt;Probabilistic projections&lt;/keyword&gt;&lt;keyword&gt;Solar PV&lt;/keyword&gt;&lt;keyword&gt;Solar thermal&lt;/keyword&gt;&lt;/keywords&gt;&lt;dates&gt;&lt;year&gt;2014&lt;/year&gt;&lt;pub-dates&gt;&lt;date&gt;2014/11/01/&lt;/date&gt;&lt;/pub-dates&gt;&lt;/dates&gt;&lt;isbn&gt;0960-1481&lt;/isbn&gt;&lt;urls&gt;&lt;related-urls&gt;&lt;url&gt;http://www.sciencedirect.com/science/article/pii/S0960148114002857&lt;/url&gt;&lt;/related-urls&gt;&lt;/urls&gt;&lt;electronic-resource-num&gt;https://doi.org/10.1016/j.renene.2014.05.034&lt;/electronic-resource-num&gt;&lt;/record&gt;&lt;/Cite&gt;&lt;/EndNote&gt;</w:instrText>
      </w:r>
      <w:r w:rsidR="006773E5" w:rsidRPr="00C90AC9">
        <w:rPr>
          <w:rStyle w:val="SubtleEmphasis"/>
          <w:sz w:val="24"/>
        </w:rPr>
        <w:fldChar w:fldCharType="separate"/>
      </w:r>
      <w:r w:rsidR="006773E5" w:rsidRPr="00C90AC9">
        <w:rPr>
          <w:rStyle w:val="SubtleEmphasis"/>
          <w:sz w:val="24"/>
        </w:rPr>
        <w:t>(Burnett et al., 2014)</w:t>
      </w:r>
      <w:r w:rsidR="006773E5" w:rsidRPr="00C90AC9">
        <w:rPr>
          <w:rStyle w:val="SubtleEmphasis"/>
          <w:sz w:val="24"/>
        </w:rPr>
        <w:fldChar w:fldCharType="end"/>
      </w:r>
      <w:r w:rsidR="006773E5" w:rsidRPr="00C90AC9">
        <w:rPr>
          <w:rStyle w:val="SubtleEmphasis"/>
          <w:sz w:val="24"/>
        </w:rPr>
        <w:t>.</w:t>
      </w:r>
      <w:r w:rsidR="00906911" w:rsidRPr="00C90AC9">
        <w:rPr>
          <w:rStyle w:val="SubtleEmphasis"/>
        </w:rPr>
        <w:br w:type="page"/>
      </w:r>
    </w:p>
    <w:p w:rsidR="00A16B8C" w:rsidRPr="00C90AC9" w:rsidRDefault="00A16B8C" w:rsidP="00E02558">
      <w:pPr>
        <w:pStyle w:val="Heading1"/>
        <w:rPr>
          <w:rStyle w:val="SubtleEmphasis"/>
        </w:rPr>
      </w:pPr>
      <w:r w:rsidRPr="00C90AC9">
        <w:rPr>
          <w:rStyle w:val="SubtleEmphasis"/>
        </w:rPr>
        <w:lastRenderedPageBreak/>
        <w:t xml:space="preserve">Recent advances in the solar thermal panel </w:t>
      </w:r>
      <w:bookmarkEnd w:id="15"/>
      <w:r w:rsidR="00984852" w:rsidRPr="00C90AC9">
        <w:rPr>
          <w:rStyle w:val="SubtleEmphasis"/>
        </w:rPr>
        <w:t>technology</w:t>
      </w:r>
    </w:p>
    <w:p w:rsidR="006518C0" w:rsidRPr="00C90AC9" w:rsidRDefault="00BD17E3" w:rsidP="00EC7D12">
      <w:pPr>
        <w:pStyle w:val="BodyText"/>
        <w:spacing w:line="360" w:lineRule="auto"/>
        <w:rPr>
          <w:rFonts w:eastAsia="Calibri"/>
          <w:lang w:eastAsia="en-US"/>
        </w:rPr>
      </w:pPr>
      <w:r w:rsidRPr="00C90AC9">
        <w:rPr>
          <w:rFonts w:eastAsia="Calibri"/>
          <w:lang w:eastAsia="en-US"/>
        </w:rPr>
        <w:tab/>
      </w:r>
      <w:r w:rsidR="00A16B8C" w:rsidRPr="00C90AC9">
        <w:rPr>
          <w:rFonts w:eastAsia="Calibri"/>
          <w:lang w:eastAsia="en-US"/>
        </w:rPr>
        <w:t xml:space="preserve">As well as </w:t>
      </w:r>
      <w:r w:rsidR="006518C0" w:rsidRPr="00C90AC9">
        <w:rPr>
          <w:rFonts w:eastAsia="Calibri"/>
          <w:lang w:eastAsia="en-US"/>
        </w:rPr>
        <w:t>STPs</w:t>
      </w:r>
      <w:r w:rsidR="00A16B8C" w:rsidRPr="00C90AC9">
        <w:rPr>
          <w:rFonts w:eastAsia="Calibri"/>
          <w:lang w:eastAsia="en-US"/>
        </w:rPr>
        <w:t xml:space="preserve"> and </w:t>
      </w:r>
      <w:r w:rsidR="007E7C0E" w:rsidRPr="00C90AC9">
        <w:rPr>
          <w:rFonts w:eastAsia="Calibri"/>
          <w:lang w:eastAsia="en-US"/>
        </w:rPr>
        <w:t>Evacuated Tube Collectors (</w:t>
      </w:r>
      <w:r w:rsidR="00A16B8C" w:rsidRPr="00C90AC9">
        <w:rPr>
          <w:rFonts w:eastAsia="Calibri"/>
          <w:lang w:eastAsia="en-US"/>
        </w:rPr>
        <w:t>ETCs</w:t>
      </w:r>
      <w:r w:rsidR="007E7C0E" w:rsidRPr="00C90AC9">
        <w:rPr>
          <w:rFonts w:eastAsia="Calibri"/>
          <w:lang w:eastAsia="en-US"/>
        </w:rPr>
        <w:t>)</w:t>
      </w:r>
      <w:r w:rsidR="00A16B8C" w:rsidRPr="00C90AC9">
        <w:rPr>
          <w:rFonts w:eastAsia="Calibri"/>
          <w:lang w:eastAsia="en-US"/>
        </w:rPr>
        <w:t xml:space="preserve"> there ar</w:t>
      </w:r>
      <w:r w:rsidR="002314AC" w:rsidRPr="00C90AC9">
        <w:rPr>
          <w:rFonts w:eastAsia="Calibri"/>
          <w:lang w:eastAsia="en-US"/>
        </w:rPr>
        <w:t>e other types of solar collectors</w:t>
      </w:r>
      <w:r w:rsidR="00A16B8C" w:rsidRPr="00C90AC9">
        <w:rPr>
          <w:rFonts w:eastAsia="Calibri"/>
          <w:lang w:eastAsia="en-US"/>
        </w:rPr>
        <w:t xml:space="preserve"> which are used for water heating in domestic properties in the UK however they are not used extensively due to their poor performance in converting </w:t>
      </w:r>
      <w:r w:rsidR="00566ADE" w:rsidRPr="00C90AC9">
        <w:rPr>
          <w:rFonts w:eastAsia="Calibri"/>
          <w:lang w:eastAsia="en-US"/>
        </w:rPr>
        <w:t xml:space="preserve">solar energy into heated water </w:t>
      </w:r>
      <w:r w:rsidR="00566ADE" w:rsidRPr="00C90AC9">
        <w:rPr>
          <w:rFonts w:eastAsia="Calibri"/>
          <w:lang w:eastAsia="en-US"/>
        </w:rPr>
        <w:fldChar w:fldCharType="begin"/>
      </w:r>
      <w:r w:rsidR="00566ADE" w:rsidRPr="00C90AC9">
        <w:rPr>
          <w:rFonts w:eastAsia="Calibri"/>
          <w:lang w:eastAsia="en-US"/>
        </w:rPr>
        <w:instrText xml:space="preserve"> ADDIN EN.CITE &lt;EndNote&gt;&lt;Cite&gt;&lt;Author&gt;Valan Arasu&lt;/Author&gt;&lt;Year&gt;2007&lt;/Year&gt;&lt;RecNum&gt;201&lt;/RecNum&gt;&lt;DisplayText&gt;(Valan Arasu &amp;amp; Sornakumar, 2007)&lt;/DisplayText&gt;&lt;record&gt;&lt;rec-number&gt;201&lt;/rec-number&gt;&lt;foreign-keys&gt;&lt;key app="EN" db-id="50wxdpzd9vd5r7e9t5b595djrfpttrxw9avp" timestamp="1525076335"&gt;201&lt;/key&gt;&lt;/foreign-keys&gt;&lt;ref-type name="Journal Article"&gt;17&lt;/ref-type&gt;&lt;contributors&gt;&lt;authors&gt;&lt;author&gt;Valan Arasu, A.&lt;/author&gt;&lt;author&gt;T. Sornakumar&lt;/author&gt;&lt;/authors&gt;&lt;/contributors&gt;&lt;titles&gt;&lt;title&gt;Design, manufacture and testing of fiberglass reinforced parabola trough for parabolic trough solar collectors&lt;/title&gt;&lt;secondary-title&gt;Solar Energy&lt;/secondary-title&gt;&lt;short-title&gt;Valan Arasu, A. and T. Sornakumar 2007 – Design, manufacture and testing&lt;/short-title&gt;&lt;/titles&gt;&lt;pages&gt;p. 1273-1279&lt;/pages&gt;&lt;volume&gt;81&lt;/volume&gt;&lt;number&gt;10&lt;/number&gt;&lt;dates&gt;&lt;year&gt;2007&lt;/year&gt;&lt;/dates&gt;&lt;urls&gt;&lt;/urls&gt;&lt;/record&gt;&lt;/Cite&gt;&lt;/EndNote&gt;</w:instrText>
      </w:r>
      <w:r w:rsidR="00566ADE" w:rsidRPr="00C90AC9">
        <w:rPr>
          <w:rFonts w:eastAsia="Calibri"/>
          <w:lang w:eastAsia="en-US"/>
        </w:rPr>
        <w:fldChar w:fldCharType="separate"/>
      </w:r>
      <w:r w:rsidR="00566ADE" w:rsidRPr="00C90AC9">
        <w:rPr>
          <w:rFonts w:eastAsia="Calibri"/>
          <w:lang w:eastAsia="en-US"/>
        </w:rPr>
        <w:t>(Valan Arasu &amp; Sornakumar, 2007)</w:t>
      </w:r>
      <w:r w:rsidR="00566ADE" w:rsidRPr="00C90AC9">
        <w:rPr>
          <w:rFonts w:eastAsia="Calibri"/>
          <w:lang w:eastAsia="en-US"/>
        </w:rPr>
        <w:fldChar w:fldCharType="end"/>
      </w:r>
      <w:r w:rsidR="00566ADE" w:rsidRPr="00C90AC9">
        <w:rPr>
          <w:rFonts w:eastAsia="Calibri"/>
          <w:lang w:eastAsia="en-US"/>
        </w:rPr>
        <w:t xml:space="preserve">. </w:t>
      </w:r>
      <w:r w:rsidR="00A16B8C" w:rsidRPr="00C90AC9">
        <w:rPr>
          <w:rFonts w:eastAsia="Calibri"/>
          <w:lang w:eastAsia="en-US"/>
        </w:rPr>
        <w:t xml:space="preserve">For solar heated water for use in domestic properties solar collectors are categorised into two </w:t>
      </w:r>
      <w:r w:rsidR="00E82522" w:rsidRPr="00C90AC9">
        <w:rPr>
          <w:rFonts w:eastAsia="Calibri"/>
          <w:lang w:eastAsia="en-US"/>
        </w:rPr>
        <w:t>main</w:t>
      </w:r>
      <w:r w:rsidR="00A16B8C" w:rsidRPr="00C90AC9">
        <w:rPr>
          <w:rFonts w:eastAsia="Calibri"/>
          <w:lang w:eastAsia="en-US"/>
        </w:rPr>
        <w:t xml:space="preserve"> types: Flat Plate Collectors (FPC</w:t>
      </w:r>
      <w:r w:rsidR="00C82AB9" w:rsidRPr="00C90AC9">
        <w:rPr>
          <w:rFonts w:eastAsia="Calibri"/>
          <w:lang w:eastAsia="en-US"/>
        </w:rPr>
        <w:t>s</w:t>
      </w:r>
      <w:r w:rsidR="00A16B8C" w:rsidRPr="00C90AC9">
        <w:rPr>
          <w:rFonts w:eastAsia="Calibri"/>
          <w:lang w:eastAsia="en-US"/>
        </w:rPr>
        <w:t>); and</w:t>
      </w:r>
      <w:r w:rsidR="00566ADE" w:rsidRPr="00C90AC9">
        <w:rPr>
          <w:rFonts w:eastAsia="Calibri"/>
          <w:lang w:eastAsia="en-US"/>
        </w:rPr>
        <w:t xml:space="preserve"> </w:t>
      </w:r>
      <w:r w:rsidR="00C82AB9" w:rsidRPr="00C90AC9">
        <w:rPr>
          <w:rFonts w:eastAsia="Calibri"/>
          <w:lang w:eastAsia="en-US"/>
        </w:rPr>
        <w:t>ETCs</w:t>
      </w:r>
      <w:r w:rsidR="00E37E65" w:rsidRPr="00C90AC9">
        <w:rPr>
          <w:rFonts w:eastAsia="Calibri"/>
          <w:lang w:eastAsia="en-US"/>
        </w:rPr>
        <w:t>. The term Flat Plate Collector and Solar Thermal Panel are</w:t>
      </w:r>
      <w:r w:rsidR="00A6508A" w:rsidRPr="00C90AC9">
        <w:rPr>
          <w:rFonts w:eastAsia="Calibri"/>
          <w:lang w:eastAsia="en-US"/>
        </w:rPr>
        <w:t xml:space="preserve"> often</w:t>
      </w:r>
      <w:r w:rsidR="00E37E65" w:rsidRPr="00C90AC9">
        <w:rPr>
          <w:rFonts w:eastAsia="Calibri"/>
          <w:lang w:eastAsia="en-US"/>
        </w:rPr>
        <w:t xml:space="preserve"> used interchangeably and so</w:t>
      </w:r>
      <w:r w:rsidR="006518C0" w:rsidRPr="00C90AC9">
        <w:rPr>
          <w:rFonts w:eastAsia="Calibri"/>
          <w:lang w:eastAsia="en-US"/>
        </w:rPr>
        <w:t>,</w:t>
      </w:r>
      <w:r w:rsidR="00E37E65" w:rsidRPr="00C90AC9">
        <w:rPr>
          <w:rFonts w:eastAsia="Calibri"/>
          <w:lang w:eastAsia="en-US"/>
        </w:rPr>
        <w:t xml:space="preserve"> for the re</w:t>
      </w:r>
      <w:r w:rsidR="00E82522" w:rsidRPr="00C90AC9">
        <w:rPr>
          <w:rFonts w:eastAsia="Calibri"/>
          <w:lang w:eastAsia="en-US"/>
        </w:rPr>
        <w:t>main</w:t>
      </w:r>
      <w:r w:rsidR="00E37E65" w:rsidRPr="00C90AC9">
        <w:rPr>
          <w:rFonts w:eastAsia="Calibri"/>
          <w:lang w:eastAsia="en-US"/>
        </w:rPr>
        <w:t>der of this dissertation</w:t>
      </w:r>
      <w:r w:rsidR="006518C0" w:rsidRPr="00C90AC9">
        <w:rPr>
          <w:rFonts w:eastAsia="Calibri"/>
          <w:lang w:eastAsia="en-US"/>
        </w:rPr>
        <w:t>, the acronym</w:t>
      </w:r>
      <w:r w:rsidR="00E37E65" w:rsidRPr="00C90AC9">
        <w:rPr>
          <w:rFonts w:eastAsia="Calibri"/>
          <w:lang w:eastAsia="en-US"/>
        </w:rPr>
        <w:t xml:space="preserve"> STP</w:t>
      </w:r>
      <w:r w:rsidR="00566ADE" w:rsidRPr="00C90AC9">
        <w:rPr>
          <w:rFonts w:eastAsia="Calibri"/>
          <w:lang w:eastAsia="en-US"/>
        </w:rPr>
        <w:t>s</w:t>
      </w:r>
      <w:r w:rsidR="00E37E65" w:rsidRPr="00C90AC9">
        <w:rPr>
          <w:rFonts w:eastAsia="Calibri"/>
          <w:lang w:eastAsia="en-US"/>
        </w:rPr>
        <w:t xml:space="preserve"> will be used. </w:t>
      </w:r>
    </w:p>
    <w:p w:rsidR="00A16B8C" w:rsidRPr="00C90AC9" w:rsidRDefault="00A16B8C" w:rsidP="00EC7D12">
      <w:pPr>
        <w:pStyle w:val="BodyText"/>
        <w:spacing w:line="360" w:lineRule="auto"/>
        <w:rPr>
          <w:rFonts w:eastAsia="Calibri"/>
          <w:lang w:eastAsia="en-US"/>
        </w:rPr>
      </w:pPr>
      <w:r w:rsidRPr="00C90AC9">
        <w:rPr>
          <w:rFonts w:eastAsia="Calibri"/>
          <w:lang w:eastAsia="en-US"/>
        </w:rPr>
        <w:t xml:space="preserve">Evacuated </w:t>
      </w:r>
      <w:r w:rsidR="00566ADE" w:rsidRPr="00C90AC9">
        <w:rPr>
          <w:rFonts w:eastAsia="Calibri"/>
          <w:lang w:eastAsia="en-US"/>
        </w:rPr>
        <w:t>T</w:t>
      </w:r>
      <w:r w:rsidRPr="00C90AC9">
        <w:rPr>
          <w:rFonts w:eastAsia="Calibri"/>
          <w:lang w:eastAsia="en-US"/>
        </w:rPr>
        <w:t xml:space="preserve">ube </w:t>
      </w:r>
      <w:r w:rsidR="00566ADE" w:rsidRPr="00C90AC9">
        <w:rPr>
          <w:rFonts w:eastAsia="Calibri"/>
          <w:lang w:eastAsia="en-US"/>
        </w:rPr>
        <w:t>C</w:t>
      </w:r>
      <w:r w:rsidRPr="00C90AC9">
        <w:rPr>
          <w:rFonts w:eastAsia="Calibri"/>
          <w:lang w:eastAsia="en-US"/>
        </w:rPr>
        <w:t xml:space="preserve">ollectors are not considered in this </w:t>
      </w:r>
      <w:r w:rsidR="003F4BEE" w:rsidRPr="00C90AC9">
        <w:rPr>
          <w:rFonts w:eastAsia="Calibri"/>
          <w:lang w:eastAsia="en-US"/>
        </w:rPr>
        <w:t>dissertation</w:t>
      </w:r>
      <w:r w:rsidRPr="00C90AC9">
        <w:rPr>
          <w:rFonts w:eastAsia="Calibri"/>
          <w:lang w:eastAsia="en-US"/>
        </w:rPr>
        <w:t xml:space="preserve"> as they do not benefit from</w:t>
      </w:r>
      <w:r w:rsidR="00C82AB9" w:rsidRPr="00C90AC9">
        <w:rPr>
          <w:rFonts w:eastAsia="Calibri"/>
          <w:lang w:eastAsia="en-US"/>
        </w:rPr>
        <w:t xml:space="preserve"> some characteristics which </w:t>
      </w:r>
      <w:r w:rsidR="00E37E65" w:rsidRPr="00C90AC9">
        <w:rPr>
          <w:rFonts w:eastAsia="Calibri"/>
          <w:lang w:eastAsia="en-US"/>
        </w:rPr>
        <w:t>STP</w:t>
      </w:r>
      <w:r w:rsidR="00C82AB9" w:rsidRPr="00C90AC9">
        <w:rPr>
          <w:rFonts w:eastAsia="Calibri"/>
          <w:lang w:eastAsia="en-US"/>
        </w:rPr>
        <w:t>s</w:t>
      </w:r>
      <w:r w:rsidRPr="00C90AC9">
        <w:rPr>
          <w:rFonts w:eastAsia="Calibri"/>
          <w:lang w:eastAsia="en-US"/>
        </w:rPr>
        <w:t xml:space="preserve"> do</w:t>
      </w:r>
      <w:r w:rsidR="00C82AB9" w:rsidRPr="00C90AC9">
        <w:rPr>
          <w:rFonts w:eastAsia="Calibri"/>
          <w:lang w:eastAsia="en-US"/>
        </w:rPr>
        <w:t>,</w:t>
      </w:r>
      <w:r w:rsidRPr="00C90AC9">
        <w:rPr>
          <w:rFonts w:eastAsia="Calibri"/>
          <w:lang w:eastAsia="en-US"/>
        </w:rPr>
        <w:t xml:space="preserve"> such as needing less </w:t>
      </w:r>
      <w:r w:rsidR="00E82522" w:rsidRPr="00C90AC9">
        <w:rPr>
          <w:rFonts w:eastAsia="Calibri"/>
          <w:lang w:eastAsia="en-US"/>
        </w:rPr>
        <w:t>main</w:t>
      </w:r>
      <w:r w:rsidRPr="00C90AC9">
        <w:rPr>
          <w:rFonts w:eastAsia="Calibri"/>
          <w:lang w:eastAsia="en-US"/>
        </w:rPr>
        <w:t xml:space="preserve">tenance and having long lifetimes </w:t>
      </w:r>
      <w:r w:rsidR="00566ADE" w:rsidRPr="00C90AC9">
        <w:rPr>
          <w:rFonts w:eastAsia="Calibri"/>
          <w:lang w:eastAsia="en-US"/>
        </w:rPr>
        <w:fldChar w:fldCharType="begin"/>
      </w:r>
      <w:r w:rsidR="00566ADE" w:rsidRPr="00C90AC9">
        <w:rPr>
          <w:rFonts w:eastAsia="Calibri"/>
          <w:lang w:eastAsia="en-US"/>
        </w:rPr>
        <w:instrText xml:space="preserve"> ADDIN EN.CITE &lt;EndNote&gt;&lt;Cite&gt;&lt;Author&gt;Srinivas&lt;/Author&gt;&lt;Year&gt;2011&lt;/Year&gt;&lt;RecNum&gt;192&lt;/RecNum&gt;&lt;DisplayText&gt;(Srinivas, 2011)&lt;/DisplayText&gt;&lt;record&gt;&lt;rec-number&gt;192&lt;/rec-number&gt;&lt;foreign-keys&gt;&lt;key app="EN" db-id="50wxdpzd9vd5r7e9t5b595djrfpttrxw9avp" timestamp="1525076335"&gt;192&lt;/key&gt;&lt;/foreign-keys&gt;&lt;ref-type name="Journal Article"&gt;17&lt;/ref-type&gt;&lt;contributors&gt;&lt;authors&gt;&lt;author&gt;Srinivas, M.&lt;/author&gt;&lt;/authors&gt;&lt;/contributors&gt;&lt;titles&gt;&lt;title&gt;Domestic solar hot water systems: Developments, evaluations and essentials for “viability” with a special reference to India&lt;/title&gt;&lt;secondary-title&gt;Renewable and Sustainable Energy Reviews&lt;/secondary-title&gt;&lt;short-title&gt;Srinivas 2011 – Domestic solar hot water systems&lt;/short-title&gt;&lt;/titles&gt;&lt;pages&gt;p. 3850-3861&lt;/pages&gt;&lt;volume&gt;15&lt;/volume&gt;&lt;number&gt;15&lt;/number&gt;&lt;dates&gt;&lt;year&gt;2011&lt;/year&gt;&lt;/dates&gt;&lt;urls&gt;&lt;/urls&gt;&lt;/record&gt;&lt;/Cite&gt;&lt;/EndNote&gt;</w:instrText>
      </w:r>
      <w:r w:rsidR="00566ADE" w:rsidRPr="00C90AC9">
        <w:rPr>
          <w:rFonts w:eastAsia="Calibri"/>
          <w:lang w:eastAsia="en-US"/>
        </w:rPr>
        <w:fldChar w:fldCharType="separate"/>
      </w:r>
      <w:r w:rsidR="00566ADE" w:rsidRPr="00C90AC9">
        <w:rPr>
          <w:rFonts w:eastAsia="Calibri"/>
          <w:lang w:eastAsia="en-US"/>
        </w:rPr>
        <w:t>(Srinivas, 2011)</w:t>
      </w:r>
      <w:r w:rsidR="00566ADE" w:rsidRPr="00C90AC9">
        <w:rPr>
          <w:rFonts w:eastAsia="Calibri"/>
          <w:lang w:eastAsia="en-US"/>
        </w:rPr>
        <w:fldChar w:fldCharType="end"/>
      </w:r>
      <w:r w:rsidR="00566ADE" w:rsidRPr="00C90AC9">
        <w:rPr>
          <w:rFonts w:eastAsia="Calibri"/>
          <w:lang w:eastAsia="en-US"/>
        </w:rPr>
        <w:t>.</w:t>
      </w:r>
      <w:r w:rsidR="002314AC" w:rsidRPr="00C90AC9">
        <w:rPr>
          <w:rFonts w:eastAsia="Calibri"/>
          <w:sz w:val="22"/>
          <w:lang w:eastAsia="en-US"/>
        </w:rPr>
        <w:t xml:space="preserve"> </w:t>
      </w:r>
    </w:p>
    <w:p w:rsidR="00A16B8C" w:rsidRPr="00C90AC9" w:rsidRDefault="00A16B8C" w:rsidP="00B06779">
      <w:pPr>
        <w:pStyle w:val="BodyText"/>
        <w:rPr>
          <w:rFonts w:eastAsia="Calibri"/>
          <w:lang w:eastAsia="en-US"/>
        </w:rPr>
      </w:pPr>
      <w:r w:rsidRPr="00C90AC9">
        <w:rPr>
          <w:rFonts w:eastAsia="Calibri"/>
          <w:lang w:eastAsia="en-US"/>
        </w:rPr>
        <w:t xml:space="preserve">The benefits that </w:t>
      </w:r>
      <w:r w:rsidR="00E37E65" w:rsidRPr="00C90AC9">
        <w:rPr>
          <w:rFonts w:eastAsia="Calibri"/>
          <w:lang w:eastAsia="en-US"/>
        </w:rPr>
        <w:t>STP</w:t>
      </w:r>
      <w:r w:rsidR="00C82AB9" w:rsidRPr="00C90AC9">
        <w:rPr>
          <w:rFonts w:eastAsia="Calibri"/>
          <w:lang w:eastAsia="en-US"/>
        </w:rPr>
        <w:t>s</w:t>
      </w:r>
      <w:r w:rsidRPr="00C90AC9">
        <w:rPr>
          <w:rFonts w:eastAsia="Calibri"/>
          <w:lang w:eastAsia="en-US"/>
        </w:rPr>
        <w:t xml:space="preserve"> have over ETCs when utilised on domestic properties include:</w:t>
      </w:r>
    </w:p>
    <w:p w:rsidR="00A16B8C" w:rsidRPr="00C90AC9" w:rsidRDefault="00A16B8C" w:rsidP="00B06779">
      <w:pPr>
        <w:pStyle w:val="ListBullet2"/>
        <w:rPr>
          <w:rFonts w:eastAsia="Calibri"/>
          <w:lang w:eastAsia="en-US"/>
        </w:rPr>
      </w:pPr>
      <w:r w:rsidRPr="00C90AC9">
        <w:rPr>
          <w:rFonts w:eastAsia="Calibri"/>
          <w:lang w:eastAsia="en-US"/>
        </w:rPr>
        <w:t>A simpler design;</w:t>
      </w:r>
    </w:p>
    <w:p w:rsidR="00566ADE" w:rsidRPr="00C90AC9" w:rsidRDefault="00A16B8C" w:rsidP="00566ADE">
      <w:pPr>
        <w:pStyle w:val="ListBullet2"/>
        <w:tabs>
          <w:tab w:val="clear" w:pos="643"/>
        </w:tabs>
        <w:rPr>
          <w:rFonts w:eastAsia="Calibri"/>
          <w:lang w:eastAsia="en-US"/>
        </w:rPr>
      </w:pPr>
      <w:r w:rsidRPr="00C90AC9">
        <w:rPr>
          <w:rFonts w:eastAsia="Calibri"/>
          <w:lang w:eastAsia="en-US"/>
        </w:rPr>
        <w:t>A lower capital cost;</w:t>
      </w:r>
      <w:r w:rsidR="007B1B44" w:rsidRPr="00C90AC9">
        <w:rPr>
          <w:rFonts w:eastAsia="Calibri"/>
          <w:lang w:eastAsia="en-US"/>
        </w:rPr>
        <w:t xml:space="preserve"> and</w:t>
      </w:r>
      <w:r w:rsidR="00566ADE" w:rsidRPr="00C90AC9">
        <w:rPr>
          <w:rFonts w:eastAsia="Calibri"/>
          <w:lang w:eastAsia="en-US"/>
        </w:rPr>
        <w:tab/>
      </w:r>
    </w:p>
    <w:p w:rsidR="00566ADE" w:rsidRPr="00C90AC9" w:rsidRDefault="00566ADE" w:rsidP="00B06779">
      <w:pPr>
        <w:pStyle w:val="ListBullet2"/>
        <w:rPr>
          <w:rFonts w:eastAsia="Calibri"/>
          <w:lang w:eastAsia="en-US"/>
        </w:rPr>
      </w:pPr>
      <w:r w:rsidRPr="00C90AC9">
        <w:rPr>
          <w:rFonts w:eastAsia="Calibri"/>
          <w:lang w:eastAsia="en-US"/>
        </w:rPr>
        <w:t>A longer lifetime than ETCs (due to STPs being reliable, sturdier, and operational for a larger amount of time under a greater number of weather conditions).</w:t>
      </w:r>
    </w:p>
    <w:p w:rsidR="00566ADE" w:rsidRPr="00C90AC9" w:rsidRDefault="00D67FA6" w:rsidP="00566ADE">
      <w:pPr>
        <w:pStyle w:val="ListBullet2"/>
        <w:numPr>
          <w:ilvl w:val="0"/>
          <w:numId w:val="0"/>
        </w:numPr>
        <w:ind w:left="643" w:hanging="360"/>
        <w:jc w:val="right"/>
        <w:rPr>
          <w:rFonts w:eastAsia="Calibri"/>
          <w:lang w:eastAsia="en-US"/>
        </w:rPr>
      </w:pPr>
      <w:r w:rsidRPr="00C90AC9">
        <w:rPr>
          <w:rFonts w:eastAsia="Calibri"/>
          <w:lang w:eastAsia="en-US"/>
        </w:rPr>
        <w:fldChar w:fldCharType="begin"/>
      </w:r>
      <w:r w:rsidRPr="00C90AC9">
        <w:rPr>
          <w:rFonts w:eastAsia="Calibri"/>
          <w:lang w:eastAsia="en-US"/>
        </w:rPr>
        <w:instrText xml:space="preserve"> ADDIN EN.CITE &lt;EndNote&gt;&lt;Cite&gt;&lt;Author&gt;Srinivas&lt;/Author&gt;&lt;Year&gt;2011&lt;/Year&gt;&lt;RecNum&gt;192&lt;/RecNum&gt;&lt;DisplayText&gt;(Ayompe &amp;amp; et al., 2011; Srinivas, 2011)&lt;/DisplayText&gt;&lt;record&gt;&lt;rec-number&gt;192&lt;/rec-number&gt;&lt;foreign-keys&gt;&lt;key app="EN" db-id="50wxdpzd9vd5r7e9t5b595djrfpttrxw9avp" timestamp="1525076335"&gt;192&lt;/key&gt;&lt;/foreign-keys&gt;&lt;ref-type name="Journal Article"&gt;17&lt;/ref-type&gt;&lt;contributors&gt;&lt;authors&gt;&lt;author&gt;Srinivas, M.&lt;/author&gt;&lt;/authors&gt;&lt;/contributors&gt;&lt;titles&gt;&lt;title&gt;Domestic solar hot water systems: Developments, evaluations and essentials for “viability” with a special reference to India&lt;/title&gt;&lt;secondary-title&gt;Renewable and Sustainable Energy Reviews&lt;/secondary-title&gt;&lt;short-title&gt;Srinivas 2011 – Domestic solar hot water systems&lt;/short-title&gt;&lt;/titles&gt;&lt;pages&gt;p. 3850-3861&lt;/pages&gt;&lt;volume&gt;15&lt;/volume&gt;&lt;number&gt;15&lt;/number&gt;&lt;dates&gt;&lt;year&gt;2011&lt;/year&gt;&lt;/dates&gt;&lt;urls&gt;&lt;/urls&gt;&lt;/record&gt;&lt;/Cite&gt;&lt;Cite&gt;&lt;Author&gt;Ayompe&lt;/Author&gt;&lt;Year&gt;2011&lt;/Year&gt;&lt;RecNum&gt;117&lt;/RecNum&gt;&lt;record&gt;&lt;rec-number&gt;117&lt;/rec-number&gt;&lt;foreign-keys&gt;&lt;key app="EN" db-id="50wxdpzd9vd5r7e9t5b595djrfpttrxw9avp" timestamp="1525076334"&gt;117&lt;/key&gt;&lt;/foreign-keys&gt;&lt;ref-type name="Journal Article"&gt;17&lt;/ref-type&gt;&lt;contributors&gt;&lt;authors&gt;&lt;author&gt;Ayompe, L.M., .&lt;/author&gt;&lt;author&gt;et al.,&lt;/author&gt;&lt;/authors&gt;&lt;/contributors&gt;&lt;titles&gt;&lt;title&gt;Comparative field performance study of flat plate and heat pipe evacuated tube collectors (ETCs) for domestic water heating systems in a temperate climate&lt;/title&gt;&lt;secondary-title&gt;Energy&lt;/secondary-title&gt;&lt;short-title&gt;Ayompe, L.M., et al. 2011 – Comparative field performance study&lt;/short-title&gt;&lt;/titles&gt;&lt;pages&gt;p. 3370-3378&lt;/pages&gt;&lt;volume&gt;35&lt;/volume&gt;&lt;number&gt;36&lt;/number&gt;&lt;dates&gt;&lt;year&gt;2011&lt;/year&gt;&lt;/dates&gt;&lt;urls&gt;&lt;/urls&gt;&lt;/record&gt;&lt;/Cite&gt;&lt;/EndNote&gt;</w:instrText>
      </w:r>
      <w:r w:rsidRPr="00C90AC9">
        <w:rPr>
          <w:rFonts w:eastAsia="Calibri"/>
          <w:lang w:eastAsia="en-US"/>
        </w:rPr>
        <w:fldChar w:fldCharType="separate"/>
      </w:r>
      <w:r w:rsidRPr="00C90AC9">
        <w:rPr>
          <w:rFonts w:eastAsia="Calibri"/>
          <w:lang w:eastAsia="en-US"/>
        </w:rPr>
        <w:t xml:space="preserve">(Ayompe </w:t>
      </w:r>
      <w:r w:rsidR="00EE66A8" w:rsidRPr="00C90AC9">
        <w:rPr>
          <w:rFonts w:eastAsia="Calibri"/>
          <w:lang w:eastAsia="en-US"/>
        </w:rPr>
        <w:t>et al</w:t>
      </w:r>
      <w:r w:rsidRPr="00C90AC9">
        <w:rPr>
          <w:rFonts w:eastAsia="Calibri"/>
          <w:lang w:eastAsia="en-US"/>
        </w:rPr>
        <w:t>., 2011; Srinivas, 2011)</w:t>
      </w:r>
      <w:r w:rsidRPr="00C90AC9">
        <w:rPr>
          <w:rFonts w:eastAsia="Calibri"/>
          <w:lang w:eastAsia="en-US"/>
        </w:rPr>
        <w:fldChar w:fldCharType="end"/>
      </w:r>
    </w:p>
    <w:p w:rsidR="00C80892" w:rsidRPr="00C90AC9" w:rsidRDefault="00A16B8C" w:rsidP="00EC7D12">
      <w:pPr>
        <w:pStyle w:val="BodyText"/>
        <w:spacing w:line="360" w:lineRule="auto"/>
        <w:rPr>
          <w:rFonts w:eastAsia="Calibri"/>
          <w:lang w:eastAsia="en-US"/>
        </w:rPr>
      </w:pPr>
      <w:r w:rsidRPr="00C90AC9">
        <w:rPr>
          <w:rFonts w:eastAsia="Calibri"/>
          <w:lang w:eastAsia="en-US"/>
        </w:rPr>
        <w:t xml:space="preserve">Based on the work by </w:t>
      </w:r>
      <w:proofErr w:type="spellStart"/>
      <w:r w:rsidRPr="00C90AC9">
        <w:rPr>
          <w:rFonts w:eastAsia="Calibri"/>
          <w:lang w:eastAsia="en-US"/>
        </w:rPr>
        <w:t>Ayompe</w:t>
      </w:r>
      <w:proofErr w:type="spellEnd"/>
      <w:r w:rsidRPr="00C90AC9">
        <w:rPr>
          <w:rFonts w:eastAsia="Calibri"/>
          <w:lang w:eastAsia="en-US"/>
        </w:rPr>
        <w:t xml:space="preserve"> and Duffy it </w:t>
      </w:r>
      <w:r w:rsidR="00120DC5" w:rsidRPr="00C90AC9">
        <w:rPr>
          <w:rFonts w:eastAsia="Calibri"/>
          <w:lang w:eastAsia="en-US"/>
        </w:rPr>
        <w:t>is</w:t>
      </w:r>
      <w:r w:rsidRPr="00C90AC9">
        <w:rPr>
          <w:rFonts w:eastAsia="Calibri"/>
          <w:lang w:eastAsia="en-US"/>
        </w:rPr>
        <w:t xml:space="preserve"> concluded that </w:t>
      </w:r>
      <w:r w:rsidR="00E37E65" w:rsidRPr="00C90AC9">
        <w:rPr>
          <w:rFonts w:eastAsia="Calibri"/>
          <w:lang w:eastAsia="en-US"/>
        </w:rPr>
        <w:t>STP</w:t>
      </w:r>
      <w:r w:rsidRPr="00C90AC9">
        <w:rPr>
          <w:rFonts w:eastAsia="Calibri"/>
          <w:lang w:eastAsia="en-US"/>
        </w:rPr>
        <w:t xml:space="preserve">s are more suitable for domestic properties located in </w:t>
      </w:r>
      <w:r w:rsidR="00464CD3" w:rsidRPr="00C90AC9">
        <w:rPr>
          <w:rFonts w:eastAsia="Calibri"/>
          <w:lang w:eastAsia="en-US"/>
        </w:rPr>
        <w:t xml:space="preserve">a </w:t>
      </w:r>
      <w:r w:rsidRPr="00C90AC9">
        <w:rPr>
          <w:rFonts w:eastAsia="Calibri"/>
          <w:lang w:eastAsia="en-US"/>
        </w:rPr>
        <w:t>similar climate to the UK and are therefore considered for the re</w:t>
      </w:r>
      <w:r w:rsidR="00E82522" w:rsidRPr="00C90AC9">
        <w:rPr>
          <w:rFonts w:eastAsia="Calibri"/>
          <w:lang w:eastAsia="en-US"/>
        </w:rPr>
        <w:t>main</w:t>
      </w:r>
      <w:r w:rsidRPr="00C90AC9">
        <w:rPr>
          <w:rFonts w:eastAsia="Calibri"/>
          <w:lang w:eastAsia="en-US"/>
        </w:rPr>
        <w:t xml:space="preserve">der of this </w:t>
      </w:r>
      <w:r w:rsidR="003F4BEE" w:rsidRPr="00C90AC9">
        <w:rPr>
          <w:rFonts w:eastAsia="Calibri"/>
          <w:lang w:eastAsia="en-US"/>
        </w:rPr>
        <w:t>dissertation</w:t>
      </w:r>
      <w:r w:rsidRPr="00C90AC9">
        <w:rPr>
          <w:rFonts w:eastAsia="Calibri"/>
          <w:lang w:eastAsia="en-US"/>
        </w:rPr>
        <w:t>.</w:t>
      </w:r>
    </w:p>
    <w:p w:rsidR="00EC7D12" w:rsidRPr="00C90AC9" w:rsidRDefault="00E37E65" w:rsidP="00EC7D12">
      <w:pPr>
        <w:pStyle w:val="BodyText"/>
        <w:spacing w:line="360" w:lineRule="auto"/>
      </w:pPr>
      <w:r w:rsidRPr="00C90AC9">
        <w:t>STP</w:t>
      </w:r>
      <w:r w:rsidR="004B6CFB" w:rsidRPr="00C90AC9">
        <w:t>s</w:t>
      </w:r>
      <w:r w:rsidR="000758C6" w:rsidRPr="00C90AC9">
        <w:t xml:space="preserve"> typically</w:t>
      </w:r>
      <w:r w:rsidR="004B6CFB" w:rsidRPr="00C90AC9">
        <w:t xml:space="preserve"> have an indicative temperature range of between 30-80 ºC and a conce</w:t>
      </w:r>
      <w:r w:rsidR="000758C6" w:rsidRPr="00C90AC9">
        <w:t>ntration ratio of 1, see Table 1.2.</w:t>
      </w:r>
      <w:r w:rsidR="004B6CFB" w:rsidRPr="00C90AC9">
        <w:t xml:space="preserve"> </w:t>
      </w:r>
      <w:r w:rsidR="00A6686F" w:rsidRPr="00C90AC9">
        <w:fldChar w:fldCharType="begin"/>
      </w:r>
      <w:r w:rsidR="00A6686F" w:rsidRPr="00C90AC9">
        <w:instrText xml:space="preserve"> ADDIN EN.CITE &lt;EndNote&gt;&lt;Cite&gt;&lt;Author&gt;Ayompe&lt;/Author&gt;&lt;Year&gt;2011&lt;/Year&gt;&lt;RecNum&gt;117&lt;/RecNum&gt;&lt;DisplayText&gt;(Ayompe &amp;amp; et al., 2011; Brechin &amp;amp; Bhandari, 2011)&lt;/DisplayText&gt;&lt;record&gt;&lt;rec-number&gt;117&lt;/rec-number&gt;&lt;foreign-keys&gt;&lt;key app="EN" db-id="50wxdpzd9vd5r7e9t5b595djrfpttrxw9avp" timestamp="1525076334"&gt;117&lt;/key&gt;&lt;/foreign-keys&gt;&lt;ref-type name="Journal Article"&gt;17&lt;/ref-type&gt;&lt;contributors&gt;&lt;authors&gt;&lt;author&gt;Ayompe, L.M., .&lt;/author&gt;&lt;author&gt;et al.,&lt;/author&gt;&lt;/authors&gt;&lt;/contributors&gt;&lt;titles&gt;&lt;title&gt;Comparative field performance study of flat plate and heat pipe evacuated tube collectors (ETCs) for domestic water heating systems in a temperate climate&lt;/title&gt;&lt;secondary-title&gt;Energy&lt;/secondary-title&gt;&lt;short-title&gt;Ayompe, L.M., et al. 2011 – Comparative field performance study&lt;/short-title&gt;&lt;/titles&gt;&lt;pages&gt;p. 3370-3378&lt;/pages&gt;&lt;volume&gt;35&lt;/volume&gt;&lt;number&gt;36&lt;/number&gt;&lt;dates&gt;&lt;year&gt;2011&lt;/year&gt;&lt;/dates&gt;&lt;urls&gt;&lt;/urls&gt;&lt;/record&gt;&lt;/Cite&gt;&lt;Cite&gt;&lt;Author&gt;Brechin&lt;/Author&gt;&lt;Year&gt;2011&lt;/Year&gt;&lt;RecNum&gt;124&lt;/RecNum&gt;&lt;record&gt;&lt;rec-number&gt;124&lt;/rec-number&gt;&lt;foreign-keys&gt;&lt;key app="EN" db-id="50wxdpzd9vd5r7e9t5b595djrfpttrxw9avp" timestamp="1525076334"&gt;124&lt;/key&gt;&lt;/foreign-keys&gt;&lt;ref-type name="Journal Article"&gt;17&lt;/ref-type&gt;&lt;contributors&gt;&lt;authors&gt;&lt;author&gt;Brechin, S.R.&lt;/author&gt;&lt;author&gt;M. Bhandari&lt;/author&gt;&lt;/authors&gt;&lt;/contributors&gt;&lt;titles&gt;&lt;title&gt;Perceptions of climate change worldwide&lt;/title&gt;&lt;secondary-title&gt;Wiley Interdisciplinary Reviews&lt;/secondary-title&gt;&lt;short-title&gt;Brechin, S.R. and M. Bhandari 2011 – Perceptions of climate change worldwide&lt;/short-title&gt;&lt;/titles&gt;&lt;pages&gt;p. 871-885&lt;/pages&gt;&lt;volume&gt;2&lt;/volume&gt;&lt;number&gt;2&lt;/number&gt;&lt;dates&gt;&lt;year&gt;2011&lt;/year&gt;&lt;/dates&gt;&lt;urls&gt;&lt;/urls&gt;&lt;/record&gt;&lt;/Cite&gt;&lt;/EndNote&gt;</w:instrText>
      </w:r>
      <w:r w:rsidR="00A6686F" w:rsidRPr="00C90AC9">
        <w:fldChar w:fldCharType="separate"/>
      </w:r>
      <w:r w:rsidR="00A6686F" w:rsidRPr="00C90AC9">
        <w:t xml:space="preserve">(Ayompe </w:t>
      </w:r>
      <w:r w:rsidR="00EE66A8" w:rsidRPr="00C90AC9">
        <w:t>et al</w:t>
      </w:r>
      <w:r w:rsidR="00A6686F" w:rsidRPr="00C90AC9">
        <w:t>., 2011; Brechin &amp; Bhandari, 2011)</w:t>
      </w:r>
      <w:r w:rsidR="00A6686F" w:rsidRPr="00C90AC9">
        <w:fldChar w:fldCharType="end"/>
      </w:r>
      <w:r w:rsidR="004B6CFB" w:rsidRPr="00C90AC9">
        <w:t>.</w:t>
      </w:r>
      <w:r w:rsidR="000758C6" w:rsidRPr="00C90AC9">
        <w:t xml:space="preserve"> </w:t>
      </w:r>
      <w:r w:rsidR="002314AC" w:rsidRPr="00C90AC9">
        <w:t>This</w:t>
      </w:r>
      <w:r w:rsidR="006518C0" w:rsidRPr="00C90AC9">
        <w:t xml:space="preserve"> temperature range is ideal for personal showers or baths and the concentration ratio ensures that this t</w:t>
      </w:r>
      <w:r w:rsidR="00106796" w:rsidRPr="00C90AC9">
        <w:t>empe</w:t>
      </w:r>
      <w:r w:rsidR="006518C0" w:rsidRPr="00C90AC9">
        <w:t xml:space="preserve">rature range is not exceeded. </w:t>
      </w:r>
      <w:r w:rsidR="000758C6" w:rsidRPr="00C90AC9">
        <w:t xml:space="preserve">The </w:t>
      </w:r>
      <w:r w:rsidR="00106796" w:rsidRPr="00C90AC9">
        <w:t xml:space="preserve">various layers of material that are employed in the </w:t>
      </w:r>
      <w:r w:rsidR="000758C6" w:rsidRPr="00C90AC9">
        <w:t>construction of a ty</w:t>
      </w:r>
      <w:r w:rsidR="007D76F5" w:rsidRPr="00C90AC9">
        <w:t xml:space="preserve">pical </w:t>
      </w:r>
      <w:r w:rsidRPr="00C90AC9">
        <w:t>STP</w:t>
      </w:r>
      <w:r w:rsidR="007D76F5" w:rsidRPr="00C90AC9">
        <w:t xml:space="preserve"> is shown in Figure 1.</w:t>
      </w:r>
      <w:r w:rsidR="00BA2FAC" w:rsidRPr="00C90AC9">
        <w:t>11</w:t>
      </w:r>
      <w:r w:rsidR="000758C6" w:rsidRPr="00C90AC9">
        <w:t xml:space="preserve">. </w:t>
      </w:r>
      <w:r w:rsidR="002314AC" w:rsidRPr="00C90AC9">
        <w:t>which shows insulating material surrounding the copper tubes to limit heat loss occurring from the heat fluid.</w:t>
      </w:r>
    </w:p>
    <w:p w:rsidR="004B6CFB" w:rsidRPr="00C90AC9" w:rsidRDefault="000446A7" w:rsidP="00B06779">
      <w:pPr>
        <w:pStyle w:val="BodyText"/>
        <w:rPr>
          <w:rFonts w:eastAsia="Calibri"/>
          <w:szCs w:val="24"/>
          <w:lang w:eastAsia="en-US"/>
        </w:rPr>
      </w:pPr>
      <w:r w:rsidRPr="00C90AC9">
        <w:rPr>
          <w:rFonts w:eastAsia="Calibri"/>
          <w:szCs w:val="24"/>
          <w:lang w:eastAsia="en-US"/>
        </w:rPr>
        <w:t>Table 1.</w:t>
      </w:r>
      <w:r w:rsidR="000758C6" w:rsidRPr="00C90AC9">
        <w:rPr>
          <w:rFonts w:eastAsia="Calibri"/>
          <w:szCs w:val="24"/>
          <w:lang w:eastAsia="en-US"/>
        </w:rPr>
        <w:t>2</w:t>
      </w:r>
      <w:r w:rsidR="00A526B7" w:rsidRPr="00C90AC9">
        <w:rPr>
          <w:rFonts w:eastAsia="Calibri"/>
          <w:szCs w:val="24"/>
          <w:lang w:eastAsia="en-US"/>
        </w:rPr>
        <w:t>. Typical</w:t>
      </w:r>
      <w:r w:rsidR="007D76F5" w:rsidRPr="00C90AC9">
        <w:rPr>
          <w:rFonts w:eastAsia="Calibri"/>
          <w:szCs w:val="24"/>
          <w:lang w:eastAsia="en-US"/>
        </w:rPr>
        <w:t xml:space="preserve"> characteristics of a</w:t>
      </w:r>
      <w:r w:rsidR="00A526B7" w:rsidRPr="00C90AC9">
        <w:rPr>
          <w:rFonts w:eastAsia="Calibri"/>
          <w:szCs w:val="24"/>
          <w:lang w:eastAsia="en-US"/>
        </w:rPr>
        <w:t xml:space="preserve"> Flat Plate Collector </w:t>
      </w:r>
      <w:r w:rsidR="000758C6" w:rsidRPr="00C90AC9">
        <w:rPr>
          <w:rFonts w:eastAsia="Calibri"/>
          <w:szCs w:val="24"/>
          <w:lang w:eastAsia="en-US"/>
        </w:rPr>
        <w:t xml:space="preserve"> </w:t>
      </w:r>
      <w:r w:rsidR="00D67FA6" w:rsidRPr="00C90AC9">
        <w:rPr>
          <w:rFonts w:eastAsia="Calibri"/>
          <w:szCs w:val="24"/>
          <w:lang w:eastAsia="en-US"/>
        </w:rPr>
        <w:fldChar w:fldCharType="begin"/>
      </w:r>
      <w:r w:rsidR="00D67FA6" w:rsidRPr="00C90AC9">
        <w:rPr>
          <w:rFonts w:eastAsia="Calibri"/>
          <w:szCs w:val="24"/>
          <w:lang w:eastAsia="en-US"/>
        </w:rPr>
        <w:instrText xml:space="preserve"> ADDIN EN.CITE &lt;EndNote&gt;&lt;Cite&gt;&lt;Author&gt;Ayompe&lt;/Author&gt;&lt;Year&gt;2011&lt;/Year&gt;&lt;RecNum&gt;117&lt;/RecNum&gt;&lt;DisplayText&gt;(Ayompe &amp;amp; et al., 2011; Srinivas, 2011)&lt;/DisplayText&gt;&lt;record&gt;&lt;rec-number&gt;117&lt;/rec-number&gt;&lt;foreign-keys&gt;&lt;key app="EN" db-id="50wxdpzd9vd5r7e9t5b595djrfpttrxw9avp" timestamp="1525076334"&gt;117&lt;/key&gt;&lt;/foreign-keys&gt;&lt;ref-type name="Journal Article"&gt;17&lt;/ref-type&gt;&lt;contributors&gt;&lt;authors&gt;&lt;author&gt;Ayompe, L.M., .&lt;/author&gt;&lt;author&gt;et al.,&lt;/author&gt;&lt;/authors&gt;&lt;/contributors&gt;&lt;titles&gt;&lt;title&gt;Comparative field performance study of flat plate and heat pipe evacuated tube collectors (ETCs) for domestic water heating systems in a temperate climate&lt;/title&gt;&lt;secondary-title&gt;Energy&lt;/secondary-title&gt;&lt;short-title&gt;Ayompe, L.M., et al. 2011 – Comparative field performance study&lt;/short-title&gt;&lt;/titles&gt;&lt;pages&gt;p. 3370-3378&lt;/pages&gt;&lt;volume&gt;35&lt;/volume&gt;&lt;number&gt;36&lt;/number&gt;&lt;dates&gt;&lt;year&gt;2011&lt;/year&gt;&lt;/dates&gt;&lt;urls&gt;&lt;/urls&gt;&lt;/record&gt;&lt;/Cite&gt;&lt;Cite&gt;&lt;Author&gt;Srinivas&lt;/Author&gt;&lt;Year&gt;2011&lt;/Year&gt;&lt;RecNum&gt;192&lt;/RecNum&gt;&lt;record&gt;&lt;rec-number&gt;192&lt;/rec-number&gt;&lt;foreign-keys&gt;&lt;key app="EN" db-id="50wxdpzd9vd5r7e9t5b595djrfpttrxw9avp" timestamp="1525076335"&gt;192&lt;/key&gt;&lt;/foreign-keys&gt;&lt;ref-type name="Journal Article"&gt;17&lt;/ref-type&gt;&lt;contributors&gt;&lt;authors&gt;&lt;author&gt;Srinivas, M.&lt;/author&gt;&lt;/authors&gt;&lt;/contributors&gt;&lt;titles&gt;&lt;title&gt;Domestic solar hot water systems: Developments, evaluations and essentials for “viability” with a special reference to India&lt;/title&gt;&lt;secondary-title&gt;Renewable and Sustainable Energy Reviews&lt;/secondary-title&gt;&lt;short-title&gt;Srinivas 2011 – Domestic solar hot water systems&lt;/short-title&gt;&lt;/titles&gt;&lt;pages&gt;p. 3850-3861&lt;/pages&gt;&lt;volume&gt;15&lt;/volume&gt;&lt;number&gt;15&lt;/number&gt;&lt;dates&gt;&lt;year&gt;2011&lt;/year&gt;&lt;/dates&gt;&lt;urls&gt;&lt;/urls&gt;&lt;/record&gt;&lt;/Cite&gt;&lt;/EndNote&gt;</w:instrText>
      </w:r>
      <w:r w:rsidR="00D67FA6" w:rsidRPr="00C90AC9">
        <w:rPr>
          <w:rFonts w:eastAsia="Calibri"/>
          <w:szCs w:val="24"/>
          <w:lang w:eastAsia="en-US"/>
        </w:rPr>
        <w:fldChar w:fldCharType="separate"/>
      </w:r>
      <w:r w:rsidR="00D67FA6" w:rsidRPr="00C90AC9">
        <w:rPr>
          <w:rFonts w:eastAsia="Calibri"/>
          <w:szCs w:val="24"/>
          <w:lang w:eastAsia="en-US"/>
        </w:rPr>
        <w:t xml:space="preserve">(Ayompe </w:t>
      </w:r>
      <w:r w:rsidR="00EE66A8" w:rsidRPr="00C90AC9">
        <w:rPr>
          <w:rFonts w:eastAsia="Calibri"/>
          <w:szCs w:val="24"/>
          <w:lang w:eastAsia="en-US"/>
        </w:rPr>
        <w:t>et al</w:t>
      </w:r>
      <w:r w:rsidR="00D67FA6" w:rsidRPr="00C90AC9">
        <w:rPr>
          <w:rFonts w:eastAsia="Calibri"/>
          <w:szCs w:val="24"/>
          <w:lang w:eastAsia="en-US"/>
        </w:rPr>
        <w:t>., 2011; Srinivas, 2011)</w:t>
      </w:r>
      <w:r w:rsidR="00D67FA6" w:rsidRPr="00C90AC9">
        <w:rPr>
          <w:rFonts w:eastAsia="Calibri"/>
          <w:szCs w:val="24"/>
          <w:lang w:eastAsia="en-US"/>
        </w:rPr>
        <w:fldChar w:fldCharType="end"/>
      </w:r>
    </w:p>
    <w:tbl>
      <w:tblPr>
        <w:tblStyle w:val="TableGrid"/>
        <w:tblW w:w="8930" w:type="dxa"/>
        <w:jc w:val="center"/>
        <w:tblLook w:val="04A0" w:firstRow="1" w:lastRow="0" w:firstColumn="1" w:lastColumn="0" w:noHBand="0" w:noVBand="1"/>
      </w:tblPr>
      <w:tblGrid>
        <w:gridCol w:w="2030"/>
        <w:gridCol w:w="1903"/>
        <w:gridCol w:w="1579"/>
        <w:gridCol w:w="1831"/>
        <w:gridCol w:w="1587"/>
      </w:tblGrid>
      <w:tr w:rsidR="004B6CFB" w:rsidRPr="00C90AC9" w:rsidTr="00A15685">
        <w:trPr>
          <w:jc w:val="center"/>
        </w:trPr>
        <w:tc>
          <w:tcPr>
            <w:tcW w:w="1274" w:type="dxa"/>
            <w:tcBorders>
              <w:top w:val="double" w:sz="4" w:space="0" w:color="auto"/>
              <w:left w:val="double" w:sz="4" w:space="0" w:color="auto"/>
              <w:bottom w:val="double" w:sz="4" w:space="0" w:color="auto"/>
              <w:right w:val="double" w:sz="4" w:space="0" w:color="auto"/>
            </w:tcBorders>
            <w:vAlign w:val="center"/>
          </w:tcPr>
          <w:p w:rsidR="004B6CFB" w:rsidRPr="00C90AC9" w:rsidRDefault="006F0C85" w:rsidP="00C05E2B">
            <w:sdt>
              <w:sdtPr>
                <w:alias w:val="Don't edit this field"/>
                <w:tag w:val="CitaviPlaceholder#2b0b0e1a-75a5-4e4c-98ee-3a6c32f5b2a6"/>
                <w:id w:val="-571278045"/>
              </w:sdtPr>
              <w:sdtEndPr/>
              <w:sdtContent>
                <w:r w:rsidR="00C05E2B" w:rsidRPr="00C90AC9">
                  <w:fldChar w:fldCharType="begin"/>
                </w:r>
                <w:r w:rsidR="007835E8" w:rsidRPr="00C90AC9">
                  <w:instrText>ADDIN CitaviPlaceholder{eyIkaWQiOiIxIiwiRW50cmllcyI6W3siJGlkIjoiMiIsIkhhc1RlbXBvcmFyeVJlZmVyZW5jZSI6dHJ1ZSwiSWQiOiIzZjJkZGM2Zi1lOTRmLTQxYzAtODU5Zi0xY2FiMDEzOTBhZDEiLCJSYW5nZUxlbmd0aCI6NDEsIlJlZmVyZW5jZUlkIjoiZTQ5MGQ4MWItMDMzZC00ODRhLWI3ZTUtYTMzZDQyYTQwMDI5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}</w:instrText>
                </w:r>
                <w:r w:rsidR="00C05E2B" w:rsidRPr="00C90AC9">
                  <w:fldChar w:fldCharType="separate"/>
                </w:r>
                <w:r w:rsidR="007835E8" w:rsidRPr="00C90AC9">
                  <w:t>(Perceptions of climate change worldwide)</w:t>
                </w:r>
                <w:r w:rsidR="00C05E2B" w:rsidRPr="00C90AC9">
                  <w:fldChar w:fldCharType="end"/>
                </w:r>
              </w:sdtContent>
            </w:sdt>
            <w:r w:rsidR="004B6CFB" w:rsidRPr="00C90AC9">
              <w:t>Motion</w:t>
            </w:r>
          </w:p>
        </w:tc>
        <w:tc>
          <w:tcPr>
            <w:tcW w:w="2247" w:type="dxa"/>
            <w:tcBorders>
              <w:top w:val="double" w:sz="4" w:space="0" w:color="auto"/>
              <w:left w:val="double" w:sz="4" w:space="0" w:color="auto"/>
              <w:bottom w:val="double" w:sz="4" w:space="0" w:color="auto"/>
              <w:right w:val="double" w:sz="4" w:space="0" w:color="auto"/>
            </w:tcBorders>
            <w:vAlign w:val="center"/>
          </w:tcPr>
          <w:p w:rsidR="004B6CFB" w:rsidRPr="00C90AC9" w:rsidRDefault="004B6CFB" w:rsidP="00B06779">
            <w:r w:rsidRPr="00C90AC9">
              <w:t>Collector type</w:t>
            </w:r>
          </w:p>
        </w:tc>
        <w:tc>
          <w:tcPr>
            <w:tcW w:w="1782" w:type="dxa"/>
            <w:tcBorders>
              <w:top w:val="double" w:sz="4" w:space="0" w:color="auto"/>
              <w:left w:val="double" w:sz="4" w:space="0" w:color="auto"/>
              <w:bottom w:val="double" w:sz="4" w:space="0" w:color="auto"/>
              <w:right w:val="double" w:sz="4" w:space="0" w:color="auto"/>
            </w:tcBorders>
            <w:vAlign w:val="center"/>
          </w:tcPr>
          <w:p w:rsidR="004B6CFB" w:rsidRPr="00C90AC9" w:rsidRDefault="004B6CFB" w:rsidP="00B06779">
            <w:r w:rsidRPr="00C90AC9">
              <w:t>Absorber type</w:t>
            </w:r>
          </w:p>
        </w:tc>
        <w:tc>
          <w:tcPr>
            <w:tcW w:w="1942" w:type="dxa"/>
            <w:tcBorders>
              <w:top w:val="double" w:sz="4" w:space="0" w:color="auto"/>
              <w:left w:val="double" w:sz="4" w:space="0" w:color="auto"/>
              <w:bottom w:val="double" w:sz="4" w:space="0" w:color="auto"/>
              <w:right w:val="double" w:sz="4" w:space="0" w:color="auto"/>
            </w:tcBorders>
            <w:vAlign w:val="center"/>
          </w:tcPr>
          <w:p w:rsidR="004B6CFB" w:rsidRPr="00C90AC9" w:rsidRDefault="004B6CFB" w:rsidP="00B06779">
            <w:r w:rsidRPr="00C90AC9">
              <w:t>Concentration ratio</w:t>
            </w:r>
          </w:p>
        </w:tc>
        <w:tc>
          <w:tcPr>
            <w:tcW w:w="1685" w:type="dxa"/>
            <w:tcBorders>
              <w:top w:val="double" w:sz="4" w:space="0" w:color="auto"/>
              <w:left w:val="double" w:sz="4" w:space="0" w:color="auto"/>
              <w:bottom w:val="double" w:sz="4" w:space="0" w:color="auto"/>
              <w:right w:val="double" w:sz="4" w:space="0" w:color="auto"/>
            </w:tcBorders>
            <w:vAlign w:val="center"/>
          </w:tcPr>
          <w:p w:rsidR="004B6CFB" w:rsidRPr="00C90AC9" w:rsidRDefault="004B6CFB" w:rsidP="00B06779">
            <w:r w:rsidRPr="00C90AC9">
              <w:t>Indicative temperature ration (ºC)</w:t>
            </w:r>
          </w:p>
        </w:tc>
      </w:tr>
      <w:tr w:rsidR="004B6CFB" w:rsidRPr="00C90AC9" w:rsidTr="00A15685">
        <w:trPr>
          <w:trHeight w:val="653"/>
          <w:jc w:val="center"/>
        </w:trPr>
        <w:tc>
          <w:tcPr>
            <w:tcW w:w="1274" w:type="dxa"/>
            <w:tcBorders>
              <w:top w:val="double" w:sz="4" w:space="0" w:color="auto"/>
              <w:bottom w:val="single" w:sz="4" w:space="0" w:color="auto"/>
            </w:tcBorders>
            <w:vAlign w:val="center"/>
          </w:tcPr>
          <w:p w:rsidR="004B6CFB" w:rsidRPr="00C90AC9" w:rsidRDefault="004B6CFB" w:rsidP="00B06779">
            <w:r w:rsidRPr="00C90AC9">
              <w:t>Stationary</w:t>
            </w:r>
          </w:p>
        </w:tc>
        <w:tc>
          <w:tcPr>
            <w:tcW w:w="2247" w:type="dxa"/>
            <w:tcBorders>
              <w:top w:val="double" w:sz="4" w:space="0" w:color="auto"/>
              <w:bottom w:val="single" w:sz="4" w:space="0" w:color="auto"/>
            </w:tcBorders>
            <w:vAlign w:val="center"/>
          </w:tcPr>
          <w:p w:rsidR="004B6CFB" w:rsidRPr="00C90AC9" w:rsidRDefault="004B6CFB" w:rsidP="00B06779">
            <w:r w:rsidRPr="00C90AC9">
              <w:t>Flat Plate Collector (</w:t>
            </w:r>
            <w:r w:rsidR="00E37E65" w:rsidRPr="00C90AC9">
              <w:t>STP</w:t>
            </w:r>
            <w:r w:rsidRPr="00C90AC9">
              <w:t>)</w:t>
            </w:r>
          </w:p>
        </w:tc>
        <w:tc>
          <w:tcPr>
            <w:tcW w:w="1782" w:type="dxa"/>
            <w:tcBorders>
              <w:top w:val="double" w:sz="4" w:space="0" w:color="auto"/>
              <w:bottom w:val="single" w:sz="4" w:space="0" w:color="auto"/>
            </w:tcBorders>
            <w:vAlign w:val="center"/>
          </w:tcPr>
          <w:p w:rsidR="004B6CFB" w:rsidRPr="00C90AC9" w:rsidRDefault="004B6CFB" w:rsidP="00B06779">
            <w:r w:rsidRPr="00C90AC9">
              <w:t>Flat</w:t>
            </w:r>
          </w:p>
        </w:tc>
        <w:tc>
          <w:tcPr>
            <w:tcW w:w="1942" w:type="dxa"/>
            <w:tcBorders>
              <w:top w:val="double" w:sz="4" w:space="0" w:color="auto"/>
              <w:bottom w:val="single" w:sz="4" w:space="0" w:color="auto"/>
            </w:tcBorders>
            <w:vAlign w:val="center"/>
          </w:tcPr>
          <w:p w:rsidR="004B6CFB" w:rsidRPr="00C90AC9" w:rsidRDefault="004B6CFB" w:rsidP="00B06779">
            <w:r w:rsidRPr="00C90AC9">
              <w:t>1</w:t>
            </w:r>
          </w:p>
        </w:tc>
        <w:tc>
          <w:tcPr>
            <w:tcW w:w="1685" w:type="dxa"/>
            <w:tcBorders>
              <w:top w:val="double" w:sz="4" w:space="0" w:color="auto"/>
              <w:bottom w:val="single" w:sz="4" w:space="0" w:color="auto"/>
            </w:tcBorders>
            <w:vAlign w:val="center"/>
          </w:tcPr>
          <w:p w:rsidR="004B6CFB" w:rsidRPr="00C90AC9" w:rsidRDefault="004B6CFB" w:rsidP="00B06779">
            <w:r w:rsidRPr="00C90AC9">
              <w:t>30-80</w:t>
            </w:r>
          </w:p>
          <w:p w:rsidR="004B6CFB" w:rsidRPr="00C90AC9" w:rsidRDefault="004B6CFB" w:rsidP="00B06779"/>
        </w:tc>
      </w:tr>
    </w:tbl>
    <w:p w:rsidR="00310B64" w:rsidRPr="00C90AC9" w:rsidRDefault="00310B64" w:rsidP="00D01EBF">
      <w:pPr>
        <w:pStyle w:val="BodyText"/>
        <w:rPr>
          <w:rFonts w:eastAsia="Calibri"/>
          <w:lang w:eastAsia="en-US"/>
        </w:rPr>
      </w:pPr>
    </w:p>
    <w:p w:rsidR="004B6CFB" w:rsidRPr="00C90AC9" w:rsidRDefault="00CF75F1" w:rsidP="00D01EBF">
      <w:pPr>
        <w:pStyle w:val="BodyText"/>
        <w:rPr>
          <w:rFonts w:eastAsia="Calibri"/>
          <w:lang w:eastAsia="en-US"/>
        </w:rPr>
      </w:pPr>
      <w:r w:rsidRPr="00C90AC9">
        <w:rPr>
          <w:rFonts w:eastAsia="Calibri"/>
          <w:lang w:eastAsia="en-US"/>
        </w:rPr>
        <w:lastRenderedPageBreak/>
        <w:t>Figure 1.</w:t>
      </w:r>
      <w:r w:rsidR="00D60CC1" w:rsidRPr="00C90AC9">
        <w:rPr>
          <w:rFonts w:eastAsia="Calibri"/>
          <w:lang w:eastAsia="en-US"/>
        </w:rPr>
        <w:t>10</w:t>
      </w:r>
      <w:r w:rsidR="004B6CFB" w:rsidRPr="00C90AC9">
        <w:rPr>
          <w:rFonts w:eastAsia="Calibri"/>
          <w:lang w:eastAsia="en-US"/>
        </w:rPr>
        <w:t xml:space="preserve">. An Evacuated Tube Collector (l) and a </w:t>
      </w:r>
      <w:r w:rsidR="006518C0" w:rsidRPr="00C90AC9">
        <w:rPr>
          <w:rFonts w:eastAsia="Calibri"/>
          <w:lang w:eastAsia="en-US"/>
        </w:rPr>
        <w:t>Solar Thermal Panel</w:t>
      </w:r>
      <w:r w:rsidR="000E17D2" w:rsidRPr="00C90AC9">
        <w:rPr>
          <w:rFonts w:eastAsia="Calibri"/>
          <w:lang w:eastAsia="en-US"/>
        </w:rPr>
        <w:t xml:space="preserve"> (r)</w:t>
      </w:r>
      <w:r w:rsidR="004B6CFB" w:rsidRPr="00C90AC9">
        <w:rPr>
          <w:rFonts w:eastAsia="Calibri"/>
          <w:lang w:eastAsia="en-US"/>
        </w:rPr>
        <w:t xml:space="preserve"> </w:t>
      </w:r>
      <w:r w:rsidR="00783D58" w:rsidRPr="00C90AC9">
        <w:rPr>
          <w:rFonts w:eastAsia="Calibri"/>
          <w:lang w:eastAsia="en-US"/>
        </w:rPr>
        <w:fldChar w:fldCharType="begin"/>
      </w:r>
      <w:r w:rsidR="00783D58" w:rsidRPr="00C90AC9">
        <w:rPr>
          <w:rFonts w:eastAsia="Calibri"/>
          <w:lang w:eastAsia="en-US"/>
        </w:rPr>
        <w:instrText xml:space="preserve"> ADDIN EN.CITE &lt;EndNote&gt;&lt;Cite&gt;&lt;Author&gt;Zambolin&lt;/Author&gt;&lt;Year&gt;2010&lt;/Year&gt;&lt;RecNum&gt;207&lt;/RecNum&gt;&lt;DisplayText&gt;(Zambolin &amp;amp; Col, 2010)&lt;/DisplayText&gt;&lt;record&gt;&lt;rec-number&gt;207&lt;/rec-number&gt;&lt;foreign-keys&gt;&lt;key app="EN" db-id="50wxdpzd9vd5r7e9t5b595djrfpttrxw9avp" timestamp="1525076335"&gt;207&lt;/key&gt;&lt;/foreign-keys&gt;&lt;ref-type name="Journal Article"&gt;17&lt;/ref-type&gt;&lt;contributors&gt;&lt;authors&gt;&lt;author&gt;Zambolin, E.&lt;/author&gt;&lt;author&gt;D. Del Col&lt;/author&gt;&lt;/authors&gt;&lt;/contributors&gt;&lt;titles&gt;&lt;title&gt;Experimental analysis of thermal performance of flat plate and evacuated tube solar collectors in stationary standard and daily conditions&lt;/title&gt;&lt;secondary-title&gt;Solar Energy&lt;/secondary-title&gt;&lt;short-title&gt;Zambolin, E. and D. Del Col 2010 – Experimental analysis of thermal performance&lt;/short-title&gt;&lt;/titles&gt;&lt;pages&gt;p. 1382-1396&lt;/pages&gt;&lt;volume&gt;84&lt;/volume&gt;&lt;number&gt;8&lt;/number&gt;&lt;dates&gt;&lt;year&gt;2010&lt;/year&gt;&lt;/dates&gt;&lt;urls&gt;&lt;/urls&gt;&lt;/record&gt;&lt;/Cite&gt;&lt;/EndNote&gt;</w:instrText>
      </w:r>
      <w:r w:rsidR="00783D58" w:rsidRPr="00C90AC9">
        <w:rPr>
          <w:rFonts w:eastAsia="Calibri"/>
          <w:lang w:eastAsia="en-US"/>
        </w:rPr>
        <w:fldChar w:fldCharType="separate"/>
      </w:r>
      <w:r w:rsidR="00783D58" w:rsidRPr="00C90AC9">
        <w:rPr>
          <w:rFonts w:eastAsia="Calibri"/>
          <w:lang w:eastAsia="en-US"/>
        </w:rPr>
        <w:t>(Zambolin &amp; Col, 2010)</w:t>
      </w:r>
      <w:r w:rsidR="00783D58" w:rsidRPr="00C90AC9">
        <w:rPr>
          <w:rFonts w:eastAsia="Calibri"/>
          <w:lang w:eastAsia="en-US"/>
        </w:rPr>
        <w:fldChar w:fldCharType="end"/>
      </w:r>
    </w:p>
    <w:p w:rsidR="004B6CFB" w:rsidRPr="00C90AC9" w:rsidRDefault="004B6CFB" w:rsidP="00B06779">
      <w:pPr>
        <w:rPr>
          <w:rFonts w:eastAsia="Calibri"/>
          <w:lang w:eastAsia="en-US"/>
        </w:rPr>
      </w:pPr>
      <w:r w:rsidRPr="00C90AC9">
        <w:rPr>
          <w:rFonts w:eastAsia="Calibri"/>
          <w:noProof/>
        </w:rPr>
        <w:drawing>
          <wp:inline distT="0" distB="0" distL="0" distR="0" wp14:anchorId="5F9A7A4D" wp14:editId="4452C579">
            <wp:extent cx="5580888" cy="2945080"/>
            <wp:effectExtent l="19050" t="19050" r="20320" b="27305"/>
            <wp:docPr id="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l="48978" t="56725" r="10592" b="13248"/>
                    <a:stretch>
                      <a:fillRect/>
                    </a:stretch>
                  </pic:blipFill>
                  <pic:spPr bwMode="auto">
                    <a:xfrm>
                      <a:off x="0" y="0"/>
                      <a:ext cx="5580888" cy="2945080"/>
                    </a:xfrm>
                    <a:prstGeom prst="rect">
                      <a:avLst/>
                    </a:prstGeom>
                    <a:noFill/>
                    <a:ln w="6350">
                      <a:solidFill>
                        <a:sysClr val="windowText" lastClr="000000"/>
                      </a:solidFill>
                      <a:miter lim="800000"/>
                      <a:headEnd/>
                      <a:tailEnd/>
                    </a:ln>
                  </pic:spPr>
                </pic:pic>
              </a:graphicData>
            </a:graphic>
          </wp:inline>
        </w:drawing>
      </w:r>
    </w:p>
    <w:p w:rsidR="002314AC" w:rsidRPr="00C90AC9" w:rsidRDefault="0037115D" w:rsidP="00C0462B">
      <w:pPr>
        <w:pStyle w:val="BodyText"/>
        <w:spacing w:line="360" w:lineRule="auto"/>
        <w:rPr>
          <w:rFonts w:eastAsia="Calibri"/>
          <w:lang w:eastAsia="en-US"/>
        </w:rPr>
      </w:pPr>
      <w:r w:rsidRPr="00C90AC9">
        <w:rPr>
          <w:rFonts w:eastAsia="Calibri"/>
          <w:lang w:eastAsia="en-US"/>
        </w:rPr>
        <w:t>From Figure 1.</w:t>
      </w:r>
      <w:r w:rsidR="00D60CC1" w:rsidRPr="00C90AC9">
        <w:rPr>
          <w:rFonts w:eastAsia="Calibri"/>
          <w:lang w:eastAsia="en-US"/>
        </w:rPr>
        <w:t>10</w:t>
      </w:r>
      <w:r w:rsidRPr="00C90AC9">
        <w:rPr>
          <w:rFonts w:eastAsia="Calibri"/>
          <w:lang w:eastAsia="en-US"/>
        </w:rPr>
        <w:t xml:space="preserve">. it can be seen that STPs are similar appearance to other solar technologies such as PV panels.  This study by </w:t>
      </w:r>
      <w:proofErr w:type="spellStart"/>
      <w:r w:rsidRPr="00C90AC9">
        <w:rPr>
          <w:rFonts w:eastAsia="Calibri"/>
          <w:lang w:eastAsia="en-US"/>
        </w:rPr>
        <w:t>Zambolin</w:t>
      </w:r>
      <w:proofErr w:type="spellEnd"/>
      <w:r w:rsidRPr="00C90AC9">
        <w:rPr>
          <w:rFonts w:eastAsia="Calibri"/>
          <w:lang w:eastAsia="en-US"/>
        </w:rPr>
        <w:t xml:space="preserve"> &amp; Del Col also note that due to the fact that </w:t>
      </w:r>
      <w:r w:rsidR="00310B64" w:rsidRPr="00C90AC9">
        <w:rPr>
          <w:rFonts w:eastAsia="Calibri"/>
          <w:lang w:eastAsia="en-US"/>
        </w:rPr>
        <w:t>PV</w:t>
      </w:r>
      <w:r w:rsidRPr="00C90AC9">
        <w:rPr>
          <w:rFonts w:eastAsia="Calibri"/>
          <w:lang w:eastAsia="en-US"/>
        </w:rPr>
        <w:t xml:space="preserve"> panels are on the roofs of buildings they are relatively unobtrusive</w:t>
      </w:r>
      <w:r w:rsidR="00566ADE" w:rsidRPr="00C90AC9">
        <w:rPr>
          <w:rFonts w:eastAsia="Calibri"/>
          <w:lang w:eastAsia="en-US"/>
        </w:rPr>
        <w:t xml:space="preserve"> </w:t>
      </w:r>
      <w:r w:rsidR="00783D58" w:rsidRPr="00C90AC9">
        <w:rPr>
          <w:rFonts w:eastAsia="Calibri"/>
          <w:lang w:eastAsia="en-US"/>
        </w:rPr>
        <w:fldChar w:fldCharType="begin"/>
      </w:r>
      <w:r w:rsidR="00783D58" w:rsidRPr="00C90AC9">
        <w:rPr>
          <w:rFonts w:eastAsia="Calibri"/>
          <w:lang w:eastAsia="en-US"/>
        </w:rPr>
        <w:instrText xml:space="preserve"> ADDIN EN.CITE &lt;EndNote&gt;&lt;Cite&gt;&lt;Author&gt;Zambolin&lt;/Author&gt;&lt;Year&gt;2010&lt;/Year&gt;&lt;RecNum&gt;207&lt;/RecNum&gt;&lt;DisplayText&gt;(Zambolin &amp;amp; Col, 2010)&lt;/DisplayText&gt;&lt;record&gt;&lt;rec-number&gt;207&lt;/rec-number&gt;&lt;foreign-keys&gt;&lt;key app="EN" db-id="50wxdpzd9vd5r7e9t5b595djrfpttrxw9avp" timestamp="1525076335"&gt;207&lt;/key&gt;&lt;/foreign-keys&gt;&lt;ref-type name="Journal Article"&gt;17&lt;/ref-type&gt;&lt;contributors&gt;&lt;authors&gt;&lt;author&gt;Zambolin, E.&lt;/author&gt;&lt;author&gt;D. Del Col&lt;/author&gt;&lt;/authors&gt;&lt;/contributors&gt;&lt;titles&gt;&lt;title&gt;Experimental analysis of thermal performance of flat plate and evacuated tube solar collectors in stationary standard and daily conditions&lt;/title&gt;&lt;secondary-title&gt;Solar Energy&lt;/secondary-title&gt;&lt;short-title&gt;Zambolin, E. and D. Del Col 2010 – Experimental analysis of thermal performance&lt;/short-title&gt;&lt;/titles&gt;&lt;pages&gt;p. 1382-1396&lt;/pages&gt;&lt;volume&gt;84&lt;/volume&gt;&lt;number&gt;8&lt;/number&gt;&lt;dates&gt;&lt;year&gt;2010&lt;/year&gt;&lt;/dates&gt;&lt;urls&gt;&lt;/urls&gt;&lt;/record&gt;&lt;/Cite&gt;&lt;/EndNote&gt;</w:instrText>
      </w:r>
      <w:r w:rsidR="00783D58" w:rsidRPr="00C90AC9">
        <w:rPr>
          <w:rFonts w:eastAsia="Calibri"/>
          <w:lang w:eastAsia="en-US"/>
        </w:rPr>
        <w:fldChar w:fldCharType="separate"/>
      </w:r>
      <w:r w:rsidR="00783D58" w:rsidRPr="00C90AC9">
        <w:rPr>
          <w:rFonts w:eastAsia="Calibri"/>
          <w:lang w:eastAsia="en-US"/>
        </w:rPr>
        <w:t>(Zambolin &amp; Col, 2010)</w:t>
      </w:r>
      <w:r w:rsidR="00783D58" w:rsidRPr="00C90AC9">
        <w:rPr>
          <w:rFonts w:eastAsia="Calibri"/>
          <w:lang w:eastAsia="en-US"/>
        </w:rPr>
        <w:fldChar w:fldCharType="end"/>
      </w:r>
      <w:r w:rsidR="00566ADE" w:rsidRPr="00C90AC9">
        <w:rPr>
          <w:rFonts w:eastAsia="Calibri"/>
          <w:lang w:eastAsia="en-US"/>
        </w:rPr>
        <w:t>.</w:t>
      </w:r>
      <w:r w:rsidRPr="00C90AC9">
        <w:rPr>
          <w:rFonts w:eastAsia="Calibri"/>
          <w:lang w:eastAsia="en-US"/>
        </w:rPr>
        <w:t xml:space="preserve"> Figure 1.</w:t>
      </w:r>
      <w:r w:rsidR="00D60CC1" w:rsidRPr="00C90AC9">
        <w:rPr>
          <w:rFonts w:eastAsia="Calibri"/>
          <w:lang w:eastAsia="en-US"/>
        </w:rPr>
        <w:t>11</w:t>
      </w:r>
      <w:r w:rsidRPr="00C90AC9">
        <w:rPr>
          <w:rFonts w:eastAsia="Calibri"/>
          <w:lang w:eastAsia="en-US"/>
        </w:rPr>
        <w:t xml:space="preserve">. shows the basic construction a STP, and </w:t>
      </w:r>
      <w:r w:rsidR="00871208" w:rsidRPr="00C90AC9">
        <w:rPr>
          <w:rFonts w:eastAsia="Calibri"/>
          <w:lang w:eastAsia="en-US"/>
        </w:rPr>
        <w:t xml:space="preserve">when </w:t>
      </w:r>
      <w:r w:rsidRPr="00C90AC9">
        <w:rPr>
          <w:rFonts w:eastAsia="Calibri"/>
          <w:lang w:eastAsia="en-US"/>
        </w:rPr>
        <w:t>combined wit</w:t>
      </w:r>
      <w:r w:rsidR="00CF75F1" w:rsidRPr="00C90AC9">
        <w:rPr>
          <w:rFonts w:eastAsia="Calibri"/>
          <w:lang w:eastAsia="en-US"/>
        </w:rPr>
        <w:t>h Figure 1.</w:t>
      </w:r>
      <w:r w:rsidR="00F17541" w:rsidRPr="00C90AC9">
        <w:rPr>
          <w:rFonts w:eastAsia="Calibri"/>
          <w:lang w:eastAsia="en-US"/>
        </w:rPr>
        <w:t>10</w:t>
      </w:r>
      <w:r w:rsidRPr="00C90AC9">
        <w:rPr>
          <w:rFonts w:eastAsia="Calibri"/>
          <w:lang w:eastAsia="en-US"/>
        </w:rPr>
        <w:t>. the overall construction of a STP</w:t>
      </w:r>
      <w:r w:rsidR="00777533" w:rsidRPr="00C90AC9">
        <w:rPr>
          <w:rFonts w:eastAsia="Calibri"/>
          <w:lang w:eastAsia="en-US"/>
        </w:rPr>
        <w:t xml:space="preserve"> can be determined.</w:t>
      </w:r>
    </w:p>
    <w:p w:rsidR="000758C6" w:rsidRPr="00C90AC9" w:rsidRDefault="00D60CC1" w:rsidP="007574AE">
      <w:pPr>
        <w:pStyle w:val="BodyText"/>
        <w:spacing w:line="240" w:lineRule="auto"/>
        <w:rPr>
          <w:rFonts w:eastAsia="Calibri"/>
          <w:lang w:eastAsia="en-US"/>
        </w:rPr>
      </w:pPr>
      <w:r w:rsidRPr="00C90AC9">
        <w:rPr>
          <w:rFonts w:eastAsia="Calibri"/>
          <w:lang w:eastAsia="en-US"/>
        </w:rPr>
        <w:t>Figure 1.11</w:t>
      </w:r>
      <w:r w:rsidR="000758C6" w:rsidRPr="00C90AC9">
        <w:rPr>
          <w:rFonts w:eastAsia="Calibri"/>
          <w:lang w:eastAsia="en-US"/>
        </w:rPr>
        <w:t xml:space="preserve">. The construction layers of a </w:t>
      </w:r>
      <w:r w:rsidR="006518C0" w:rsidRPr="00C90AC9">
        <w:rPr>
          <w:rFonts w:eastAsia="Calibri"/>
          <w:lang w:eastAsia="en-US"/>
        </w:rPr>
        <w:t>typical STP</w:t>
      </w:r>
      <w:r w:rsidR="000758C6" w:rsidRPr="00C90AC9">
        <w:rPr>
          <w:rFonts w:eastAsia="Calibri"/>
          <w:lang w:eastAsia="en-US"/>
        </w:rPr>
        <w:t xml:space="preserve"> </w:t>
      </w:r>
      <w:r w:rsidR="00783D58" w:rsidRPr="00C90AC9">
        <w:rPr>
          <w:rFonts w:eastAsia="Calibri"/>
          <w:lang w:eastAsia="en-US"/>
        </w:rPr>
        <w:fldChar w:fldCharType="begin"/>
      </w:r>
      <w:r w:rsidR="00783D58" w:rsidRPr="00C90AC9">
        <w:rPr>
          <w:rFonts w:eastAsia="Calibri"/>
          <w:lang w:eastAsia="en-US"/>
        </w:rPr>
        <w:instrText xml:space="preserve"> ADDIN EN.CITE &lt;EndNote&gt;&lt;Cite&gt;&lt;Author&gt;Brechin&lt;/Author&gt;&lt;Year&gt;2011&lt;/Year&gt;&lt;RecNum&gt;124&lt;/RecNum&gt;&lt;DisplayText&gt;(Brechin &amp;amp; Bhandari, 2011)&lt;/DisplayText&gt;&lt;record&gt;&lt;rec-number&gt;124&lt;/rec-number&gt;&lt;foreign-keys&gt;&lt;key app="EN" db-id="50wxdpzd9vd5r7e9t5b595djrfpttrxw9avp" timestamp="1525076334"&gt;124&lt;/key&gt;&lt;/foreign-keys&gt;&lt;ref-type name="Journal Article"&gt;17&lt;/ref-type&gt;&lt;contributors&gt;&lt;authors&gt;&lt;author&gt;Brechin, S.R.&lt;/author&gt;&lt;author&gt;M. Bhandari&lt;/author&gt;&lt;/authors&gt;&lt;/contributors&gt;&lt;titles&gt;&lt;title&gt;Perceptions of climate change worldwide&lt;/title&gt;&lt;secondary-title&gt;Wiley Interdisciplinary Reviews&lt;/secondary-title&gt;&lt;short-title&gt;Brechin, S.R. and M. Bhandari 2011 – Perceptions of climate change worldwide&lt;/short-title&gt;&lt;/titles&gt;&lt;pages&gt;p. 871-885&lt;/pages&gt;&lt;volume&gt;2&lt;/volume&gt;&lt;number&gt;2&lt;/number&gt;&lt;dates&gt;&lt;year&gt;2011&lt;/year&gt;&lt;/dates&gt;&lt;urls&gt;&lt;/urls&gt;&lt;/record&gt;&lt;/Cite&gt;&lt;/EndNote&gt;</w:instrText>
      </w:r>
      <w:r w:rsidR="00783D58" w:rsidRPr="00C90AC9">
        <w:rPr>
          <w:rFonts w:eastAsia="Calibri"/>
          <w:lang w:eastAsia="en-US"/>
        </w:rPr>
        <w:fldChar w:fldCharType="separate"/>
      </w:r>
      <w:r w:rsidR="00783D58" w:rsidRPr="00C90AC9">
        <w:rPr>
          <w:rFonts w:eastAsia="Calibri"/>
          <w:lang w:eastAsia="en-US"/>
        </w:rPr>
        <w:t>(Brechin &amp; Bhandari, 2011)</w:t>
      </w:r>
      <w:r w:rsidR="00783D58" w:rsidRPr="00C90AC9">
        <w:rPr>
          <w:rFonts w:eastAsia="Calibri"/>
          <w:lang w:eastAsia="en-US"/>
        </w:rPr>
        <w:fldChar w:fldCharType="end"/>
      </w:r>
    </w:p>
    <w:p w:rsidR="004B6CFB" w:rsidRPr="00C90AC9" w:rsidRDefault="000758C6" w:rsidP="00B06779">
      <w:pPr>
        <w:rPr>
          <w:rFonts w:eastAsia="Calibri"/>
          <w:lang w:eastAsia="en-US"/>
        </w:rPr>
      </w:pPr>
      <w:r w:rsidRPr="00C90AC9">
        <w:rPr>
          <w:noProof/>
        </w:rPr>
        <w:drawing>
          <wp:inline distT="0" distB="0" distL="0" distR="0" wp14:anchorId="366E8335" wp14:editId="48AC5056">
            <wp:extent cx="5600700" cy="3524250"/>
            <wp:effectExtent l="19050" t="19050" r="19050" b="1905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18806" t="14496" r="22112" b="17456"/>
                    <a:stretch/>
                  </pic:blipFill>
                  <pic:spPr bwMode="auto">
                    <a:xfrm>
                      <a:off x="0" y="0"/>
                      <a:ext cx="5670541" cy="3568198"/>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rsidR="00711039" w:rsidRPr="00C90AC9" w:rsidRDefault="00A16B8C" w:rsidP="00162965">
      <w:pPr>
        <w:pStyle w:val="Heading1"/>
        <w:rPr>
          <w:rStyle w:val="SubtleEmphasis"/>
          <w:bCs/>
        </w:rPr>
      </w:pPr>
      <w:bookmarkStart w:id="16" w:name="_Toc376996832"/>
      <w:bookmarkStart w:id="17" w:name="_Toc377005514"/>
      <w:r w:rsidRPr="00C90AC9">
        <w:rPr>
          <w:rStyle w:val="SubtleEmphasis"/>
          <w:bCs/>
        </w:rPr>
        <w:lastRenderedPageBreak/>
        <w:t>The effect of solar water heating on energy usag</w:t>
      </w:r>
      <w:bookmarkEnd w:id="16"/>
      <w:bookmarkEnd w:id="17"/>
      <w:r w:rsidRPr="00C90AC9">
        <w:rPr>
          <w:rStyle w:val="SubtleEmphasis"/>
          <w:bCs/>
        </w:rPr>
        <w:t>e</w:t>
      </w:r>
      <w:r w:rsidR="009F5AD8" w:rsidRPr="00C90AC9">
        <w:rPr>
          <w:rStyle w:val="SubtleEmphasis"/>
          <w:bCs/>
        </w:rPr>
        <w:t xml:space="preserve"> in homes</w:t>
      </w:r>
    </w:p>
    <w:p w:rsidR="00A16B8C" w:rsidRPr="00C90AC9" w:rsidRDefault="00A16B8C" w:rsidP="007574AE">
      <w:pPr>
        <w:pStyle w:val="BodyTextFirstIndent"/>
        <w:spacing w:line="360" w:lineRule="auto"/>
        <w:rPr>
          <w:rFonts w:eastAsia="Times New Roman"/>
          <w:lang w:eastAsia="en-US"/>
        </w:rPr>
      </w:pPr>
      <w:bookmarkStart w:id="18" w:name="_Toc447173045"/>
      <w:r w:rsidRPr="00C90AC9">
        <w:rPr>
          <w:rFonts w:eastAsia="Times New Roman"/>
          <w:lang w:eastAsia="en-US"/>
        </w:rPr>
        <w:t xml:space="preserve">Assessing the specific energy gains from using </w:t>
      </w:r>
      <w:r w:rsidR="006518C0" w:rsidRPr="00C90AC9">
        <w:rPr>
          <w:rFonts w:eastAsia="Times New Roman"/>
          <w:lang w:eastAsia="en-US"/>
        </w:rPr>
        <w:t>STPs</w:t>
      </w:r>
      <w:r w:rsidR="00484A32" w:rsidRPr="00C90AC9">
        <w:rPr>
          <w:rFonts w:eastAsia="Times New Roman"/>
          <w:lang w:eastAsia="en-US"/>
        </w:rPr>
        <w:t xml:space="preserve"> compared to conventional </w:t>
      </w:r>
      <w:r w:rsidRPr="00C90AC9">
        <w:rPr>
          <w:rFonts w:eastAsia="Times New Roman"/>
          <w:lang w:eastAsia="en-US"/>
        </w:rPr>
        <w:t xml:space="preserve">energy sources for heating water in domestic properties is a complicated task as there are a number of factors that </w:t>
      </w:r>
      <w:r w:rsidR="00484A32" w:rsidRPr="00C90AC9">
        <w:rPr>
          <w:rFonts w:eastAsia="Times New Roman"/>
          <w:lang w:eastAsia="en-US"/>
        </w:rPr>
        <w:t xml:space="preserve">are dynamic and have an </w:t>
      </w:r>
      <w:r w:rsidRPr="00C90AC9">
        <w:rPr>
          <w:rFonts w:eastAsia="Times New Roman"/>
          <w:lang w:eastAsia="en-US"/>
        </w:rPr>
        <w:t xml:space="preserve">impact on the calculation.  </w:t>
      </w:r>
      <w:r w:rsidR="00A6686F" w:rsidRPr="00C90AC9">
        <w:rPr>
          <w:rFonts w:eastAsia="Times New Roman"/>
          <w:lang w:eastAsia="en-US"/>
        </w:rPr>
        <w:t>These factors include a variable weather pattern and a variable draw-off pattern of hot water as it is utilised in the property</w:t>
      </w:r>
      <w:r w:rsidR="009F5AD8" w:rsidRPr="00C90AC9">
        <w:rPr>
          <w:rFonts w:eastAsia="Times New Roman"/>
          <w:lang w:eastAsia="en-US"/>
        </w:rPr>
        <w:t xml:space="preserve"> </w:t>
      </w:r>
      <w:r w:rsidR="009F5AD8" w:rsidRPr="00C90AC9">
        <w:rPr>
          <w:rFonts w:eastAsia="Times New Roman"/>
          <w:lang w:eastAsia="en-US"/>
        </w:rPr>
        <w:fldChar w:fldCharType="begin"/>
      </w:r>
      <w:r w:rsidR="009F5AD8" w:rsidRPr="00C90AC9">
        <w:rPr>
          <w:rFonts w:eastAsia="Times New Roman"/>
          <w:lang w:eastAsia="en-US"/>
        </w:rPr>
        <w:instrText xml:space="preserve"> ADDIN EN.CITE &lt;EndNote&gt;&lt;Cite&gt;&lt;Author&gt;Brechin&lt;/Author&gt;&lt;Year&gt;2011&lt;/Year&gt;&lt;RecNum&gt;124&lt;/RecNum&gt;&lt;DisplayText&gt;(Brechin &amp;amp; Bhandari, 2011)&lt;/DisplayText&gt;&lt;record&gt;&lt;rec-number&gt;124&lt;/rec-number&gt;&lt;foreign-keys&gt;&lt;key app="EN" db-id="50wxdpzd9vd5r7e9t5b595djrfpttrxw9avp" timestamp="1525076334"&gt;124&lt;/key&gt;&lt;/foreign-keys&gt;&lt;ref-type name="Journal Article"&gt;17&lt;/ref-type&gt;&lt;contributors&gt;&lt;authors&gt;&lt;author&gt;Brechin, S.R.&lt;/author&gt;&lt;author&gt;M. Bhandari&lt;/author&gt;&lt;/authors&gt;&lt;/contributors&gt;&lt;titles&gt;&lt;title&gt;Perceptions of climate change worldwide&lt;/title&gt;&lt;secondary-title&gt;Wiley Interdisciplinary Reviews&lt;/secondary-title&gt;&lt;short-title&gt;Brechin, S.R. and M. Bhandari 2011 – Perceptions of climate change worldwide&lt;/short-title&gt;&lt;/titles&gt;&lt;pages&gt;p. 871-885&lt;/pages&gt;&lt;volume&gt;2&lt;/volume&gt;&lt;number&gt;2&lt;/number&gt;&lt;dates&gt;&lt;year&gt;2011&lt;/year&gt;&lt;/dates&gt;&lt;urls&gt;&lt;/urls&gt;&lt;/record&gt;&lt;/Cite&gt;&lt;/EndNote&gt;</w:instrText>
      </w:r>
      <w:r w:rsidR="009F5AD8" w:rsidRPr="00C90AC9">
        <w:rPr>
          <w:rFonts w:eastAsia="Times New Roman"/>
          <w:lang w:eastAsia="en-US"/>
        </w:rPr>
        <w:fldChar w:fldCharType="separate"/>
      </w:r>
      <w:r w:rsidR="009F5AD8" w:rsidRPr="00C90AC9">
        <w:rPr>
          <w:rFonts w:eastAsia="Times New Roman"/>
          <w:lang w:eastAsia="en-US"/>
        </w:rPr>
        <w:t>(Brechin &amp; Bhandari, 2011)</w:t>
      </w:r>
      <w:r w:rsidR="009F5AD8" w:rsidRPr="00C90AC9">
        <w:rPr>
          <w:rFonts w:eastAsia="Times New Roman"/>
          <w:lang w:eastAsia="en-US"/>
        </w:rPr>
        <w:fldChar w:fldCharType="end"/>
      </w:r>
      <w:r w:rsidR="00A6686F" w:rsidRPr="00C90AC9">
        <w:rPr>
          <w:rFonts w:eastAsia="Times New Roman"/>
          <w:lang w:eastAsia="en-US"/>
        </w:rPr>
        <w:t xml:space="preserve">. </w:t>
      </w:r>
      <w:r w:rsidRPr="00C90AC9">
        <w:rPr>
          <w:rFonts w:eastAsia="Times New Roman"/>
          <w:lang w:eastAsia="en-US"/>
        </w:rPr>
        <w:t>However</w:t>
      </w:r>
      <w:r w:rsidR="00484A32" w:rsidRPr="00C90AC9">
        <w:rPr>
          <w:rFonts w:eastAsia="Times New Roman"/>
          <w:lang w:eastAsia="en-US"/>
        </w:rPr>
        <w:t xml:space="preserve">, due to the efficient way in which STPs heat </w:t>
      </w:r>
      <w:r w:rsidRPr="00C90AC9">
        <w:rPr>
          <w:rFonts w:eastAsia="Times New Roman"/>
          <w:lang w:eastAsia="en-US"/>
        </w:rPr>
        <w:t>water for use in domestic properties</w:t>
      </w:r>
      <w:r w:rsidR="00A6686F" w:rsidRPr="00C90AC9">
        <w:rPr>
          <w:rFonts w:eastAsia="Times New Roman"/>
          <w:lang w:eastAsia="en-US"/>
        </w:rPr>
        <w:t>,</w:t>
      </w:r>
      <w:r w:rsidRPr="00C90AC9">
        <w:rPr>
          <w:rFonts w:eastAsia="Times New Roman"/>
          <w:lang w:eastAsia="en-US"/>
        </w:rPr>
        <w:t xml:space="preserve"> </w:t>
      </w:r>
      <w:r w:rsidR="000D1256" w:rsidRPr="00C90AC9">
        <w:rPr>
          <w:rFonts w:eastAsia="Times New Roman"/>
          <w:lang w:eastAsia="en-US"/>
        </w:rPr>
        <w:t xml:space="preserve">they have been </w:t>
      </w:r>
      <w:r w:rsidR="00A6686F" w:rsidRPr="00C90AC9">
        <w:rPr>
          <w:rFonts w:eastAsia="Times New Roman"/>
          <w:lang w:eastAsia="en-US"/>
        </w:rPr>
        <w:t xml:space="preserve">utilised </w:t>
      </w:r>
      <w:r w:rsidR="000D1256" w:rsidRPr="00C90AC9">
        <w:rPr>
          <w:rFonts w:eastAsia="Times New Roman"/>
          <w:lang w:eastAsia="en-US"/>
        </w:rPr>
        <w:t>in UK fo</w:t>
      </w:r>
      <w:r w:rsidR="009F5AD8" w:rsidRPr="00C90AC9">
        <w:rPr>
          <w:rFonts w:eastAsia="Times New Roman"/>
          <w:lang w:eastAsia="en-US"/>
        </w:rPr>
        <w:t>r a number</w:t>
      </w:r>
      <w:r w:rsidRPr="00C90AC9">
        <w:rPr>
          <w:rFonts w:eastAsia="Times New Roman"/>
          <w:lang w:eastAsia="en-US"/>
        </w:rPr>
        <w:t xml:space="preserve"> of years. </w:t>
      </w:r>
      <w:r w:rsidR="009F5AD8" w:rsidRPr="00C90AC9">
        <w:rPr>
          <w:rFonts w:eastAsia="Times New Roman"/>
          <w:lang w:eastAsia="en-US"/>
        </w:rPr>
        <w:t xml:space="preserve">Because </w:t>
      </w:r>
      <w:r w:rsidR="006518C0" w:rsidRPr="00C90AC9">
        <w:rPr>
          <w:rFonts w:eastAsia="Times New Roman"/>
          <w:lang w:eastAsia="en-US"/>
        </w:rPr>
        <w:t>STPs</w:t>
      </w:r>
      <w:r w:rsidRPr="00C90AC9">
        <w:rPr>
          <w:rFonts w:eastAsia="Times New Roman"/>
          <w:lang w:eastAsia="en-US"/>
        </w:rPr>
        <w:t xml:space="preserve"> heat water directly rather than converting the </w:t>
      </w:r>
      <w:r w:rsidR="000450FC" w:rsidRPr="00C90AC9">
        <w:rPr>
          <w:rFonts w:eastAsia="Times New Roman"/>
          <w:lang w:eastAsia="en-US"/>
        </w:rPr>
        <w:t>sun</w:t>
      </w:r>
      <w:r w:rsidR="00C80892" w:rsidRPr="00C90AC9">
        <w:rPr>
          <w:rFonts w:eastAsia="Times New Roman"/>
          <w:lang w:eastAsia="en-US"/>
        </w:rPr>
        <w:t>’</w:t>
      </w:r>
      <w:r w:rsidRPr="00C90AC9">
        <w:rPr>
          <w:rFonts w:eastAsia="Times New Roman"/>
          <w:lang w:eastAsia="en-US"/>
        </w:rPr>
        <w:t>s energy into anothe</w:t>
      </w:r>
      <w:r w:rsidR="000D1256" w:rsidRPr="00C90AC9">
        <w:rPr>
          <w:rFonts w:eastAsia="Times New Roman"/>
          <w:lang w:eastAsia="en-US"/>
        </w:rPr>
        <w:t>r</w:t>
      </w:r>
      <w:r w:rsidR="00484A32" w:rsidRPr="00C90AC9">
        <w:rPr>
          <w:rFonts w:eastAsia="Times New Roman"/>
          <w:lang w:eastAsia="en-US"/>
        </w:rPr>
        <w:t xml:space="preserve"> </w:t>
      </w:r>
      <w:r w:rsidR="000D1256" w:rsidRPr="00C90AC9">
        <w:rPr>
          <w:rFonts w:eastAsia="Times New Roman"/>
          <w:lang w:eastAsia="en-US"/>
        </w:rPr>
        <w:t>f</w:t>
      </w:r>
      <w:r w:rsidRPr="00C90AC9">
        <w:rPr>
          <w:rFonts w:eastAsia="Times New Roman"/>
          <w:lang w:eastAsia="en-US"/>
        </w:rPr>
        <w:t>orm of energy, such as electricity, which would then have to be converted back into heat energy delivered to the water to heat it up</w:t>
      </w:r>
      <w:r w:rsidR="009F5AD8" w:rsidRPr="00C90AC9">
        <w:rPr>
          <w:rFonts w:eastAsia="Times New Roman"/>
          <w:lang w:eastAsia="en-US"/>
        </w:rPr>
        <w:t>, heating domestic water can be a superior method of heating water</w:t>
      </w:r>
      <w:r w:rsidRPr="00C90AC9">
        <w:rPr>
          <w:rFonts w:eastAsia="Times New Roman"/>
          <w:lang w:eastAsia="en-US"/>
        </w:rPr>
        <w:t xml:space="preserve"> </w:t>
      </w:r>
      <w:r w:rsidR="00D67FA6" w:rsidRPr="00C90AC9">
        <w:rPr>
          <w:rFonts w:eastAsia="Times New Roman"/>
          <w:lang w:eastAsia="en-US"/>
        </w:rPr>
        <w:fldChar w:fldCharType="begin"/>
      </w:r>
      <w:r w:rsidR="00D67FA6" w:rsidRPr="00C90AC9">
        <w:rPr>
          <w:rFonts w:eastAsia="Times New Roman"/>
          <w:lang w:eastAsia="en-US"/>
        </w:rPr>
        <w:instrText xml:space="preserve"> ADDIN EN.CITE &lt;EndNote&gt;&lt;Cite&gt;&lt;Author&gt;Jaisankar&lt;/Author&gt;&lt;Year&gt;2011&lt;/Year&gt;&lt;RecNum&gt;161&lt;/RecNum&gt;&lt;DisplayText&gt;(Jaisankar &amp;amp; et al., 2011)&lt;/DisplayText&gt;&lt;record&gt;&lt;rec-number&gt;161&lt;/rec-number&gt;&lt;foreign-keys&gt;&lt;key app="EN" db-id="50wxdpzd9vd5r7e9t5b595djrfpttrxw9avp" timestamp="1525076335"&gt;161&lt;/key&gt;&lt;/foreign-keys&gt;&lt;ref-type name="Journal Article"&gt;17&lt;/ref-type&gt;&lt;contributors&gt;&lt;authors&gt;&lt;author&gt;Jaisankar, S., .&lt;/author&gt;&lt;author&gt;et al.,&lt;/author&gt;&lt;/authors&gt;&lt;/contributors&gt;&lt;titles&gt;&lt;title&gt;A comprehensive review on solar water heaters&lt;/title&gt;&lt;secondary-title&gt;Renewable and Sustainable Energy Reviews&lt;/secondary-title&gt;&lt;short-title&gt;Jaisankar, S., et al. 2011 – A comprehensive review on solar&lt;/short-title&gt;&lt;/titles&gt;&lt;pages&gt;p. 3045-3050&lt;/pages&gt;&lt;volume&gt;15&lt;/volume&gt;&lt;number&gt;6&lt;/number&gt;&lt;dates&gt;&lt;year&gt;2011&lt;/year&gt;&lt;/dates&gt;&lt;urls&gt;&lt;/urls&gt;&lt;/record&gt;&lt;/Cite&gt;&lt;/EndNote&gt;</w:instrText>
      </w:r>
      <w:r w:rsidR="00D67FA6" w:rsidRPr="00C90AC9">
        <w:rPr>
          <w:rFonts w:eastAsia="Times New Roman"/>
          <w:lang w:eastAsia="en-US"/>
        </w:rPr>
        <w:fldChar w:fldCharType="separate"/>
      </w:r>
      <w:r w:rsidR="00D67FA6" w:rsidRPr="00C90AC9">
        <w:rPr>
          <w:rFonts w:eastAsia="Times New Roman"/>
          <w:lang w:eastAsia="en-US"/>
        </w:rPr>
        <w:t xml:space="preserve">(Jaisankar </w:t>
      </w:r>
      <w:r w:rsidR="00EE66A8" w:rsidRPr="00C90AC9">
        <w:rPr>
          <w:rFonts w:eastAsia="Times New Roman"/>
          <w:lang w:eastAsia="en-US"/>
        </w:rPr>
        <w:t>et al</w:t>
      </w:r>
      <w:r w:rsidR="00D67FA6" w:rsidRPr="00C90AC9">
        <w:rPr>
          <w:rFonts w:eastAsia="Times New Roman"/>
          <w:lang w:eastAsia="en-US"/>
        </w:rPr>
        <w:t>., 2011)</w:t>
      </w:r>
      <w:r w:rsidR="00D67FA6" w:rsidRPr="00C90AC9">
        <w:rPr>
          <w:rFonts w:eastAsia="Times New Roman"/>
          <w:lang w:eastAsia="en-US"/>
        </w:rPr>
        <w:fldChar w:fldCharType="end"/>
      </w:r>
      <w:r w:rsidRPr="00C90AC9">
        <w:rPr>
          <w:rFonts w:eastAsia="Times New Roman"/>
          <w:lang w:eastAsia="en-US"/>
        </w:rPr>
        <w:t xml:space="preserve">. </w:t>
      </w:r>
      <w:r w:rsidR="009F5AD8" w:rsidRPr="00C90AC9">
        <w:rPr>
          <w:rFonts w:eastAsia="Times New Roman"/>
          <w:lang w:eastAsia="en-US"/>
        </w:rPr>
        <w:t>D</w:t>
      </w:r>
      <w:r w:rsidRPr="00C90AC9">
        <w:rPr>
          <w:rFonts w:eastAsia="Times New Roman"/>
          <w:lang w:eastAsia="en-US"/>
        </w:rPr>
        <w:t xml:space="preserve">irect conversion of solar energy to heating of water </w:t>
      </w:r>
      <w:r w:rsidR="006518C0" w:rsidRPr="00C90AC9">
        <w:rPr>
          <w:rFonts w:eastAsia="Times New Roman"/>
          <w:lang w:eastAsia="en-US"/>
        </w:rPr>
        <w:t>STPs</w:t>
      </w:r>
      <w:r w:rsidRPr="00C90AC9">
        <w:rPr>
          <w:rFonts w:eastAsia="Times New Roman"/>
          <w:lang w:eastAsia="en-US"/>
        </w:rPr>
        <w:t xml:space="preserve"> can achieve 70% efficiency whereas other solar technologies such as </w:t>
      </w:r>
      <w:r w:rsidR="00B96E0B" w:rsidRPr="00C90AC9">
        <w:rPr>
          <w:rFonts w:eastAsia="Times New Roman"/>
          <w:lang w:eastAsia="en-US"/>
        </w:rPr>
        <w:t>PV</w:t>
      </w:r>
      <w:r w:rsidRPr="00C90AC9">
        <w:rPr>
          <w:rFonts w:eastAsia="Times New Roman"/>
          <w:lang w:eastAsia="en-US"/>
        </w:rPr>
        <w:t xml:space="preserve"> panels (PV) can only achieve 17% </w:t>
      </w:r>
      <w:r w:rsidR="00783D58" w:rsidRPr="00C90AC9">
        <w:rPr>
          <w:rFonts w:eastAsia="Times New Roman"/>
          <w:lang w:eastAsia="en-US"/>
        </w:rPr>
        <w:fldChar w:fldCharType="begin"/>
      </w:r>
      <w:r w:rsidR="00783D58" w:rsidRPr="00C90AC9">
        <w:rPr>
          <w:rFonts w:eastAsia="Times New Roman"/>
          <w:lang w:eastAsia="en-US"/>
        </w:rPr>
        <w:instrText xml:space="preserve"> ADDIN EN.CITE &lt;EndNote&gt;&lt;Cite&gt;&lt;Author&gt;Jaisankar&lt;/Author&gt;&lt;Year&gt;2011&lt;/Year&gt;&lt;RecNum&gt;161&lt;/RecNum&gt;&lt;DisplayText&gt;(Jaisankar &amp;amp; et al., 2011)&lt;/DisplayText&gt;&lt;record&gt;&lt;rec-number&gt;161&lt;/rec-number&gt;&lt;foreign-keys&gt;&lt;key app="EN" db-id="50wxdpzd9vd5r7e9t5b595djrfpttrxw9avp" timestamp="1525076335"&gt;161&lt;/key&gt;&lt;/foreign-keys&gt;&lt;ref-type name="Journal Article"&gt;17&lt;/ref-type&gt;&lt;contributors&gt;&lt;authors&gt;&lt;author&gt;Jaisankar, S., .&lt;/author&gt;&lt;author&gt;et al.,&lt;/author&gt;&lt;/authors&gt;&lt;/contributors&gt;&lt;titles&gt;&lt;title&gt;A comprehensive review on solar water heaters&lt;/title&gt;&lt;secondary-title&gt;Renewable and Sustainable Energy Reviews&lt;/secondary-title&gt;&lt;short-title&gt;Jaisankar, S., et al. 2011 – A comprehensive review on solar&lt;/short-title&gt;&lt;/titles&gt;&lt;pages&gt;p. 3045-3050&lt;/pages&gt;&lt;volume&gt;15&lt;/volume&gt;&lt;number&gt;6&lt;/number&gt;&lt;dates&gt;&lt;year&gt;2011&lt;/year&gt;&lt;/dates&gt;&lt;urls&gt;&lt;/urls&gt;&lt;/record&gt;&lt;/Cite&gt;&lt;/EndNote&gt;</w:instrText>
      </w:r>
      <w:r w:rsidR="00783D58" w:rsidRPr="00C90AC9">
        <w:rPr>
          <w:rFonts w:eastAsia="Times New Roman"/>
          <w:lang w:eastAsia="en-US"/>
        </w:rPr>
        <w:fldChar w:fldCharType="separate"/>
      </w:r>
      <w:r w:rsidR="00783D58" w:rsidRPr="00C90AC9">
        <w:rPr>
          <w:rFonts w:eastAsia="Times New Roman"/>
          <w:lang w:eastAsia="en-US"/>
        </w:rPr>
        <w:t xml:space="preserve">(Jaisankar </w:t>
      </w:r>
      <w:r w:rsidR="00EE66A8" w:rsidRPr="00C90AC9">
        <w:rPr>
          <w:rFonts w:eastAsia="Times New Roman"/>
          <w:lang w:eastAsia="en-US"/>
        </w:rPr>
        <w:t>et al</w:t>
      </w:r>
      <w:r w:rsidR="00783D58" w:rsidRPr="00C90AC9">
        <w:rPr>
          <w:rFonts w:eastAsia="Times New Roman"/>
          <w:lang w:eastAsia="en-US"/>
        </w:rPr>
        <w:t>., 2011)</w:t>
      </w:r>
      <w:r w:rsidR="00783D58" w:rsidRPr="00C90AC9">
        <w:rPr>
          <w:rFonts w:eastAsia="Times New Roman"/>
          <w:lang w:eastAsia="en-US"/>
        </w:rPr>
        <w:fldChar w:fldCharType="end"/>
      </w:r>
      <w:r w:rsidRPr="00C90AC9">
        <w:rPr>
          <w:rFonts w:eastAsia="Times New Roman"/>
          <w:lang w:eastAsia="en-US"/>
        </w:rPr>
        <w:t>.</w:t>
      </w:r>
      <w:bookmarkEnd w:id="18"/>
    </w:p>
    <w:p w:rsidR="00A16B8C" w:rsidRPr="00C90AC9" w:rsidRDefault="00A16B8C" w:rsidP="007574AE">
      <w:pPr>
        <w:pStyle w:val="BodyText"/>
        <w:spacing w:line="360" w:lineRule="auto"/>
        <w:rPr>
          <w:rFonts w:eastAsia="Calibri"/>
          <w:lang w:eastAsia="en-US"/>
        </w:rPr>
      </w:pPr>
      <w:r w:rsidRPr="00C90AC9">
        <w:rPr>
          <w:rFonts w:eastAsia="Calibri"/>
          <w:lang w:eastAsia="en-US"/>
        </w:rPr>
        <w:t xml:space="preserve">The adoption of STP technology has been </w:t>
      </w:r>
      <w:r w:rsidR="009F5AD8" w:rsidRPr="00C90AC9">
        <w:rPr>
          <w:rFonts w:eastAsia="Calibri"/>
          <w:lang w:eastAsia="en-US"/>
        </w:rPr>
        <w:t>recognised</w:t>
      </w:r>
      <w:r w:rsidRPr="00C90AC9">
        <w:rPr>
          <w:rFonts w:eastAsia="Calibri"/>
          <w:lang w:eastAsia="en-US"/>
        </w:rPr>
        <w:t xml:space="preserve"> to be closely linked to n</w:t>
      </w:r>
      <w:r w:rsidR="009F5AD8" w:rsidRPr="00C90AC9">
        <w:rPr>
          <w:rFonts w:eastAsia="Calibri"/>
          <w:lang w:eastAsia="en-US"/>
        </w:rPr>
        <w:t xml:space="preserve">ot only the efficiency of STPs </w:t>
      </w:r>
      <w:r w:rsidR="00A6686F" w:rsidRPr="00C90AC9">
        <w:rPr>
          <w:rFonts w:eastAsia="Calibri"/>
          <w:lang w:eastAsia="en-US"/>
        </w:rPr>
        <w:t xml:space="preserve">but also </w:t>
      </w:r>
      <w:r w:rsidR="009F5AD8" w:rsidRPr="00C90AC9">
        <w:rPr>
          <w:rFonts w:eastAsia="Calibri"/>
          <w:lang w:eastAsia="en-US"/>
        </w:rPr>
        <w:t xml:space="preserve">to other reasons including </w:t>
      </w:r>
      <w:r w:rsidR="00A6686F" w:rsidRPr="00C90AC9">
        <w:rPr>
          <w:rFonts w:eastAsia="Calibri"/>
          <w:lang w:eastAsia="en-US"/>
        </w:rPr>
        <w:t xml:space="preserve">the capital cost of the technology as well as the disposal cost at the end of life of the technology </w:t>
      </w:r>
      <w:r w:rsidR="00A6686F" w:rsidRPr="00C90AC9">
        <w:rPr>
          <w:rFonts w:eastAsia="Calibri"/>
          <w:lang w:eastAsia="en-US"/>
        </w:rPr>
        <w:fldChar w:fldCharType="begin"/>
      </w:r>
      <w:r w:rsidR="00A6686F" w:rsidRPr="00C90AC9">
        <w:rPr>
          <w:rFonts w:eastAsia="Calibri"/>
          <w:lang w:eastAsia="en-US"/>
        </w:rPr>
        <w:instrText xml:space="preserve"> ADDIN EN.CITE &lt;EndNote&gt;&lt;Cite&gt;&lt;Author&gt;Medved&lt;/Author&gt;&lt;Year&gt;2003&lt;/Year&gt;&lt;RecNum&gt;171&lt;/RecNum&gt;&lt;DisplayText&gt;(Medved &amp;amp; Černe, 2003)&lt;/DisplayText&gt;&lt;record&gt;&lt;rec-number&gt;171&lt;/rec-number&gt;&lt;foreign-keys&gt;&lt;key app="EN" db-id="50wxdpzd9vd5r7e9t5b595djrfpttrxw9avp" timestamp="1525076335"&gt;171&lt;/key&gt;&lt;/foreign-keys&gt;&lt;ref-type name="Journal Article"&gt;17&lt;/ref-type&gt;&lt;contributors&gt;&lt;authors&gt;&lt;author&gt;Medved, S., C. Arkar,&lt;/author&gt;&lt;author&gt;B. Černe&lt;/author&gt;&lt;/authors&gt;&lt;/contributors&gt;&lt;titles&gt;&lt;title&gt;A large-panel unglazed roof-integrated liquid solar collector––energy and economic evaluation&lt;/title&gt;&lt;secondary-title&gt;Solar Energy&lt;/secondary-title&gt;&lt;short-title&gt;Medved, S., C. Arkar, and B. Černe 2003 – A large-panel unglazed roof-integrated liquid&lt;/short-title&gt;&lt;/titles&gt;&lt;pages&gt;p. 455-467&lt;/pages&gt;&lt;volume&gt;75&lt;/volume&gt;&lt;number&gt;6&lt;/number&gt;&lt;dates&gt;&lt;year&gt;2003&lt;/year&gt;&lt;/dates&gt;&lt;urls&gt;&lt;/urls&gt;&lt;/record&gt;&lt;/Cite&gt;&lt;/EndNote&gt;</w:instrText>
      </w:r>
      <w:r w:rsidR="00A6686F" w:rsidRPr="00C90AC9">
        <w:rPr>
          <w:rFonts w:eastAsia="Calibri"/>
          <w:lang w:eastAsia="en-US"/>
        </w:rPr>
        <w:fldChar w:fldCharType="separate"/>
      </w:r>
      <w:r w:rsidR="00A6686F" w:rsidRPr="00C90AC9">
        <w:rPr>
          <w:rFonts w:eastAsia="Calibri"/>
          <w:lang w:eastAsia="en-US"/>
        </w:rPr>
        <w:t>(Medved &amp; Černe, 2003)</w:t>
      </w:r>
      <w:r w:rsidR="00A6686F" w:rsidRPr="00C90AC9">
        <w:rPr>
          <w:rFonts w:eastAsia="Calibri"/>
          <w:lang w:eastAsia="en-US"/>
        </w:rPr>
        <w:fldChar w:fldCharType="end"/>
      </w:r>
      <w:r w:rsidR="00A6686F" w:rsidRPr="00C90AC9">
        <w:rPr>
          <w:rFonts w:eastAsia="Calibri"/>
          <w:lang w:eastAsia="en-US"/>
        </w:rPr>
        <w:t>.</w:t>
      </w:r>
      <w:r w:rsidRPr="00C90AC9">
        <w:rPr>
          <w:rFonts w:eastAsia="Calibri"/>
          <w:lang w:eastAsia="en-US"/>
        </w:rPr>
        <w:t xml:space="preserve"> Previous studies have </w:t>
      </w:r>
      <w:r w:rsidR="00A6686F" w:rsidRPr="00C90AC9">
        <w:rPr>
          <w:rFonts w:eastAsia="Calibri"/>
          <w:lang w:eastAsia="en-US"/>
        </w:rPr>
        <w:t xml:space="preserve">also </w:t>
      </w:r>
      <w:r w:rsidRPr="00C90AC9">
        <w:rPr>
          <w:rFonts w:eastAsia="Calibri"/>
          <w:lang w:eastAsia="en-US"/>
        </w:rPr>
        <w:t xml:space="preserve">shown that subjective perceptions about a particular technologies characteristics </w:t>
      </w:r>
      <w:r w:rsidR="00A6686F" w:rsidRPr="00C90AC9">
        <w:rPr>
          <w:rFonts w:eastAsia="Calibri"/>
          <w:lang w:eastAsia="en-US"/>
        </w:rPr>
        <w:t xml:space="preserve">will </w:t>
      </w:r>
      <w:r w:rsidRPr="00C90AC9">
        <w:rPr>
          <w:rFonts w:eastAsia="Calibri"/>
          <w:lang w:eastAsia="en-US"/>
        </w:rPr>
        <w:t xml:space="preserve">affect </w:t>
      </w:r>
      <w:r w:rsidR="00A6686F" w:rsidRPr="00C90AC9">
        <w:rPr>
          <w:rFonts w:eastAsia="Calibri"/>
          <w:lang w:eastAsia="en-US"/>
        </w:rPr>
        <w:t xml:space="preserve">a </w:t>
      </w:r>
      <w:r w:rsidRPr="00C90AC9">
        <w:rPr>
          <w:rFonts w:eastAsia="Calibri"/>
          <w:lang w:eastAsia="en-US"/>
        </w:rPr>
        <w:t xml:space="preserve">consumer willingness to adopt </w:t>
      </w:r>
      <w:r w:rsidR="00A6686F" w:rsidRPr="00C90AC9">
        <w:rPr>
          <w:rFonts w:eastAsia="Calibri"/>
          <w:lang w:eastAsia="en-US"/>
        </w:rPr>
        <w:t>the t</w:t>
      </w:r>
      <w:r w:rsidRPr="00C90AC9">
        <w:rPr>
          <w:rFonts w:eastAsia="Calibri"/>
          <w:lang w:eastAsia="en-US"/>
        </w:rPr>
        <w:t>echnology</w:t>
      </w:r>
      <w:r w:rsidR="00A6686F" w:rsidRPr="00C90AC9">
        <w:rPr>
          <w:rFonts w:eastAsia="Calibri"/>
          <w:lang w:eastAsia="en-US"/>
        </w:rPr>
        <w:t xml:space="preserve"> </w:t>
      </w:r>
      <w:r w:rsidR="00A6686F" w:rsidRPr="00C90AC9">
        <w:rPr>
          <w:rFonts w:eastAsia="Calibri"/>
          <w:lang w:eastAsia="en-US"/>
        </w:rPr>
        <w:fldChar w:fldCharType="begin"/>
      </w:r>
      <w:r w:rsidR="00A6686F" w:rsidRPr="00C90AC9">
        <w:rPr>
          <w:rFonts w:eastAsia="Calibri"/>
          <w:lang w:eastAsia="en-US"/>
        </w:rPr>
        <w:instrText xml:space="preserve"> ADDIN EN.CITE &lt;EndNote&gt;&lt;Cite&gt;&lt;Author&gt;Baskaran&lt;/Author&gt;&lt;Year&gt;2013&lt;/Year&gt;&lt;RecNum&gt;118&lt;/RecNum&gt;&lt;DisplayText&gt;(Baskaran &amp;amp; Bendig, 2013)&lt;/DisplayText&gt;&lt;record&gt;&lt;rec-number&gt;118&lt;/rec-number&gt;&lt;foreign-keys&gt;&lt;key app="EN" db-id="50wxdpzd9vd5r7e9t5b595djrfpttrxw9avp" timestamp="1525076334"&gt;118&lt;/key&gt;&lt;/foreign-keys&gt;&lt;ref-type name="Journal Article"&gt;17&lt;/ref-type&gt;&lt;contributors&gt;&lt;authors&gt;&lt;author&gt;Baskaran, R., S. Managi,&lt;/author&gt;&lt;author&gt;M. Bendig&lt;/author&gt;&lt;/authors&gt;&lt;/contributors&gt;&lt;titles&gt;&lt;title&gt;A public perspective on the adoption of microgeneration technologies in New Zealand: A multivariate probit approach&lt;/title&gt;&lt;secondary-title&gt;Energy Policy&lt;/secondary-title&gt;&lt;short-title&gt;Baskaran, R., S. Managi, and M. Bendig 2013 – A public perspective&lt;/short-title&gt;&lt;/titles&gt;&lt;pages&gt;p. 177-188&lt;/pages&gt;&lt;volume&gt;58&lt;/volume&gt;&lt;dates&gt;&lt;year&gt;2013&lt;/year&gt;&lt;/dates&gt;&lt;urls&gt;&lt;/urls&gt;&lt;/record&gt;&lt;/Cite&gt;&lt;/EndNote&gt;</w:instrText>
      </w:r>
      <w:r w:rsidR="00A6686F" w:rsidRPr="00C90AC9">
        <w:rPr>
          <w:rFonts w:eastAsia="Calibri"/>
          <w:lang w:eastAsia="en-US"/>
        </w:rPr>
        <w:fldChar w:fldCharType="separate"/>
      </w:r>
      <w:r w:rsidR="00A6686F" w:rsidRPr="00C90AC9">
        <w:rPr>
          <w:rFonts w:eastAsia="Calibri"/>
          <w:lang w:eastAsia="en-US"/>
        </w:rPr>
        <w:t>(Baskaran &amp; Bendig, 2013)</w:t>
      </w:r>
      <w:r w:rsidR="00A6686F" w:rsidRPr="00C90AC9">
        <w:rPr>
          <w:rFonts w:eastAsia="Calibri"/>
          <w:lang w:eastAsia="en-US"/>
        </w:rPr>
        <w:fldChar w:fldCharType="end"/>
      </w:r>
      <w:r w:rsidRPr="00C90AC9">
        <w:rPr>
          <w:rFonts w:eastAsia="Calibri"/>
          <w:lang w:eastAsia="en-US"/>
        </w:rPr>
        <w:t xml:space="preserve">. The study by Baskaran highlighted the need for public and private sector initiatives to be employed when trying to promote adoption of micro-generation technologies </w:t>
      </w:r>
      <w:r w:rsidR="00783D58" w:rsidRPr="00C90AC9">
        <w:rPr>
          <w:rFonts w:eastAsia="Calibri"/>
          <w:lang w:eastAsia="en-US"/>
        </w:rPr>
        <w:fldChar w:fldCharType="begin"/>
      </w:r>
      <w:r w:rsidR="00783D58" w:rsidRPr="00C90AC9">
        <w:rPr>
          <w:rFonts w:eastAsia="Calibri"/>
          <w:lang w:eastAsia="en-US"/>
        </w:rPr>
        <w:instrText xml:space="preserve"> ADDIN EN.CITE &lt;EndNote&gt;&lt;Cite&gt;&lt;Author&gt;Baskaran&lt;/Author&gt;&lt;Year&gt;2013&lt;/Year&gt;&lt;RecNum&gt;118&lt;/RecNum&gt;&lt;DisplayText&gt;(Baskaran &amp;amp; Bendig, 2013)&lt;/DisplayText&gt;&lt;record&gt;&lt;rec-number&gt;118&lt;/rec-number&gt;&lt;foreign-keys&gt;&lt;key app="EN" db-id="50wxdpzd9vd5r7e9t5b595djrfpttrxw9avp" timestamp="1525076334"&gt;118&lt;/key&gt;&lt;/foreign-keys&gt;&lt;ref-type name="Journal Article"&gt;17&lt;/ref-type&gt;&lt;contributors&gt;&lt;authors&gt;&lt;author&gt;Baskaran, R., S. Managi,&lt;/author&gt;&lt;author&gt;M. Bendig&lt;/author&gt;&lt;/authors&gt;&lt;/contributors&gt;&lt;titles&gt;&lt;title&gt;A public perspective on the adoption of microgeneration technologies in New Zealand: A multivariate probit approach&lt;/title&gt;&lt;secondary-title&gt;Energy Policy&lt;/secondary-title&gt;&lt;short-title&gt;Baskaran, R., S. Managi, and M. Bendig 2013 – A public perspective&lt;/short-title&gt;&lt;/titles&gt;&lt;pages&gt;p. 177-188&lt;/pages&gt;&lt;volume&gt;58&lt;/volume&gt;&lt;dates&gt;&lt;year&gt;2013&lt;/year&gt;&lt;/dates&gt;&lt;urls&gt;&lt;/urls&gt;&lt;/record&gt;&lt;/Cite&gt;&lt;/EndNote&gt;</w:instrText>
      </w:r>
      <w:r w:rsidR="00783D58" w:rsidRPr="00C90AC9">
        <w:rPr>
          <w:rFonts w:eastAsia="Calibri"/>
          <w:lang w:eastAsia="en-US"/>
        </w:rPr>
        <w:fldChar w:fldCharType="separate"/>
      </w:r>
      <w:r w:rsidR="00783D58" w:rsidRPr="00C90AC9">
        <w:rPr>
          <w:rFonts w:eastAsia="Calibri"/>
          <w:lang w:eastAsia="en-US"/>
        </w:rPr>
        <w:t>(Baskaran &amp; Bendig, 2013)</w:t>
      </w:r>
      <w:r w:rsidR="00783D58" w:rsidRPr="00C90AC9">
        <w:rPr>
          <w:rFonts w:eastAsia="Calibri"/>
          <w:lang w:eastAsia="en-US"/>
        </w:rPr>
        <w:fldChar w:fldCharType="end"/>
      </w:r>
      <w:r w:rsidR="00783D58" w:rsidRPr="00C90AC9">
        <w:rPr>
          <w:rFonts w:eastAsia="Calibri"/>
          <w:lang w:eastAsia="en-US"/>
        </w:rPr>
        <w:t>.</w:t>
      </w:r>
    </w:p>
    <w:p w:rsidR="00A16B8C" w:rsidRPr="00C90AC9" w:rsidRDefault="002F1CC1" w:rsidP="002F1CC1">
      <w:pPr>
        <w:pStyle w:val="BodyText"/>
        <w:spacing w:line="360" w:lineRule="auto"/>
        <w:rPr>
          <w:rFonts w:eastAsia="Calibri"/>
          <w:lang w:eastAsia="en-US"/>
        </w:rPr>
      </w:pPr>
      <w:r w:rsidRPr="00C90AC9">
        <w:rPr>
          <w:rFonts w:eastAsia="Calibri"/>
          <w:lang w:eastAsia="en-US"/>
        </w:rPr>
        <w:t>P</w:t>
      </w:r>
      <w:r w:rsidR="00A16B8C" w:rsidRPr="00C90AC9">
        <w:rPr>
          <w:rFonts w:eastAsia="Calibri"/>
          <w:lang w:eastAsia="en-US"/>
        </w:rPr>
        <w:t>otential benefit</w:t>
      </w:r>
      <w:r w:rsidRPr="00C90AC9">
        <w:rPr>
          <w:rFonts w:eastAsia="Calibri"/>
          <w:lang w:eastAsia="en-US"/>
        </w:rPr>
        <w:t>s</w:t>
      </w:r>
      <w:r w:rsidR="00A16B8C" w:rsidRPr="00C90AC9">
        <w:rPr>
          <w:rFonts w:eastAsia="Calibri"/>
          <w:lang w:eastAsia="en-US"/>
        </w:rPr>
        <w:t xml:space="preserve"> of understanding consumer opinions of </w:t>
      </w:r>
      <w:r w:rsidR="006518C0" w:rsidRPr="00C90AC9">
        <w:rPr>
          <w:rFonts w:eastAsia="Calibri"/>
          <w:lang w:eastAsia="en-US"/>
        </w:rPr>
        <w:t>STPs</w:t>
      </w:r>
      <w:r w:rsidR="00A16B8C" w:rsidRPr="00C90AC9">
        <w:rPr>
          <w:rFonts w:eastAsia="Calibri"/>
          <w:lang w:eastAsia="en-US"/>
        </w:rPr>
        <w:t xml:space="preserve"> </w:t>
      </w:r>
      <w:r w:rsidR="009F5AD8" w:rsidRPr="00C90AC9">
        <w:rPr>
          <w:rFonts w:eastAsia="Calibri"/>
          <w:lang w:eastAsia="en-US"/>
        </w:rPr>
        <w:t>are derived</w:t>
      </w:r>
      <w:r w:rsidRPr="00C90AC9">
        <w:rPr>
          <w:rFonts w:eastAsia="Calibri"/>
          <w:lang w:eastAsia="en-US"/>
        </w:rPr>
        <w:t xml:space="preserve"> from understanding the process </w:t>
      </w:r>
      <w:r w:rsidR="00A16B8C" w:rsidRPr="00C90AC9">
        <w:rPr>
          <w:rFonts w:eastAsia="Calibri"/>
          <w:lang w:eastAsia="en-US"/>
        </w:rPr>
        <w:t>by which consumers arrive at their final decision about whether to purchase a STP or</w:t>
      </w:r>
      <w:r w:rsidRPr="00C90AC9">
        <w:rPr>
          <w:rFonts w:eastAsia="Calibri"/>
          <w:lang w:eastAsia="en-US"/>
        </w:rPr>
        <w:t xml:space="preserve"> not</w:t>
      </w:r>
      <w:r w:rsidR="00A16B8C" w:rsidRPr="00C90AC9">
        <w:rPr>
          <w:rFonts w:eastAsia="Calibri"/>
          <w:lang w:eastAsia="en-US"/>
        </w:rPr>
        <w:t xml:space="preserve">. </w:t>
      </w:r>
      <w:r w:rsidRPr="00C90AC9">
        <w:rPr>
          <w:rFonts w:eastAsia="Calibri"/>
          <w:lang w:eastAsia="en-US"/>
        </w:rPr>
        <w:t xml:space="preserve">Understanding the decision making process </w:t>
      </w:r>
      <w:r w:rsidR="00A16B8C" w:rsidRPr="00C90AC9">
        <w:rPr>
          <w:rFonts w:eastAsia="Calibri"/>
          <w:lang w:eastAsia="en-US"/>
        </w:rPr>
        <w:t xml:space="preserve">that consumers go through </w:t>
      </w:r>
      <w:r w:rsidRPr="00C90AC9">
        <w:rPr>
          <w:rFonts w:eastAsia="Calibri"/>
          <w:lang w:eastAsia="en-US"/>
        </w:rPr>
        <w:t xml:space="preserve">when deciding whether to adopt and STP </w:t>
      </w:r>
      <w:r w:rsidR="00A16B8C" w:rsidRPr="00C90AC9">
        <w:rPr>
          <w:rFonts w:eastAsia="Calibri"/>
          <w:lang w:eastAsia="en-US"/>
        </w:rPr>
        <w:t>could potentially lead to</w:t>
      </w:r>
      <w:r w:rsidR="009F5AD8" w:rsidRPr="00C90AC9">
        <w:rPr>
          <w:rFonts w:eastAsia="Calibri"/>
          <w:lang w:eastAsia="en-US"/>
        </w:rPr>
        <w:t>:</w:t>
      </w:r>
      <w:r w:rsidRPr="00C90AC9">
        <w:rPr>
          <w:rFonts w:eastAsia="Calibri"/>
          <w:lang w:eastAsia="en-US"/>
        </w:rPr>
        <w:t xml:space="preserve"> improved </w:t>
      </w:r>
      <w:r w:rsidR="00A16B8C" w:rsidRPr="00C90AC9">
        <w:rPr>
          <w:rFonts w:eastAsia="Calibri"/>
          <w:lang w:eastAsia="en-US"/>
        </w:rPr>
        <w:t>policies</w:t>
      </w:r>
      <w:r w:rsidRPr="00C90AC9">
        <w:rPr>
          <w:rFonts w:eastAsia="Calibri"/>
          <w:lang w:eastAsia="en-US"/>
        </w:rPr>
        <w:t xml:space="preserve"> affecting STPs</w:t>
      </w:r>
      <w:r w:rsidR="009F5AD8" w:rsidRPr="00C90AC9">
        <w:rPr>
          <w:rFonts w:eastAsia="Calibri"/>
          <w:lang w:eastAsia="en-US"/>
        </w:rPr>
        <w:t>;</w:t>
      </w:r>
      <w:r w:rsidR="00A16B8C" w:rsidRPr="00C90AC9">
        <w:rPr>
          <w:rFonts w:eastAsia="Calibri"/>
          <w:lang w:eastAsia="en-US"/>
        </w:rPr>
        <w:t xml:space="preserve"> </w:t>
      </w:r>
      <w:r w:rsidRPr="00C90AC9">
        <w:rPr>
          <w:rFonts w:eastAsia="Calibri"/>
          <w:lang w:eastAsia="en-US"/>
        </w:rPr>
        <w:t xml:space="preserve">improving the </w:t>
      </w:r>
      <w:r w:rsidR="00A16B8C" w:rsidRPr="00C90AC9">
        <w:rPr>
          <w:rFonts w:eastAsia="Calibri"/>
          <w:lang w:eastAsia="en-US"/>
        </w:rPr>
        <w:t>information and advice</w:t>
      </w:r>
      <w:r w:rsidRPr="00C90AC9">
        <w:rPr>
          <w:rFonts w:eastAsia="Calibri"/>
          <w:lang w:eastAsia="en-US"/>
        </w:rPr>
        <w:t xml:space="preserve"> about </w:t>
      </w:r>
      <w:r w:rsidR="00A16B8C" w:rsidRPr="00C90AC9">
        <w:rPr>
          <w:rFonts w:eastAsia="Calibri"/>
          <w:lang w:eastAsia="en-US"/>
        </w:rPr>
        <w:t>STP</w:t>
      </w:r>
      <w:r w:rsidRPr="00C90AC9">
        <w:rPr>
          <w:rFonts w:eastAsia="Calibri"/>
          <w:lang w:eastAsia="en-US"/>
        </w:rPr>
        <w:t>s which consumers access to inform their decisions</w:t>
      </w:r>
      <w:r w:rsidR="009F5AD8" w:rsidRPr="00C90AC9">
        <w:rPr>
          <w:rFonts w:eastAsia="Calibri"/>
          <w:lang w:eastAsia="en-US"/>
        </w:rPr>
        <w:t>;</w:t>
      </w:r>
      <w:r w:rsidRPr="00C90AC9">
        <w:rPr>
          <w:rFonts w:eastAsia="Calibri"/>
          <w:lang w:eastAsia="en-US"/>
        </w:rPr>
        <w:t xml:space="preserve"> as well as improving the STP</w:t>
      </w:r>
      <w:r w:rsidR="00A16B8C" w:rsidRPr="00C90AC9">
        <w:rPr>
          <w:rFonts w:eastAsia="Calibri"/>
          <w:lang w:eastAsia="en-US"/>
        </w:rPr>
        <w:t xml:space="preserve"> market</w:t>
      </w:r>
      <w:r w:rsidRPr="00C90AC9">
        <w:rPr>
          <w:rFonts w:eastAsia="Calibri"/>
          <w:lang w:eastAsia="en-US"/>
        </w:rPr>
        <w:t xml:space="preserve"> by providing manufacturers with a clearer understanding of their potential customers</w:t>
      </w:r>
      <w:r w:rsidR="009F5AD8" w:rsidRPr="00C90AC9">
        <w:rPr>
          <w:rFonts w:eastAsia="Calibri"/>
          <w:lang w:eastAsia="en-US"/>
        </w:rPr>
        <w:t xml:space="preserve"> </w:t>
      </w:r>
      <w:r w:rsidR="00ED6B26" w:rsidRPr="00C90AC9">
        <w:rPr>
          <w:rFonts w:eastAsia="Calibri"/>
          <w:lang w:eastAsia="en-US"/>
        </w:rPr>
        <w:fldChar w:fldCharType="begin"/>
      </w:r>
      <w:r w:rsidR="00ED6B26" w:rsidRPr="00C90AC9">
        <w:rPr>
          <w:rFonts w:eastAsia="Calibri"/>
          <w:lang w:eastAsia="en-US"/>
        </w:rPr>
        <w:instrText xml:space="preserve"> ADDIN EN.CITE &lt;EndNote&gt;&lt;Cite&gt;&lt;Author&gt;Baskaran&lt;/Author&gt;&lt;Year&gt;2013&lt;/Year&gt;&lt;RecNum&gt;118&lt;/RecNum&gt;&lt;DisplayText&gt;(Baskaran &amp;amp; Bendig, 2013)&lt;/DisplayText&gt;&lt;record&gt;&lt;rec-number&gt;118&lt;/rec-number&gt;&lt;foreign-keys&gt;&lt;key app="EN" db-id="50wxdpzd9vd5r7e9t5b595djrfpttrxw9avp" timestamp="1525076334"&gt;118&lt;/key&gt;&lt;/foreign-keys&gt;&lt;ref-type name="Journal Article"&gt;17&lt;/ref-type&gt;&lt;contributors&gt;&lt;authors&gt;&lt;author&gt;Baskaran, R., S. Managi,&lt;/author&gt;&lt;author&gt;M. Bendig&lt;/author&gt;&lt;/authors&gt;&lt;/contributors&gt;&lt;titles&gt;&lt;title&gt;A public perspective on the adoption of microgeneration technologies in New Zealand: A multivariate probit approach&lt;/title&gt;&lt;secondary-title&gt;Energy Policy&lt;/secondary-title&gt;&lt;short-title&gt;Baskaran, R., S. Managi, and M. Bendig 2013 – A public perspective&lt;/short-title&gt;&lt;/titles&gt;&lt;pages&gt;p. 177-188&lt;/pages&gt;&lt;volume&gt;58&lt;/volume&gt;&lt;dates&gt;&lt;year&gt;2013&lt;/year&gt;&lt;/dates&gt;&lt;urls&gt;&lt;/urls&gt;&lt;/record&gt;&lt;/Cite&gt;&lt;/EndNote&gt;</w:instrText>
      </w:r>
      <w:r w:rsidR="00ED6B26" w:rsidRPr="00C90AC9">
        <w:rPr>
          <w:rFonts w:eastAsia="Calibri"/>
          <w:lang w:eastAsia="en-US"/>
        </w:rPr>
        <w:fldChar w:fldCharType="separate"/>
      </w:r>
      <w:r w:rsidR="00ED6B26" w:rsidRPr="00C90AC9">
        <w:rPr>
          <w:rFonts w:eastAsia="Calibri"/>
          <w:lang w:eastAsia="en-US"/>
        </w:rPr>
        <w:t>(Baskaran &amp; Bendig, 2013)</w:t>
      </w:r>
      <w:r w:rsidR="00ED6B26" w:rsidRPr="00C90AC9">
        <w:rPr>
          <w:rFonts w:eastAsia="Calibri"/>
          <w:lang w:eastAsia="en-US"/>
        </w:rPr>
        <w:fldChar w:fldCharType="end"/>
      </w:r>
      <w:r w:rsidRPr="00C90AC9">
        <w:rPr>
          <w:rFonts w:eastAsia="Calibri"/>
          <w:lang w:eastAsia="en-US"/>
        </w:rPr>
        <w:t>. These benefits will ultimately encourage</w:t>
      </w:r>
      <w:r w:rsidR="00A16B8C" w:rsidRPr="00C90AC9">
        <w:rPr>
          <w:rFonts w:eastAsia="Calibri"/>
          <w:lang w:eastAsia="en-US"/>
        </w:rPr>
        <w:t xml:space="preserve"> </w:t>
      </w:r>
      <w:r w:rsidR="00ED6B26" w:rsidRPr="00C90AC9">
        <w:rPr>
          <w:rFonts w:eastAsia="Calibri"/>
          <w:lang w:eastAsia="en-US"/>
        </w:rPr>
        <w:t>STPs</w:t>
      </w:r>
      <w:r w:rsidR="00A16B8C" w:rsidRPr="00C90AC9">
        <w:rPr>
          <w:rFonts w:eastAsia="Calibri"/>
          <w:lang w:eastAsia="en-US"/>
        </w:rPr>
        <w:t xml:space="preserve"> </w:t>
      </w:r>
      <w:r w:rsidRPr="00C90AC9">
        <w:rPr>
          <w:rFonts w:eastAsia="Calibri"/>
          <w:lang w:eastAsia="en-US"/>
        </w:rPr>
        <w:t xml:space="preserve">to be </w:t>
      </w:r>
      <w:r w:rsidR="00A16B8C" w:rsidRPr="00C90AC9">
        <w:rPr>
          <w:rFonts w:eastAsia="Calibri"/>
          <w:lang w:eastAsia="en-US"/>
        </w:rPr>
        <w:t xml:space="preserve">more widely adopted than </w:t>
      </w:r>
      <w:r w:rsidRPr="00C90AC9">
        <w:rPr>
          <w:rFonts w:eastAsia="Calibri"/>
          <w:lang w:eastAsia="en-US"/>
        </w:rPr>
        <w:t xml:space="preserve">it </w:t>
      </w:r>
      <w:r w:rsidR="00A16B8C" w:rsidRPr="00C90AC9">
        <w:rPr>
          <w:rFonts w:eastAsia="Calibri"/>
          <w:lang w:eastAsia="en-US"/>
        </w:rPr>
        <w:t>currently is in the UK</w:t>
      </w:r>
      <w:r w:rsidR="00A6686F" w:rsidRPr="00C90AC9">
        <w:rPr>
          <w:rFonts w:eastAsia="Calibri"/>
          <w:lang w:eastAsia="en-US"/>
        </w:rPr>
        <w:t xml:space="preserve"> </w:t>
      </w:r>
      <w:r w:rsidRPr="00C90AC9">
        <w:rPr>
          <w:rFonts w:eastAsia="Calibri"/>
          <w:lang w:eastAsia="en-US"/>
        </w:rPr>
        <w:fldChar w:fldCharType="begin"/>
      </w:r>
      <w:r w:rsidRPr="00C90AC9">
        <w:rPr>
          <w:rFonts w:eastAsia="Calibri"/>
          <w:lang w:eastAsia="en-US"/>
        </w:rPr>
        <w:instrText xml:space="preserve"> ADDIN EN.CITE &lt;EndNote&gt;&lt;Cite&gt;&lt;Author&gt;Abras&lt;/Author&gt;&lt;Year&gt;2004&lt;/Year&gt;&lt;RecNum&gt;110&lt;/RecNum&gt;&lt;DisplayText&gt;(Abras &amp;amp; Preece, 2004)&lt;/DisplayText&gt;&lt;record&gt;&lt;rec-number&gt;110&lt;/rec-number&gt;&lt;foreign-keys&gt;&lt;key app="EN" db-id="50wxdpzd9vd5r7e9t5b595djrfpttrxw9avp" timestamp="1525076334"&gt;110&lt;/key&gt;&lt;/foreign-keys&gt;&lt;ref-type name="Book"&gt;6&lt;/ref-type&gt;&lt;contributors&gt;&lt;authors&gt;&lt;author&gt;Abras, C., D. Maloney-Krichmar,&lt;/author&gt;&lt;author&gt;J. Preece&lt;/author&gt;&lt;/authors&gt;&lt;/contributors&gt;&lt;titles&gt;&lt;title&gt;User-centered design&lt;/title&gt;&lt;short-title&gt;Abras, C., D. Maloney-Krichmar, and J. Preece 2004 – User-centered design&lt;/short-title&gt;&lt;/titles&gt;&lt;num-vols&gt;37&lt;/num-vols&gt;&lt;edition&gt;4&lt;/edition&gt;&lt;dates&gt;&lt;year&gt;2004&lt;/year&gt;&lt;/dates&gt;&lt;publisher&gt;Thousand Oaks: Sage Publications&lt;/publisher&gt;&lt;urls&gt;&lt;/urls&gt;&lt;/record&gt;&lt;/Cite&gt;&lt;/EndNote&gt;</w:instrText>
      </w:r>
      <w:r w:rsidRPr="00C90AC9">
        <w:rPr>
          <w:rFonts w:eastAsia="Calibri"/>
          <w:lang w:eastAsia="en-US"/>
        </w:rPr>
        <w:fldChar w:fldCharType="separate"/>
      </w:r>
      <w:r w:rsidRPr="00C90AC9">
        <w:rPr>
          <w:rFonts w:eastAsia="Calibri"/>
          <w:lang w:eastAsia="en-US"/>
        </w:rPr>
        <w:t>(Abras &amp; Preece, 2004)</w:t>
      </w:r>
      <w:r w:rsidRPr="00C90AC9">
        <w:rPr>
          <w:rFonts w:eastAsia="Calibri"/>
          <w:lang w:eastAsia="en-US"/>
        </w:rPr>
        <w:fldChar w:fldCharType="end"/>
      </w:r>
      <w:r w:rsidR="00A16B8C" w:rsidRPr="00C90AC9">
        <w:rPr>
          <w:rFonts w:eastAsia="Calibri"/>
          <w:lang w:eastAsia="en-US"/>
        </w:rPr>
        <w:t xml:space="preserve">. </w:t>
      </w:r>
      <w:r w:rsidRPr="00C90AC9">
        <w:rPr>
          <w:rFonts w:eastAsia="Calibri"/>
          <w:lang w:eastAsia="en-US"/>
        </w:rPr>
        <w:t>By considering</w:t>
      </w:r>
      <w:r w:rsidR="00A16B8C" w:rsidRPr="00C90AC9">
        <w:rPr>
          <w:rFonts w:eastAsia="Calibri"/>
          <w:lang w:eastAsia="en-US"/>
        </w:rPr>
        <w:t xml:space="preserve"> </w:t>
      </w:r>
      <w:r w:rsidR="00A6686F" w:rsidRPr="00C90AC9">
        <w:rPr>
          <w:rFonts w:eastAsia="Calibri"/>
          <w:lang w:eastAsia="en-US"/>
        </w:rPr>
        <w:t xml:space="preserve">the opinions of end users </w:t>
      </w:r>
      <w:r w:rsidR="00A16B8C" w:rsidRPr="00C90AC9">
        <w:rPr>
          <w:rFonts w:eastAsia="Calibri"/>
          <w:lang w:eastAsia="en-US"/>
        </w:rPr>
        <w:t xml:space="preserve">at the design stage (in this case the residents of the potential properties which would have a more efficient </w:t>
      </w:r>
      <w:r w:rsidR="006518C0" w:rsidRPr="00C90AC9">
        <w:rPr>
          <w:rFonts w:eastAsia="Calibri"/>
          <w:lang w:eastAsia="en-US"/>
        </w:rPr>
        <w:t>STPs</w:t>
      </w:r>
      <w:r w:rsidR="00A6686F" w:rsidRPr="00C90AC9">
        <w:rPr>
          <w:rFonts w:eastAsia="Calibri"/>
          <w:lang w:eastAsia="en-US"/>
        </w:rPr>
        <w:t xml:space="preserve"> system) </w:t>
      </w:r>
      <w:r w:rsidR="00A16B8C" w:rsidRPr="00C90AC9">
        <w:rPr>
          <w:rFonts w:eastAsia="Calibri"/>
          <w:lang w:eastAsia="en-US"/>
        </w:rPr>
        <w:t>is termed User-Centred Design (USD)</w:t>
      </w:r>
      <w:r w:rsidR="00A16B8C" w:rsidRPr="00C90AC9">
        <w:rPr>
          <w:rFonts w:eastAsia="Calibri"/>
          <w:i/>
          <w:lang w:eastAsia="en-US"/>
        </w:rPr>
        <w:t xml:space="preserve"> </w:t>
      </w:r>
      <w:r w:rsidR="00783D58" w:rsidRPr="00C90AC9">
        <w:rPr>
          <w:rFonts w:eastAsia="Calibri"/>
          <w:lang w:eastAsia="en-US"/>
        </w:rPr>
        <w:fldChar w:fldCharType="begin"/>
      </w:r>
      <w:r w:rsidR="00783D58" w:rsidRPr="00C90AC9">
        <w:rPr>
          <w:rFonts w:eastAsia="Calibri"/>
          <w:lang w:eastAsia="en-US"/>
        </w:rPr>
        <w:instrText xml:space="preserve"> ADDIN EN.CITE &lt;EndNote&gt;&lt;Cite&gt;&lt;Author&gt;Norman&lt;/Author&gt;&lt;Year&gt;1986&lt;/Year&gt;&lt;RecNum&gt;180&lt;/RecNum&gt;&lt;DisplayText&gt;(Norman &amp;amp; Draper, 1986)&lt;/DisplayText&gt;&lt;record&gt;&lt;rec-number&gt;180&lt;/rec-number&gt;&lt;foreign-keys&gt;&lt;key app="EN" db-id="50wxdpzd9vd5r7e9t5b595djrfpttrxw9avp" timestamp="1525076335"&gt;180&lt;/key&gt;&lt;/foreign-keys&gt;&lt;ref-type name="Book"&gt;6&lt;/ref-type&gt;&lt;contributors&gt;&lt;authors&gt;&lt;author&gt;Norman, D.A.&lt;/author&gt;&lt;author&gt;S.W. Draper&lt;/author&gt;&lt;/authors&gt;&lt;/contributors&gt;&lt;titles&gt;&lt;title&gt;User Centered System Design; New Perspectives on Human-Computer Interaction&lt;/title&gt;&lt;short-title&gt;Norman, D.A. and S.W. Draper 1986 – User Centered System Design&lt;/short-title&gt;&lt;/titles&gt;&lt;num-vols&gt;526&lt;/num-vols&gt;&lt;dates&gt;&lt;year&gt;1986&lt;/year&gt;&lt;/dates&gt;&lt;urls&gt;&lt;/urls&gt;&lt;/record&gt;&lt;/Cite&gt;&lt;/EndNote&gt;</w:instrText>
      </w:r>
      <w:r w:rsidR="00783D58" w:rsidRPr="00C90AC9">
        <w:rPr>
          <w:rFonts w:eastAsia="Calibri"/>
          <w:lang w:eastAsia="en-US"/>
        </w:rPr>
        <w:fldChar w:fldCharType="separate"/>
      </w:r>
      <w:r w:rsidR="00783D58" w:rsidRPr="00C90AC9">
        <w:rPr>
          <w:rFonts w:eastAsia="Calibri"/>
          <w:lang w:eastAsia="en-US"/>
        </w:rPr>
        <w:t>(Norman &amp; Draper, 1986)</w:t>
      </w:r>
      <w:r w:rsidR="00783D58" w:rsidRPr="00C90AC9">
        <w:rPr>
          <w:rFonts w:eastAsia="Calibri"/>
          <w:lang w:eastAsia="en-US"/>
        </w:rPr>
        <w:fldChar w:fldCharType="end"/>
      </w:r>
      <w:r w:rsidR="00783D58" w:rsidRPr="00C90AC9">
        <w:rPr>
          <w:rFonts w:eastAsia="Calibri"/>
          <w:lang w:eastAsia="en-US"/>
        </w:rPr>
        <w:t>.</w:t>
      </w:r>
      <w:r w:rsidR="00A16B8C" w:rsidRPr="00C90AC9">
        <w:rPr>
          <w:rFonts w:eastAsia="Calibri"/>
          <w:lang w:eastAsia="en-US"/>
        </w:rPr>
        <w:t xml:space="preserve"> The work by Norman and Draper </w:t>
      </w:r>
      <w:r w:rsidR="00251467" w:rsidRPr="00C90AC9">
        <w:rPr>
          <w:rFonts w:eastAsia="Calibri"/>
          <w:lang w:eastAsia="en-US"/>
        </w:rPr>
        <w:t xml:space="preserve">in </w:t>
      </w:r>
      <w:r w:rsidR="00A16B8C" w:rsidRPr="00C90AC9">
        <w:rPr>
          <w:rFonts w:eastAsia="Calibri"/>
          <w:lang w:eastAsia="en-US"/>
        </w:rPr>
        <w:t xml:space="preserve">1986 centred on the needs and interests of users of computers </w:t>
      </w:r>
      <w:r w:rsidR="00783D58" w:rsidRPr="00C90AC9">
        <w:rPr>
          <w:rFonts w:eastAsia="Calibri"/>
          <w:lang w:eastAsia="en-US"/>
        </w:rPr>
        <w:fldChar w:fldCharType="begin"/>
      </w:r>
      <w:r w:rsidR="00783D58" w:rsidRPr="00C90AC9">
        <w:rPr>
          <w:rFonts w:eastAsia="Calibri"/>
          <w:lang w:eastAsia="en-US"/>
        </w:rPr>
        <w:instrText xml:space="preserve"> ADDIN EN.CITE &lt;EndNote&gt;&lt;Cite&gt;&lt;Author&gt;Norman&lt;/Author&gt;&lt;Year&gt;1986&lt;/Year&gt;&lt;RecNum&gt;180&lt;/RecNum&gt;&lt;DisplayText&gt;(Norman &amp;amp; Draper, 1986)&lt;/DisplayText&gt;&lt;record&gt;&lt;rec-number&gt;180&lt;/rec-number&gt;&lt;foreign-keys&gt;&lt;key app="EN" db-id="50wxdpzd9vd5r7e9t5b595djrfpttrxw9avp" timestamp="1525076335"&gt;180&lt;/key&gt;&lt;/foreign-keys&gt;&lt;ref-type name="Book"&gt;6&lt;/ref-type&gt;&lt;contributors&gt;&lt;authors&gt;&lt;author&gt;Norman, D.A.&lt;/author&gt;&lt;author&gt;S.W. Draper&lt;/author&gt;&lt;/authors&gt;&lt;/contributors&gt;&lt;titles&gt;&lt;title&gt;User Centered System Design; New Perspectives on Human-Computer Interaction&lt;/title&gt;&lt;short-title&gt;Norman, D.A. and S.W. Draper 1986 – User Centered System Design&lt;/short-title&gt;&lt;/titles&gt;&lt;num-vols&gt;526&lt;/num-vols&gt;&lt;dates&gt;&lt;year&gt;1986&lt;/year&gt;&lt;/dates&gt;&lt;urls&gt;&lt;/urls&gt;&lt;/record&gt;&lt;/Cite&gt;&lt;/EndNote&gt;</w:instrText>
      </w:r>
      <w:r w:rsidR="00783D58" w:rsidRPr="00C90AC9">
        <w:rPr>
          <w:rFonts w:eastAsia="Calibri"/>
          <w:lang w:eastAsia="en-US"/>
        </w:rPr>
        <w:fldChar w:fldCharType="separate"/>
      </w:r>
      <w:r w:rsidR="00783D58" w:rsidRPr="00C90AC9">
        <w:rPr>
          <w:rFonts w:eastAsia="Calibri"/>
          <w:lang w:eastAsia="en-US"/>
        </w:rPr>
        <w:t xml:space="preserve">(Norman </w:t>
      </w:r>
      <w:r w:rsidR="00783D58" w:rsidRPr="00C90AC9">
        <w:rPr>
          <w:rFonts w:eastAsia="Calibri"/>
          <w:lang w:eastAsia="en-US"/>
        </w:rPr>
        <w:lastRenderedPageBreak/>
        <w:t>&amp; Draper, 1986)</w:t>
      </w:r>
      <w:r w:rsidR="00783D58" w:rsidRPr="00C90AC9">
        <w:rPr>
          <w:rFonts w:eastAsia="Calibri"/>
          <w:lang w:eastAsia="en-US"/>
        </w:rPr>
        <w:fldChar w:fldCharType="end"/>
      </w:r>
      <w:r w:rsidR="00A16B8C" w:rsidRPr="00C90AC9">
        <w:rPr>
          <w:rFonts w:eastAsia="Calibri"/>
          <w:lang w:eastAsia="en-US"/>
        </w:rPr>
        <w:t>.</w:t>
      </w:r>
      <w:r w:rsidR="00B662A5" w:rsidRPr="00C90AC9">
        <w:rPr>
          <w:rFonts w:eastAsia="Calibri"/>
          <w:lang w:eastAsia="en-US"/>
        </w:rPr>
        <w:t xml:space="preserve"> </w:t>
      </w:r>
      <w:r w:rsidR="00A16B8C" w:rsidRPr="00C90AC9">
        <w:rPr>
          <w:rFonts w:eastAsia="Calibri"/>
          <w:lang w:eastAsia="en-US"/>
        </w:rPr>
        <w:t xml:space="preserve">The end user is an active participant in the design process of the resulting product </w:t>
      </w:r>
      <w:r w:rsidR="00783D58" w:rsidRPr="00C90AC9">
        <w:rPr>
          <w:rFonts w:eastAsia="Calibri"/>
          <w:lang w:eastAsia="en-US"/>
        </w:rPr>
        <w:fldChar w:fldCharType="begin"/>
      </w:r>
      <w:r w:rsidR="00783D58" w:rsidRPr="00C90AC9">
        <w:rPr>
          <w:rFonts w:eastAsia="Calibri"/>
          <w:lang w:eastAsia="en-US"/>
        </w:rPr>
        <w:instrText xml:space="preserve"> ADDIN EN.CITE &lt;EndNote&gt;&lt;Cite&gt;&lt;Author&gt;Monk&lt;/Author&gt;&lt;Year&gt;2000&lt;/Year&gt;&lt;RecNum&gt;173&lt;/RecNum&gt;&lt;DisplayText&gt;(Monk, 2000)&lt;/DisplayText&gt;&lt;record&gt;&lt;rec-number&gt;173&lt;/rec-number&gt;&lt;foreign-keys&gt;&lt;key app="EN" db-id="50wxdpzd9vd5r7e9t5b595djrfpttrxw9avp" timestamp="1525076335"&gt;173&lt;/key&gt;&lt;/foreign-keys&gt;&lt;ref-type name="Journal Article"&gt;17&lt;/ref-type&gt;&lt;contributors&gt;&lt;authors&gt;&lt;author&gt;Monk, A.&lt;/author&gt;&lt;/authors&gt;&lt;/contributors&gt;&lt;titles&gt;&lt;title&gt;User-centred design, in Home informatics and telematics2000&lt;/title&gt;&lt;secondary-title&gt;Springer&lt;/secondary-title&gt;&lt;short-title&gt;Monk 2000 – User-centred design&lt;/short-title&gt;&lt;/titles&gt;&lt;pages&gt;p. 181-190&lt;/pages&gt;&lt;dates&gt;&lt;year&gt;2000&lt;/year&gt;&lt;/dates&gt;&lt;urls&gt;&lt;/urls&gt;&lt;/record&gt;&lt;/Cite&gt;&lt;/EndNote&gt;</w:instrText>
      </w:r>
      <w:r w:rsidR="00783D58" w:rsidRPr="00C90AC9">
        <w:rPr>
          <w:rFonts w:eastAsia="Calibri"/>
          <w:lang w:eastAsia="en-US"/>
        </w:rPr>
        <w:fldChar w:fldCharType="separate"/>
      </w:r>
      <w:r w:rsidR="00B662A5" w:rsidRPr="00C90AC9">
        <w:rPr>
          <w:rFonts w:eastAsia="Calibri"/>
          <w:lang w:eastAsia="en-US"/>
        </w:rPr>
        <w:fldChar w:fldCharType="begin"/>
      </w:r>
      <w:r w:rsidR="00B662A5" w:rsidRPr="00C90AC9">
        <w:rPr>
          <w:rFonts w:eastAsia="Calibri"/>
          <w:lang w:eastAsia="en-US"/>
        </w:rPr>
        <w:instrText xml:space="preserve"> ADDIN EN.CITE &lt;EndNote&gt;&lt;Cite&gt;&lt;Author&gt;Norman&lt;/Author&gt;&lt;Year&gt;1986&lt;/Year&gt;&lt;RecNum&gt;180&lt;/RecNum&gt;&lt;DisplayText&gt;(Norman &amp;amp; Draper, 1986)&lt;/DisplayText&gt;&lt;record&gt;&lt;rec-number&gt;180&lt;/rec-number&gt;&lt;foreign-keys&gt;&lt;key app="EN" db-id="50wxdpzd9vd5r7e9t5b595djrfpttrxw9avp" timestamp="1525076335"&gt;180&lt;/key&gt;&lt;/foreign-keys&gt;&lt;ref-type name="Book"&gt;6&lt;/ref-type&gt;&lt;contributors&gt;&lt;authors&gt;&lt;author&gt;Norman, D.A.&lt;/author&gt;&lt;author&gt;S.W. Draper&lt;/author&gt;&lt;/authors&gt;&lt;/contributors&gt;&lt;titles&gt;&lt;title&gt;User Centered System Design; New Perspectives on Human-Computer Interaction&lt;/title&gt;&lt;short-title&gt;Norman, D.A. and S.W. Draper 1986 – User Centered System Design&lt;/short-title&gt;&lt;/titles&gt;&lt;num-vols&gt;526&lt;/num-vols&gt;&lt;dates&gt;&lt;year&gt;1986&lt;/year&gt;&lt;/dates&gt;&lt;urls&gt;&lt;/urls&gt;&lt;/record&gt;&lt;/Cite&gt;&lt;/EndNote&gt;</w:instrText>
      </w:r>
      <w:r w:rsidR="00B662A5" w:rsidRPr="00C90AC9">
        <w:rPr>
          <w:rFonts w:eastAsia="Calibri"/>
          <w:lang w:eastAsia="en-US"/>
        </w:rPr>
        <w:fldChar w:fldCharType="separate"/>
      </w:r>
      <w:r w:rsidR="00B662A5" w:rsidRPr="00C90AC9">
        <w:rPr>
          <w:rFonts w:eastAsia="Calibri"/>
          <w:lang w:eastAsia="en-US"/>
        </w:rPr>
        <w:t>(Norman &amp; Draper, 1986)</w:t>
      </w:r>
      <w:r w:rsidR="00B662A5" w:rsidRPr="00C90AC9">
        <w:rPr>
          <w:rFonts w:eastAsia="Calibri"/>
          <w:lang w:eastAsia="en-US"/>
        </w:rPr>
        <w:fldChar w:fldCharType="end"/>
      </w:r>
      <w:r w:rsidR="00B662A5" w:rsidRPr="00C90AC9">
        <w:rPr>
          <w:rFonts w:eastAsia="Calibri"/>
          <w:lang w:eastAsia="en-US"/>
        </w:rPr>
        <w:t>. (</w:t>
      </w:r>
      <w:r w:rsidR="00783D58" w:rsidRPr="00C90AC9">
        <w:rPr>
          <w:rFonts w:eastAsia="Calibri"/>
          <w:lang w:eastAsia="en-US"/>
        </w:rPr>
        <w:t>Monk, 2000)</w:t>
      </w:r>
      <w:r w:rsidR="00783D58" w:rsidRPr="00C90AC9">
        <w:rPr>
          <w:rFonts w:eastAsia="Calibri"/>
          <w:lang w:eastAsia="en-US"/>
        </w:rPr>
        <w:fldChar w:fldCharType="end"/>
      </w:r>
      <w:r w:rsidR="00A16B8C" w:rsidRPr="00C90AC9">
        <w:rPr>
          <w:rFonts w:eastAsia="Calibri"/>
          <w:lang w:eastAsia="en-US"/>
        </w:rPr>
        <w:t xml:space="preserve">. By understanding the opinions of consumers of </w:t>
      </w:r>
      <w:r w:rsidR="006518C0" w:rsidRPr="00C90AC9">
        <w:rPr>
          <w:rFonts w:eastAsia="Calibri"/>
          <w:lang w:eastAsia="en-US"/>
        </w:rPr>
        <w:t>STPs</w:t>
      </w:r>
      <w:r w:rsidR="00A16B8C" w:rsidRPr="00C90AC9">
        <w:rPr>
          <w:rFonts w:eastAsia="Calibri"/>
          <w:lang w:eastAsia="en-US"/>
        </w:rPr>
        <w:t xml:space="preserve"> in this manner the use, success and resulting design performance is intended to be improved</w:t>
      </w:r>
      <w:r w:rsidR="00A16B8C" w:rsidRPr="00C90AC9">
        <w:rPr>
          <w:rFonts w:eastAsia="Calibri"/>
          <w:sz w:val="22"/>
          <w:lang w:eastAsia="en-US"/>
        </w:rPr>
        <w:t xml:space="preserve"> </w:t>
      </w:r>
      <w:r w:rsidR="00783D58" w:rsidRPr="00C90AC9">
        <w:rPr>
          <w:rFonts w:eastAsia="Calibri"/>
          <w:sz w:val="22"/>
          <w:lang w:eastAsia="en-US"/>
        </w:rPr>
        <w:fldChar w:fldCharType="begin"/>
      </w:r>
      <w:r w:rsidR="00783D58" w:rsidRPr="00C90AC9">
        <w:rPr>
          <w:rFonts w:eastAsia="Calibri"/>
          <w:sz w:val="22"/>
          <w:lang w:eastAsia="en-US"/>
        </w:rPr>
        <w:instrText xml:space="preserve"> ADDIN EN.CITE &lt;EndNote&gt;&lt;Cite&gt;&lt;Author&gt;Monk&lt;/Author&gt;&lt;Year&gt;2000&lt;/Year&gt;&lt;RecNum&gt;173&lt;/RecNum&gt;&lt;DisplayText&gt;(Monk, 2000)&lt;/DisplayText&gt;&lt;record&gt;&lt;rec-number&gt;173&lt;/rec-number&gt;&lt;foreign-keys&gt;&lt;key app="EN" db-id="50wxdpzd9vd5r7e9t5b595djrfpttrxw9avp" timestamp="1525076335"&gt;173&lt;/key&gt;&lt;/foreign-keys&gt;&lt;ref-type name="Journal Article"&gt;17&lt;/ref-type&gt;&lt;contributors&gt;&lt;authors&gt;&lt;author&gt;Monk, A.&lt;/author&gt;&lt;/authors&gt;&lt;/contributors&gt;&lt;titles&gt;&lt;title&gt;User-centred design, in Home informatics and telematics2000&lt;/title&gt;&lt;secondary-title&gt;Springer&lt;/secondary-title&gt;&lt;short-title&gt;Monk 2000 – User-centred design&lt;/short-title&gt;&lt;/titles&gt;&lt;pages&gt;p. 181-190&lt;/pages&gt;&lt;dates&gt;&lt;year&gt;2000&lt;/year&gt;&lt;/dates&gt;&lt;urls&gt;&lt;/urls&gt;&lt;/record&gt;&lt;/Cite&gt;&lt;/EndNote&gt;</w:instrText>
      </w:r>
      <w:r w:rsidR="00783D58" w:rsidRPr="00C90AC9">
        <w:rPr>
          <w:rFonts w:eastAsia="Calibri"/>
          <w:sz w:val="22"/>
          <w:lang w:eastAsia="en-US"/>
        </w:rPr>
        <w:fldChar w:fldCharType="separate"/>
      </w:r>
      <w:r w:rsidR="00783D58" w:rsidRPr="00C90AC9">
        <w:rPr>
          <w:rFonts w:eastAsia="Calibri"/>
          <w:lang w:eastAsia="en-US"/>
        </w:rPr>
        <w:t>(Monk, 2000</w:t>
      </w:r>
      <w:r w:rsidR="00783D58" w:rsidRPr="00C90AC9">
        <w:rPr>
          <w:rFonts w:eastAsia="Calibri"/>
          <w:sz w:val="22"/>
          <w:lang w:eastAsia="en-US"/>
        </w:rPr>
        <w:t>)</w:t>
      </w:r>
      <w:r w:rsidR="00783D58" w:rsidRPr="00C90AC9">
        <w:rPr>
          <w:rFonts w:eastAsia="Calibri"/>
          <w:sz w:val="22"/>
          <w:lang w:eastAsia="en-US"/>
        </w:rPr>
        <w:fldChar w:fldCharType="end"/>
      </w:r>
      <w:r w:rsidR="00783D58" w:rsidRPr="00C90AC9">
        <w:rPr>
          <w:rFonts w:eastAsia="Calibri"/>
          <w:sz w:val="22"/>
          <w:lang w:eastAsia="en-US"/>
        </w:rPr>
        <w:t>.</w:t>
      </w:r>
      <w:sdt>
        <w:sdtPr>
          <w:rPr>
            <w:rFonts w:eastAsia="Calibri"/>
            <w:lang w:eastAsia="en-US"/>
          </w:rPr>
          <w:alias w:val="Don't edit this field"/>
          <w:tag w:val="CitaviPlaceholder#482a195a-973e-47d0-a4eb-2cc3fd0d2f61"/>
          <w:id w:val="-1844002688"/>
          <w:showingPlcHdr/>
        </w:sdtPr>
        <w:sdtEndPr/>
        <w:sdtContent>
          <w:r w:rsidR="00783D58" w:rsidRPr="00C90AC9">
            <w:rPr>
              <w:rFonts w:eastAsia="Calibri"/>
              <w:lang w:eastAsia="en-US"/>
            </w:rPr>
            <w:t xml:space="preserve">     </w:t>
          </w:r>
        </w:sdtContent>
      </w:sdt>
    </w:p>
    <w:p w:rsidR="00A16B8C" w:rsidRPr="00C90AC9" w:rsidRDefault="00A16B8C" w:rsidP="007574AE">
      <w:pPr>
        <w:pStyle w:val="BodyText"/>
        <w:spacing w:line="360" w:lineRule="auto"/>
        <w:rPr>
          <w:rFonts w:eastAsia="Calibri"/>
          <w:lang w:eastAsia="en-US"/>
        </w:rPr>
      </w:pPr>
      <w:proofErr w:type="spellStart"/>
      <w:r w:rsidRPr="00C90AC9">
        <w:rPr>
          <w:rFonts w:eastAsia="Calibri"/>
          <w:lang w:eastAsia="en-US"/>
        </w:rPr>
        <w:t>Abras</w:t>
      </w:r>
      <w:proofErr w:type="spellEnd"/>
      <w:r w:rsidRPr="00C90AC9">
        <w:rPr>
          <w:rFonts w:eastAsia="Calibri"/>
          <w:lang w:eastAsia="en-US"/>
        </w:rPr>
        <w:t xml:space="preserve"> (2004) suggested different methods and techniques to utilise when involving final users during the design of a technolo</w:t>
      </w:r>
      <w:r w:rsidR="00B82BA7" w:rsidRPr="00C90AC9">
        <w:rPr>
          <w:rFonts w:eastAsia="Calibri"/>
          <w:lang w:eastAsia="en-US"/>
        </w:rPr>
        <w:t>gy and are shown in Table 1.3</w:t>
      </w:r>
      <w:r w:rsidR="00783D58" w:rsidRPr="00C90AC9">
        <w:rPr>
          <w:rFonts w:eastAsia="Calibri"/>
          <w:lang w:eastAsia="en-US"/>
        </w:rPr>
        <w:t xml:space="preserve">. </w:t>
      </w:r>
      <w:r w:rsidR="00783D58" w:rsidRPr="00C90AC9">
        <w:rPr>
          <w:rFonts w:eastAsia="Calibri"/>
          <w:lang w:eastAsia="en-US"/>
        </w:rPr>
        <w:fldChar w:fldCharType="begin"/>
      </w:r>
      <w:r w:rsidR="00783D58" w:rsidRPr="00C90AC9">
        <w:rPr>
          <w:rFonts w:eastAsia="Calibri"/>
          <w:lang w:eastAsia="en-US"/>
        </w:rPr>
        <w:instrText xml:space="preserve"> ADDIN EN.CITE &lt;EndNote&gt;&lt;Cite&gt;&lt;Author&gt;Abras&lt;/Author&gt;&lt;Year&gt;2004&lt;/Year&gt;&lt;RecNum&gt;110&lt;/RecNum&gt;&lt;DisplayText&gt;(Abras &amp;amp; Preece, 2004)&lt;/DisplayText&gt;&lt;record&gt;&lt;rec-number&gt;110&lt;/rec-number&gt;&lt;foreign-keys&gt;&lt;key app="EN" db-id="50wxdpzd9vd5r7e9t5b595djrfpttrxw9avp" timestamp="1525076334"&gt;110&lt;/key&gt;&lt;/foreign-keys&gt;&lt;ref-type name="Book"&gt;6&lt;/ref-type&gt;&lt;contributors&gt;&lt;authors&gt;&lt;author&gt;Abras, C., D. Maloney-Krichmar,&lt;/author&gt;&lt;author&gt;J. Preece&lt;/author&gt;&lt;/authors&gt;&lt;/contributors&gt;&lt;titles&gt;&lt;title&gt;User-centered design&lt;/title&gt;&lt;short-title&gt;Abras, C., D. Maloney-Krichmar, and J. Preece 2004 – User-centered design&lt;/short-title&gt;&lt;/titles&gt;&lt;num-vols&gt;37&lt;/num-vols&gt;&lt;edition&gt;4&lt;/edition&gt;&lt;dates&gt;&lt;year&gt;2004&lt;/year&gt;&lt;/dates&gt;&lt;publisher&gt;Thousand Oaks: Sage Publications&lt;/publisher&gt;&lt;urls&gt;&lt;/urls&gt;&lt;/record&gt;&lt;/Cite&gt;&lt;/EndNote&gt;</w:instrText>
      </w:r>
      <w:r w:rsidR="00783D58" w:rsidRPr="00C90AC9">
        <w:rPr>
          <w:rFonts w:eastAsia="Calibri"/>
          <w:lang w:eastAsia="en-US"/>
        </w:rPr>
        <w:fldChar w:fldCharType="separate"/>
      </w:r>
      <w:r w:rsidR="00783D58" w:rsidRPr="00C90AC9">
        <w:rPr>
          <w:rFonts w:eastAsia="Calibri"/>
          <w:lang w:eastAsia="en-US"/>
        </w:rPr>
        <w:t>(Abras &amp; Preece, 2004)</w:t>
      </w:r>
      <w:r w:rsidR="00783D58" w:rsidRPr="00C90AC9">
        <w:rPr>
          <w:rFonts w:eastAsia="Calibri"/>
          <w:lang w:eastAsia="en-US"/>
        </w:rPr>
        <w:fldChar w:fldCharType="end"/>
      </w:r>
      <w:r w:rsidR="00783D58" w:rsidRPr="00C90AC9">
        <w:rPr>
          <w:rFonts w:eastAsia="Calibri"/>
          <w:lang w:eastAsia="en-US"/>
        </w:rPr>
        <w:t>.</w:t>
      </w:r>
      <w:r w:rsidRPr="00C90AC9">
        <w:rPr>
          <w:rFonts w:eastAsia="Calibri"/>
          <w:lang w:eastAsia="en-US"/>
        </w:rPr>
        <w:t xml:space="preserve"> </w:t>
      </w:r>
      <w:r w:rsidR="00ED6B26" w:rsidRPr="00C90AC9">
        <w:rPr>
          <w:rFonts w:eastAsia="Calibri"/>
          <w:lang w:eastAsia="en-US"/>
        </w:rPr>
        <w:t xml:space="preserve">By understanding the </w:t>
      </w:r>
      <w:r w:rsidRPr="00C90AC9">
        <w:rPr>
          <w:rFonts w:eastAsia="Calibri"/>
          <w:lang w:eastAsia="en-US"/>
        </w:rPr>
        <w:t xml:space="preserve">opinions of potential users of the </w:t>
      </w:r>
      <w:r w:rsidR="00ED6B26" w:rsidRPr="00C90AC9">
        <w:rPr>
          <w:rFonts w:eastAsia="Calibri"/>
          <w:lang w:eastAsia="en-US"/>
        </w:rPr>
        <w:t xml:space="preserve">proposed </w:t>
      </w:r>
      <w:r w:rsidRPr="00C90AC9">
        <w:rPr>
          <w:rFonts w:eastAsia="Calibri"/>
          <w:lang w:eastAsia="en-US"/>
        </w:rPr>
        <w:t xml:space="preserve">novel technology and </w:t>
      </w:r>
      <w:r w:rsidR="00ED6B26" w:rsidRPr="00C90AC9">
        <w:rPr>
          <w:rFonts w:eastAsia="Calibri"/>
          <w:lang w:eastAsia="en-US"/>
        </w:rPr>
        <w:t xml:space="preserve">understanding </w:t>
      </w:r>
      <w:r w:rsidRPr="00C90AC9">
        <w:rPr>
          <w:rFonts w:eastAsia="Calibri"/>
          <w:lang w:eastAsia="en-US"/>
        </w:rPr>
        <w:t xml:space="preserve">the opinions of the </w:t>
      </w:r>
      <w:r w:rsidR="00E82522" w:rsidRPr="00C90AC9">
        <w:rPr>
          <w:rFonts w:eastAsia="Calibri"/>
          <w:lang w:eastAsia="en-US"/>
        </w:rPr>
        <w:t>main</w:t>
      </w:r>
      <w:r w:rsidRPr="00C90AC9">
        <w:rPr>
          <w:rFonts w:eastAsia="Calibri"/>
          <w:lang w:eastAsia="en-US"/>
        </w:rPr>
        <w:t xml:space="preserve"> actors in the STP market will allow more suitable recommendations to be made to the </w:t>
      </w:r>
      <w:r w:rsidR="00ED6B26" w:rsidRPr="00C90AC9">
        <w:rPr>
          <w:rFonts w:eastAsia="Calibri"/>
          <w:lang w:eastAsia="en-US"/>
        </w:rPr>
        <w:t>STP</w:t>
      </w:r>
      <w:r w:rsidRPr="00C90AC9">
        <w:rPr>
          <w:rFonts w:eastAsia="Calibri"/>
          <w:lang w:eastAsia="en-US"/>
        </w:rPr>
        <w:t xml:space="preserve"> market</w:t>
      </w:r>
      <w:r w:rsidR="00ED6B26" w:rsidRPr="00C90AC9">
        <w:rPr>
          <w:rFonts w:eastAsia="Calibri"/>
          <w:lang w:eastAsia="en-US"/>
        </w:rPr>
        <w:t xml:space="preserve"> </w:t>
      </w:r>
      <w:r w:rsidR="00ED6B26" w:rsidRPr="00C90AC9">
        <w:rPr>
          <w:rFonts w:eastAsia="Calibri"/>
          <w:lang w:eastAsia="en-US"/>
        </w:rPr>
        <w:fldChar w:fldCharType="begin"/>
      </w:r>
      <w:r w:rsidR="00ED6B26" w:rsidRPr="00C90AC9">
        <w:rPr>
          <w:rFonts w:eastAsia="Calibri"/>
          <w:lang w:eastAsia="en-US"/>
        </w:rPr>
        <w:instrText xml:space="preserve"> ADDIN EN.CITE &lt;EndNote&gt;&lt;Cite&gt;&lt;Author&gt;Baskaran&lt;/Author&gt;&lt;Year&gt;2013&lt;/Year&gt;&lt;RecNum&gt;118&lt;/RecNum&gt;&lt;DisplayText&gt;(Baskaran &amp;amp; Bendig, 2013)&lt;/DisplayText&gt;&lt;record&gt;&lt;rec-number&gt;118&lt;/rec-number&gt;&lt;foreign-keys&gt;&lt;key app="EN" db-id="50wxdpzd9vd5r7e9t5b595djrfpttrxw9avp" timestamp="1525076334"&gt;118&lt;/key&gt;&lt;/foreign-keys&gt;&lt;ref-type name="Journal Article"&gt;17&lt;/ref-type&gt;&lt;contributors&gt;&lt;authors&gt;&lt;author&gt;Baskaran, R., S. Managi,&lt;/author&gt;&lt;author&gt;M. Bendig&lt;/author&gt;&lt;/authors&gt;&lt;/contributors&gt;&lt;titles&gt;&lt;title&gt;A public perspective on the adoption of microgeneration technologies in New Zealand: A multivariate probit approach&lt;/title&gt;&lt;secondary-title&gt;Energy Policy&lt;/secondary-title&gt;&lt;short-title&gt;Baskaran, R., S. Managi, and M. Bendig 2013 – A public perspective&lt;/short-title&gt;&lt;/titles&gt;&lt;pages&gt;p. 177-188&lt;/pages&gt;&lt;volume&gt;58&lt;/volume&gt;&lt;dates&gt;&lt;year&gt;2013&lt;/year&gt;&lt;/dates&gt;&lt;urls&gt;&lt;/urls&gt;&lt;/record&gt;&lt;/Cite&gt;&lt;/EndNote&gt;</w:instrText>
      </w:r>
      <w:r w:rsidR="00ED6B26" w:rsidRPr="00C90AC9">
        <w:rPr>
          <w:rFonts w:eastAsia="Calibri"/>
          <w:lang w:eastAsia="en-US"/>
        </w:rPr>
        <w:fldChar w:fldCharType="separate"/>
      </w:r>
      <w:r w:rsidR="00ED6B26" w:rsidRPr="00C90AC9">
        <w:rPr>
          <w:rFonts w:eastAsia="Calibri"/>
          <w:lang w:eastAsia="en-US"/>
        </w:rPr>
        <w:t>(Baskaran &amp; Bendig, 2013)</w:t>
      </w:r>
      <w:r w:rsidR="00ED6B26" w:rsidRPr="00C90AC9">
        <w:rPr>
          <w:rFonts w:eastAsia="Calibri"/>
          <w:lang w:eastAsia="en-US"/>
        </w:rPr>
        <w:fldChar w:fldCharType="end"/>
      </w:r>
      <w:r w:rsidRPr="00C90AC9">
        <w:rPr>
          <w:rFonts w:eastAsia="Calibri"/>
          <w:lang w:eastAsia="en-US"/>
        </w:rPr>
        <w:t>.</w:t>
      </w:r>
    </w:p>
    <w:p w:rsidR="00A16B8C" w:rsidRPr="00C90AC9" w:rsidRDefault="00B82BA7" w:rsidP="000E17D2">
      <w:pPr>
        <w:pStyle w:val="BodyText"/>
        <w:rPr>
          <w:rFonts w:eastAsia="Calibri"/>
          <w:lang w:eastAsia="en-US"/>
        </w:rPr>
      </w:pPr>
      <w:r w:rsidRPr="00C90AC9">
        <w:rPr>
          <w:rFonts w:eastAsia="Calibri"/>
          <w:lang w:eastAsia="en-US"/>
        </w:rPr>
        <w:t>Table 1.3</w:t>
      </w:r>
      <w:r w:rsidR="00A16B8C" w:rsidRPr="00C90AC9">
        <w:rPr>
          <w:rFonts w:eastAsia="Calibri"/>
          <w:lang w:eastAsia="en-US"/>
        </w:rPr>
        <w:t xml:space="preserve">. Various methods to involve final users in the design process </w:t>
      </w:r>
      <w:r w:rsidR="003F700A" w:rsidRPr="00C90AC9">
        <w:rPr>
          <w:rFonts w:eastAsia="Calibri"/>
          <w:lang w:eastAsia="en-US"/>
        </w:rPr>
        <w:fldChar w:fldCharType="begin"/>
      </w:r>
      <w:r w:rsidR="003F700A" w:rsidRPr="00C90AC9">
        <w:rPr>
          <w:rFonts w:eastAsia="Calibri"/>
          <w:lang w:eastAsia="en-US"/>
        </w:rPr>
        <w:instrText xml:space="preserve"> ADDIN EN.CITE &lt;EndNote&gt;&lt;Cite&gt;&lt;Author&gt;Norman&lt;/Author&gt;&lt;Year&gt;1986&lt;/Year&gt;&lt;RecNum&gt;180&lt;/RecNum&gt;&lt;DisplayText&gt;(Norman &amp;amp; Draper, 1986)&lt;/DisplayText&gt;&lt;record&gt;&lt;rec-number&gt;180&lt;/rec-number&gt;&lt;foreign-keys&gt;&lt;key app="EN" db-id="50wxdpzd9vd5r7e9t5b595djrfpttrxw9avp" timestamp="1525076335"&gt;180&lt;/key&gt;&lt;/foreign-keys&gt;&lt;ref-type name="Book"&gt;6&lt;/ref-type&gt;&lt;contributors&gt;&lt;authors&gt;&lt;author&gt;Norman, D.A.&lt;/author&gt;&lt;author&gt;S.W. Draper&lt;/author&gt;&lt;/authors&gt;&lt;/contributors&gt;&lt;titles&gt;&lt;title&gt;User Centered System Design; New Perspectives on Human-Computer Interaction&lt;/title&gt;&lt;short-title&gt;Norman, D.A. and S.W. Draper 1986 – User Centered System Design&lt;/short-title&gt;&lt;/titles&gt;&lt;num-vols&gt;526&lt;/num-vols&gt;&lt;dates&gt;&lt;year&gt;1986&lt;/year&gt;&lt;/dates&gt;&lt;urls&gt;&lt;/urls&gt;&lt;/record&gt;&lt;/Cite&gt;&lt;/EndNote&gt;</w:instrText>
      </w:r>
      <w:r w:rsidR="003F700A" w:rsidRPr="00C90AC9">
        <w:rPr>
          <w:rFonts w:eastAsia="Calibri"/>
          <w:lang w:eastAsia="en-US"/>
        </w:rPr>
        <w:fldChar w:fldCharType="separate"/>
      </w:r>
      <w:r w:rsidR="003F700A" w:rsidRPr="00C90AC9">
        <w:rPr>
          <w:rFonts w:eastAsia="Calibri"/>
          <w:lang w:eastAsia="en-US"/>
        </w:rPr>
        <w:t>(Norman &amp; Draper, 1986)</w:t>
      </w:r>
      <w:r w:rsidR="003F700A" w:rsidRPr="00C90AC9">
        <w:rPr>
          <w:rFonts w:eastAsia="Calibri"/>
          <w:lang w:eastAsia="en-US"/>
        </w:rPr>
        <w:fldChar w:fldCharType="end"/>
      </w:r>
    </w:p>
    <w:tbl>
      <w:tblPr>
        <w:tblStyle w:val="TableGrid1"/>
        <w:tblW w:w="9263" w:type="dxa"/>
        <w:tblInd w:w="108" w:type="dxa"/>
        <w:tblLook w:val="04A0" w:firstRow="1" w:lastRow="0" w:firstColumn="1" w:lastColumn="0" w:noHBand="0" w:noVBand="1"/>
      </w:tblPr>
      <w:tblGrid>
        <w:gridCol w:w="2694"/>
        <w:gridCol w:w="4121"/>
        <w:gridCol w:w="2448"/>
      </w:tblGrid>
      <w:tr w:rsidR="00A16B8C" w:rsidRPr="00C90AC9" w:rsidTr="00ED6B26">
        <w:tc>
          <w:tcPr>
            <w:tcW w:w="2694" w:type="dxa"/>
            <w:tcBorders>
              <w:top w:val="double" w:sz="4" w:space="0" w:color="auto"/>
              <w:left w:val="double" w:sz="4" w:space="0" w:color="auto"/>
              <w:bottom w:val="double" w:sz="4" w:space="0" w:color="auto"/>
              <w:right w:val="double" w:sz="4" w:space="0" w:color="auto"/>
            </w:tcBorders>
            <w:vAlign w:val="center"/>
          </w:tcPr>
          <w:p w:rsidR="00A16B8C" w:rsidRPr="00C90AC9" w:rsidRDefault="006F0C85" w:rsidP="00ED6B26">
            <w:pPr>
              <w:jc w:val="center"/>
              <w:rPr>
                <w:rFonts w:eastAsia="Calibri"/>
                <w:lang w:eastAsia="en-US"/>
              </w:rPr>
            </w:pPr>
            <w:sdt>
              <w:sdtPr>
                <w:rPr>
                  <w:rFonts w:eastAsia="Calibri"/>
                  <w:lang w:eastAsia="en-US"/>
                </w:rPr>
                <w:alias w:val="Don't edit this field"/>
                <w:tag w:val="CitaviPlaceholder#42a2dc0c-b783-4e78-859b-a3e82ca7badb"/>
                <w:id w:val="1121496922"/>
              </w:sdtPr>
              <w:sdtEndPr/>
              <w:sdtContent>
                <w:r w:rsidR="00C05E2B" w:rsidRPr="00C90AC9">
                  <w:rPr>
                    <w:rFonts w:eastAsia="Calibri"/>
                    <w:lang w:eastAsia="en-US"/>
                  </w:rPr>
                  <w:fldChar w:fldCharType="begin"/>
                </w:r>
                <w:r w:rsidR="007835E8" w:rsidRPr="00C90AC9">
                  <w:rPr>
                    <w:rFonts w:eastAsia="Calibri"/>
                    <w:lang w:eastAsia="en-US"/>
                  </w:rPr>
                  <w:instrText>ADDIN CitaviPlaceholder{eyIkaWQiOiIxIiwiRW50cmllcyI6W3siJGlkIjoiMiIsIkhhc1RlbXBvcmFyeVJlZmVyZW5jZSI6dHJ1ZSwiSWQiOiJiYTMwNjQ3My0zYmFhLTQ5NWQtYjFmYi0yNTg3NjY0MDMxYjMiLCJSYW5nZUxlbmd0aCI6MjIsIlJlZmVyZW5jZUlkIjoiNmY1OGFiNTEtMDI1ZC00YWYxLWFmYWItOGNiODBhNTU3YmRl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}</w:instrText>
                </w:r>
                <w:r w:rsidR="00C05E2B" w:rsidRPr="00C90AC9">
                  <w:rPr>
                    <w:rFonts w:eastAsia="Calibri"/>
                    <w:lang w:eastAsia="en-US"/>
                  </w:rPr>
                  <w:fldChar w:fldCharType="separate"/>
                </w:r>
                <w:r w:rsidR="007835E8" w:rsidRPr="00C90AC9">
                  <w:rPr>
                    <w:rFonts w:eastAsia="Calibri"/>
                    <w:lang w:eastAsia="en-US"/>
                  </w:rPr>
                  <w:t>(User-centered design)</w:t>
                </w:r>
                <w:r w:rsidR="00C05E2B" w:rsidRPr="00C90AC9">
                  <w:rPr>
                    <w:rFonts w:eastAsia="Calibri"/>
                    <w:lang w:eastAsia="en-US"/>
                  </w:rPr>
                  <w:fldChar w:fldCharType="end"/>
                </w:r>
              </w:sdtContent>
            </w:sdt>
            <w:r w:rsidR="00A16B8C" w:rsidRPr="00C90AC9">
              <w:rPr>
                <w:rFonts w:eastAsia="Calibri"/>
                <w:lang w:eastAsia="en-US"/>
              </w:rPr>
              <w:t>Technique</w:t>
            </w:r>
          </w:p>
        </w:tc>
        <w:tc>
          <w:tcPr>
            <w:tcW w:w="4121" w:type="dxa"/>
            <w:tcBorders>
              <w:top w:val="double" w:sz="4" w:space="0" w:color="auto"/>
              <w:left w:val="double" w:sz="4" w:space="0" w:color="auto"/>
              <w:bottom w:val="double" w:sz="4" w:space="0" w:color="auto"/>
              <w:right w:val="double" w:sz="4" w:space="0" w:color="auto"/>
            </w:tcBorders>
            <w:vAlign w:val="center"/>
          </w:tcPr>
          <w:p w:rsidR="00A16B8C" w:rsidRPr="00C90AC9" w:rsidRDefault="00A16B8C" w:rsidP="00ED6B26">
            <w:pPr>
              <w:jc w:val="center"/>
              <w:rPr>
                <w:rFonts w:eastAsia="Calibri"/>
                <w:lang w:eastAsia="en-US"/>
              </w:rPr>
            </w:pPr>
            <w:r w:rsidRPr="00C90AC9">
              <w:rPr>
                <w:rFonts w:eastAsia="Calibri"/>
                <w:lang w:eastAsia="en-US"/>
              </w:rPr>
              <w:t>Purpose</w:t>
            </w:r>
          </w:p>
        </w:tc>
        <w:tc>
          <w:tcPr>
            <w:tcW w:w="2448" w:type="dxa"/>
            <w:tcBorders>
              <w:top w:val="double" w:sz="4" w:space="0" w:color="auto"/>
              <w:left w:val="double" w:sz="4" w:space="0" w:color="auto"/>
              <w:bottom w:val="double" w:sz="4" w:space="0" w:color="auto"/>
              <w:right w:val="double" w:sz="4" w:space="0" w:color="auto"/>
            </w:tcBorders>
            <w:vAlign w:val="center"/>
          </w:tcPr>
          <w:p w:rsidR="00A16B8C" w:rsidRPr="00C90AC9" w:rsidRDefault="00A16B8C" w:rsidP="00ED6B26">
            <w:pPr>
              <w:jc w:val="center"/>
              <w:rPr>
                <w:rFonts w:eastAsia="Calibri"/>
                <w:lang w:eastAsia="en-US"/>
              </w:rPr>
            </w:pPr>
            <w:r w:rsidRPr="00C90AC9">
              <w:rPr>
                <w:rFonts w:eastAsia="Calibri"/>
                <w:lang w:eastAsia="en-US"/>
              </w:rPr>
              <w:t>Stage of the Design Cycle</w:t>
            </w:r>
          </w:p>
        </w:tc>
      </w:tr>
      <w:tr w:rsidR="00A16B8C" w:rsidRPr="00C90AC9" w:rsidTr="00ED6B26">
        <w:trPr>
          <w:trHeight w:val="907"/>
        </w:trPr>
        <w:tc>
          <w:tcPr>
            <w:tcW w:w="2694" w:type="dxa"/>
            <w:tcBorders>
              <w:top w:val="double" w:sz="4" w:space="0" w:color="auto"/>
            </w:tcBorders>
            <w:vAlign w:val="center"/>
          </w:tcPr>
          <w:p w:rsidR="00A16B8C" w:rsidRPr="00C90AC9" w:rsidRDefault="00A16B8C" w:rsidP="00ED6B26">
            <w:pPr>
              <w:jc w:val="center"/>
              <w:rPr>
                <w:rFonts w:eastAsia="Calibri"/>
                <w:lang w:eastAsia="en-US"/>
              </w:rPr>
            </w:pPr>
            <w:r w:rsidRPr="00C90AC9">
              <w:rPr>
                <w:rFonts w:eastAsia="Calibri"/>
                <w:lang w:eastAsia="en-US"/>
              </w:rPr>
              <w:t>Background Interviews and questionnaires</w:t>
            </w:r>
          </w:p>
        </w:tc>
        <w:tc>
          <w:tcPr>
            <w:tcW w:w="4121" w:type="dxa"/>
            <w:tcBorders>
              <w:top w:val="double" w:sz="4" w:space="0" w:color="auto"/>
            </w:tcBorders>
            <w:vAlign w:val="center"/>
          </w:tcPr>
          <w:p w:rsidR="00A16B8C" w:rsidRPr="00C90AC9" w:rsidRDefault="00A16B8C" w:rsidP="00ED6B26">
            <w:pPr>
              <w:jc w:val="center"/>
              <w:rPr>
                <w:rFonts w:eastAsia="Calibri"/>
                <w:lang w:eastAsia="en-US"/>
              </w:rPr>
            </w:pPr>
            <w:r w:rsidRPr="00C90AC9">
              <w:rPr>
                <w:rFonts w:eastAsia="Calibri"/>
                <w:lang w:eastAsia="en-US"/>
              </w:rPr>
              <w:t>Collecting data related to the needs and expectations of users; evaluation of design alternatives, prototypes and the final artefact</w:t>
            </w:r>
          </w:p>
        </w:tc>
        <w:tc>
          <w:tcPr>
            <w:tcW w:w="2448" w:type="dxa"/>
            <w:tcBorders>
              <w:top w:val="double" w:sz="4" w:space="0" w:color="auto"/>
            </w:tcBorders>
            <w:vAlign w:val="center"/>
          </w:tcPr>
          <w:p w:rsidR="00A16B8C" w:rsidRPr="00C90AC9" w:rsidRDefault="00A16B8C" w:rsidP="00ED6B26">
            <w:pPr>
              <w:jc w:val="center"/>
              <w:rPr>
                <w:rFonts w:eastAsia="Calibri"/>
                <w:lang w:eastAsia="en-US"/>
              </w:rPr>
            </w:pPr>
            <w:r w:rsidRPr="00C90AC9">
              <w:rPr>
                <w:rFonts w:eastAsia="Calibri"/>
                <w:lang w:eastAsia="en-US"/>
              </w:rPr>
              <w:t>At the beginning of the design project</w:t>
            </w:r>
          </w:p>
        </w:tc>
      </w:tr>
      <w:tr w:rsidR="00A16B8C" w:rsidRPr="00C90AC9" w:rsidTr="00ED6B26">
        <w:trPr>
          <w:trHeight w:val="907"/>
        </w:trPr>
        <w:tc>
          <w:tcPr>
            <w:tcW w:w="2694" w:type="dxa"/>
            <w:vAlign w:val="center"/>
          </w:tcPr>
          <w:p w:rsidR="00A16B8C" w:rsidRPr="00C90AC9" w:rsidRDefault="00A16B8C" w:rsidP="00ED6B26">
            <w:pPr>
              <w:jc w:val="center"/>
              <w:rPr>
                <w:rFonts w:eastAsia="Calibri"/>
                <w:lang w:eastAsia="en-US"/>
              </w:rPr>
            </w:pPr>
            <w:r w:rsidRPr="00C90AC9">
              <w:rPr>
                <w:rFonts w:eastAsia="Calibri"/>
                <w:lang w:eastAsia="en-US"/>
              </w:rPr>
              <w:t>Sequence of work interviews and questionnaires</w:t>
            </w:r>
          </w:p>
        </w:tc>
        <w:tc>
          <w:tcPr>
            <w:tcW w:w="4121" w:type="dxa"/>
            <w:vAlign w:val="center"/>
          </w:tcPr>
          <w:p w:rsidR="00A16B8C" w:rsidRPr="00C90AC9" w:rsidRDefault="00A16B8C" w:rsidP="00ED6B26">
            <w:pPr>
              <w:jc w:val="center"/>
              <w:rPr>
                <w:rFonts w:eastAsia="Calibri"/>
                <w:lang w:eastAsia="en-US"/>
              </w:rPr>
            </w:pPr>
            <w:r w:rsidRPr="00C90AC9">
              <w:rPr>
                <w:rFonts w:eastAsia="Calibri"/>
                <w:lang w:eastAsia="en-US"/>
              </w:rPr>
              <w:t>Collecting data related to the sequence of work to be performed with the artefact</w:t>
            </w:r>
          </w:p>
        </w:tc>
        <w:tc>
          <w:tcPr>
            <w:tcW w:w="2448" w:type="dxa"/>
            <w:vAlign w:val="center"/>
          </w:tcPr>
          <w:p w:rsidR="00A16B8C" w:rsidRPr="00C90AC9" w:rsidRDefault="00A16B8C" w:rsidP="00ED6B26">
            <w:pPr>
              <w:jc w:val="center"/>
              <w:rPr>
                <w:rFonts w:eastAsia="Calibri"/>
                <w:lang w:eastAsia="en-US"/>
              </w:rPr>
            </w:pPr>
            <w:r w:rsidRPr="00C90AC9">
              <w:rPr>
                <w:rFonts w:eastAsia="Calibri"/>
                <w:lang w:eastAsia="en-US"/>
              </w:rPr>
              <w:t>Early in the design cycle</w:t>
            </w:r>
          </w:p>
        </w:tc>
      </w:tr>
      <w:tr w:rsidR="00A16B8C" w:rsidRPr="00C90AC9" w:rsidTr="00ED6B26">
        <w:trPr>
          <w:trHeight w:val="907"/>
        </w:trPr>
        <w:tc>
          <w:tcPr>
            <w:tcW w:w="2694" w:type="dxa"/>
            <w:vAlign w:val="center"/>
          </w:tcPr>
          <w:p w:rsidR="00A16B8C" w:rsidRPr="00C90AC9" w:rsidRDefault="00A16B8C" w:rsidP="00ED6B26">
            <w:pPr>
              <w:jc w:val="center"/>
              <w:rPr>
                <w:rFonts w:eastAsia="Calibri"/>
                <w:lang w:eastAsia="en-US"/>
              </w:rPr>
            </w:pPr>
            <w:r w:rsidRPr="00C90AC9">
              <w:rPr>
                <w:rFonts w:eastAsia="Calibri"/>
                <w:lang w:eastAsia="en-US"/>
              </w:rPr>
              <w:t>Focus groups</w:t>
            </w:r>
          </w:p>
        </w:tc>
        <w:tc>
          <w:tcPr>
            <w:tcW w:w="4121" w:type="dxa"/>
            <w:vAlign w:val="center"/>
          </w:tcPr>
          <w:p w:rsidR="00A16B8C" w:rsidRPr="00C90AC9" w:rsidRDefault="00A16B8C" w:rsidP="00ED6B26">
            <w:pPr>
              <w:jc w:val="center"/>
              <w:rPr>
                <w:rFonts w:eastAsia="Calibri"/>
                <w:lang w:eastAsia="en-US"/>
              </w:rPr>
            </w:pPr>
            <w:r w:rsidRPr="00C90AC9">
              <w:rPr>
                <w:rFonts w:eastAsia="Calibri"/>
                <w:lang w:eastAsia="en-US"/>
              </w:rPr>
              <w:t>Include a wide range of stakeholders to discuss issues and requirements</w:t>
            </w:r>
          </w:p>
        </w:tc>
        <w:tc>
          <w:tcPr>
            <w:tcW w:w="2448" w:type="dxa"/>
            <w:vAlign w:val="center"/>
          </w:tcPr>
          <w:p w:rsidR="00A16B8C" w:rsidRPr="00C90AC9" w:rsidRDefault="00A16B8C" w:rsidP="00ED6B26">
            <w:pPr>
              <w:jc w:val="center"/>
              <w:rPr>
                <w:rFonts w:eastAsia="Calibri"/>
                <w:lang w:eastAsia="en-US"/>
              </w:rPr>
            </w:pPr>
            <w:r w:rsidRPr="00C90AC9">
              <w:rPr>
                <w:rFonts w:eastAsia="Calibri"/>
                <w:lang w:eastAsia="en-US"/>
              </w:rPr>
              <w:t>Early in the design cycle</w:t>
            </w:r>
          </w:p>
        </w:tc>
      </w:tr>
      <w:tr w:rsidR="00A16B8C" w:rsidRPr="00C90AC9" w:rsidTr="00ED6B26">
        <w:trPr>
          <w:trHeight w:val="907"/>
        </w:trPr>
        <w:tc>
          <w:tcPr>
            <w:tcW w:w="2694" w:type="dxa"/>
            <w:vAlign w:val="center"/>
          </w:tcPr>
          <w:p w:rsidR="00A16B8C" w:rsidRPr="00C90AC9" w:rsidRDefault="00A16B8C" w:rsidP="00ED6B26">
            <w:pPr>
              <w:jc w:val="center"/>
              <w:rPr>
                <w:rFonts w:eastAsia="Calibri"/>
                <w:lang w:eastAsia="en-US"/>
              </w:rPr>
            </w:pPr>
            <w:r w:rsidRPr="00C90AC9">
              <w:rPr>
                <w:rFonts w:eastAsia="Calibri"/>
                <w:lang w:eastAsia="en-US"/>
              </w:rPr>
              <w:t>On-site observation</w:t>
            </w:r>
          </w:p>
        </w:tc>
        <w:tc>
          <w:tcPr>
            <w:tcW w:w="4121" w:type="dxa"/>
            <w:vAlign w:val="center"/>
          </w:tcPr>
          <w:p w:rsidR="00A16B8C" w:rsidRPr="00C90AC9" w:rsidRDefault="00A16B8C" w:rsidP="00ED6B26">
            <w:pPr>
              <w:jc w:val="center"/>
              <w:rPr>
                <w:rFonts w:eastAsia="Calibri"/>
                <w:lang w:eastAsia="en-US"/>
              </w:rPr>
            </w:pPr>
            <w:r w:rsidRPr="00C90AC9">
              <w:rPr>
                <w:rFonts w:eastAsia="Calibri"/>
                <w:lang w:eastAsia="en-US"/>
              </w:rPr>
              <w:t>Collecting information concerning the environment in which the artefact will be used</w:t>
            </w:r>
          </w:p>
        </w:tc>
        <w:tc>
          <w:tcPr>
            <w:tcW w:w="2448" w:type="dxa"/>
            <w:vAlign w:val="center"/>
          </w:tcPr>
          <w:p w:rsidR="00A16B8C" w:rsidRPr="00C90AC9" w:rsidRDefault="00A16B8C" w:rsidP="00ED6B26">
            <w:pPr>
              <w:jc w:val="center"/>
              <w:rPr>
                <w:rFonts w:eastAsia="Calibri"/>
                <w:lang w:eastAsia="en-US"/>
              </w:rPr>
            </w:pPr>
            <w:r w:rsidRPr="00C90AC9">
              <w:rPr>
                <w:rFonts w:eastAsia="Calibri"/>
                <w:lang w:eastAsia="en-US"/>
              </w:rPr>
              <w:t>Early in the design cycle</w:t>
            </w:r>
          </w:p>
        </w:tc>
      </w:tr>
      <w:tr w:rsidR="00A16B8C" w:rsidRPr="00C90AC9" w:rsidTr="00ED6B26">
        <w:trPr>
          <w:trHeight w:val="907"/>
        </w:trPr>
        <w:tc>
          <w:tcPr>
            <w:tcW w:w="2694" w:type="dxa"/>
            <w:vAlign w:val="center"/>
          </w:tcPr>
          <w:p w:rsidR="00A16B8C" w:rsidRPr="00C90AC9" w:rsidRDefault="00A16B8C" w:rsidP="00ED6B26">
            <w:pPr>
              <w:jc w:val="center"/>
              <w:rPr>
                <w:rFonts w:eastAsia="Calibri"/>
                <w:lang w:eastAsia="en-US"/>
              </w:rPr>
            </w:pPr>
            <w:r w:rsidRPr="00C90AC9">
              <w:rPr>
                <w:rFonts w:eastAsia="Calibri"/>
                <w:lang w:eastAsia="en-US"/>
              </w:rPr>
              <w:t>Role Playing, walkthroughs, and simulations</w:t>
            </w:r>
          </w:p>
        </w:tc>
        <w:tc>
          <w:tcPr>
            <w:tcW w:w="4121" w:type="dxa"/>
            <w:vAlign w:val="center"/>
          </w:tcPr>
          <w:p w:rsidR="00A16B8C" w:rsidRPr="00C90AC9" w:rsidRDefault="00A16B8C" w:rsidP="00ED6B26">
            <w:pPr>
              <w:jc w:val="center"/>
              <w:rPr>
                <w:rFonts w:eastAsia="Calibri"/>
                <w:lang w:eastAsia="en-US"/>
              </w:rPr>
            </w:pPr>
            <w:r w:rsidRPr="00C90AC9">
              <w:rPr>
                <w:rFonts w:eastAsia="Calibri"/>
                <w:lang w:eastAsia="en-US"/>
              </w:rPr>
              <w:t>Evaluation of alternative designs and gaining additional information about user needs and expectations; prototype evaluation</w:t>
            </w:r>
          </w:p>
        </w:tc>
        <w:tc>
          <w:tcPr>
            <w:tcW w:w="2448" w:type="dxa"/>
            <w:vAlign w:val="center"/>
          </w:tcPr>
          <w:p w:rsidR="00A16B8C" w:rsidRPr="00C90AC9" w:rsidRDefault="00A16B8C" w:rsidP="00ED6B26">
            <w:pPr>
              <w:jc w:val="center"/>
              <w:rPr>
                <w:rFonts w:eastAsia="Calibri"/>
                <w:lang w:eastAsia="en-US"/>
              </w:rPr>
            </w:pPr>
            <w:r w:rsidRPr="00C90AC9">
              <w:rPr>
                <w:rFonts w:eastAsia="Calibri"/>
                <w:lang w:eastAsia="en-US"/>
              </w:rPr>
              <w:t>Early and mid-point in the design cycle</w:t>
            </w:r>
          </w:p>
        </w:tc>
      </w:tr>
      <w:tr w:rsidR="00A16B8C" w:rsidRPr="00C90AC9" w:rsidTr="00ED6B26">
        <w:trPr>
          <w:trHeight w:val="907"/>
        </w:trPr>
        <w:tc>
          <w:tcPr>
            <w:tcW w:w="2694" w:type="dxa"/>
            <w:vAlign w:val="center"/>
          </w:tcPr>
          <w:p w:rsidR="00A16B8C" w:rsidRPr="00C90AC9" w:rsidRDefault="00A16B8C" w:rsidP="00ED6B26">
            <w:pPr>
              <w:jc w:val="center"/>
              <w:rPr>
                <w:rFonts w:eastAsia="Calibri"/>
                <w:lang w:eastAsia="en-US"/>
              </w:rPr>
            </w:pPr>
            <w:r w:rsidRPr="00C90AC9">
              <w:rPr>
                <w:rFonts w:eastAsia="Calibri"/>
                <w:lang w:eastAsia="en-US"/>
              </w:rPr>
              <w:t>Usability testing</w:t>
            </w:r>
          </w:p>
        </w:tc>
        <w:tc>
          <w:tcPr>
            <w:tcW w:w="4121" w:type="dxa"/>
            <w:vAlign w:val="center"/>
          </w:tcPr>
          <w:p w:rsidR="00A16B8C" w:rsidRPr="00C90AC9" w:rsidRDefault="00A16B8C" w:rsidP="00ED6B26">
            <w:pPr>
              <w:jc w:val="center"/>
              <w:rPr>
                <w:rFonts w:eastAsia="Calibri"/>
                <w:lang w:eastAsia="en-US"/>
              </w:rPr>
            </w:pPr>
            <w:r w:rsidRPr="00C90AC9">
              <w:rPr>
                <w:rFonts w:eastAsia="Calibri"/>
                <w:lang w:eastAsia="en-US"/>
              </w:rPr>
              <w:t>Collecting quantities data related to measurable usability criteria</w:t>
            </w:r>
          </w:p>
        </w:tc>
        <w:tc>
          <w:tcPr>
            <w:tcW w:w="2448" w:type="dxa"/>
            <w:vAlign w:val="center"/>
          </w:tcPr>
          <w:p w:rsidR="00A16B8C" w:rsidRPr="00C90AC9" w:rsidRDefault="00A16B8C" w:rsidP="00ED6B26">
            <w:pPr>
              <w:jc w:val="center"/>
              <w:rPr>
                <w:rFonts w:eastAsia="Calibri"/>
                <w:lang w:eastAsia="en-US"/>
              </w:rPr>
            </w:pPr>
            <w:r w:rsidRPr="00C90AC9">
              <w:rPr>
                <w:rFonts w:eastAsia="Calibri"/>
                <w:lang w:eastAsia="en-US"/>
              </w:rPr>
              <w:t>Final stage of the design cycle</w:t>
            </w:r>
          </w:p>
        </w:tc>
      </w:tr>
      <w:tr w:rsidR="00A16B8C" w:rsidRPr="00C90AC9" w:rsidTr="00ED6B26">
        <w:trPr>
          <w:trHeight w:val="907"/>
        </w:trPr>
        <w:tc>
          <w:tcPr>
            <w:tcW w:w="2694" w:type="dxa"/>
            <w:vAlign w:val="center"/>
          </w:tcPr>
          <w:p w:rsidR="00A16B8C" w:rsidRPr="00C90AC9" w:rsidRDefault="00A16B8C" w:rsidP="00ED6B26">
            <w:pPr>
              <w:jc w:val="center"/>
              <w:rPr>
                <w:rFonts w:eastAsia="Calibri"/>
                <w:lang w:eastAsia="en-US"/>
              </w:rPr>
            </w:pPr>
            <w:r w:rsidRPr="00C90AC9">
              <w:rPr>
                <w:rFonts w:eastAsia="Calibri"/>
                <w:lang w:eastAsia="en-US"/>
              </w:rPr>
              <w:t>Interviews and questionnaires</w:t>
            </w:r>
          </w:p>
        </w:tc>
        <w:tc>
          <w:tcPr>
            <w:tcW w:w="4121" w:type="dxa"/>
            <w:vAlign w:val="center"/>
          </w:tcPr>
          <w:p w:rsidR="00A16B8C" w:rsidRPr="00C90AC9" w:rsidRDefault="00A16B8C" w:rsidP="00ED6B26">
            <w:pPr>
              <w:jc w:val="center"/>
              <w:rPr>
                <w:rFonts w:eastAsia="Calibri"/>
                <w:lang w:eastAsia="en-US"/>
              </w:rPr>
            </w:pPr>
            <w:r w:rsidRPr="00C90AC9">
              <w:rPr>
                <w:rFonts w:eastAsia="Calibri"/>
                <w:lang w:eastAsia="en-US"/>
              </w:rPr>
              <w:t>Collecting qualitative data related to user satisfaction with the artefact</w:t>
            </w:r>
          </w:p>
        </w:tc>
        <w:tc>
          <w:tcPr>
            <w:tcW w:w="2448" w:type="dxa"/>
            <w:vAlign w:val="center"/>
          </w:tcPr>
          <w:p w:rsidR="00A16B8C" w:rsidRPr="00C90AC9" w:rsidRDefault="00A16B8C" w:rsidP="00ED6B26">
            <w:pPr>
              <w:jc w:val="center"/>
              <w:rPr>
                <w:rFonts w:eastAsia="Calibri"/>
                <w:lang w:eastAsia="en-US"/>
              </w:rPr>
            </w:pPr>
            <w:r w:rsidRPr="00C90AC9">
              <w:rPr>
                <w:rFonts w:eastAsia="Calibri"/>
                <w:lang w:eastAsia="en-US"/>
              </w:rPr>
              <w:t>Final stage of the design cycle</w:t>
            </w:r>
          </w:p>
        </w:tc>
      </w:tr>
    </w:tbl>
    <w:p w:rsidR="00783D58" w:rsidRPr="00C90AC9" w:rsidRDefault="00783D58" w:rsidP="007574AE">
      <w:pPr>
        <w:pStyle w:val="BodyText"/>
        <w:spacing w:line="360" w:lineRule="auto"/>
        <w:rPr>
          <w:rFonts w:eastAsia="Calibri"/>
          <w:lang w:eastAsia="en-US"/>
        </w:rPr>
      </w:pPr>
    </w:p>
    <w:p w:rsidR="009601D8" w:rsidRPr="00C90AC9" w:rsidRDefault="00A16B8C" w:rsidP="007574AE">
      <w:pPr>
        <w:pStyle w:val="BodyText"/>
        <w:spacing w:line="360" w:lineRule="auto"/>
        <w:rPr>
          <w:rFonts w:eastAsia="Calibri"/>
          <w:lang w:eastAsia="en-US"/>
        </w:rPr>
      </w:pPr>
      <w:r w:rsidRPr="00C90AC9">
        <w:rPr>
          <w:rFonts w:eastAsia="Calibri"/>
          <w:lang w:eastAsia="en-US"/>
        </w:rPr>
        <w:t xml:space="preserve">Due to the novel nature of the proposed STP control system the second and third techniques as listed in Table 1.2. (e.g. by using  interviews, questionnaires; and focus groups) </w:t>
      </w:r>
      <w:r w:rsidR="00EA7380" w:rsidRPr="00C90AC9">
        <w:rPr>
          <w:rFonts w:eastAsia="Calibri"/>
          <w:lang w:eastAsia="en-US"/>
        </w:rPr>
        <w:t xml:space="preserve">will </w:t>
      </w:r>
      <w:r w:rsidR="00EA7380" w:rsidRPr="00C90AC9">
        <w:rPr>
          <w:rFonts w:eastAsia="Calibri"/>
          <w:lang w:eastAsia="en-US"/>
        </w:rPr>
        <w:lastRenderedPageBreak/>
        <w:t xml:space="preserve">elucidate the opinions of the </w:t>
      </w:r>
      <w:r w:rsidR="00E82522" w:rsidRPr="00C90AC9">
        <w:rPr>
          <w:rFonts w:eastAsia="Calibri"/>
          <w:lang w:eastAsia="en-US"/>
        </w:rPr>
        <w:t>main</w:t>
      </w:r>
      <w:r w:rsidR="00EA7380" w:rsidRPr="00C90AC9">
        <w:rPr>
          <w:rFonts w:eastAsia="Calibri"/>
          <w:lang w:eastAsia="en-US"/>
        </w:rPr>
        <w:t xml:space="preserve"> actors and consumers in the </w:t>
      </w:r>
      <w:r w:rsidR="009601D8" w:rsidRPr="00C90AC9">
        <w:rPr>
          <w:rFonts w:eastAsia="Calibri"/>
          <w:lang w:eastAsia="en-US"/>
        </w:rPr>
        <w:t xml:space="preserve">STP market </w:t>
      </w:r>
      <w:r w:rsidR="004050BA" w:rsidRPr="00C90AC9">
        <w:rPr>
          <w:rFonts w:eastAsia="Calibri"/>
          <w:lang w:eastAsia="en-US"/>
        </w:rPr>
        <w:fldChar w:fldCharType="begin"/>
      </w:r>
      <w:r w:rsidR="004050BA" w:rsidRPr="00C90AC9">
        <w:rPr>
          <w:rFonts w:eastAsia="Calibri"/>
          <w:lang w:eastAsia="en-US"/>
        </w:rPr>
        <w:instrText xml:space="preserve"> ADDIN EN.CITE &lt;EndNote&gt;&lt;Cite&gt;&lt;Author&gt;Abras&lt;/Author&gt;&lt;Year&gt;2004&lt;/Year&gt;&lt;RecNum&gt;110&lt;/RecNum&gt;&lt;DisplayText&gt;(Abras &amp;amp; Preece, 2004)&lt;/DisplayText&gt;&lt;record&gt;&lt;rec-number&gt;110&lt;/rec-number&gt;&lt;foreign-keys&gt;&lt;key app="EN" db-id="50wxdpzd9vd5r7e9t5b595djrfpttrxw9avp" timestamp="1525076334"&gt;110&lt;/key&gt;&lt;/foreign-keys&gt;&lt;ref-type name="Book"&gt;6&lt;/ref-type&gt;&lt;contributors&gt;&lt;authors&gt;&lt;author&gt;Abras, C., D. Maloney-Krichmar,&lt;/author&gt;&lt;author&gt;J. Preece&lt;/author&gt;&lt;/authors&gt;&lt;/contributors&gt;&lt;titles&gt;&lt;title&gt;User-centered design&lt;/title&gt;&lt;short-title&gt;Abras, C., D. Maloney-Krichmar, and J. Preece 2004 – User-centered design&lt;/short-title&gt;&lt;/titles&gt;&lt;num-vols&gt;37&lt;/num-vols&gt;&lt;edition&gt;4&lt;/edition&gt;&lt;dates&gt;&lt;year&gt;2004&lt;/year&gt;&lt;/dates&gt;&lt;publisher&gt;Thousand Oaks: Sage Publications&lt;/publisher&gt;&lt;urls&gt;&lt;/urls&gt;&lt;/record&gt;&lt;/Cite&gt;&lt;/EndNote&gt;</w:instrText>
      </w:r>
      <w:r w:rsidR="004050BA" w:rsidRPr="00C90AC9">
        <w:rPr>
          <w:rFonts w:eastAsia="Calibri"/>
          <w:lang w:eastAsia="en-US"/>
        </w:rPr>
        <w:fldChar w:fldCharType="separate"/>
      </w:r>
      <w:r w:rsidR="004050BA" w:rsidRPr="00C90AC9">
        <w:rPr>
          <w:rFonts w:eastAsia="Calibri"/>
          <w:lang w:eastAsia="en-US"/>
        </w:rPr>
        <w:t>(Abras &amp; Preece, 2004)</w:t>
      </w:r>
      <w:r w:rsidR="004050BA" w:rsidRPr="00C90AC9">
        <w:rPr>
          <w:rFonts w:eastAsia="Calibri"/>
          <w:lang w:eastAsia="en-US"/>
        </w:rPr>
        <w:fldChar w:fldCharType="end"/>
      </w:r>
      <w:r w:rsidRPr="00C90AC9">
        <w:rPr>
          <w:rFonts w:eastAsia="Calibri"/>
          <w:lang w:eastAsia="en-US"/>
        </w:rPr>
        <w:t>.</w:t>
      </w:r>
    </w:p>
    <w:p w:rsidR="009601D8" w:rsidRPr="00C90AC9" w:rsidRDefault="009601D8" w:rsidP="009601D8">
      <w:pPr>
        <w:pStyle w:val="BodyText"/>
        <w:spacing w:line="360" w:lineRule="auto"/>
        <w:rPr>
          <w:rStyle w:val="TitleChar"/>
          <w:rFonts w:ascii="Times New Roman" w:eastAsia="Calibri" w:hAnsi="Times New Roman" w:cstheme="minorBidi"/>
          <w:color w:val="auto"/>
          <w:spacing w:val="0"/>
          <w:kern w:val="0"/>
          <w:sz w:val="24"/>
          <w:szCs w:val="22"/>
          <w:lang w:eastAsia="en-US"/>
        </w:rPr>
      </w:pPr>
      <w:r w:rsidRPr="00C90AC9">
        <w:rPr>
          <w:rFonts w:eastAsia="Calibri"/>
          <w:lang w:eastAsia="en-US"/>
        </w:rPr>
        <w:t>C</w:t>
      </w:r>
      <w:r w:rsidR="00A16B8C" w:rsidRPr="00C90AC9">
        <w:rPr>
          <w:rFonts w:eastAsia="Calibri"/>
          <w:lang w:eastAsia="en-US"/>
        </w:rPr>
        <w:t xml:space="preserve">onducting </w:t>
      </w:r>
      <w:r w:rsidR="00ED6B26" w:rsidRPr="00C90AC9">
        <w:rPr>
          <w:rFonts w:eastAsia="Calibri"/>
          <w:lang w:eastAsia="en-US"/>
        </w:rPr>
        <w:t xml:space="preserve">focused </w:t>
      </w:r>
      <w:r w:rsidR="00E97678" w:rsidRPr="00C90AC9">
        <w:rPr>
          <w:rFonts w:eastAsia="Calibri"/>
          <w:lang w:eastAsia="en-US"/>
        </w:rPr>
        <w:t xml:space="preserve">semi-structured </w:t>
      </w:r>
      <w:r w:rsidR="00A16B8C" w:rsidRPr="00C90AC9">
        <w:rPr>
          <w:rFonts w:eastAsia="Calibri"/>
          <w:lang w:eastAsia="en-US"/>
        </w:rPr>
        <w:t xml:space="preserve">interviews with the </w:t>
      </w:r>
      <w:r w:rsidR="00E82522" w:rsidRPr="00C90AC9">
        <w:rPr>
          <w:rFonts w:eastAsia="Calibri"/>
          <w:lang w:eastAsia="en-US"/>
        </w:rPr>
        <w:t>main</w:t>
      </w:r>
      <w:r w:rsidR="00A16B8C" w:rsidRPr="00C90AC9">
        <w:rPr>
          <w:rFonts w:eastAsia="Calibri"/>
          <w:lang w:eastAsia="en-US"/>
        </w:rPr>
        <w:t xml:space="preserve"> actors in the STP market as well as conducting focus groups with end users will have direct applicability to this study. By considering a range of opinions in this manner the social acceptance of </w:t>
      </w:r>
      <w:r w:rsidR="006518C0" w:rsidRPr="00C90AC9">
        <w:rPr>
          <w:rFonts w:eastAsia="Calibri"/>
          <w:lang w:eastAsia="en-US"/>
        </w:rPr>
        <w:t>STPs</w:t>
      </w:r>
      <w:r w:rsidR="00A16B8C" w:rsidRPr="00C90AC9">
        <w:rPr>
          <w:rFonts w:eastAsia="Calibri"/>
          <w:lang w:eastAsia="en-US"/>
        </w:rPr>
        <w:t xml:space="preserve"> can be improved which will have </w:t>
      </w:r>
      <w:r w:rsidR="00ED6B26" w:rsidRPr="00C90AC9">
        <w:rPr>
          <w:rFonts w:eastAsia="Calibri"/>
          <w:lang w:eastAsia="en-US"/>
        </w:rPr>
        <w:t xml:space="preserve">a </w:t>
      </w:r>
      <w:r w:rsidR="00A16B8C" w:rsidRPr="00C90AC9">
        <w:rPr>
          <w:rFonts w:eastAsia="Calibri"/>
          <w:lang w:eastAsia="en-US"/>
        </w:rPr>
        <w:t>positive effect on the adoption rate of the technology</w:t>
      </w:r>
      <w:r w:rsidR="00991323" w:rsidRPr="00C90AC9">
        <w:rPr>
          <w:rFonts w:eastAsia="Calibri"/>
          <w:lang w:eastAsia="en-US"/>
        </w:rPr>
        <w:t xml:space="preserve"> </w:t>
      </w:r>
      <w:r w:rsidR="004050BA" w:rsidRPr="00C90AC9">
        <w:rPr>
          <w:rFonts w:eastAsia="Calibri"/>
          <w:lang w:eastAsia="en-US"/>
        </w:rPr>
        <w:fldChar w:fldCharType="begin"/>
      </w:r>
      <w:r w:rsidR="004050BA" w:rsidRPr="00C90AC9">
        <w:rPr>
          <w:rFonts w:eastAsia="Calibri"/>
          <w:lang w:eastAsia="en-US"/>
        </w:rPr>
        <w:instrText xml:space="preserve"> ADDIN EN.CITE &lt;EndNote&gt;&lt;Cite&gt;&lt;Author&gt;Boait&lt;/Author&gt;&lt;Year&gt;2008&lt;/Year&gt;&lt;RecNum&gt;122&lt;/RecNum&gt;&lt;DisplayText&gt;(Boait &amp;amp; et al., 2008)&lt;/DisplayText&gt;&lt;record&gt;&lt;rec-number&gt;122&lt;/rec-number&gt;&lt;foreign-keys&gt;&lt;key app="EN" db-id="50wxdpzd9vd5r7e9t5b595djrfpttrxw9avp" timestamp="1525076334"&gt;122&lt;/key&gt;&lt;/foreign-keys&gt;&lt;ref-type name="Journal Article"&gt;17&lt;/ref-type&gt;&lt;contributors&gt;&lt;authors&gt;&lt;author&gt;Boait, P. J.&lt;/author&gt;&lt;author&gt;et al.,&lt;/author&gt;&lt;/authors&gt;&lt;/contributors&gt;&lt;titles&gt;&lt;title&gt;Production efficiency of hot water for dmoestic use&lt;/title&gt;&lt;secondary-title&gt;Applied Energy&lt;/secondary-title&gt;&lt;short-title&gt;Boait, P. J. et al 2008 – Production efficiency of hot water&lt;/short-title&gt;&lt;/titles&gt;&lt;pages&gt;p. 528-544&lt;/pages&gt;&lt;volume&gt;85&lt;/volume&gt;&lt;number&gt;6&lt;/number&gt;&lt;dates&gt;&lt;year&gt;2008&lt;/year&gt;&lt;/dates&gt;&lt;urls&gt;&lt;/urls&gt;&lt;/record&gt;&lt;/Cite&gt;&lt;/EndNote&gt;</w:instrText>
      </w:r>
      <w:r w:rsidR="004050BA" w:rsidRPr="00C90AC9">
        <w:rPr>
          <w:rFonts w:eastAsia="Calibri"/>
          <w:lang w:eastAsia="en-US"/>
        </w:rPr>
        <w:fldChar w:fldCharType="separate"/>
      </w:r>
      <w:r w:rsidR="004050BA" w:rsidRPr="00C90AC9">
        <w:rPr>
          <w:rFonts w:eastAsia="Calibri"/>
          <w:lang w:eastAsia="en-US"/>
        </w:rPr>
        <w:t xml:space="preserve">(Boait </w:t>
      </w:r>
      <w:r w:rsidR="00EE66A8" w:rsidRPr="00C90AC9">
        <w:rPr>
          <w:rFonts w:eastAsia="Calibri"/>
          <w:lang w:eastAsia="en-US"/>
        </w:rPr>
        <w:t>et al</w:t>
      </w:r>
      <w:r w:rsidR="004050BA" w:rsidRPr="00C90AC9">
        <w:rPr>
          <w:rFonts w:eastAsia="Calibri"/>
          <w:lang w:eastAsia="en-US"/>
        </w:rPr>
        <w:t>., 2008)</w:t>
      </w:r>
      <w:r w:rsidR="004050BA" w:rsidRPr="00C90AC9">
        <w:rPr>
          <w:rFonts w:eastAsia="Calibri"/>
          <w:lang w:eastAsia="en-US"/>
        </w:rPr>
        <w:fldChar w:fldCharType="end"/>
      </w:r>
      <w:r w:rsidR="00783D58" w:rsidRPr="00C90AC9">
        <w:rPr>
          <w:rFonts w:eastAsia="Calibri"/>
          <w:lang w:eastAsia="en-US"/>
        </w:rPr>
        <w:t>.</w:t>
      </w:r>
      <w:r w:rsidR="00EA7380" w:rsidRPr="00C90AC9">
        <w:rPr>
          <w:rFonts w:eastAsia="Calibri"/>
          <w:lang w:eastAsia="en-US"/>
        </w:rPr>
        <w:t xml:space="preserve"> By considering the informed opinions of the </w:t>
      </w:r>
      <w:r w:rsidR="00E82522" w:rsidRPr="00C90AC9">
        <w:rPr>
          <w:rFonts w:eastAsia="Calibri"/>
          <w:lang w:eastAsia="en-US"/>
        </w:rPr>
        <w:t>main</w:t>
      </w:r>
      <w:r w:rsidR="00EA7380" w:rsidRPr="00C90AC9">
        <w:rPr>
          <w:rFonts w:eastAsia="Calibri"/>
          <w:lang w:eastAsia="en-US"/>
        </w:rPr>
        <w:t xml:space="preserve"> actors within the solar thermal panel market</w:t>
      </w:r>
      <w:r w:rsidRPr="00C90AC9">
        <w:rPr>
          <w:rFonts w:eastAsia="Calibri"/>
          <w:lang w:eastAsia="en-US"/>
        </w:rPr>
        <w:t xml:space="preserve"> the perceived benefits of STP’s within the UK can be determined</w:t>
      </w:r>
      <w:r w:rsidR="00783D58" w:rsidRPr="00C90AC9">
        <w:rPr>
          <w:rFonts w:eastAsia="Calibri"/>
          <w:lang w:eastAsia="en-US"/>
        </w:rPr>
        <w:t xml:space="preserve"> </w:t>
      </w:r>
      <w:r w:rsidR="00ED6B26" w:rsidRPr="00C90AC9">
        <w:rPr>
          <w:rFonts w:eastAsia="Calibri"/>
          <w:lang w:eastAsia="en-US"/>
        </w:rPr>
        <w:t xml:space="preserve">resulting in improved suggestions being put for to the STP market </w:t>
      </w:r>
      <w:r w:rsidR="004050BA" w:rsidRPr="00C90AC9">
        <w:rPr>
          <w:rFonts w:eastAsia="Calibri"/>
          <w:lang w:eastAsia="en-US"/>
        </w:rPr>
        <w:fldChar w:fldCharType="begin"/>
      </w:r>
      <w:r w:rsidR="004050BA" w:rsidRPr="00C90AC9">
        <w:rPr>
          <w:rFonts w:eastAsia="Calibri"/>
          <w:lang w:eastAsia="en-US"/>
        </w:rPr>
        <w:instrText xml:space="preserve"> ADDIN EN.CITE &lt;EndNote&gt;&lt;Cite&gt;&lt;Author&gt;Boait&lt;/Author&gt;&lt;Year&gt;2008&lt;/Year&gt;&lt;RecNum&gt;122&lt;/RecNum&gt;&lt;DisplayText&gt;(Boait &amp;amp; et al., 2008)&lt;/DisplayText&gt;&lt;record&gt;&lt;rec-number&gt;122&lt;/rec-number&gt;&lt;foreign-keys&gt;&lt;key app="EN" db-id="50wxdpzd9vd5r7e9t5b595djrfpttrxw9avp" timestamp="1525076334"&gt;122&lt;/key&gt;&lt;/foreign-keys&gt;&lt;ref-type name="Journal Article"&gt;17&lt;/ref-type&gt;&lt;contributors&gt;&lt;authors&gt;&lt;author&gt;Boait, P. J.&lt;/author&gt;&lt;author&gt;et al.,&lt;/author&gt;&lt;/authors&gt;&lt;/contributors&gt;&lt;titles&gt;&lt;title&gt;Production efficiency of hot water for dmoestic use&lt;/title&gt;&lt;secondary-title&gt;Applied Energy&lt;/secondary-title&gt;&lt;short-title&gt;Boait, P. J. et al 2008 – Production efficiency of hot water&lt;/short-title&gt;&lt;/titles&gt;&lt;pages&gt;p. 528-544&lt;/pages&gt;&lt;volume&gt;85&lt;/volume&gt;&lt;number&gt;6&lt;/number&gt;&lt;dates&gt;&lt;year&gt;2008&lt;/year&gt;&lt;/dates&gt;&lt;urls&gt;&lt;/urls&gt;&lt;/record&gt;&lt;/Cite&gt;&lt;/EndNote&gt;</w:instrText>
      </w:r>
      <w:r w:rsidR="004050BA" w:rsidRPr="00C90AC9">
        <w:rPr>
          <w:rFonts w:eastAsia="Calibri"/>
          <w:lang w:eastAsia="en-US"/>
        </w:rPr>
        <w:fldChar w:fldCharType="separate"/>
      </w:r>
      <w:r w:rsidR="004050BA" w:rsidRPr="00C90AC9">
        <w:rPr>
          <w:rFonts w:eastAsia="Calibri"/>
          <w:lang w:eastAsia="en-US"/>
        </w:rPr>
        <w:t xml:space="preserve">(Boait </w:t>
      </w:r>
      <w:r w:rsidR="00EE66A8" w:rsidRPr="00C90AC9">
        <w:rPr>
          <w:rFonts w:eastAsia="Calibri"/>
          <w:lang w:eastAsia="en-US"/>
        </w:rPr>
        <w:t>et al</w:t>
      </w:r>
      <w:r w:rsidR="004050BA" w:rsidRPr="00C90AC9">
        <w:rPr>
          <w:rFonts w:eastAsia="Calibri"/>
          <w:lang w:eastAsia="en-US"/>
        </w:rPr>
        <w:t>., 2008)</w:t>
      </w:r>
      <w:r w:rsidR="004050BA" w:rsidRPr="00C90AC9">
        <w:rPr>
          <w:rFonts w:eastAsia="Calibri"/>
          <w:lang w:eastAsia="en-US"/>
        </w:rPr>
        <w:fldChar w:fldCharType="end"/>
      </w:r>
      <w:r w:rsidRPr="00C90AC9">
        <w:rPr>
          <w:rFonts w:eastAsia="Calibri"/>
          <w:lang w:eastAsia="en-US"/>
        </w:rPr>
        <w:t>.</w:t>
      </w:r>
    </w:p>
    <w:p w:rsidR="00906911" w:rsidRPr="00C90AC9" w:rsidRDefault="00906911">
      <w:pPr>
        <w:rPr>
          <w:rStyle w:val="TitleChar"/>
          <w:rFonts w:asciiTheme="majorBidi" w:eastAsiaTheme="minorEastAsia" w:hAnsiTheme="majorBidi" w:cstheme="minorBidi"/>
          <w:color w:val="000000" w:themeColor="text1"/>
          <w:spacing w:val="0"/>
          <w:kern w:val="0"/>
          <w:sz w:val="72"/>
          <w:szCs w:val="22"/>
        </w:rPr>
      </w:pPr>
      <w:r w:rsidRPr="00C90AC9">
        <w:rPr>
          <w:rStyle w:val="TitleChar"/>
          <w:rFonts w:asciiTheme="majorBidi" w:eastAsiaTheme="minorEastAsia" w:hAnsiTheme="majorBidi" w:cstheme="minorBidi"/>
          <w:color w:val="000000" w:themeColor="text1"/>
          <w:spacing w:val="0"/>
          <w:kern w:val="0"/>
          <w:sz w:val="72"/>
          <w:szCs w:val="22"/>
        </w:rPr>
        <w:br w:type="page"/>
      </w:r>
    </w:p>
    <w:p w:rsidR="007868D9" w:rsidRPr="00C90AC9" w:rsidRDefault="00A16B8C" w:rsidP="00B06779">
      <w:pPr>
        <w:pStyle w:val="Heading11"/>
      </w:pPr>
      <w:r w:rsidRPr="00C90AC9">
        <w:rPr>
          <w:rStyle w:val="TitleChar"/>
          <w:rFonts w:asciiTheme="majorBidi" w:eastAsiaTheme="minorEastAsia" w:hAnsiTheme="majorBidi" w:cstheme="minorBidi"/>
          <w:color w:val="000000" w:themeColor="text1"/>
          <w:spacing w:val="0"/>
          <w:kern w:val="0"/>
          <w:sz w:val="72"/>
          <w:szCs w:val="22"/>
        </w:rPr>
        <w:lastRenderedPageBreak/>
        <w:t>Chapter 2</w:t>
      </w:r>
    </w:p>
    <w:p w:rsidR="00BE097B" w:rsidRPr="00C90AC9" w:rsidRDefault="005F6571" w:rsidP="007574AE">
      <w:pPr>
        <w:pStyle w:val="Subtitle"/>
        <w:jc w:val="center"/>
        <w:rPr>
          <w:rStyle w:val="SubtleEmphasis"/>
          <w:rFonts w:ascii="Times New Roman" w:hAnsi="Times New Roman" w:cs="Times New Roman"/>
          <w:i w:val="0"/>
          <w:sz w:val="24"/>
        </w:rPr>
      </w:pPr>
      <w:r w:rsidRPr="00C90AC9">
        <w:rPr>
          <w:rStyle w:val="SubtleEmphasis"/>
          <w:rFonts w:ascii="Times New Roman" w:hAnsi="Times New Roman" w:cs="Times New Roman"/>
          <w:i w:val="0"/>
          <w:noProof/>
          <w:sz w:val="32"/>
          <w:lang w:eastAsia="en-GB"/>
        </w:rPr>
        <mc:AlternateContent>
          <mc:Choice Requires="wps">
            <w:drawing>
              <wp:anchor distT="0" distB="0" distL="114300" distR="114300" simplePos="0" relativeHeight="251671552" behindDoc="0" locked="0" layoutInCell="1" allowOverlap="1" wp14:anchorId="576C7F51" wp14:editId="785D3CCF">
                <wp:simplePos x="0" y="0"/>
                <wp:positionH relativeFrom="margin">
                  <wp:align>center</wp:align>
                </wp:positionH>
                <wp:positionV relativeFrom="paragraph">
                  <wp:posOffset>370205</wp:posOffset>
                </wp:positionV>
                <wp:extent cx="5819775" cy="1352550"/>
                <wp:effectExtent l="0" t="0" r="28575" b="19050"/>
                <wp:wrapNone/>
                <wp:docPr id="95"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9775" cy="1352550"/>
                        </a:xfrm>
                        <a:prstGeom prst="rect">
                          <a:avLst/>
                        </a:prstGeom>
                        <a:solidFill>
                          <a:srgbClr val="4F81BD">
                            <a:alpha val="20000"/>
                          </a:srgbClr>
                        </a:solidFill>
                        <a:ln w="127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66673F" id="Rectangle 95" o:spid="_x0000_s1026" style="position:absolute;margin-left:0;margin-top:29.15pt;width:458.25pt;height:106.5pt;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" fillcolor="#4f81bd" strokecolor="#4f81bd" strokeweight="1pt">
                <v:fill opacity="13107f"/>
                <v:path arrowok="t"/>
                <w10:wrap anchorx="margin"/>
              </v:rect>
            </w:pict>
          </mc:Fallback>
        </mc:AlternateContent>
      </w:r>
      <w:r w:rsidR="00A16B8C" w:rsidRPr="00C90AC9">
        <w:rPr>
          <w:rStyle w:val="SubtleEmphasis"/>
          <w:rFonts w:ascii="Times New Roman" w:hAnsi="Times New Roman" w:cs="Times New Roman"/>
          <w:i w:val="0"/>
          <w:iCs w:val="0"/>
          <w:sz w:val="32"/>
        </w:rPr>
        <w:t>Literature review</w:t>
      </w:r>
      <w:r w:rsidR="006202A3" w:rsidRPr="00C90AC9">
        <w:rPr>
          <w:rStyle w:val="SubtleEmphasis"/>
          <w:rFonts w:ascii="Times New Roman" w:hAnsi="Times New Roman" w:cs="Times New Roman"/>
          <w:iCs w:val="0"/>
          <w:sz w:val="24"/>
        </w:rPr>
        <w:br/>
      </w:r>
    </w:p>
    <w:p w:rsidR="00900FB9" w:rsidRPr="00C90AC9" w:rsidRDefault="00BE097B" w:rsidP="00B06779">
      <w:pPr>
        <w:pStyle w:val="Subtitle"/>
        <w:rPr>
          <w:rFonts w:ascii="Times New Roman" w:eastAsiaTheme="minorHAnsi" w:hAnsi="Times New Roman" w:cs="Times New Roman"/>
          <w:i w:val="0"/>
        </w:rPr>
      </w:pPr>
      <w:r w:rsidRPr="00C90AC9">
        <w:rPr>
          <w:rFonts w:ascii="Times New Roman" w:eastAsiaTheme="minorHAnsi" w:hAnsi="Times New Roman" w:cs="Times New Roman"/>
          <w:i w:val="0"/>
        </w:rPr>
        <w:t>This chapter is a review of</w:t>
      </w:r>
      <w:r w:rsidR="00A16B8C" w:rsidRPr="00C90AC9">
        <w:rPr>
          <w:rFonts w:ascii="Times New Roman" w:eastAsiaTheme="minorHAnsi" w:hAnsi="Times New Roman" w:cs="Times New Roman"/>
          <w:i w:val="0"/>
        </w:rPr>
        <w:t xml:space="preserve"> recent published literature</w:t>
      </w:r>
      <w:r w:rsidRPr="00C90AC9">
        <w:rPr>
          <w:rFonts w:ascii="Times New Roman" w:eastAsiaTheme="minorHAnsi" w:hAnsi="Times New Roman" w:cs="Times New Roman"/>
          <w:i w:val="0"/>
        </w:rPr>
        <w:t xml:space="preserve"> which pertains to this research and begins </w:t>
      </w:r>
      <w:r w:rsidR="001B3BCB" w:rsidRPr="00C90AC9">
        <w:rPr>
          <w:rFonts w:ascii="Times New Roman" w:eastAsiaTheme="minorHAnsi" w:hAnsi="Times New Roman" w:cs="Times New Roman"/>
          <w:i w:val="0"/>
        </w:rPr>
        <w:t xml:space="preserve">with </w:t>
      </w:r>
      <w:r w:rsidR="00A16B8C" w:rsidRPr="00C90AC9">
        <w:rPr>
          <w:rFonts w:ascii="Times New Roman" w:eastAsiaTheme="minorHAnsi" w:hAnsi="Times New Roman" w:cs="Times New Roman"/>
          <w:i w:val="0"/>
        </w:rPr>
        <w:t>the engineering aspect of this project and then highlights the recent published material</w:t>
      </w:r>
      <w:r w:rsidR="005F6571" w:rsidRPr="00C90AC9">
        <w:rPr>
          <w:rFonts w:ascii="Times New Roman" w:eastAsiaTheme="minorHAnsi" w:hAnsi="Times New Roman" w:cs="Times New Roman"/>
          <w:i w:val="0"/>
        </w:rPr>
        <w:t xml:space="preserve"> concerning </w:t>
      </w:r>
      <w:r w:rsidR="00A16B8C" w:rsidRPr="00C90AC9">
        <w:rPr>
          <w:rFonts w:ascii="Times New Roman" w:eastAsiaTheme="minorHAnsi" w:hAnsi="Times New Roman" w:cs="Times New Roman"/>
          <w:i w:val="0"/>
        </w:rPr>
        <w:t xml:space="preserve">the psychological aspect. The chapter concludes with a summary of the literature and the research opportunities that </w:t>
      </w:r>
      <w:r w:rsidR="008807F5" w:rsidRPr="00C90AC9">
        <w:rPr>
          <w:rFonts w:ascii="Times New Roman" w:eastAsiaTheme="minorHAnsi" w:hAnsi="Times New Roman" w:cs="Times New Roman"/>
          <w:i w:val="0"/>
        </w:rPr>
        <w:t xml:space="preserve">are </w:t>
      </w:r>
      <w:r w:rsidR="00A16B8C" w:rsidRPr="00C90AC9">
        <w:rPr>
          <w:rFonts w:ascii="Times New Roman" w:eastAsiaTheme="minorHAnsi" w:hAnsi="Times New Roman" w:cs="Times New Roman"/>
          <w:i w:val="0"/>
        </w:rPr>
        <w:t xml:space="preserve">available for this </w:t>
      </w:r>
      <w:r w:rsidR="00900FB9" w:rsidRPr="00C90AC9">
        <w:rPr>
          <w:rFonts w:ascii="Times New Roman" w:eastAsiaTheme="minorHAnsi" w:hAnsi="Times New Roman" w:cs="Times New Roman"/>
          <w:i w:val="0"/>
        </w:rPr>
        <w:t>dissertation</w:t>
      </w:r>
      <w:r w:rsidR="00A16B8C" w:rsidRPr="00C90AC9">
        <w:rPr>
          <w:rFonts w:ascii="Times New Roman" w:eastAsiaTheme="minorHAnsi" w:hAnsi="Times New Roman" w:cs="Times New Roman"/>
          <w:i w:val="0"/>
        </w:rPr>
        <w:t>.</w:t>
      </w:r>
    </w:p>
    <w:p w:rsidR="00A16B8C" w:rsidRPr="00C90AC9" w:rsidRDefault="00A16B8C" w:rsidP="00B06779">
      <w:pPr>
        <w:pStyle w:val="Subtitle"/>
        <w:rPr>
          <w:rFonts w:ascii="Times New Roman" w:eastAsiaTheme="minorHAnsi" w:hAnsi="Times New Roman" w:cs="Times New Roman"/>
          <w:i w:val="0"/>
        </w:rPr>
      </w:pPr>
      <w:r w:rsidRPr="00C90AC9">
        <w:rPr>
          <w:rFonts w:ascii="Times New Roman" w:eastAsiaTheme="minorHAnsi" w:hAnsi="Times New Roman" w:cs="Times New Roman"/>
          <w:i w:val="0"/>
        </w:rPr>
        <w:t xml:space="preserve"> </w:t>
      </w:r>
    </w:p>
    <w:p w:rsidR="00BD17E3" w:rsidRPr="00C90AC9" w:rsidRDefault="00BD17E3" w:rsidP="009601D8">
      <w:pPr>
        <w:pStyle w:val="ListParagraph"/>
        <w:ind w:left="390"/>
        <w:rPr>
          <w:rStyle w:val="SubtleEmphasis"/>
          <w:rFonts w:ascii="Times New Roman" w:hAnsi="Times New Roman" w:cs="Times New Roman"/>
          <w:i/>
          <w:vanish/>
          <w:sz w:val="24"/>
          <w:szCs w:val="24"/>
        </w:rPr>
      </w:pPr>
    </w:p>
    <w:p w:rsidR="009601D8" w:rsidRPr="00C90AC9" w:rsidRDefault="009601D8" w:rsidP="00CA6E35">
      <w:pPr>
        <w:pStyle w:val="ListParagraph"/>
        <w:numPr>
          <w:ilvl w:val="0"/>
          <w:numId w:val="24"/>
        </w:numPr>
        <w:contextualSpacing w:val="0"/>
        <w:jc w:val="left"/>
        <w:outlineLvl w:val="0"/>
        <w:rPr>
          <w:rStyle w:val="SubtleEmphasis"/>
          <w:rFonts w:ascii="Times New Roman" w:eastAsiaTheme="minorEastAsia" w:hAnsi="Times New Roman" w:cs="Times New Roman"/>
          <w:bCs/>
          <w:iCs/>
          <w:vanish/>
          <w:color w:val="000000" w:themeColor="text1"/>
          <w:szCs w:val="24"/>
          <w:lang w:eastAsia="en-GB"/>
        </w:rPr>
      </w:pPr>
    </w:p>
    <w:p w:rsidR="00A16B8C" w:rsidRPr="00C90AC9" w:rsidRDefault="00A16B8C" w:rsidP="00CA6E35">
      <w:pPr>
        <w:pStyle w:val="Heading1"/>
        <w:numPr>
          <w:ilvl w:val="1"/>
          <w:numId w:val="24"/>
        </w:numPr>
        <w:rPr>
          <w:rStyle w:val="SubtleEmphasis"/>
          <w:bCs/>
        </w:rPr>
      </w:pPr>
      <w:r w:rsidRPr="00C90AC9">
        <w:rPr>
          <w:rStyle w:val="SubtleEmphasis"/>
          <w:bCs/>
        </w:rPr>
        <w:t>Engineering</w:t>
      </w:r>
      <w:r w:rsidR="00470975" w:rsidRPr="00C90AC9">
        <w:rPr>
          <w:rStyle w:val="SubtleEmphasis"/>
          <w:bCs/>
        </w:rPr>
        <w:t xml:space="preserve"> Literature Review</w:t>
      </w:r>
    </w:p>
    <w:p w:rsidR="00A16B8C" w:rsidRPr="00C90AC9" w:rsidRDefault="00BD17E3" w:rsidP="007574AE">
      <w:pPr>
        <w:pStyle w:val="BodyTextFirstIndent"/>
        <w:spacing w:line="360" w:lineRule="auto"/>
        <w:rPr>
          <w:rFonts w:eastAsiaTheme="majorEastAsia"/>
          <w:lang w:eastAsia="en-US"/>
        </w:rPr>
      </w:pPr>
      <w:bookmarkStart w:id="19" w:name="_Toc447173046"/>
      <w:r w:rsidRPr="00C90AC9">
        <w:rPr>
          <w:rFonts w:eastAsiaTheme="majorEastAsia"/>
          <w:lang w:eastAsia="en-US"/>
        </w:rPr>
        <w:tab/>
      </w:r>
      <w:r w:rsidR="00A16B8C" w:rsidRPr="00C90AC9">
        <w:rPr>
          <w:rFonts w:eastAsiaTheme="majorEastAsia"/>
          <w:lang w:eastAsia="en-US"/>
        </w:rPr>
        <w:t xml:space="preserve">Using the abundant solar energy provided by the </w:t>
      </w:r>
      <w:r w:rsidR="000450FC" w:rsidRPr="00C90AC9">
        <w:rPr>
          <w:rFonts w:eastAsiaTheme="majorEastAsia"/>
          <w:lang w:eastAsia="en-US"/>
        </w:rPr>
        <w:t>sun</w:t>
      </w:r>
      <w:r w:rsidR="00A16B8C" w:rsidRPr="00C90AC9">
        <w:rPr>
          <w:rFonts w:eastAsiaTheme="majorEastAsia"/>
          <w:lang w:eastAsia="en-US"/>
        </w:rPr>
        <w:t xml:space="preserve"> (approximately 1.8 x 10</w:t>
      </w:r>
      <w:r w:rsidR="00A16B8C" w:rsidRPr="00C90AC9">
        <w:rPr>
          <w:rFonts w:eastAsiaTheme="majorEastAsia"/>
          <w:vertAlign w:val="superscript"/>
          <w:lang w:eastAsia="en-US"/>
        </w:rPr>
        <w:t>14</w:t>
      </w:r>
      <w:r w:rsidR="00A16B8C" w:rsidRPr="00C90AC9">
        <w:rPr>
          <w:rFonts w:eastAsiaTheme="majorEastAsia"/>
          <w:vertAlign w:val="subscript"/>
          <w:lang w:eastAsia="en-US"/>
        </w:rPr>
        <w:t xml:space="preserve"> </w:t>
      </w:r>
      <w:r w:rsidR="00A16B8C" w:rsidRPr="00C90AC9">
        <w:rPr>
          <w:rFonts w:eastAsiaTheme="majorEastAsia"/>
          <w:lang w:eastAsia="en-US"/>
        </w:rPr>
        <w:t>kW falling on the Earth (approximately 150 million km from the Earth) is key to this research</w:t>
      </w:r>
      <w:r w:rsidR="004050BA" w:rsidRPr="00C90AC9">
        <w:rPr>
          <w:rFonts w:eastAsiaTheme="majorEastAsia"/>
          <w:lang w:eastAsia="en-US"/>
        </w:rPr>
        <w:t xml:space="preserve">  </w:t>
      </w:r>
      <w:r w:rsidR="004050BA" w:rsidRPr="00C90AC9">
        <w:rPr>
          <w:rFonts w:eastAsiaTheme="majorEastAsia"/>
          <w:lang w:eastAsia="en-US"/>
        </w:rPr>
        <w:fldChar w:fldCharType="begin"/>
      </w:r>
      <w:r w:rsidR="004050BA" w:rsidRPr="00C90AC9">
        <w:rPr>
          <w:rFonts w:eastAsiaTheme="majorEastAsia"/>
          <w:lang w:eastAsia="en-US"/>
        </w:rPr>
        <w:instrText xml:space="preserve"> ADDIN EN.CITE &lt;EndNote&gt;&lt;Cite&gt;&lt;Author&gt;Sahnoune&lt;/Author&gt;&lt;Year&gt;2014&lt;/Year&gt;&lt;RecNum&gt;186&lt;/RecNum&gt;&lt;DisplayText&gt;(Sahnoune &amp;amp; et al., 2014)&lt;/DisplayText&gt;&lt;record&gt;&lt;rec-number&gt;186&lt;/rec-number&gt;&lt;foreign-keys&gt;&lt;key app="EN" db-id="50wxdpzd9vd5r7e9t5b595djrfpttrxw9avp" timestamp="1525076335"&gt;186&lt;/key&gt;&lt;/foreign-keys&gt;&lt;ref-type name="Journal Article"&gt;17&lt;/ref-type&gt;&lt;contributors&gt;&lt;authors&gt;&lt;author&gt;Sahnoune, F., .&lt;/author&gt;&lt;author&gt;et al.,&lt;/author&gt;&lt;/authors&gt;&lt;/contributors&gt;&lt;titles&gt;&lt;title&gt;Comparative Study between Solar and Conventional Heating – Economic Study and Environmental Impact&lt;/title&gt;&lt;secondary-title&gt;Energy Procedia&lt;/secondary-title&gt;&lt;short-title&gt;Sahnoune, F., et al. 2014 – Comparative Study between Solar&lt;/short-title&gt;&lt;/titles&gt;&lt;pages&gt;p. 841–852.&lt;/pages&gt;&lt;volume&gt;50&lt;/volume&gt;&lt;dates&gt;&lt;year&gt;2014&lt;/year&gt;&lt;/dates&gt;&lt;urls&gt;&lt;/urls&gt;&lt;/record&gt;&lt;/Cite&gt;&lt;/EndNote&gt;</w:instrText>
      </w:r>
      <w:r w:rsidR="004050BA" w:rsidRPr="00C90AC9">
        <w:rPr>
          <w:rFonts w:eastAsiaTheme="majorEastAsia"/>
          <w:lang w:eastAsia="en-US"/>
        </w:rPr>
        <w:fldChar w:fldCharType="separate"/>
      </w:r>
      <w:r w:rsidR="004050BA" w:rsidRPr="00C90AC9">
        <w:rPr>
          <w:rFonts w:eastAsiaTheme="majorEastAsia"/>
          <w:lang w:eastAsia="en-US"/>
        </w:rPr>
        <w:t xml:space="preserve">(Sahnoune </w:t>
      </w:r>
      <w:r w:rsidR="00EE66A8" w:rsidRPr="00C90AC9">
        <w:rPr>
          <w:rFonts w:eastAsiaTheme="majorEastAsia"/>
          <w:lang w:eastAsia="en-US"/>
        </w:rPr>
        <w:t>et al</w:t>
      </w:r>
      <w:r w:rsidR="004050BA" w:rsidRPr="00C90AC9">
        <w:rPr>
          <w:rFonts w:eastAsiaTheme="majorEastAsia"/>
          <w:lang w:eastAsia="en-US"/>
        </w:rPr>
        <w:t>., 2014)</w:t>
      </w:r>
      <w:r w:rsidR="004050BA" w:rsidRPr="00C90AC9">
        <w:rPr>
          <w:rFonts w:eastAsiaTheme="majorEastAsia"/>
          <w:lang w:eastAsia="en-US"/>
        </w:rPr>
        <w:fldChar w:fldCharType="end"/>
      </w:r>
      <w:r w:rsidR="00A16B8C" w:rsidRPr="00C90AC9">
        <w:rPr>
          <w:rFonts w:eastAsiaTheme="majorEastAsia"/>
          <w:lang w:eastAsia="en-US"/>
        </w:rPr>
        <w:t>. The amount of radiation that reaches the surface of the Earth is about 60% of thi</w:t>
      </w:r>
      <w:r w:rsidR="00ED6B26" w:rsidRPr="00C90AC9">
        <w:rPr>
          <w:rFonts w:eastAsiaTheme="majorEastAsia"/>
          <w:lang w:eastAsia="en-US"/>
        </w:rPr>
        <w:t xml:space="preserve">s value, which equates to approximately </w:t>
      </w:r>
      <w:r w:rsidR="00A16B8C" w:rsidRPr="00C90AC9">
        <w:rPr>
          <w:rFonts w:eastAsiaTheme="majorEastAsia"/>
          <w:lang w:eastAsia="en-US"/>
        </w:rPr>
        <w:t>0</w:t>
      </w:r>
      <w:r w:rsidR="00ED6B26" w:rsidRPr="00C90AC9">
        <w:rPr>
          <w:rFonts w:eastAsiaTheme="majorEastAsia"/>
          <w:lang w:eastAsia="en-US"/>
        </w:rPr>
        <w:t>.</w:t>
      </w:r>
      <w:r w:rsidR="00A16B8C" w:rsidRPr="00C90AC9">
        <w:rPr>
          <w:rFonts w:eastAsiaTheme="majorEastAsia"/>
          <w:lang w:eastAsia="en-US"/>
        </w:rPr>
        <w:t>8 x 10</w:t>
      </w:r>
      <w:r w:rsidR="00A16B8C" w:rsidRPr="00C90AC9">
        <w:rPr>
          <w:rFonts w:eastAsiaTheme="majorEastAsia"/>
          <w:vertAlign w:val="superscript"/>
          <w:lang w:eastAsia="en-US"/>
        </w:rPr>
        <w:t>14</w:t>
      </w:r>
      <w:r w:rsidR="00ED6B26" w:rsidRPr="00C90AC9">
        <w:rPr>
          <w:rFonts w:eastAsiaTheme="majorEastAsia"/>
          <w:lang w:eastAsia="en-US"/>
        </w:rPr>
        <w:t xml:space="preserve"> kW.</w:t>
      </w:r>
      <w:r w:rsidR="00A16B8C" w:rsidRPr="00C90AC9">
        <w:rPr>
          <w:rFonts w:eastAsiaTheme="majorEastAsia"/>
          <w:lang w:eastAsia="en-US"/>
        </w:rPr>
        <w:t xml:space="preserve"> </w:t>
      </w:r>
      <w:r w:rsidR="00ED6B26" w:rsidRPr="00C90AC9">
        <w:rPr>
          <w:rFonts w:eastAsiaTheme="majorEastAsia"/>
          <w:lang w:eastAsia="en-US"/>
        </w:rPr>
        <w:t>T</w:t>
      </w:r>
      <w:r w:rsidR="00A16B8C" w:rsidRPr="00C90AC9">
        <w:rPr>
          <w:rFonts w:eastAsiaTheme="majorEastAsia"/>
          <w:lang w:eastAsia="en-US"/>
        </w:rPr>
        <w:t xml:space="preserve">he rest </w:t>
      </w:r>
      <w:r w:rsidR="00ED6B26" w:rsidRPr="00C90AC9">
        <w:rPr>
          <w:rFonts w:eastAsiaTheme="majorEastAsia"/>
          <w:lang w:eastAsia="en-US"/>
        </w:rPr>
        <w:t xml:space="preserve">is either </w:t>
      </w:r>
      <w:r w:rsidR="00A16B8C" w:rsidRPr="00C90AC9">
        <w:rPr>
          <w:rFonts w:eastAsiaTheme="majorEastAsia"/>
          <w:lang w:eastAsia="en-US"/>
        </w:rPr>
        <w:t xml:space="preserve">absorbed by the atmosphere or reradiated away from </w:t>
      </w:r>
      <w:r w:rsidR="00ED6B26" w:rsidRPr="00C90AC9">
        <w:rPr>
          <w:rFonts w:eastAsiaTheme="majorEastAsia"/>
          <w:lang w:eastAsia="en-US"/>
        </w:rPr>
        <w:t xml:space="preserve">the </w:t>
      </w:r>
      <w:r w:rsidR="00A16B8C" w:rsidRPr="00C90AC9">
        <w:rPr>
          <w:rFonts w:eastAsiaTheme="majorEastAsia"/>
          <w:lang w:eastAsia="en-US"/>
        </w:rPr>
        <w:t xml:space="preserve">Earth </w:t>
      </w:r>
      <w:r w:rsidR="004050BA" w:rsidRPr="00C90AC9">
        <w:rPr>
          <w:rFonts w:eastAsiaTheme="majorEastAsia"/>
          <w:lang w:eastAsia="en-US"/>
        </w:rPr>
        <w:fldChar w:fldCharType="begin"/>
      </w:r>
      <w:r w:rsidR="004050BA" w:rsidRPr="00C90AC9">
        <w:rPr>
          <w:rFonts w:eastAsiaTheme="majorEastAsia"/>
          <w:lang w:eastAsia="en-US"/>
        </w:rPr>
        <w:instrText xml:space="preserve"> ADDIN EN.CITE &lt;EndNote&gt;&lt;Cite&gt;&lt;Author&gt;Sahnoune&lt;/Author&gt;&lt;Year&gt;2014&lt;/Year&gt;&lt;RecNum&gt;186&lt;/RecNum&gt;&lt;DisplayText&gt;(Sahnoune &amp;amp; et al., 2014)&lt;/DisplayText&gt;&lt;record&gt;&lt;rec-number&gt;186&lt;/rec-number&gt;&lt;foreign-keys&gt;&lt;key app="EN" db-id="50wxdpzd9vd5r7e9t5b595djrfpttrxw9avp" timestamp="1525076335"&gt;186&lt;/key&gt;&lt;/foreign-keys&gt;&lt;ref-type name="Journal Article"&gt;17&lt;/ref-type&gt;&lt;contributors&gt;&lt;authors&gt;&lt;author&gt;Sahnoune, F., .&lt;/author&gt;&lt;author&gt;et al.,&lt;/author&gt;&lt;/authors&gt;&lt;/contributors&gt;&lt;titles&gt;&lt;title&gt;Comparative Study between Solar and Conventional Heating – Economic Study and Environmental Impact&lt;/title&gt;&lt;secondary-title&gt;Energy Procedia&lt;/secondary-title&gt;&lt;short-title&gt;Sahnoune, F., et al. 2014 – Comparative Study between Solar&lt;/short-title&gt;&lt;/titles&gt;&lt;pages&gt;p. 841–852.&lt;/pages&gt;&lt;volume&gt;50&lt;/volume&gt;&lt;dates&gt;&lt;year&gt;2014&lt;/year&gt;&lt;/dates&gt;&lt;urls&gt;&lt;/urls&gt;&lt;/record&gt;&lt;/Cite&gt;&lt;/EndNote&gt;</w:instrText>
      </w:r>
      <w:r w:rsidR="004050BA" w:rsidRPr="00C90AC9">
        <w:rPr>
          <w:rFonts w:eastAsiaTheme="majorEastAsia"/>
          <w:lang w:eastAsia="en-US"/>
        </w:rPr>
        <w:fldChar w:fldCharType="separate"/>
      </w:r>
      <w:r w:rsidR="004050BA" w:rsidRPr="00C90AC9">
        <w:rPr>
          <w:rFonts w:eastAsiaTheme="majorEastAsia"/>
          <w:lang w:eastAsia="en-US"/>
        </w:rPr>
        <w:t xml:space="preserve">(Sahnoune </w:t>
      </w:r>
      <w:r w:rsidR="00EE66A8" w:rsidRPr="00C90AC9">
        <w:rPr>
          <w:rFonts w:eastAsiaTheme="majorEastAsia"/>
          <w:lang w:eastAsia="en-US"/>
        </w:rPr>
        <w:t>et al</w:t>
      </w:r>
      <w:r w:rsidR="004050BA" w:rsidRPr="00C90AC9">
        <w:rPr>
          <w:rFonts w:eastAsiaTheme="majorEastAsia"/>
          <w:lang w:eastAsia="en-US"/>
        </w:rPr>
        <w:t>., 2014)</w:t>
      </w:r>
      <w:r w:rsidR="004050BA" w:rsidRPr="00C90AC9">
        <w:rPr>
          <w:rFonts w:eastAsiaTheme="majorEastAsia"/>
          <w:lang w:eastAsia="en-US"/>
        </w:rPr>
        <w:fldChar w:fldCharType="end"/>
      </w:r>
      <w:r w:rsidR="004050BA" w:rsidRPr="00C90AC9">
        <w:rPr>
          <w:rFonts w:eastAsiaTheme="majorEastAsia"/>
          <w:lang w:eastAsia="en-US"/>
        </w:rPr>
        <w:t xml:space="preserve">. </w:t>
      </w:r>
      <w:r w:rsidR="00A16B8C" w:rsidRPr="00C90AC9">
        <w:rPr>
          <w:rFonts w:eastAsiaTheme="majorEastAsia"/>
          <w:lang w:eastAsia="en-US"/>
        </w:rPr>
        <w:t>At a conversion rate of 10%</w:t>
      </w:r>
      <w:r w:rsidR="00ED6B26" w:rsidRPr="00C90AC9">
        <w:rPr>
          <w:rFonts w:eastAsiaTheme="majorEastAsia"/>
          <w:lang w:eastAsia="en-US"/>
        </w:rPr>
        <w:t xml:space="preserve"> </w:t>
      </w:r>
      <w:r w:rsidR="00A16B8C" w:rsidRPr="00C90AC9">
        <w:rPr>
          <w:rFonts w:eastAsiaTheme="majorEastAsia"/>
          <w:lang w:eastAsia="en-US"/>
        </w:rPr>
        <w:t>of this radiation</w:t>
      </w:r>
      <w:r w:rsidR="00ED6B26" w:rsidRPr="00C90AC9">
        <w:rPr>
          <w:rFonts w:eastAsiaTheme="majorEastAsia"/>
          <w:lang w:eastAsia="en-US"/>
        </w:rPr>
        <w:t>, this</w:t>
      </w:r>
      <w:r w:rsidR="00A16B8C" w:rsidRPr="00C90AC9">
        <w:rPr>
          <w:rFonts w:eastAsiaTheme="majorEastAsia"/>
          <w:lang w:eastAsia="en-US"/>
        </w:rPr>
        <w:t xml:space="preserve"> is equivalent to four times the global generating capacity </w:t>
      </w:r>
      <w:r w:rsidR="004050BA" w:rsidRPr="00C90AC9">
        <w:rPr>
          <w:rFonts w:eastAsiaTheme="majorEastAsia"/>
          <w:lang w:eastAsia="en-US"/>
        </w:rPr>
        <w:fldChar w:fldCharType="begin"/>
      </w:r>
      <w:r w:rsidR="004050BA" w:rsidRPr="00C90AC9">
        <w:rPr>
          <w:rFonts w:eastAsiaTheme="majorEastAsia"/>
          <w:lang w:eastAsia="en-US"/>
        </w:rPr>
        <w:instrText xml:space="preserve"> ADDIN EN.CITE &lt;EndNote&gt;&lt;Cite&gt;&lt;Author&gt;Sahnoune&lt;/Author&gt;&lt;Year&gt;2014&lt;/Year&gt;&lt;RecNum&gt;186&lt;/RecNum&gt;&lt;DisplayText&gt;(Sahnoune &amp;amp; et al., 2014)&lt;/DisplayText&gt;&lt;record&gt;&lt;rec-number&gt;186&lt;/rec-number&gt;&lt;foreign-keys&gt;&lt;key app="EN" db-id="50wxdpzd9vd5r7e9t5b595djrfpttrxw9avp" timestamp="1525076335"&gt;186&lt;/key&gt;&lt;/foreign-keys&gt;&lt;ref-type name="Journal Article"&gt;17&lt;/ref-type&gt;&lt;contributors&gt;&lt;authors&gt;&lt;author&gt;Sahnoune, F., .&lt;/author&gt;&lt;author&gt;et al.,&lt;/author&gt;&lt;/authors&gt;&lt;/contributors&gt;&lt;titles&gt;&lt;title&gt;Comparative Study between Solar and Conventional Heating – Economic Study and Environmental Impact&lt;/title&gt;&lt;secondary-title&gt;Energy Procedia&lt;/secondary-title&gt;&lt;short-title&gt;Sahnoune, F., et al. 2014 – Comparative Study between Solar&lt;/short-title&gt;&lt;/titles&gt;&lt;pages&gt;p. 841–852.&lt;/pages&gt;&lt;volume&gt;50&lt;/volume&gt;&lt;dates&gt;&lt;year&gt;2014&lt;/year&gt;&lt;/dates&gt;&lt;urls&gt;&lt;/urls&gt;&lt;/record&gt;&lt;/Cite&gt;&lt;/EndNote&gt;</w:instrText>
      </w:r>
      <w:r w:rsidR="004050BA" w:rsidRPr="00C90AC9">
        <w:rPr>
          <w:rFonts w:eastAsiaTheme="majorEastAsia"/>
          <w:lang w:eastAsia="en-US"/>
        </w:rPr>
        <w:fldChar w:fldCharType="separate"/>
      </w:r>
      <w:r w:rsidR="004050BA" w:rsidRPr="00C90AC9">
        <w:rPr>
          <w:rFonts w:eastAsiaTheme="majorEastAsia"/>
          <w:lang w:eastAsia="en-US"/>
        </w:rPr>
        <w:t xml:space="preserve">(Sahnoune </w:t>
      </w:r>
      <w:r w:rsidR="00EE66A8" w:rsidRPr="00C90AC9">
        <w:rPr>
          <w:rFonts w:eastAsiaTheme="majorEastAsia"/>
          <w:lang w:eastAsia="en-US"/>
        </w:rPr>
        <w:t>et al</w:t>
      </w:r>
      <w:r w:rsidR="004050BA" w:rsidRPr="00C90AC9">
        <w:rPr>
          <w:rFonts w:eastAsiaTheme="majorEastAsia"/>
          <w:lang w:eastAsia="en-US"/>
        </w:rPr>
        <w:t>., 2014)</w:t>
      </w:r>
      <w:r w:rsidR="004050BA" w:rsidRPr="00C90AC9">
        <w:rPr>
          <w:rFonts w:eastAsiaTheme="majorEastAsia"/>
          <w:lang w:eastAsia="en-US"/>
        </w:rPr>
        <w:fldChar w:fldCharType="end"/>
      </w:r>
      <w:r w:rsidR="004050BA" w:rsidRPr="00C90AC9">
        <w:rPr>
          <w:rFonts w:eastAsiaTheme="majorEastAsia"/>
          <w:lang w:eastAsia="en-US"/>
        </w:rPr>
        <w:t>.</w:t>
      </w:r>
      <w:r w:rsidR="00A16B8C" w:rsidRPr="00C90AC9">
        <w:rPr>
          <w:rFonts w:eastAsiaTheme="majorEastAsia"/>
          <w:lang w:eastAsia="en-US"/>
        </w:rPr>
        <w:t xml:space="preserve"> Within the UK approximately 27% - 32% of final energy consumption is demanded in the residential sector with a corresponding proportion of </w:t>
      </w:r>
      <w:r w:rsidR="007E00BF" w:rsidRPr="00C90AC9">
        <w:rPr>
          <w:rFonts w:eastAsia="Calibri"/>
          <w:lang w:eastAsia="en-US"/>
        </w:rPr>
        <w:t>CO</w:t>
      </w:r>
      <w:r w:rsidR="007E00BF" w:rsidRPr="00C90AC9">
        <w:rPr>
          <w:rFonts w:eastAsia="Calibri"/>
          <w:vertAlign w:val="subscript"/>
          <w:lang w:eastAsia="en-US"/>
        </w:rPr>
        <w:t>2</w:t>
      </w:r>
      <w:r w:rsidR="00A16B8C" w:rsidRPr="00C90AC9">
        <w:rPr>
          <w:rFonts w:eastAsiaTheme="majorEastAsia"/>
          <w:lang w:eastAsia="en-US"/>
        </w:rPr>
        <w:t xml:space="preserve"> emissions</w:t>
      </w:r>
      <w:r w:rsidR="004050BA" w:rsidRPr="00C90AC9">
        <w:rPr>
          <w:rFonts w:eastAsiaTheme="majorEastAsia"/>
          <w:lang w:eastAsia="en-US"/>
        </w:rPr>
        <w:t xml:space="preserve"> </w:t>
      </w:r>
      <w:r w:rsidR="004050BA" w:rsidRPr="00C90AC9">
        <w:rPr>
          <w:rFonts w:eastAsiaTheme="majorEastAsia"/>
          <w:lang w:eastAsia="en-US"/>
        </w:rPr>
        <w:fldChar w:fldCharType="begin"/>
      </w:r>
      <w:r w:rsidR="004050BA" w:rsidRPr="00C90AC9">
        <w:rPr>
          <w:rFonts w:eastAsiaTheme="majorEastAsia"/>
          <w:lang w:eastAsia="en-US"/>
        </w:rPr>
        <w:instrText xml:space="preserve"> ADDIN EN.CITE &lt;EndNote&gt;&lt;Cite&gt;&lt;Author&gt;Boait&lt;/Author&gt;&lt;Year&gt;2008&lt;/Year&gt;&lt;RecNum&gt;122&lt;/RecNum&gt;&lt;DisplayText&gt;(Boait &amp;amp; et al., 2008)&lt;/DisplayText&gt;&lt;record&gt;&lt;rec-number&gt;122&lt;/rec-number&gt;&lt;foreign-keys&gt;&lt;key app="EN" db-id="50wxdpzd9vd5r7e9t5b595djrfpttrxw9avp" timestamp="1525076334"&gt;122&lt;/key&gt;&lt;/foreign-keys&gt;&lt;ref-type name="Journal Article"&gt;17&lt;/ref-type&gt;&lt;contributors&gt;&lt;authors&gt;&lt;author&gt;Boait, P. J.&lt;/author&gt;&lt;author&gt;et al.,&lt;/author&gt;&lt;/authors&gt;&lt;/contributors&gt;&lt;titles&gt;&lt;title&gt;Production efficiency of hot water for dmoestic use&lt;/title&gt;&lt;secondary-title&gt;Applied Energy&lt;/secondary-title&gt;&lt;short-title&gt;Boait, P. J. et al 2008 – Production efficiency of hot water&lt;/short-title&gt;&lt;/titles&gt;&lt;pages&gt;p. 528-544&lt;/pages&gt;&lt;volume&gt;85&lt;/volume&gt;&lt;number&gt;6&lt;/number&gt;&lt;dates&gt;&lt;year&gt;2008&lt;/year&gt;&lt;/dates&gt;&lt;urls&gt;&lt;/urls&gt;&lt;/record&gt;&lt;/Cite&gt;&lt;/EndNote&gt;</w:instrText>
      </w:r>
      <w:r w:rsidR="004050BA" w:rsidRPr="00C90AC9">
        <w:rPr>
          <w:rFonts w:eastAsiaTheme="majorEastAsia"/>
          <w:lang w:eastAsia="en-US"/>
        </w:rPr>
        <w:fldChar w:fldCharType="separate"/>
      </w:r>
      <w:r w:rsidR="004050BA" w:rsidRPr="00C90AC9">
        <w:rPr>
          <w:rFonts w:eastAsiaTheme="majorEastAsia"/>
          <w:lang w:eastAsia="en-US"/>
        </w:rPr>
        <w:t xml:space="preserve">(Boait </w:t>
      </w:r>
      <w:r w:rsidR="00EE66A8" w:rsidRPr="00C90AC9">
        <w:rPr>
          <w:rFonts w:eastAsiaTheme="majorEastAsia"/>
          <w:lang w:eastAsia="en-US"/>
        </w:rPr>
        <w:t>et al</w:t>
      </w:r>
      <w:r w:rsidR="004050BA" w:rsidRPr="00C90AC9">
        <w:rPr>
          <w:rFonts w:eastAsiaTheme="majorEastAsia"/>
          <w:lang w:eastAsia="en-US"/>
        </w:rPr>
        <w:t>., 2008)</w:t>
      </w:r>
      <w:r w:rsidR="004050BA" w:rsidRPr="00C90AC9">
        <w:rPr>
          <w:rFonts w:eastAsiaTheme="majorEastAsia"/>
          <w:lang w:eastAsia="en-US"/>
        </w:rPr>
        <w:fldChar w:fldCharType="end"/>
      </w:r>
      <w:r w:rsidR="00A16B8C" w:rsidRPr="00C90AC9">
        <w:rPr>
          <w:rFonts w:eastAsiaTheme="majorEastAsia"/>
          <w:lang w:eastAsia="en-US"/>
        </w:rPr>
        <w:t xml:space="preserve">. </w:t>
      </w:r>
      <w:r w:rsidR="004050BA" w:rsidRPr="00C90AC9">
        <w:rPr>
          <w:rFonts w:eastAsiaTheme="majorEastAsia"/>
          <w:lang w:eastAsia="en-US"/>
        </w:rPr>
        <w:t>The</w:t>
      </w:r>
      <w:r w:rsidR="00A16B8C" w:rsidRPr="00C90AC9">
        <w:rPr>
          <w:rFonts w:eastAsiaTheme="majorEastAsia"/>
          <w:lang w:eastAsia="en-US"/>
        </w:rPr>
        <w:t xml:space="preserve"> UK is obligated to reduce </w:t>
      </w:r>
      <w:r w:rsidR="007E00BF" w:rsidRPr="00C90AC9">
        <w:rPr>
          <w:rFonts w:eastAsia="Calibri"/>
          <w:lang w:eastAsia="en-US"/>
        </w:rPr>
        <w:t>CO</w:t>
      </w:r>
      <w:r w:rsidR="007E00BF" w:rsidRPr="00C90AC9">
        <w:rPr>
          <w:rFonts w:eastAsia="Calibri"/>
          <w:vertAlign w:val="subscript"/>
          <w:lang w:eastAsia="en-US"/>
        </w:rPr>
        <w:t>2</w:t>
      </w:r>
      <w:r w:rsidR="00A16B8C" w:rsidRPr="00C90AC9">
        <w:rPr>
          <w:rFonts w:eastAsiaTheme="majorEastAsia"/>
          <w:lang w:eastAsia="en-US"/>
        </w:rPr>
        <w:t xml:space="preserve"> emissions by 80% by 2050 with zero emissions from the housing sector </w:t>
      </w:r>
      <w:r w:rsidR="004050BA" w:rsidRPr="00C90AC9">
        <w:rPr>
          <w:rFonts w:eastAsiaTheme="majorEastAsia"/>
          <w:lang w:eastAsia="en-US"/>
        </w:rPr>
        <w:fldChar w:fldCharType="begin"/>
      </w:r>
      <w:r w:rsidR="004050BA" w:rsidRPr="00C90AC9">
        <w:rPr>
          <w:rFonts w:eastAsiaTheme="majorEastAsia"/>
          <w:lang w:eastAsia="en-US"/>
        </w:rPr>
        <w:instrText xml:space="preserve"> ADDIN EN.CITE &lt;EndNote&gt;&lt;Cite&gt;&lt;Author&gt;Boait&lt;/Author&gt;&lt;Year&gt;2008&lt;/Year&gt;&lt;RecNum&gt;122&lt;/RecNum&gt;&lt;DisplayText&gt;(Boait &amp;amp; et al., 2008)&lt;/DisplayText&gt;&lt;record&gt;&lt;rec-number&gt;122&lt;/rec-number&gt;&lt;foreign-keys&gt;&lt;key app="EN" db-id="50wxdpzd9vd5r7e9t5b595djrfpttrxw9avp" timestamp="1525076334"&gt;122&lt;/key&gt;&lt;/foreign-keys&gt;&lt;ref-type name="Journal Article"&gt;17&lt;/ref-type&gt;&lt;contributors&gt;&lt;authors&gt;&lt;author&gt;Boait, P. J.&lt;/author&gt;&lt;author&gt;et al.,&lt;/author&gt;&lt;/authors&gt;&lt;/contributors&gt;&lt;titles&gt;&lt;title&gt;Production efficiency of hot water for dmoestic use&lt;/title&gt;&lt;secondary-title&gt;Applied Energy&lt;/secondary-title&gt;&lt;short-title&gt;Boait, P. J. et al 2008 – Production efficiency of hot water&lt;/short-title&gt;&lt;/titles&gt;&lt;pages&gt;p. 528-544&lt;/pages&gt;&lt;volume&gt;85&lt;/volume&gt;&lt;number&gt;6&lt;/number&gt;&lt;dates&gt;&lt;year&gt;2008&lt;/year&gt;&lt;/dates&gt;&lt;urls&gt;&lt;/urls&gt;&lt;/record&gt;&lt;/Cite&gt;&lt;/EndNote&gt;</w:instrText>
      </w:r>
      <w:r w:rsidR="004050BA" w:rsidRPr="00C90AC9">
        <w:rPr>
          <w:rFonts w:eastAsiaTheme="majorEastAsia"/>
          <w:lang w:eastAsia="en-US"/>
        </w:rPr>
        <w:fldChar w:fldCharType="separate"/>
      </w:r>
      <w:r w:rsidR="004050BA" w:rsidRPr="00C90AC9">
        <w:rPr>
          <w:rFonts w:eastAsiaTheme="majorEastAsia"/>
          <w:lang w:eastAsia="en-US"/>
        </w:rPr>
        <w:t xml:space="preserve">(Boait </w:t>
      </w:r>
      <w:r w:rsidR="00EE66A8" w:rsidRPr="00C90AC9">
        <w:rPr>
          <w:rFonts w:eastAsiaTheme="majorEastAsia"/>
          <w:lang w:eastAsia="en-US"/>
        </w:rPr>
        <w:t>et al</w:t>
      </w:r>
      <w:r w:rsidR="004050BA" w:rsidRPr="00C90AC9">
        <w:rPr>
          <w:rFonts w:eastAsiaTheme="majorEastAsia"/>
          <w:lang w:eastAsia="en-US"/>
        </w:rPr>
        <w:t>., 2008)</w:t>
      </w:r>
      <w:r w:rsidR="004050BA" w:rsidRPr="00C90AC9">
        <w:rPr>
          <w:rFonts w:eastAsiaTheme="majorEastAsia"/>
          <w:lang w:eastAsia="en-US"/>
        </w:rPr>
        <w:fldChar w:fldCharType="end"/>
      </w:r>
      <w:r w:rsidR="004050BA" w:rsidRPr="00C90AC9">
        <w:rPr>
          <w:rFonts w:eastAsiaTheme="majorEastAsia"/>
          <w:lang w:eastAsia="en-US"/>
        </w:rPr>
        <w:t>.</w:t>
      </w:r>
      <w:r w:rsidR="001B3BCB" w:rsidRPr="00C90AC9">
        <w:rPr>
          <w:rFonts w:eastAsiaTheme="majorEastAsia"/>
          <w:lang w:eastAsia="en-US"/>
        </w:rPr>
        <w:t xml:space="preserve"> </w:t>
      </w:r>
      <w:r w:rsidR="00A16B8C" w:rsidRPr="00C90AC9">
        <w:rPr>
          <w:rFonts w:eastAsiaTheme="majorEastAsia"/>
          <w:lang w:eastAsia="en-US"/>
        </w:rPr>
        <w:t>Assessing water heating to achieve these targets is a shrewd project as water heating in the UK accounts for approximately 16% of domestic energy consumption and approximately 13% of domesti</w:t>
      </w:r>
      <w:r w:rsidR="004050BA" w:rsidRPr="00C90AC9">
        <w:rPr>
          <w:rFonts w:eastAsiaTheme="majorEastAsia"/>
          <w:lang w:eastAsia="en-US"/>
        </w:rPr>
        <w:t>c ener</w:t>
      </w:r>
      <w:r w:rsidR="001B3BCB" w:rsidRPr="00C90AC9">
        <w:rPr>
          <w:rFonts w:eastAsiaTheme="majorEastAsia"/>
          <w:lang w:eastAsia="en-US"/>
        </w:rPr>
        <w:t>gy expenditure as Figure 1.7.</w:t>
      </w:r>
      <w:r w:rsidR="00A16B8C" w:rsidRPr="00C90AC9">
        <w:rPr>
          <w:rFonts w:eastAsiaTheme="majorEastAsia"/>
          <w:lang w:eastAsia="en-US"/>
        </w:rPr>
        <w:t xml:space="preserve"> shows </w:t>
      </w:r>
      <w:bookmarkEnd w:id="19"/>
      <w:r w:rsidR="004050BA" w:rsidRPr="00C90AC9">
        <w:rPr>
          <w:rFonts w:eastAsiaTheme="majorEastAsia"/>
          <w:lang w:eastAsia="en-US"/>
        </w:rPr>
        <w:fldChar w:fldCharType="begin"/>
      </w:r>
      <w:r w:rsidR="004050BA" w:rsidRPr="00C90AC9">
        <w:rPr>
          <w:rFonts w:eastAsiaTheme="majorEastAsia"/>
          <w:lang w:eastAsia="en-US"/>
        </w:rPr>
        <w:instrText xml:space="preserve"> ADDIN EN.CITE &lt;EndNote&gt;&lt;Cite&gt;&lt;Author&gt;Faiers&lt;/Author&gt;&lt;Year&gt;2006&lt;/Year&gt;&lt;RecNum&gt;209&lt;/RecNum&gt;&lt;DisplayText&gt;(Adam Faiers &amp;amp; Charles Neame, 2006)&lt;/DisplayText&gt;&lt;record&gt;&lt;rec-number&gt;209&lt;/rec-number&gt;&lt;foreign-keys&gt;&lt;key app="EN" db-id="50wxdpzd9vd5r7e9t5b595djrfpttrxw9avp" timestamp="1525464469"&gt;209&lt;/key&gt;&lt;/foreign-keys&gt;&lt;ref-type name="Journal Article"&gt;17&lt;/ref-type&gt;&lt;contributors&gt;&lt;authors&gt;&lt;author&gt;Faiers, Adam&lt;/author&gt;&lt;author&gt;Neame, Charles&lt;/author&gt;&lt;/authors&gt;&lt;/contributors&gt;&lt;titles&gt;&lt;title&gt;Consumer attitudes towards domestic solar power systems&lt;/title&gt;&lt;secondary-title&gt;Energy Policy&lt;/secondary-title&gt;&lt;/titles&gt;&lt;pages&gt;1797-1806&lt;/pages&gt;&lt;volume&gt;34&lt;/volume&gt;&lt;number&gt;14&lt;/number&gt;&lt;keywords&gt;&lt;keyword&gt;Solar power&lt;/keyword&gt;&lt;keyword&gt;Innovation adoption&lt;/keyword&gt;&lt;keyword&gt;Consumer perceptions&lt;/keyword&gt;&lt;/keywords&gt;&lt;dates&gt;&lt;year&gt;2006&lt;/year&gt;&lt;pub-dates&gt;&lt;date&gt;2006/09/01/&lt;/date&gt;&lt;/pub-dates&gt;&lt;/dates&gt;&lt;isbn&gt;0301-4215&lt;/isbn&gt;&lt;urls&gt;&lt;related-urls&gt;&lt;url&gt;http://www.sciencedirect.com/science/article/pii/S0301421505000121&lt;/url&gt;&lt;/related-urls&gt;&lt;/urls&gt;&lt;electronic-resource-num&gt;https://doi.org/10.1016/j.enpol.2005.01.001&lt;/electronic-resource-num&gt;&lt;/record&gt;&lt;/Cite&gt;&lt;/EndNote&gt;</w:instrText>
      </w:r>
      <w:r w:rsidR="004050BA" w:rsidRPr="00C90AC9">
        <w:rPr>
          <w:rFonts w:eastAsiaTheme="majorEastAsia"/>
          <w:lang w:eastAsia="en-US"/>
        </w:rPr>
        <w:fldChar w:fldCharType="separate"/>
      </w:r>
      <w:r w:rsidR="004050BA" w:rsidRPr="00C90AC9">
        <w:rPr>
          <w:rFonts w:eastAsiaTheme="majorEastAsia"/>
          <w:lang w:eastAsia="en-US"/>
        </w:rPr>
        <w:t>(</w:t>
      </w:r>
      <w:r w:rsidR="00432861" w:rsidRPr="00C90AC9">
        <w:rPr>
          <w:rFonts w:eastAsiaTheme="majorEastAsia"/>
          <w:lang w:eastAsia="en-US"/>
        </w:rPr>
        <w:t xml:space="preserve">A. </w:t>
      </w:r>
      <w:r w:rsidR="0038131A" w:rsidRPr="00C90AC9">
        <w:rPr>
          <w:rFonts w:eastAsiaTheme="majorEastAsia"/>
          <w:lang w:eastAsia="en-US"/>
        </w:rPr>
        <w:t>Faiers</w:t>
      </w:r>
      <w:r w:rsidR="00BA7307" w:rsidRPr="00C90AC9">
        <w:rPr>
          <w:rFonts w:eastAsiaTheme="majorEastAsia"/>
          <w:lang w:eastAsia="en-US"/>
        </w:rPr>
        <w:t xml:space="preserve"> </w:t>
      </w:r>
      <w:r w:rsidR="004050BA" w:rsidRPr="00C90AC9">
        <w:rPr>
          <w:rFonts w:eastAsiaTheme="majorEastAsia"/>
          <w:lang w:eastAsia="en-US"/>
        </w:rPr>
        <w:t xml:space="preserve">&amp; </w:t>
      </w:r>
      <w:r w:rsidR="00432861" w:rsidRPr="00C90AC9">
        <w:rPr>
          <w:rFonts w:eastAsiaTheme="majorEastAsia"/>
          <w:lang w:eastAsia="en-US"/>
        </w:rPr>
        <w:t xml:space="preserve">C. </w:t>
      </w:r>
      <w:r w:rsidR="0038131A" w:rsidRPr="00C90AC9">
        <w:rPr>
          <w:rFonts w:eastAsiaTheme="majorEastAsia"/>
          <w:lang w:eastAsia="en-US"/>
        </w:rPr>
        <w:t>Neame,</w:t>
      </w:r>
      <w:r w:rsidR="004050BA" w:rsidRPr="00C90AC9">
        <w:rPr>
          <w:rFonts w:eastAsiaTheme="majorEastAsia"/>
          <w:lang w:eastAsia="en-US"/>
        </w:rPr>
        <w:t xml:space="preserve"> 2006)</w:t>
      </w:r>
      <w:r w:rsidR="004050BA" w:rsidRPr="00C90AC9">
        <w:rPr>
          <w:rFonts w:eastAsiaTheme="majorEastAsia"/>
          <w:lang w:eastAsia="en-US"/>
        </w:rPr>
        <w:fldChar w:fldCharType="end"/>
      </w:r>
      <w:r w:rsidR="004050BA" w:rsidRPr="00C90AC9">
        <w:rPr>
          <w:rFonts w:eastAsiaTheme="majorEastAsia"/>
          <w:lang w:eastAsia="en-US"/>
        </w:rPr>
        <w:t>.</w:t>
      </w:r>
      <w:sdt>
        <w:sdtPr>
          <w:rPr>
            <w:rFonts w:eastAsiaTheme="majorEastAsia"/>
            <w:lang w:eastAsia="en-US"/>
          </w:rPr>
          <w:alias w:val="Don't edit this field"/>
          <w:tag w:val="CitaviPlaceholder#32b0e6d1-a1cf-492c-83e9-a9c7301409c1"/>
          <w:id w:val="-510142194"/>
          <w:showingPlcHdr/>
        </w:sdtPr>
        <w:sdtEndPr/>
        <w:sdtContent>
          <w:r w:rsidR="004050BA" w:rsidRPr="00C90AC9">
            <w:rPr>
              <w:rFonts w:eastAsiaTheme="majorEastAsia"/>
              <w:lang w:eastAsia="en-US"/>
            </w:rPr>
            <w:t xml:space="preserve">     </w:t>
          </w:r>
        </w:sdtContent>
      </w:sdt>
    </w:p>
    <w:tbl>
      <w:tblPr>
        <w:tblW w:w="9537" w:type="dxa"/>
        <w:tblLook w:val="04A0" w:firstRow="1" w:lastRow="0" w:firstColumn="1" w:lastColumn="0" w:noHBand="0" w:noVBand="1"/>
      </w:tblPr>
      <w:tblGrid>
        <w:gridCol w:w="9039"/>
        <w:gridCol w:w="498"/>
      </w:tblGrid>
      <w:tr w:rsidR="00A16B8C" w:rsidRPr="00C90AC9" w:rsidTr="008C4189">
        <w:tc>
          <w:tcPr>
            <w:tcW w:w="9039" w:type="dxa"/>
            <w:vAlign w:val="center"/>
          </w:tcPr>
          <w:p w:rsidR="00A16B8C" w:rsidRPr="00C90AC9" w:rsidRDefault="00A16B8C" w:rsidP="004050BA">
            <w:pPr>
              <w:spacing w:line="360" w:lineRule="auto"/>
              <w:rPr>
                <w:rFonts w:eastAsiaTheme="minorHAnsi"/>
                <w:lang w:eastAsia="en-US"/>
              </w:rPr>
            </w:pPr>
            <w:r w:rsidRPr="00C90AC9">
              <w:rPr>
                <w:rFonts w:eastAsiaTheme="minorHAnsi"/>
                <w:lang w:eastAsia="en-US"/>
              </w:rPr>
              <w:t>The volume of hot water consumed per person each day in the UK will vary</w:t>
            </w:r>
            <w:r w:rsidR="004050BA" w:rsidRPr="00C90AC9">
              <w:rPr>
                <w:rFonts w:eastAsiaTheme="minorHAnsi"/>
                <w:lang w:eastAsia="en-US"/>
              </w:rPr>
              <w:t xml:space="preserve"> dependant on the individual,</w:t>
            </w:r>
            <w:r w:rsidRPr="00C90AC9">
              <w:rPr>
                <w:rFonts w:eastAsiaTheme="minorHAnsi"/>
                <w:lang w:eastAsia="en-US"/>
              </w:rPr>
              <w:t xml:space="preserve"> thus an assessment of the actual volume of hot water consumed is needed to ascertain the contribution that a Solar Thermal Panels System can provide in reducing domestic energy consumption and the associated carbon emissions with heating water. </w:t>
            </w:r>
            <w:r w:rsidR="004050BA" w:rsidRPr="00C90AC9">
              <w:rPr>
                <w:rFonts w:eastAsiaTheme="minorHAnsi"/>
                <w:lang w:eastAsia="en-US"/>
              </w:rPr>
              <w:t xml:space="preserve">The </w:t>
            </w:r>
            <w:r w:rsidRPr="00C90AC9">
              <w:rPr>
                <w:rFonts w:eastAsiaTheme="minorHAnsi"/>
                <w:lang w:eastAsia="en-US"/>
              </w:rPr>
              <w:t>results from a study that was published in 2008 by Defra that was tasked with determini</w:t>
            </w:r>
            <w:r w:rsidR="004050BA" w:rsidRPr="00C90AC9">
              <w:rPr>
                <w:rFonts w:eastAsiaTheme="minorHAnsi"/>
                <w:lang w:eastAsia="en-US"/>
              </w:rPr>
              <w:t>ng exactly that and is shown in</w:t>
            </w:r>
            <w:r w:rsidRPr="00C90AC9">
              <w:rPr>
                <w:rFonts w:eastAsiaTheme="minorHAnsi"/>
                <w:lang w:eastAsia="en-US"/>
              </w:rPr>
              <w:t xml:space="preserve"> </w:t>
            </w:r>
            <w:r w:rsidRPr="00C90AC9">
              <w:rPr>
                <w:rFonts w:eastAsiaTheme="minorHAnsi"/>
              </w:rPr>
              <w:t>Figure</w:t>
            </w:r>
            <w:r w:rsidRPr="00C90AC9">
              <w:rPr>
                <w:rFonts w:eastAsiaTheme="minorHAnsi"/>
                <w:lang w:eastAsia="en-US"/>
              </w:rPr>
              <w:t xml:space="preserve"> 1.7.</w:t>
            </w:r>
            <w:r w:rsidR="004050BA" w:rsidRPr="00C90AC9">
              <w:rPr>
                <w:rFonts w:eastAsiaTheme="minorHAnsi"/>
                <w:lang w:eastAsia="en-US"/>
              </w:rPr>
              <w:fldChar w:fldCharType="begin"/>
            </w:r>
            <w:r w:rsidR="004050BA" w:rsidRPr="00C90AC9">
              <w:rPr>
                <w:rFonts w:eastAsiaTheme="minorHAnsi"/>
                <w:lang w:eastAsia="en-US"/>
              </w:rPr>
              <w:instrText xml:space="preserve"> ADDIN EN.CITE &lt;EndNote&gt;&lt;Cite&gt;&lt;Author&gt;Trust&lt;/Author&gt;&lt;Year&gt;2005&lt;/Year&gt;&lt;RecNum&gt;200&lt;/RecNum&gt;&lt;DisplayText&gt;(Trust, 2005)&lt;/DisplayText&gt;&lt;record&gt;&lt;rec-number&gt;200&lt;/rec-number&gt;&lt;foreign-keys&gt;&lt;key app="EN" db-id="50wxdpzd9vd5r7e9t5b595djrfpttrxw9avp" timestamp="1525076335"&gt;200&lt;/key&gt;&lt;/foreign-keys&gt;&lt;ref-type name="Unpublished Work"&gt;34&lt;/ref-type&gt;&lt;contributors&gt;&lt;authors&gt;&lt;author&gt;Trust, E. S.&lt;/author&gt;&lt;/authors&gt;&lt;/contributors&gt;&lt;titles&gt;&lt;title&gt;Energy Use in Homes&lt;/title&gt;&lt;short-title&gt;Trust 2005 – Energy Use in Homes&lt;/short-title&gt;&lt;/titles&gt;&lt;dates&gt;&lt;year&gt;2005&lt;/year&gt;&lt;/dates&gt;&lt;pub-location&gt;London&lt;/pub-location&gt;&lt;publisher&gt;DEFRA&lt;/publisher&gt;&lt;urls&gt;&lt;/urls&gt;&lt;/record&gt;&lt;/Cite&gt;&lt;/EndNote&gt;</w:instrText>
            </w:r>
            <w:r w:rsidR="004050BA" w:rsidRPr="00C90AC9">
              <w:rPr>
                <w:rFonts w:eastAsiaTheme="minorHAnsi"/>
                <w:lang w:eastAsia="en-US"/>
              </w:rPr>
              <w:fldChar w:fldCharType="separate"/>
            </w:r>
            <w:r w:rsidR="004050BA" w:rsidRPr="00C90AC9">
              <w:rPr>
                <w:rFonts w:eastAsiaTheme="minorHAnsi"/>
                <w:lang w:eastAsia="en-US"/>
              </w:rPr>
              <w:t>(Trust, 2005)</w:t>
            </w:r>
            <w:r w:rsidR="004050BA" w:rsidRPr="00C90AC9">
              <w:rPr>
                <w:rFonts w:eastAsiaTheme="minorHAnsi"/>
                <w:lang w:eastAsia="en-US"/>
              </w:rPr>
              <w:fldChar w:fldCharType="end"/>
            </w:r>
            <w:r w:rsidR="004050BA" w:rsidRPr="00C90AC9">
              <w:rPr>
                <w:rFonts w:eastAsiaTheme="minorHAnsi"/>
                <w:lang w:eastAsia="en-US"/>
              </w:rPr>
              <w:t>.</w:t>
            </w:r>
            <w:r w:rsidRPr="00C90AC9">
              <w:rPr>
                <w:rFonts w:eastAsiaTheme="minorHAnsi"/>
                <w:lang w:eastAsia="en-US"/>
              </w:rPr>
              <w:t xml:space="preserve"> </w:t>
            </w:r>
            <w:r w:rsidR="004050BA" w:rsidRPr="00C90AC9">
              <w:rPr>
                <w:rFonts w:eastAsiaTheme="minorHAnsi"/>
                <w:lang w:eastAsia="en-US"/>
              </w:rPr>
              <w:t xml:space="preserve">The results </w:t>
            </w:r>
            <w:r w:rsidRPr="00C90AC9">
              <w:rPr>
                <w:rFonts w:eastAsiaTheme="minorHAnsi"/>
                <w:lang w:eastAsia="en-US"/>
              </w:rPr>
              <w:t>show</w:t>
            </w:r>
            <w:r w:rsidR="00120DC5" w:rsidRPr="00C90AC9">
              <w:rPr>
                <w:rFonts w:eastAsiaTheme="minorHAnsi"/>
                <w:lang w:eastAsia="en-US"/>
              </w:rPr>
              <w:t>s</w:t>
            </w:r>
            <w:r w:rsidR="00114F19" w:rsidRPr="00C90AC9">
              <w:rPr>
                <w:rFonts w:eastAsiaTheme="minorHAnsi"/>
                <w:lang w:eastAsia="en-US"/>
              </w:rPr>
              <w:t xml:space="preserve"> </w:t>
            </w:r>
            <w:r w:rsidRPr="00C90AC9">
              <w:rPr>
                <w:rFonts w:eastAsiaTheme="minorHAnsi"/>
                <w:lang w:eastAsia="en-US"/>
              </w:rPr>
              <w:t>that in the UK on average, between 46 and 59 litres of hot water is consumed per person per day depending on the household</w:t>
            </w:r>
            <w:r w:rsidR="004050BA" w:rsidRPr="00C90AC9">
              <w:rPr>
                <w:rFonts w:eastAsiaTheme="minorHAnsi"/>
                <w:lang w:eastAsia="en-US"/>
              </w:rPr>
              <w:t xml:space="preserve"> </w:t>
            </w:r>
            <w:r w:rsidR="004050BA" w:rsidRPr="00C90AC9">
              <w:rPr>
                <w:rFonts w:eastAsiaTheme="minorHAnsi"/>
                <w:lang w:eastAsia="en-US"/>
              </w:rPr>
              <w:fldChar w:fldCharType="begin"/>
            </w:r>
            <w:r w:rsidR="004050BA" w:rsidRPr="00C90AC9">
              <w:rPr>
                <w:rFonts w:eastAsiaTheme="minorHAnsi"/>
                <w:lang w:eastAsia="en-US"/>
              </w:rPr>
              <w:instrText xml:space="preserve"> ADDIN EN.CITE &lt;EndNote&gt;&lt;Cite&gt;&lt;Author&gt;Trust&lt;/Author&gt;&lt;Year&gt;2005&lt;/Year&gt;&lt;RecNum&gt;200&lt;/RecNum&gt;&lt;DisplayText&gt;(Trust, 2005)&lt;/DisplayText&gt;&lt;record&gt;&lt;rec-number&gt;200&lt;/rec-number&gt;&lt;foreign-keys&gt;&lt;key app="EN" db-id="50wxdpzd9vd5r7e9t5b595djrfpttrxw9avp" timestamp="1525076335"&gt;200&lt;/key&gt;&lt;/foreign-keys&gt;&lt;ref-type name="Unpublished Work"&gt;34&lt;/ref-type&gt;&lt;contributors&gt;&lt;authors&gt;&lt;author&gt;Trust, E. S.&lt;/author&gt;&lt;/authors&gt;&lt;/contributors&gt;&lt;titles&gt;&lt;title&gt;Energy Use in Homes&lt;/title&gt;&lt;short-title&gt;Trust 2005 – Energy Use in Homes&lt;/short-title&gt;&lt;/titles&gt;&lt;dates&gt;&lt;year&gt;2005&lt;/year&gt;&lt;/dates&gt;&lt;pub-location&gt;London&lt;/pub-location&gt;&lt;publisher&gt;DEFRA&lt;/publisher&gt;&lt;urls&gt;&lt;/urls&gt;&lt;/record&gt;&lt;/Cite&gt;&lt;/EndNote&gt;</w:instrText>
            </w:r>
            <w:r w:rsidR="004050BA" w:rsidRPr="00C90AC9">
              <w:rPr>
                <w:rFonts w:eastAsiaTheme="minorHAnsi"/>
                <w:lang w:eastAsia="en-US"/>
              </w:rPr>
              <w:fldChar w:fldCharType="separate"/>
            </w:r>
            <w:r w:rsidR="004050BA" w:rsidRPr="00C90AC9">
              <w:rPr>
                <w:rFonts w:eastAsiaTheme="minorHAnsi"/>
                <w:lang w:eastAsia="en-US"/>
              </w:rPr>
              <w:t>(Trust, 2005)</w:t>
            </w:r>
            <w:r w:rsidR="004050BA" w:rsidRPr="00C90AC9">
              <w:rPr>
                <w:rFonts w:eastAsiaTheme="minorHAnsi"/>
                <w:lang w:eastAsia="en-US"/>
              </w:rPr>
              <w:fldChar w:fldCharType="end"/>
            </w:r>
            <w:r w:rsidR="004050BA" w:rsidRPr="00C90AC9">
              <w:rPr>
                <w:rFonts w:eastAsiaTheme="minorHAnsi"/>
                <w:lang w:eastAsia="en-US"/>
              </w:rPr>
              <w:t>. The Energy Saving Trust (EST)</w:t>
            </w:r>
            <w:r w:rsidRPr="00C90AC9">
              <w:rPr>
                <w:rFonts w:eastAsiaTheme="minorHAnsi"/>
                <w:lang w:eastAsia="en-US"/>
              </w:rPr>
              <w:t xml:space="preserve"> was able to quantify the volume of hot water consumed each day through the use application of the following equation:</w:t>
            </w:r>
          </w:p>
        </w:tc>
        <w:tc>
          <w:tcPr>
            <w:tcW w:w="498" w:type="dxa"/>
            <w:vAlign w:val="center"/>
          </w:tcPr>
          <w:p w:rsidR="00A16B8C" w:rsidRPr="00C90AC9" w:rsidRDefault="00A16B8C" w:rsidP="007574AE">
            <w:pPr>
              <w:spacing w:line="360" w:lineRule="auto"/>
              <w:rPr>
                <w:rFonts w:eastAsiaTheme="minorHAnsi"/>
                <w:lang w:eastAsia="en-US"/>
              </w:rPr>
            </w:pPr>
          </w:p>
          <w:p w:rsidR="00A16B8C" w:rsidRPr="00C90AC9" w:rsidRDefault="00A16B8C" w:rsidP="007574AE">
            <w:pPr>
              <w:spacing w:line="360" w:lineRule="auto"/>
              <w:rPr>
                <w:rFonts w:eastAsiaTheme="minorHAnsi"/>
                <w:lang w:eastAsia="en-US"/>
              </w:rPr>
            </w:pPr>
            <w:r w:rsidRPr="00C90AC9">
              <w:rPr>
                <w:rFonts w:eastAsiaTheme="minorHAnsi"/>
                <w:lang w:eastAsia="en-US"/>
              </w:rPr>
              <w:br/>
              <w:t xml:space="preserve">    </w:t>
            </w:r>
          </w:p>
        </w:tc>
      </w:tr>
    </w:tbl>
    <w:p w:rsidR="003C52A4" w:rsidRPr="00C90AC9" w:rsidRDefault="007A3242" w:rsidP="007A3242">
      <w:pPr>
        <w:pStyle w:val="BodyText"/>
        <w:jc w:val="left"/>
        <w:rPr>
          <w:rFonts w:eastAsiaTheme="minorHAnsi"/>
          <w:lang w:eastAsia="en-US"/>
        </w:rPr>
      </w:pPr>
      <w:r w:rsidRPr="00C90AC9">
        <w:rPr>
          <w:rFonts w:eastAsiaTheme="minorHAnsi"/>
          <w:lang w:eastAsia="en-US"/>
        </w:rPr>
        <w:lastRenderedPageBreak/>
        <w:tab/>
      </w:r>
      <w:r w:rsidRPr="00C90AC9">
        <w:rPr>
          <w:rFonts w:eastAsiaTheme="minorHAnsi"/>
          <w:lang w:eastAsia="en-US"/>
        </w:rPr>
        <w:tab/>
      </w:r>
      <w:r w:rsidRPr="00C90AC9">
        <w:rPr>
          <w:rFonts w:eastAsiaTheme="minorHAnsi"/>
          <w:lang w:eastAsia="en-US"/>
        </w:rPr>
        <w:tab/>
      </w:r>
      <w:r w:rsidR="00A16B8C" w:rsidRPr="00C90AC9">
        <w:rPr>
          <w:rFonts w:eastAsiaTheme="minorHAnsi"/>
          <w:lang w:eastAsia="en-US"/>
        </w:rPr>
        <w:tab/>
      </w:r>
      <m:oMath>
        <m:r>
          <m:rPr>
            <m:sty m:val="p"/>
          </m:rPr>
          <w:rPr>
            <w:rFonts w:ascii="Cambria Math" w:eastAsiaTheme="minorHAnsi" w:hAnsi="Cambria Math"/>
            <w:lang w:eastAsia="en-US"/>
          </w:rPr>
          <m:t>V = 46 +26N</m:t>
        </m:r>
      </m:oMath>
      <w:r w:rsidR="00A16B8C" w:rsidRPr="00C90AC9">
        <w:rPr>
          <w:rFonts w:eastAsiaTheme="minorHAnsi"/>
          <w:lang w:eastAsia="en-US"/>
        </w:rPr>
        <w:tab/>
      </w:r>
      <w:r w:rsidR="00A16B8C" w:rsidRPr="00C90AC9">
        <w:rPr>
          <w:rFonts w:eastAsiaTheme="minorHAnsi"/>
          <w:lang w:eastAsia="en-US"/>
        </w:rPr>
        <w:tab/>
      </w:r>
      <w:r w:rsidR="00A16B8C" w:rsidRPr="00C90AC9">
        <w:rPr>
          <w:rFonts w:eastAsiaTheme="minorHAnsi"/>
          <w:lang w:eastAsia="en-US"/>
        </w:rPr>
        <w:tab/>
      </w:r>
      <w:r w:rsidR="00A16B8C" w:rsidRPr="00C90AC9">
        <w:rPr>
          <w:rFonts w:eastAsiaTheme="minorHAnsi"/>
          <w:lang w:eastAsia="en-US"/>
        </w:rPr>
        <w:tab/>
      </w:r>
      <w:r w:rsidR="00120DC5" w:rsidRPr="00C90AC9">
        <w:rPr>
          <w:rFonts w:eastAsiaTheme="minorHAnsi"/>
          <w:lang w:eastAsia="en-US"/>
        </w:rPr>
        <w:t xml:space="preserve">            </w:t>
      </w:r>
      <w:r w:rsidR="00CB2595" w:rsidRPr="00C90AC9">
        <w:rPr>
          <w:rFonts w:eastAsiaTheme="minorHAnsi"/>
          <w:lang w:eastAsia="en-US"/>
        </w:rPr>
        <w:t>(</w:t>
      </w:r>
      <w:r w:rsidR="00BA7307" w:rsidRPr="00C90AC9">
        <w:rPr>
          <w:rFonts w:eastAsiaTheme="minorHAnsi"/>
          <w:lang w:eastAsia="en-US"/>
        </w:rPr>
        <w:fldChar w:fldCharType="begin"/>
      </w:r>
      <w:r w:rsidR="00BA7307" w:rsidRPr="00C90AC9">
        <w:rPr>
          <w:rFonts w:eastAsiaTheme="minorHAnsi"/>
          <w:lang w:eastAsia="en-US"/>
        </w:rPr>
        <w:instrText xml:space="preserve"> SEQ Eq\* MERGEFORMAT  \* MERGEFORMAT  \* MERGEFORMAT  \* MERGEFORMAT </w:instrText>
      </w:r>
      <w:r w:rsidR="00BA7307" w:rsidRPr="00C90AC9">
        <w:rPr>
          <w:rFonts w:eastAsiaTheme="minorHAnsi"/>
          <w:lang w:eastAsia="en-US"/>
        </w:rPr>
        <w:fldChar w:fldCharType="separate"/>
      </w:r>
      <w:r w:rsidR="004F4022" w:rsidRPr="00C90AC9">
        <w:rPr>
          <w:rFonts w:eastAsiaTheme="minorHAnsi"/>
          <w:lang w:eastAsia="en-US"/>
        </w:rPr>
        <w:t>1</w:t>
      </w:r>
      <w:r w:rsidR="00BA7307" w:rsidRPr="00C90AC9">
        <w:rPr>
          <w:rFonts w:eastAsiaTheme="minorHAnsi"/>
          <w:lang w:eastAsia="en-US"/>
        </w:rPr>
        <w:fldChar w:fldCharType="end"/>
      </w:r>
      <w:r w:rsidR="00CB2595" w:rsidRPr="00C90AC9">
        <w:rPr>
          <w:rFonts w:eastAsiaTheme="minorHAnsi"/>
          <w:lang w:eastAsia="en-US"/>
        </w:rPr>
        <w:t>)</w:t>
      </w:r>
      <w:r w:rsidR="00D67FA6" w:rsidRPr="00C90AC9">
        <w:rPr>
          <w:rFonts w:eastAsiaTheme="minorHAnsi"/>
          <w:lang w:eastAsia="en-US"/>
        </w:rPr>
        <w:tab/>
      </w:r>
      <w:r w:rsidR="006202A3" w:rsidRPr="00C90AC9">
        <w:rPr>
          <w:rFonts w:eastAsiaTheme="minorHAnsi"/>
          <w:lang w:eastAsia="en-US"/>
        </w:rPr>
        <w:t xml:space="preserve"> </w:t>
      </w:r>
    </w:p>
    <w:p w:rsidR="003C52A4" w:rsidRPr="00C90AC9" w:rsidRDefault="007A3242" w:rsidP="007A3242">
      <w:pPr>
        <w:pStyle w:val="BodyText"/>
        <w:jc w:val="right"/>
        <w:rPr>
          <w:rFonts w:eastAsiaTheme="minorHAnsi"/>
          <w:lang w:eastAsia="en-US"/>
        </w:rPr>
      </w:pPr>
      <w:r w:rsidRPr="00C90AC9">
        <w:rPr>
          <w:rFonts w:eastAsiaTheme="minorHAnsi"/>
          <w:lang w:eastAsia="en-US"/>
        </w:rPr>
        <w:tab/>
      </w:r>
      <w:r w:rsidR="004050BA" w:rsidRPr="00C90AC9">
        <w:rPr>
          <w:rFonts w:eastAsiaTheme="minorHAnsi"/>
          <w:lang w:eastAsia="en-US"/>
        </w:rPr>
        <w:fldChar w:fldCharType="begin"/>
      </w:r>
      <w:r w:rsidR="004050BA" w:rsidRPr="00C90AC9">
        <w:rPr>
          <w:rFonts w:eastAsiaTheme="minorHAnsi"/>
          <w:lang w:eastAsia="en-US"/>
        </w:rPr>
        <w:instrText xml:space="preserve"> ADDIN EN.CITE &lt;EndNote&gt;&lt;Cite&gt;&lt;Author&gt;Trust&lt;/Author&gt;&lt;Year&gt;2005&lt;/Year&gt;&lt;RecNum&gt;200&lt;/RecNum&gt;&lt;DisplayText&gt;(Trust, 2005)&lt;/DisplayText&gt;&lt;record&gt;&lt;rec-number&gt;200&lt;/rec-number&gt;&lt;foreign-keys&gt;&lt;key app="EN" db-id="50wxdpzd9vd5r7e9t5b595djrfpttrxw9avp" timestamp="1525076335"&gt;200&lt;/key&gt;&lt;/foreign-keys&gt;&lt;ref-type name="Unpublished Work"&gt;34&lt;/ref-type&gt;&lt;contributors&gt;&lt;authors&gt;&lt;author&gt;Trust, E. S.&lt;/author&gt;&lt;/authors&gt;&lt;/contributors&gt;&lt;titles&gt;&lt;title&gt;Energy Use in Homes&lt;/title&gt;&lt;short-title&gt;Trust 2005 – Energy Use in Homes&lt;/short-title&gt;&lt;/titles&gt;&lt;dates&gt;&lt;year&gt;2005&lt;/year&gt;&lt;/dates&gt;&lt;pub-location&gt;London&lt;/pub-location&gt;&lt;publisher&gt;DEFRA&lt;/publisher&gt;&lt;urls&gt;&lt;/urls&gt;&lt;/record&gt;&lt;/Cite&gt;&lt;/EndNote&gt;</w:instrText>
      </w:r>
      <w:r w:rsidR="004050BA" w:rsidRPr="00C90AC9">
        <w:rPr>
          <w:rFonts w:eastAsiaTheme="minorHAnsi"/>
          <w:lang w:eastAsia="en-US"/>
        </w:rPr>
        <w:fldChar w:fldCharType="separate"/>
      </w:r>
      <w:r w:rsidR="004050BA" w:rsidRPr="00C90AC9">
        <w:rPr>
          <w:rFonts w:eastAsiaTheme="minorHAnsi"/>
          <w:lang w:eastAsia="en-US"/>
        </w:rPr>
        <w:t>(Trust, 2005)</w:t>
      </w:r>
      <w:r w:rsidR="004050BA" w:rsidRPr="00C90AC9">
        <w:rPr>
          <w:rFonts w:eastAsiaTheme="minorHAnsi"/>
          <w:lang w:eastAsia="en-US"/>
        </w:rPr>
        <w:fldChar w:fldCharType="end"/>
      </w:r>
    </w:p>
    <w:p w:rsidR="007A3242" w:rsidRPr="00C90AC9" w:rsidRDefault="007A3242" w:rsidP="007A3242">
      <w:pPr>
        <w:pStyle w:val="BodyText"/>
        <w:jc w:val="left"/>
        <w:rPr>
          <w:rFonts w:eastAsiaTheme="minorHAnsi"/>
          <w:lang w:eastAsia="en-US"/>
        </w:rPr>
      </w:pPr>
      <w:r w:rsidRPr="00C90AC9">
        <w:rPr>
          <w:rFonts w:eastAsiaTheme="minorHAnsi"/>
          <w:lang w:eastAsia="en-US"/>
        </w:rPr>
        <w:t xml:space="preserve">Where: </w:t>
      </w:r>
    </w:p>
    <w:p w:rsidR="00D67FA6" w:rsidRPr="00C90AC9" w:rsidRDefault="007A3242" w:rsidP="007A3242">
      <w:pPr>
        <w:pStyle w:val="BodyText"/>
        <w:jc w:val="left"/>
        <w:rPr>
          <w:rFonts w:eastAsiaTheme="minorHAnsi"/>
          <w:lang w:eastAsia="en-US"/>
        </w:rPr>
      </w:pPr>
      <w:r w:rsidRPr="00C90AC9">
        <w:rPr>
          <w:rFonts w:eastAsiaTheme="minorHAnsi"/>
          <w:lang w:eastAsia="en-US"/>
        </w:rPr>
        <w:t>V = volume of hot water (litres)</w:t>
      </w:r>
    </w:p>
    <w:p w:rsidR="007A3242" w:rsidRPr="00C90AC9" w:rsidRDefault="007A3242" w:rsidP="007A3242">
      <w:pPr>
        <w:pStyle w:val="BodyText"/>
        <w:jc w:val="left"/>
        <w:rPr>
          <w:rFonts w:eastAsiaTheme="minorHAnsi"/>
          <w:lang w:eastAsia="en-US"/>
        </w:rPr>
      </w:pPr>
      <w:r w:rsidRPr="00C90AC9">
        <w:rPr>
          <w:rFonts w:eastAsiaTheme="minorHAnsi"/>
          <w:lang w:eastAsia="en-US"/>
        </w:rPr>
        <w:t>N = number of inhabitants</w:t>
      </w:r>
    </w:p>
    <w:p w:rsidR="007A3242" w:rsidRPr="00C90AC9" w:rsidRDefault="007A3242" w:rsidP="007A3242">
      <w:pPr>
        <w:pStyle w:val="BodyText"/>
        <w:jc w:val="left"/>
        <w:rPr>
          <w:rFonts w:eastAsiaTheme="minorHAnsi"/>
          <w:lang w:eastAsia="en-US"/>
        </w:rPr>
      </w:pPr>
      <w:r w:rsidRPr="00C90AC9">
        <w:rPr>
          <w:rFonts w:eastAsiaTheme="minorHAnsi"/>
          <w:lang w:eastAsia="en-US"/>
        </w:rPr>
        <w:t xml:space="preserve"> </w:t>
      </w:r>
    </w:p>
    <w:p w:rsidR="00A16B8C" w:rsidRPr="00C90AC9" w:rsidRDefault="00A16B8C" w:rsidP="005A06E3">
      <w:pPr>
        <w:pStyle w:val="BodyText"/>
        <w:spacing w:line="360" w:lineRule="auto"/>
        <w:ind w:firstLine="720"/>
        <w:rPr>
          <w:rFonts w:eastAsiaTheme="minorHAnsi"/>
          <w:lang w:eastAsia="en-US"/>
        </w:rPr>
      </w:pPr>
      <w:r w:rsidRPr="00C90AC9">
        <w:rPr>
          <w:rFonts w:eastAsiaTheme="minorHAnsi"/>
          <w:lang w:eastAsia="en-US"/>
        </w:rPr>
        <w:t xml:space="preserve">Other estimates for the daily consumption of hot water in domestic buildings assess different criteria. Rather than categorize occupants </w:t>
      </w:r>
      <w:r w:rsidR="008021E7" w:rsidRPr="00C90AC9">
        <w:rPr>
          <w:rFonts w:eastAsiaTheme="minorHAnsi"/>
          <w:lang w:eastAsia="en-US"/>
        </w:rPr>
        <w:t xml:space="preserve">of a house </w:t>
      </w:r>
      <w:r w:rsidRPr="00C90AC9">
        <w:rPr>
          <w:rFonts w:eastAsiaTheme="minorHAnsi"/>
          <w:lang w:eastAsia="en-US"/>
        </w:rPr>
        <w:t xml:space="preserve">based on the </w:t>
      </w:r>
      <w:r w:rsidR="008021E7" w:rsidRPr="00C90AC9">
        <w:rPr>
          <w:rFonts w:eastAsiaTheme="minorHAnsi"/>
          <w:lang w:eastAsia="en-US"/>
        </w:rPr>
        <w:t xml:space="preserve">various </w:t>
      </w:r>
      <w:r w:rsidRPr="00C90AC9">
        <w:rPr>
          <w:rFonts w:eastAsiaTheme="minorHAnsi"/>
          <w:lang w:eastAsia="en-US"/>
        </w:rPr>
        <w:t>demographics</w:t>
      </w:r>
      <w:r w:rsidR="003C52A4" w:rsidRPr="00C90AC9">
        <w:rPr>
          <w:rFonts w:eastAsiaTheme="minorHAnsi"/>
          <w:lang w:eastAsia="en-US"/>
        </w:rPr>
        <w:t xml:space="preserve">, </w:t>
      </w:r>
      <w:r w:rsidR="008021E7" w:rsidRPr="00C90AC9">
        <w:rPr>
          <w:rFonts w:eastAsiaTheme="minorHAnsi"/>
          <w:lang w:eastAsia="en-US"/>
        </w:rPr>
        <w:t>T</w:t>
      </w:r>
      <w:r w:rsidRPr="00C90AC9">
        <w:rPr>
          <w:rFonts w:eastAsiaTheme="minorHAnsi"/>
          <w:lang w:eastAsia="en-US"/>
        </w:rPr>
        <w:t>he Building Services Research and Information Association (BSRIA) use a different set of criteria</w:t>
      </w:r>
      <w:r w:rsidR="00114F19" w:rsidRPr="00C90AC9">
        <w:rPr>
          <w:rFonts w:eastAsiaTheme="minorHAnsi"/>
          <w:lang w:eastAsia="en-US"/>
        </w:rPr>
        <w:t xml:space="preserve"> as shown in as shown in Figure </w:t>
      </w:r>
      <w:proofErr w:type="gramStart"/>
      <w:r w:rsidR="00114F19" w:rsidRPr="00C90AC9">
        <w:rPr>
          <w:rFonts w:eastAsiaTheme="minorHAnsi"/>
          <w:lang w:eastAsia="en-US"/>
        </w:rPr>
        <w:t>1.7.</w:t>
      </w:r>
      <w:r w:rsidRPr="00C90AC9">
        <w:rPr>
          <w:rFonts w:eastAsiaTheme="minorHAnsi"/>
          <w:lang w:eastAsia="en-US"/>
        </w:rPr>
        <w:t>.</w:t>
      </w:r>
      <w:proofErr w:type="gramEnd"/>
      <w:r w:rsidRPr="00C90AC9">
        <w:rPr>
          <w:rFonts w:eastAsiaTheme="minorHAnsi"/>
          <w:lang w:eastAsia="en-US"/>
        </w:rPr>
        <w:t xml:space="preserve"> The BSRIA provide information and guidance to companies to improve the design build and operation of buildings in the UK and publish an annual guide, the Rules of Thumb</w:t>
      </w:r>
      <w:r w:rsidR="00C417F2" w:rsidRPr="00C90AC9">
        <w:rPr>
          <w:rFonts w:eastAsiaTheme="minorHAnsi"/>
          <w:lang w:eastAsia="en-US"/>
        </w:rPr>
        <w:t xml:space="preserve"> </w:t>
      </w:r>
      <w:r w:rsidR="00C417F2" w:rsidRPr="00C90AC9">
        <w:rPr>
          <w:rFonts w:eastAsiaTheme="minorHAnsi"/>
          <w:lang w:eastAsia="en-US"/>
        </w:rPr>
        <w:fldChar w:fldCharType="begin"/>
      </w:r>
      <w:r w:rsidR="00C417F2" w:rsidRPr="00C90AC9">
        <w:rPr>
          <w:rFonts w:eastAsiaTheme="minorHAnsi"/>
          <w:lang w:eastAsia="en-US"/>
        </w:rPr>
        <w:instrText xml:space="preserve"> ADDIN EN.CITE &lt;EndNote&gt;&lt;Cite&gt;&lt;Author&gt;Hawkins&lt;/Author&gt;&lt;Year&gt;2011&lt;/Year&gt;&lt;RecNum&gt;144&lt;/RecNum&gt;&lt;DisplayText&gt;(Hawkins, 2011)&lt;/DisplayText&gt;&lt;record&gt;&lt;rec-number&gt;144&lt;/rec-number&gt;&lt;foreign-keys&gt;&lt;key app="EN" db-id="50wxdpzd9vd5r7e9t5b595djrfpttrxw9avp" timestamp="1525076334"&gt;144&lt;/key&gt;&lt;/foreign-keys&gt;&lt;ref-type name="Book"&gt;6&lt;/ref-type&gt;&lt;contributors&gt;&lt;authors&gt;&lt;author&gt;G. Hawkins&lt;/author&gt;&lt;/authors&gt;&lt;/contributors&gt;&lt;titles&gt;&lt;title&gt;Rules of Thub, Guidelines for building services&lt;/title&gt;&lt;short-title&gt;G. Hawkins 2011 – Rules of Thub&lt;/short-title&gt;&lt;/titles&gt;&lt;dates&gt;&lt;year&gt;2011&lt;/year&gt;&lt;/dates&gt;&lt;publisher&gt;BSRIA&lt;/publisher&gt;&lt;urls&gt;&lt;/urls&gt;&lt;/record&gt;&lt;/Cite&gt;&lt;/EndNote&gt;</w:instrText>
      </w:r>
      <w:r w:rsidR="00C417F2" w:rsidRPr="00C90AC9">
        <w:rPr>
          <w:rFonts w:eastAsiaTheme="minorHAnsi"/>
          <w:lang w:eastAsia="en-US"/>
        </w:rPr>
        <w:fldChar w:fldCharType="separate"/>
      </w:r>
      <w:r w:rsidR="00C417F2" w:rsidRPr="00C90AC9">
        <w:rPr>
          <w:rFonts w:eastAsiaTheme="minorHAnsi"/>
          <w:lang w:eastAsia="en-US"/>
        </w:rPr>
        <w:t>(Hawkins, 2011)</w:t>
      </w:r>
      <w:r w:rsidR="00C417F2" w:rsidRPr="00C90AC9">
        <w:rPr>
          <w:rFonts w:eastAsiaTheme="minorHAnsi"/>
          <w:lang w:eastAsia="en-US"/>
        </w:rPr>
        <w:fldChar w:fldCharType="end"/>
      </w:r>
      <w:r w:rsidRPr="00C90AC9">
        <w:rPr>
          <w:rFonts w:eastAsiaTheme="minorHAnsi"/>
          <w:lang w:eastAsia="en-US"/>
        </w:rPr>
        <w:t>. The guide provides approximate data on a variety of design criteria including the consumption of hot water in the UK. The BSRIA is in part informed by the Code for Sustainable Homes (2010) which sets a maximum daily consumption volume of 120 litres of hot water per person per day</w:t>
      </w:r>
      <w:r w:rsidR="00C417F2" w:rsidRPr="00C90AC9">
        <w:rPr>
          <w:rFonts w:eastAsiaTheme="minorHAnsi"/>
          <w:lang w:eastAsia="en-US"/>
        </w:rPr>
        <w:t xml:space="preserve"> </w:t>
      </w:r>
      <w:r w:rsidR="00C417F2" w:rsidRPr="00C90AC9">
        <w:rPr>
          <w:rFonts w:eastAsiaTheme="minorHAnsi"/>
          <w:lang w:eastAsia="en-US"/>
        </w:rPr>
        <w:fldChar w:fldCharType="begin"/>
      </w:r>
      <w:r w:rsidR="00C417F2" w:rsidRPr="00C90AC9">
        <w:rPr>
          <w:rFonts w:eastAsiaTheme="minorHAnsi"/>
          <w:lang w:eastAsia="en-US"/>
        </w:rPr>
        <w:instrText xml:space="preserve"> ADDIN EN.CITE &lt;EndNote&gt;&lt;Cite&gt;&lt;Author&gt;Hawkins&lt;/Author&gt;&lt;Year&gt;2011&lt;/Year&gt;&lt;RecNum&gt;144&lt;/RecNum&gt;&lt;DisplayText&gt;(Hawkins, 2011)&lt;/DisplayText&gt;&lt;record&gt;&lt;rec-number&gt;144&lt;/rec-number&gt;&lt;foreign-keys&gt;&lt;key app="EN" db-id="50wxdpzd9vd5r7e9t5b595djrfpttrxw9avp" timestamp="1525076334"&gt;144&lt;/key&gt;&lt;/foreign-keys&gt;&lt;ref-type name="Book"&gt;6&lt;/ref-type&gt;&lt;contributors&gt;&lt;authors&gt;&lt;author&gt;G. Hawkins&lt;/author&gt;&lt;/authors&gt;&lt;/contributors&gt;&lt;titles&gt;&lt;title&gt;Rules of Thub, Guidelines for building services&lt;/title&gt;&lt;short-title&gt;G. Hawkins 2011 – Rules of Thub&lt;/short-title&gt;&lt;/titles&gt;&lt;dates&gt;&lt;year&gt;2011&lt;/year&gt;&lt;/dates&gt;&lt;publisher&gt;BSRIA&lt;/publisher&gt;&lt;urls&gt;&lt;/urls&gt;&lt;/record&gt;&lt;/Cite&gt;&lt;/EndNote&gt;</w:instrText>
      </w:r>
      <w:r w:rsidR="00C417F2" w:rsidRPr="00C90AC9">
        <w:rPr>
          <w:rFonts w:eastAsiaTheme="minorHAnsi"/>
          <w:lang w:eastAsia="en-US"/>
        </w:rPr>
        <w:fldChar w:fldCharType="separate"/>
      </w:r>
      <w:r w:rsidR="00C417F2" w:rsidRPr="00C90AC9">
        <w:rPr>
          <w:rFonts w:eastAsiaTheme="minorHAnsi"/>
          <w:lang w:eastAsia="en-US"/>
        </w:rPr>
        <w:t>(Hawkins, 2011)</w:t>
      </w:r>
      <w:r w:rsidR="00C417F2" w:rsidRPr="00C90AC9">
        <w:rPr>
          <w:rFonts w:eastAsiaTheme="minorHAnsi"/>
          <w:lang w:eastAsia="en-US"/>
        </w:rPr>
        <w:fldChar w:fldCharType="end"/>
      </w:r>
      <w:r w:rsidRPr="00C90AC9">
        <w:rPr>
          <w:rFonts w:eastAsiaTheme="minorHAnsi"/>
          <w:lang w:eastAsia="en-US"/>
        </w:rPr>
        <w:t xml:space="preserve">. The proposed consumption volume for best performing homes is set at 80 litres per person per day </w:t>
      </w:r>
      <w:r w:rsidR="00114F19" w:rsidRPr="00C90AC9">
        <w:rPr>
          <w:rFonts w:eastAsiaTheme="minorHAnsi"/>
          <w:lang w:eastAsia="en-US"/>
        </w:rPr>
        <w:fldChar w:fldCharType="begin"/>
      </w:r>
      <w:r w:rsidR="00114F19" w:rsidRPr="00C90AC9">
        <w:rPr>
          <w:rFonts w:eastAsiaTheme="minorHAnsi"/>
          <w:lang w:eastAsia="en-US"/>
        </w:rPr>
        <w:instrText xml:space="preserve"> ADDIN EN.CITE &lt;EndNote&gt;&lt;Cite&gt;&lt;Author&gt;Hawkins&lt;/Author&gt;&lt;Year&gt;2011&lt;/Year&gt;&lt;RecNum&gt;144&lt;/RecNum&gt;&lt;DisplayText&gt;(Hawkins, 2011)&lt;/DisplayText&gt;&lt;record&gt;&lt;rec-number&gt;144&lt;/rec-number&gt;&lt;foreign-keys&gt;&lt;key app="EN" db-id="50wxdpzd9vd5r7e9t5b595djrfpttrxw9avp" timestamp="1525076334"&gt;144&lt;/key&gt;&lt;/foreign-keys&gt;&lt;ref-type name="Book"&gt;6&lt;/ref-type&gt;&lt;contributors&gt;&lt;authors&gt;&lt;author&gt;G. Hawkins&lt;/author&gt;&lt;/authors&gt;&lt;/contributors&gt;&lt;titles&gt;&lt;title&gt;Rules of Thub, Guidelines for building services&lt;/title&gt;&lt;short-title&gt;G. Hawkins 2011 – Rules of Thub&lt;/short-title&gt;&lt;/titles&gt;&lt;dates&gt;&lt;year&gt;2011&lt;/year&gt;&lt;/dates&gt;&lt;publisher&gt;BSRIA&lt;/publisher&gt;&lt;urls&gt;&lt;/urls&gt;&lt;/record&gt;&lt;/Cite&gt;&lt;/EndNote&gt;</w:instrText>
      </w:r>
      <w:r w:rsidR="00114F19" w:rsidRPr="00C90AC9">
        <w:rPr>
          <w:rFonts w:eastAsiaTheme="minorHAnsi"/>
          <w:lang w:eastAsia="en-US"/>
        </w:rPr>
        <w:fldChar w:fldCharType="separate"/>
      </w:r>
      <w:r w:rsidR="00114F19" w:rsidRPr="00C90AC9">
        <w:rPr>
          <w:rFonts w:eastAsiaTheme="minorHAnsi"/>
          <w:lang w:eastAsia="en-US"/>
        </w:rPr>
        <w:t>(Hawkins, 2011)</w:t>
      </w:r>
      <w:r w:rsidR="00114F19" w:rsidRPr="00C90AC9">
        <w:rPr>
          <w:rFonts w:eastAsiaTheme="minorHAnsi"/>
          <w:lang w:eastAsia="en-US"/>
        </w:rPr>
        <w:fldChar w:fldCharType="end"/>
      </w:r>
      <w:r w:rsidRPr="00C90AC9">
        <w:rPr>
          <w:rFonts w:eastAsiaTheme="minorHAnsi"/>
          <w:lang w:eastAsia="en-US"/>
        </w:rPr>
        <w:t xml:space="preserve">. </w:t>
      </w:r>
      <w:r w:rsidR="00114F19" w:rsidRPr="00C90AC9">
        <w:rPr>
          <w:rFonts w:eastAsiaTheme="minorHAnsi"/>
          <w:lang w:eastAsia="en-US"/>
        </w:rPr>
        <w:t>T</w:t>
      </w:r>
      <w:r w:rsidRPr="00C90AC9">
        <w:rPr>
          <w:rFonts w:eastAsiaTheme="minorHAnsi"/>
          <w:lang w:eastAsia="en-US"/>
        </w:rPr>
        <w:t>he maximum daily hot water demand for different types of building giving the maximum daily consumption o</w:t>
      </w:r>
      <w:r w:rsidR="008807F5" w:rsidRPr="00C90AC9">
        <w:rPr>
          <w:rFonts w:eastAsiaTheme="minorHAnsi"/>
          <w:lang w:eastAsia="en-US"/>
        </w:rPr>
        <w:t>f</w:t>
      </w:r>
      <w:r w:rsidRPr="00C90AC9">
        <w:rPr>
          <w:rFonts w:eastAsiaTheme="minorHAnsi"/>
          <w:lang w:eastAsia="en-US"/>
        </w:rPr>
        <w:t xml:space="preserve"> hot water (</w:t>
      </w:r>
      <w:proofErr w:type="spellStart"/>
      <w:r w:rsidR="008807F5" w:rsidRPr="00C90AC9">
        <w:rPr>
          <w:rFonts w:eastAsiaTheme="minorHAnsi"/>
          <w:lang w:eastAsia="en-US"/>
        </w:rPr>
        <w:t>l</w:t>
      </w:r>
      <w:r w:rsidRPr="00C90AC9">
        <w:rPr>
          <w:rFonts w:eastAsiaTheme="minorHAnsi"/>
          <w:lang w:eastAsia="en-US"/>
        </w:rPr>
        <w:t>t</w:t>
      </w:r>
      <w:proofErr w:type="spellEnd"/>
      <w:r w:rsidRPr="00C90AC9">
        <w:rPr>
          <w:rFonts w:eastAsiaTheme="minorHAnsi"/>
          <w:lang w:eastAsia="en-US"/>
        </w:rPr>
        <w:t>/person) and the total hot water consumption (</w:t>
      </w:r>
      <w:proofErr w:type="spellStart"/>
      <w:r w:rsidR="008807F5" w:rsidRPr="00C90AC9">
        <w:rPr>
          <w:rFonts w:eastAsiaTheme="minorHAnsi"/>
          <w:lang w:eastAsia="en-US"/>
        </w:rPr>
        <w:t>l</w:t>
      </w:r>
      <w:r w:rsidRPr="00C90AC9">
        <w:rPr>
          <w:rFonts w:eastAsiaTheme="minorHAnsi"/>
          <w:lang w:eastAsia="en-US"/>
        </w:rPr>
        <w:t>t</w:t>
      </w:r>
      <w:proofErr w:type="spellEnd"/>
      <w:r w:rsidRPr="00C90AC9">
        <w:rPr>
          <w:rFonts w:eastAsiaTheme="minorHAnsi"/>
          <w:lang w:eastAsia="en-US"/>
        </w:rPr>
        <w:t xml:space="preserve">/person) </w:t>
      </w:r>
      <w:r w:rsidR="00114F19" w:rsidRPr="00C90AC9">
        <w:rPr>
          <w:rFonts w:eastAsiaTheme="minorHAnsi"/>
          <w:lang w:eastAsia="en-US"/>
        </w:rPr>
        <w:t xml:space="preserve">is shown in Table 2.1. </w:t>
      </w:r>
      <w:r w:rsidR="00114F19" w:rsidRPr="00C90AC9">
        <w:rPr>
          <w:rFonts w:eastAsiaTheme="minorHAnsi"/>
          <w:lang w:eastAsia="en-US"/>
        </w:rPr>
        <w:fldChar w:fldCharType="begin"/>
      </w:r>
      <w:r w:rsidR="00114F19" w:rsidRPr="00C90AC9">
        <w:rPr>
          <w:rFonts w:eastAsiaTheme="minorHAnsi"/>
          <w:lang w:eastAsia="en-US"/>
        </w:rPr>
        <w:instrText xml:space="preserve"> ADDIN EN.CITE &lt;EndNote&gt;&lt;Cite&gt;&lt;Author&gt;Hawkins&lt;/Author&gt;&lt;Year&gt;2011&lt;/Year&gt;&lt;RecNum&gt;144&lt;/RecNum&gt;&lt;DisplayText&gt;(Hawkins, 2011)&lt;/DisplayText&gt;&lt;record&gt;&lt;rec-number&gt;144&lt;/rec-number&gt;&lt;foreign-keys&gt;&lt;key app="EN" db-id="50wxdpzd9vd5r7e9t5b595djrfpttrxw9avp" timestamp="1525076334"&gt;144&lt;/key&gt;&lt;/foreign-keys&gt;&lt;ref-type name="Book"&gt;6&lt;/ref-type&gt;&lt;contributors&gt;&lt;authors&gt;&lt;author&gt;G. Hawkins&lt;/author&gt;&lt;/authors&gt;&lt;/contributors&gt;&lt;titles&gt;&lt;title&gt;Rules of Thub, Guidelines for building services&lt;/title&gt;&lt;short-title&gt;G. Hawkins 2011 – Rules of Thub&lt;/short-title&gt;&lt;/titles&gt;&lt;dates&gt;&lt;year&gt;2011&lt;/year&gt;&lt;/dates&gt;&lt;publisher&gt;BSRIA&lt;/publisher&gt;&lt;urls&gt;&lt;/urls&gt;&lt;/record&gt;&lt;/Cite&gt;&lt;/EndNote&gt;</w:instrText>
      </w:r>
      <w:r w:rsidR="00114F19" w:rsidRPr="00C90AC9">
        <w:rPr>
          <w:rFonts w:eastAsiaTheme="minorHAnsi"/>
          <w:lang w:eastAsia="en-US"/>
        </w:rPr>
        <w:fldChar w:fldCharType="separate"/>
      </w:r>
      <w:r w:rsidR="00114F19" w:rsidRPr="00C90AC9">
        <w:rPr>
          <w:rFonts w:eastAsiaTheme="minorHAnsi"/>
          <w:lang w:eastAsia="en-US"/>
        </w:rPr>
        <w:t>(Hawkins, 2011)</w:t>
      </w:r>
      <w:r w:rsidR="00114F19" w:rsidRPr="00C90AC9">
        <w:rPr>
          <w:rFonts w:eastAsiaTheme="minorHAnsi"/>
          <w:lang w:eastAsia="en-US"/>
        </w:rPr>
        <w:fldChar w:fldCharType="end"/>
      </w:r>
      <w:r w:rsidRPr="00C90AC9">
        <w:rPr>
          <w:rFonts w:eastAsiaTheme="minorHAnsi"/>
          <w:lang w:eastAsia="en-US"/>
        </w:rPr>
        <w:t xml:space="preserve">. </w:t>
      </w:r>
    </w:p>
    <w:p w:rsidR="003C52A4" w:rsidRPr="00C90AC9" w:rsidRDefault="00114F19" w:rsidP="000E17D2">
      <w:pPr>
        <w:spacing w:line="360" w:lineRule="auto"/>
        <w:rPr>
          <w:rFonts w:eastAsiaTheme="minorHAnsi"/>
          <w:lang w:eastAsia="en-US"/>
        </w:rPr>
      </w:pPr>
      <w:r w:rsidRPr="00C90AC9">
        <w:rPr>
          <w:rFonts w:eastAsiaTheme="minorHAnsi"/>
          <w:lang w:eastAsia="en-US"/>
        </w:rPr>
        <w:t>This s</w:t>
      </w:r>
      <w:r w:rsidR="002F63CA" w:rsidRPr="00C90AC9">
        <w:rPr>
          <w:rFonts w:eastAsiaTheme="minorHAnsi"/>
          <w:lang w:eastAsia="en-US"/>
        </w:rPr>
        <w:t>uggests that the volume of hot water consumed on average per person per day, in the UK</w:t>
      </w:r>
      <w:r w:rsidR="00BF0A11" w:rsidRPr="00C90AC9">
        <w:rPr>
          <w:rFonts w:eastAsiaTheme="minorHAnsi"/>
          <w:lang w:eastAsia="en-US"/>
        </w:rPr>
        <w:t xml:space="preserve">, </w:t>
      </w:r>
      <w:r w:rsidR="002F63CA" w:rsidRPr="00C90AC9">
        <w:rPr>
          <w:rFonts w:eastAsiaTheme="minorHAnsi"/>
          <w:lang w:eastAsia="en-US"/>
        </w:rPr>
        <w:t>is significantly higher than study by The Energy Saving Trust which was completed in 2008.  Of these two estimates</w:t>
      </w:r>
      <w:r w:rsidR="00BF0A11" w:rsidRPr="00C90AC9">
        <w:rPr>
          <w:rFonts w:eastAsiaTheme="minorHAnsi"/>
          <w:lang w:eastAsia="en-US"/>
        </w:rPr>
        <w:t>,</w:t>
      </w:r>
      <w:r w:rsidR="002F63CA" w:rsidRPr="00C90AC9">
        <w:rPr>
          <w:rFonts w:eastAsiaTheme="minorHAnsi"/>
          <w:lang w:eastAsia="en-US"/>
        </w:rPr>
        <w:t xml:space="preserve"> for the calculation of hot water consumed in a day, the more recent study by BSRIA </w:t>
      </w:r>
      <w:r w:rsidR="00BF0A11" w:rsidRPr="00C90AC9">
        <w:rPr>
          <w:rFonts w:eastAsiaTheme="minorHAnsi"/>
          <w:lang w:eastAsia="en-US"/>
        </w:rPr>
        <w:t xml:space="preserve">is considered cautious and as the suggested </w:t>
      </w:r>
      <w:r w:rsidRPr="00C90AC9">
        <w:rPr>
          <w:rFonts w:eastAsiaTheme="minorHAnsi"/>
          <w:lang w:eastAsia="en-US"/>
        </w:rPr>
        <w:t>consumption volume</w:t>
      </w:r>
      <w:r w:rsidR="00BF0A11" w:rsidRPr="00C90AC9">
        <w:rPr>
          <w:rFonts w:eastAsiaTheme="minorHAnsi"/>
          <w:lang w:eastAsia="en-US"/>
        </w:rPr>
        <w:t xml:space="preserve"> represents an estimate rather than a true figure</w:t>
      </w:r>
      <w:r w:rsidRPr="00C90AC9">
        <w:rPr>
          <w:rFonts w:eastAsiaTheme="minorHAnsi"/>
          <w:lang w:eastAsia="en-US"/>
        </w:rPr>
        <w:t xml:space="preserve"> </w:t>
      </w:r>
      <w:r w:rsidR="00182124" w:rsidRPr="00C90AC9">
        <w:rPr>
          <w:rFonts w:eastAsiaTheme="minorHAnsi"/>
          <w:lang w:eastAsia="en-US"/>
        </w:rPr>
        <w:fldChar w:fldCharType="begin"/>
      </w:r>
      <w:r w:rsidR="00182124" w:rsidRPr="00C90AC9">
        <w:rPr>
          <w:rFonts w:eastAsiaTheme="minorHAnsi"/>
          <w:lang w:eastAsia="en-US"/>
        </w:rPr>
        <w:instrText xml:space="preserve"> ADDIN EN.CITE &lt;EndNote&gt;&lt;Cite&gt;&lt;Author&gt;Hawkins&lt;/Author&gt;&lt;Year&gt;2011&lt;/Year&gt;&lt;RecNum&gt;144&lt;/RecNum&gt;&lt;DisplayText&gt;(Hawkins, 2011)&lt;/DisplayText&gt;&lt;record&gt;&lt;rec-number&gt;144&lt;/rec-number&gt;&lt;foreign-keys&gt;&lt;key app="EN" db-id="50wxdpzd9vd5r7e9t5b595djrfpttrxw9avp" timestamp="1525076334"&gt;144&lt;/key&gt;&lt;/foreign-keys&gt;&lt;ref-type name="Book"&gt;6&lt;/ref-type&gt;&lt;contributors&gt;&lt;authors&gt;&lt;author&gt;G. Hawkins&lt;/author&gt;&lt;/authors&gt;&lt;/contributors&gt;&lt;titles&gt;&lt;title&gt;Rules of Thub, Guidelines for building services&lt;/title&gt;&lt;short-title&gt;G. Hawkins 2011 – Rules of Thub&lt;/short-title&gt;&lt;/titles&gt;&lt;dates&gt;&lt;year&gt;2011&lt;/year&gt;&lt;/dates&gt;&lt;publisher&gt;BSRIA&lt;/publisher&gt;&lt;urls&gt;&lt;/urls&gt;&lt;/record&gt;&lt;/Cite&gt;&lt;/EndNote&gt;</w:instrText>
      </w:r>
      <w:r w:rsidR="00182124" w:rsidRPr="00C90AC9">
        <w:rPr>
          <w:rFonts w:eastAsiaTheme="minorHAnsi"/>
          <w:lang w:eastAsia="en-US"/>
        </w:rPr>
        <w:fldChar w:fldCharType="separate"/>
      </w:r>
      <w:r w:rsidR="00182124" w:rsidRPr="00C90AC9">
        <w:rPr>
          <w:rFonts w:eastAsiaTheme="minorHAnsi"/>
          <w:lang w:eastAsia="en-US"/>
        </w:rPr>
        <w:t>(Hawkins, 2011)</w:t>
      </w:r>
      <w:r w:rsidR="00182124" w:rsidRPr="00C90AC9">
        <w:rPr>
          <w:rFonts w:eastAsiaTheme="minorHAnsi"/>
          <w:lang w:eastAsia="en-US"/>
        </w:rPr>
        <w:fldChar w:fldCharType="end"/>
      </w:r>
      <w:r w:rsidR="00BF0A11" w:rsidRPr="00C90AC9">
        <w:rPr>
          <w:rFonts w:eastAsiaTheme="minorHAnsi"/>
          <w:lang w:eastAsia="en-US"/>
        </w:rPr>
        <w:t>.</w:t>
      </w:r>
      <w:r w:rsidR="003C52A4" w:rsidRPr="00C90AC9">
        <w:rPr>
          <w:rFonts w:eastAsiaTheme="minorHAnsi"/>
          <w:lang w:eastAsia="en-US"/>
        </w:rPr>
        <w:br w:type="page"/>
      </w:r>
    </w:p>
    <w:p w:rsidR="00A16B8C" w:rsidRPr="00C90AC9" w:rsidRDefault="00A16B8C" w:rsidP="00B06779">
      <w:pPr>
        <w:pStyle w:val="BodyText"/>
        <w:rPr>
          <w:rFonts w:eastAsiaTheme="minorHAnsi"/>
          <w:lang w:eastAsia="en-US"/>
        </w:rPr>
      </w:pPr>
      <w:r w:rsidRPr="00C90AC9">
        <w:rPr>
          <w:rFonts w:eastAsiaTheme="minorHAnsi"/>
          <w:lang w:eastAsia="en-US"/>
        </w:rPr>
        <w:lastRenderedPageBreak/>
        <w:t xml:space="preserve">Table 2.1. “Rules of Thumb” guide to daily hot water consumption  </w:t>
      </w:r>
      <w:r w:rsidR="00114F19" w:rsidRPr="00C90AC9">
        <w:rPr>
          <w:rFonts w:eastAsiaTheme="minorHAnsi"/>
          <w:lang w:eastAsia="en-US"/>
        </w:rPr>
        <w:fldChar w:fldCharType="begin"/>
      </w:r>
      <w:r w:rsidR="00114F19" w:rsidRPr="00C90AC9">
        <w:rPr>
          <w:rFonts w:eastAsiaTheme="minorHAnsi"/>
          <w:lang w:eastAsia="en-US"/>
        </w:rPr>
        <w:instrText xml:space="preserve"> ADDIN EN.CITE &lt;EndNote&gt;&lt;Cite&gt;&lt;Author&gt;Hawkins&lt;/Author&gt;&lt;Year&gt;2011&lt;/Year&gt;&lt;RecNum&gt;144&lt;/RecNum&gt;&lt;DisplayText&gt;(Hawkins, 2011)&lt;/DisplayText&gt;&lt;record&gt;&lt;rec-number&gt;144&lt;/rec-number&gt;&lt;foreign-keys&gt;&lt;key app="EN" db-id="50wxdpzd9vd5r7e9t5b595djrfpttrxw9avp" timestamp="1525076334"&gt;144&lt;/key&gt;&lt;/foreign-keys&gt;&lt;ref-type name="Book"&gt;6&lt;/ref-type&gt;&lt;contributors&gt;&lt;authors&gt;&lt;author&gt;G. Hawkins&lt;/author&gt;&lt;/authors&gt;&lt;/contributors&gt;&lt;titles&gt;&lt;title&gt;Rules of Thub, Guidelines for building services&lt;/title&gt;&lt;short-title&gt;G. Hawkins 2011 – Rules of Thub&lt;/short-title&gt;&lt;/titles&gt;&lt;dates&gt;&lt;year&gt;2011&lt;/year&gt;&lt;/dates&gt;&lt;publisher&gt;BSRIA&lt;/publisher&gt;&lt;urls&gt;&lt;/urls&gt;&lt;/record&gt;&lt;/Cite&gt;&lt;/EndNote&gt;</w:instrText>
      </w:r>
      <w:r w:rsidR="00114F19" w:rsidRPr="00C90AC9">
        <w:rPr>
          <w:rFonts w:eastAsiaTheme="minorHAnsi"/>
          <w:lang w:eastAsia="en-US"/>
        </w:rPr>
        <w:fldChar w:fldCharType="separate"/>
      </w:r>
      <w:r w:rsidR="00114F19" w:rsidRPr="00C90AC9">
        <w:rPr>
          <w:rFonts w:eastAsiaTheme="minorHAnsi"/>
          <w:lang w:eastAsia="en-US"/>
        </w:rPr>
        <w:t>(Hawkins, 2011)</w:t>
      </w:r>
      <w:r w:rsidR="00114F19" w:rsidRPr="00C90AC9">
        <w:rPr>
          <w:rFonts w:eastAsiaTheme="minorHAnsi"/>
          <w:lang w:eastAsia="en-US"/>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7"/>
        <w:gridCol w:w="3229"/>
      </w:tblGrid>
      <w:tr w:rsidR="00A16B8C" w:rsidRPr="00C90AC9" w:rsidTr="00F05511">
        <w:trPr>
          <w:trHeight w:val="684"/>
          <w:jc w:val="center"/>
        </w:trPr>
        <w:tc>
          <w:tcPr>
            <w:tcW w:w="3287" w:type="dxa"/>
            <w:tcBorders>
              <w:bottom w:val="double" w:sz="4" w:space="0" w:color="auto"/>
            </w:tcBorders>
            <w:vAlign w:val="bottom"/>
          </w:tcPr>
          <w:p w:rsidR="00A16B8C" w:rsidRPr="00C90AC9" w:rsidRDefault="006F0C85" w:rsidP="00D67FA6">
            <w:pPr>
              <w:jc w:val="center"/>
              <w:rPr>
                <w:rFonts w:eastAsiaTheme="minorHAnsi"/>
                <w:lang w:eastAsia="en-US"/>
              </w:rPr>
            </w:pPr>
            <w:sdt>
              <w:sdtPr>
                <w:rPr>
                  <w:rFonts w:eastAsiaTheme="minorHAnsi"/>
                  <w:lang w:eastAsia="en-US"/>
                </w:rPr>
                <w:alias w:val="Don't edit this field"/>
                <w:tag w:val="CitaviPlaceholder#3da823e8-f94a-4d3d-bc36-224bb37cd67a"/>
                <w:id w:val="-1394810775"/>
              </w:sdtPr>
              <w:sdtEndPr/>
              <w:sdtContent>
                <w:r w:rsidR="00C05E2B" w:rsidRPr="00C90AC9">
                  <w:rPr>
                    <w:rFonts w:eastAsiaTheme="minorHAnsi"/>
                    <w:lang w:eastAsia="en-US"/>
                  </w:rPr>
                  <w:fldChar w:fldCharType="begin"/>
                </w:r>
                <w:r w:rsidR="007835E8" w:rsidRPr="00C90AC9">
                  <w:rPr>
                    <w:rFonts w:eastAsiaTheme="minorHAnsi"/>
                    <w:lang w:eastAsia="en-US"/>
                  </w:rPr>
                  <w:instrText>ADDIN CitaviPlaceholder{eyIkaWQiOiIxIiwiRW50cmllcyI6W3siJGlkIjoiMiIsIkhhc1RlbXBvcmFyeVJlZmVyZW5jZSI6dHJ1ZSwiSWQiOiIyYTdiZjM1Mi0zMzY5LTQ5MTItODY3NS1iZDdmMGI0NzEyYTUiLCJSYW5nZUxlbmd0aCI6NDksIlJlZmVyZW5jZUlkIjoiZmU0NDg0OTctNGEzNC00YjdkLTkzOGMtNjJmMmY2NDdhNDcx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}</w:instrText>
                </w:r>
                <w:r w:rsidR="00C05E2B" w:rsidRPr="00C90AC9">
                  <w:rPr>
                    <w:rFonts w:eastAsiaTheme="minorHAnsi"/>
                    <w:lang w:eastAsia="en-US"/>
                  </w:rPr>
                  <w:fldChar w:fldCharType="separate"/>
                </w:r>
                <w:r w:rsidR="007835E8" w:rsidRPr="00C90AC9">
                  <w:rPr>
                    <w:rFonts w:eastAsiaTheme="minorHAnsi"/>
                    <w:lang w:eastAsia="en-US"/>
                  </w:rPr>
                  <w:t>(Rules of Thub, Guidelines for building services)</w:t>
                </w:r>
                <w:r w:rsidR="00C05E2B" w:rsidRPr="00C90AC9">
                  <w:rPr>
                    <w:rFonts w:eastAsiaTheme="minorHAnsi"/>
                    <w:lang w:eastAsia="en-US"/>
                  </w:rPr>
                  <w:fldChar w:fldCharType="end"/>
                </w:r>
              </w:sdtContent>
            </w:sdt>
            <w:r w:rsidR="00A16B8C" w:rsidRPr="00C90AC9">
              <w:rPr>
                <w:rFonts w:eastAsiaTheme="minorHAnsi"/>
                <w:lang w:eastAsia="en-US"/>
              </w:rPr>
              <w:t>Description</w:t>
            </w:r>
          </w:p>
        </w:tc>
        <w:tc>
          <w:tcPr>
            <w:tcW w:w="3229" w:type="dxa"/>
            <w:tcBorders>
              <w:bottom w:val="double" w:sz="4" w:space="0" w:color="auto"/>
            </w:tcBorders>
            <w:vAlign w:val="bottom"/>
          </w:tcPr>
          <w:p w:rsidR="00A16B8C" w:rsidRPr="00C90AC9" w:rsidRDefault="00A16B8C" w:rsidP="00D67FA6">
            <w:pPr>
              <w:jc w:val="center"/>
              <w:rPr>
                <w:rFonts w:eastAsiaTheme="minorHAnsi"/>
                <w:lang w:eastAsia="en-US"/>
              </w:rPr>
            </w:pPr>
            <w:r w:rsidRPr="00C90AC9">
              <w:rPr>
                <w:rFonts w:eastAsiaTheme="minorHAnsi"/>
                <w:lang w:eastAsia="en-US"/>
              </w:rPr>
              <w:t>Maximum daily hot water consumption (l/person)</w:t>
            </w:r>
          </w:p>
        </w:tc>
      </w:tr>
      <w:tr w:rsidR="00A16B8C" w:rsidRPr="00C90AC9" w:rsidTr="000E17D2">
        <w:trPr>
          <w:trHeight w:hRule="exact" w:val="397"/>
          <w:jc w:val="center"/>
        </w:trPr>
        <w:tc>
          <w:tcPr>
            <w:tcW w:w="6516" w:type="dxa"/>
            <w:gridSpan w:val="2"/>
            <w:tcBorders>
              <w:top w:val="double" w:sz="4" w:space="0" w:color="auto"/>
              <w:bottom w:val="single" w:sz="4" w:space="0" w:color="auto"/>
            </w:tcBorders>
            <w:shd w:val="clear" w:color="auto" w:fill="auto"/>
            <w:vAlign w:val="center"/>
          </w:tcPr>
          <w:p w:rsidR="00A16B8C" w:rsidRPr="00C90AC9" w:rsidRDefault="00A16B8C" w:rsidP="00D67FA6">
            <w:pPr>
              <w:jc w:val="center"/>
              <w:rPr>
                <w:rFonts w:eastAsiaTheme="minorHAnsi"/>
                <w:lang w:eastAsia="en-US"/>
              </w:rPr>
            </w:pPr>
            <w:r w:rsidRPr="00C90AC9">
              <w:rPr>
                <w:rFonts w:eastAsiaTheme="minorHAnsi"/>
                <w:lang w:eastAsia="en-US"/>
              </w:rPr>
              <w:t>Houses</w:t>
            </w:r>
          </w:p>
        </w:tc>
      </w:tr>
      <w:tr w:rsidR="00A16B8C" w:rsidRPr="00C90AC9" w:rsidTr="000E17D2">
        <w:trPr>
          <w:trHeight w:hRule="exact" w:val="397"/>
          <w:jc w:val="center"/>
        </w:trPr>
        <w:tc>
          <w:tcPr>
            <w:tcW w:w="3287" w:type="dxa"/>
            <w:shd w:val="pct12" w:color="auto" w:fill="auto"/>
            <w:vAlign w:val="bottom"/>
          </w:tcPr>
          <w:p w:rsidR="00A16B8C" w:rsidRPr="00C90AC9" w:rsidRDefault="00A16B8C" w:rsidP="00D67FA6">
            <w:pPr>
              <w:jc w:val="center"/>
              <w:rPr>
                <w:rFonts w:eastAsiaTheme="minorHAnsi"/>
                <w:lang w:eastAsia="en-US"/>
              </w:rPr>
            </w:pPr>
            <w:r w:rsidRPr="00C90AC9">
              <w:rPr>
                <w:rFonts w:eastAsiaTheme="minorHAnsi"/>
                <w:lang w:eastAsia="en-US"/>
              </w:rPr>
              <w:t>Economic, local authority</w:t>
            </w:r>
          </w:p>
        </w:tc>
        <w:tc>
          <w:tcPr>
            <w:tcW w:w="3229" w:type="dxa"/>
            <w:shd w:val="pct12" w:color="auto" w:fill="auto"/>
            <w:vAlign w:val="bottom"/>
          </w:tcPr>
          <w:p w:rsidR="00A16B8C" w:rsidRPr="00C90AC9" w:rsidRDefault="00A16B8C" w:rsidP="00D67FA6">
            <w:pPr>
              <w:jc w:val="center"/>
              <w:rPr>
                <w:rFonts w:eastAsiaTheme="minorHAnsi"/>
                <w:lang w:eastAsia="en-US"/>
              </w:rPr>
            </w:pPr>
            <w:r w:rsidRPr="00C90AC9">
              <w:rPr>
                <w:rFonts w:eastAsiaTheme="minorHAnsi"/>
                <w:lang w:eastAsia="en-US"/>
              </w:rPr>
              <w:t>120</w:t>
            </w:r>
          </w:p>
        </w:tc>
      </w:tr>
      <w:tr w:rsidR="00A16B8C" w:rsidRPr="00C90AC9" w:rsidTr="000E17D2">
        <w:trPr>
          <w:trHeight w:hRule="exact" w:val="397"/>
          <w:jc w:val="center"/>
        </w:trPr>
        <w:tc>
          <w:tcPr>
            <w:tcW w:w="3287" w:type="dxa"/>
            <w:shd w:val="pct12" w:color="auto" w:fill="auto"/>
            <w:vAlign w:val="bottom"/>
          </w:tcPr>
          <w:p w:rsidR="00A16B8C" w:rsidRPr="00C90AC9" w:rsidRDefault="00A16B8C" w:rsidP="00D67FA6">
            <w:pPr>
              <w:jc w:val="center"/>
              <w:rPr>
                <w:rFonts w:eastAsiaTheme="minorHAnsi"/>
                <w:lang w:eastAsia="en-US"/>
              </w:rPr>
            </w:pPr>
            <w:r w:rsidRPr="00C90AC9">
              <w:rPr>
                <w:rFonts w:eastAsiaTheme="minorHAnsi"/>
                <w:lang w:eastAsia="en-US"/>
              </w:rPr>
              <w:t>Medium, privately owned</w:t>
            </w:r>
          </w:p>
        </w:tc>
        <w:tc>
          <w:tcPr>
            <w:tcW w:w="3229" w:type="dxa"/>
            <w:shd w:val="pct12" w:color="auto" w:fill="auto"/>
            <w:vAlign w:val="bottom"/>
          </w:tcPr>
          <w:p w:rsidR="00A16B8C" w:rsidRPr="00C90AC9" w:rsidRDefault="00A16B8C" w:rsidP="00D67FA6">
            <w:pPr>
              <w:jc w:val="center"/>
              <w:rPr>
                <w:rFonts w:eastAsiaTheme="minorHAnsi"/>
                <w:lang w:eastAsia="en-US"/>
              </w:rPr>
            </w:pPr>
            <w:r w:rsidRPr="00C90AC9">
              <w:rPr>
                <w:rFonts w:eastAsiaTheme="minorHAnsi"/>
                <w:lang w:eastAsia="en-US"/>
              </w:rPr>
              <w:t>120</w:t>
            </w:r>
          </w:p>
        </w:tc>
      </w:tr>
      <w:tr w:rsidR="00A16B8C" w:rsidRPr="00C90AC9" w:rsidTr="000E17D2">
        <w:trPr>
          <w:trHeight w:hRule="exact" w:val="397"/>
          <w:jc w:val="center"/>
        </w:trPr>
        <w:tc>
          <w:tcPr>
            <w:tcW w:w="3287" w:type="dxa"/>
            <w:shd w:val="pct12" w:color="auto" w:fill="auto"/>
            <w:vAlign w:val="bottom"/>
          </w:tcPr>
          <w:p w:rsidR="00A16B8C" w:rsidRPr="00C90AC9" w:rsidRDefault="00A16B8C" w:rsidP="00D67FA6">
            <w:pPr>
              <w:jc w:val="center"/>
              <w:rPr>
                <w:rFonts w:eastAsiaTheme="minorHAnsi"/>
                <w:lang w:eastAsia="en-US"/>
              </w:rPr>
            </w:pPr>
            <w:r w:rsidRPr="00C90AC9">
              <w:rPr>
                <w:rFonts w:eastAsiaTheme="minorHAnsi"/>
                <w:lang w:eastAsia="en-US"/>
              </w:rPr>
              <w:t>Luxury, privately   owned</w:t>
            </w:r>
          </w:p>
        </w:tc>
        <w:tc>
          <w:tcPr>
            <w:tcW w:w="3229" w:type="dxa"/>
            <w:shd w:val="pct12" w:color="auto" w:fill="auto"/>
            <w:vAlign w:val="bottom"/>
          </w:tcPr>
          <w:p w:rsidR="00A16B8C" w:rsidRPr="00C90AC9" w:rsidRDefault="00A16B8C" w:rsidP="00D67FA6">
            <w:pPr>
              <w:jc w:val="center"/>
              <w:rPr>
                <w:rFonts w:eastAsiaTheme="minorHAnsi"/>
                <w:lang w:eastAsia="en-US"/>
              </w:rPr>
            </w:pPr>
            <w:r w:rsidRPr="00C90AC9">
              <w:rPr>
                <w:rFonts w:eastAsiaTheme="minorHAnsi"/>
                <w:lang w:eastAsia="en-US"/>
              </w:rPr>
              <w:t>120</w:t>
            </w:r>
          </w:p>
        </w:tc>
      </w:tr>
      <w:tr w:rsidR="00A16B8C" w:rsidRPr="00C90AC9" w:rsidTr="000E17D2">
        <w:trPr>
          <w:trHeight w:hRule="exact" w:val="397"/>
          <w:jc w:val="center"/>
        </w:trPr>
        <w:tc>
          <w:tcPr>
            <w:tcW w:w="6516" w:type="dxa"/>
            <w:gridSpan w:val="2"/>
            <w:tcBorders>
              <w:bottom w:val="single" w:sz="4" w:space="0" w:color="auto"/>
            </w:tcBorders>
            <w:vAlign w:val="bottom"/>
          </w:tcPr>
          <w:p w:rsidR="00A16B8C" w:rsidRPr="00C90AC9" w:rsidRDefault="00A16B8C" w:rsidP="00D67FA6">
            <w:pPr>
              <w:jc w:val="center"/>
              <w:rPr>
                <w:rFonts w:eastAsiaTheme="minorHAnsi"/>
                <w:lang w:eastAsia="en-US"/>
              </w:rPr>
            </w:pPr>
            <w:r w:rsidRPr="00C90AC9">
              <w:rPr>
                <w:rFonts w:eastAsiaTheme="minorHAnsi"/>
                <w:lang w:eastAsia="en-US"/>
              </w:rPr>
              <w:t>Flats</w:t>
            </w:r>
          </w:p>
        </w:tc>
      </w:tr>
      <w:tr w:rsidR="00A16B8C" w:rsidRPr="00C90AC9" w:rsidTr="000E17D2">
        <w:trPr>
          <w:trHeight w:hRule="exact" w:val="397"/>
          <w:jc w:val="center"/>
        </w:trPr>
        <w:tc>
          <w:tcPr>
            <w:tcW w:w="3287" w:type="dxa"/>
            <w:shd w:val="pct12" w:color="auto" w:fill="auto"/>
            <w:vAlign w:val="bottom"/>
          </w:tcPr>
          <w:p w:rsidR="00A16B8C" w:rsidRPr="00C90AC9" w:rsidRDefault="00A16B8C" w:rsidP="00D67FA6">
            <w:pPr>
              <w:jc w:val="center"/>
              <w:rPr>
                <w:rFonts w:eastAsiaTheme="minorHAnsi"/>
                <w:lang w:eastAsia="en-US"/>
              </w:rPr>
            </w:pPr>
            <w:r w:rsidRPr="00C90AC9">
              <w:rPr>
                <w:rFonts w:eastAsiaTheme="minorHAnsi"/>
                <w:lang w:eastAsia="en-US"/>
              </w:rPr>
              <w:t>Economic, local authority</w:t>
            </w:r>
          </w:p>
        </w:tc>
        <w:tc>
          <w:tcPr>
            <w:tcW w:w="3229" w:type="dxa"/>
            <w:shd w:val="pct12" w:color="auto" w:fill="auto"/>
            <w:vAlign w:val="bottom"/>
          </w:tcPr>
          <w:p w:rsidR="00A16B8C" w:rsidRPr="00C90AC9" w:rsidRDefault="00A16B8C" w:rsidP="00D67FA6">
            <w:pPr>
              <w:jc w:val="center"/>
              <w:rPr>
                <w:rFonts w:eastAsiaTheme="minorHAnsi"/>
                <w:lang w:eastAsia="en-US"/>
              </w:rPr>
            </w:pPr>
            <w:r w:rsidRPr="00C90AC9">
              <w:rPr>
                <w:rFonts w:eastAsiaTheme="minorHAnsi"/>
                <w:lang w:eastAsia="en-US"/>
              </w:rPr>
              <w:t>68</w:t>
            </w:r>
          </w:p>
        </w:tc>
      </w:tr>
      <w:tr w:rsidR="00A16B8C" w:rsidRPr="00C90AC9" w:rsidTr="000E17D2">
        <w:trPr>
          <w:trHeight w:hRule="exact" w:val="397"/>
          <w:jc w:val="center"/>
        </w:trPr>
        <w:tc>
          <w:tcPr>
            <w:tcW w:w="3287" w:type="dxa"/>
            <w:shd w:val="pct12" w:color="auto" w:fill="auto"/>
            <w:vAlign w:val="bottom"/>
          </w:tcPr>
          <w:p w:rsidR="00A16B8C" w:rsidRPr="00C90AC9" w:rsidRDefault="00A16B8C" w:rsidP="00D67FA6">
            <w:pPr>
              <w:jc w:val="center"/>
              <w:rPr>
                <w:rFonts w:eastAsiaTheme="minorHAnsi"/>
                <w:lang w:eastAsia="en-US"/>
              </w:rPr>
            </w:pPr>
            <w:r w:rsidRPr="00C90AC9">
              <w:rPr>
                <w:rFonts w:eastAsiaTheme="minorHAnsi"/>
                <w:lang w:eastAsia="en-US"/>
              </w:rPr>
              <w:t>Medium, privately owned</w:t>
            </w:r>
          </w:p>
        </w:tc>
        <w:tc>
          <w:tcPr>
            <w:tcW w:w="3229" w:type="dxa"/>
            <w:shd w:val="pct12" w:color="auto" w:fill="auto"/>
            <w:vAlign w:val="bottom"/>
          </w:tcPr>
          <w:p w:rsidR="00A16B8C" w:rsidRPr="00C90AC9" w:rsidRDefault="00A16B8C" w:rsidP="00D67FA6">
            <w:pPr>
              <w:jc w:val="center"/>
              <w:rPr>
                <w:rFonts w:eastAsiaTheme="minorHAnsi"/>
                <w:lang w:eastAsia="en-US"/>
              </w:rPr>
            </w:pPr>
            <w:r w:rsidRPr="00C90AC9">
              <w:rPr>
                <w:rFonts w:eastAsiaTheme="minorHAnsi"/>
                <w:lang w:eastAsia="en-US"/>
              </w:rPr>
              <w:t>115</w:t>
            </w:r>
          </w:p>
        </w:tc>
      </w:tr>
      <w:tr w:rsidR="00A16B8C" w:rsidRPr="00C90AC9" w:rsidTr="000E17D2">
        <w:trPr>
          <w:trHeight w:hRule="exact" w:val="397"/>
          <w:jc w:val="center"/>
        </w:trPr>
        <w:tc>
          <w:tcPr>
            <w:tcW w:w="3287" w:type="dxa"/>
            <w:shd w:val="pct12" w:color="auto" w:fill="auto"/>
            <w:vAlign w:val="bottom"/>
          </w:tcPr>
          <w:p w:rsidR="00A16B8C" w:rsidRPr="00C90AC9" w:rsidRDefault="00A16B8C" w:rsidP="00D67FA6">
            <w:pPr>
              <w:jc w:val="center"/>
              <w:rPr>
                <w:rFonts w:eastAsiaTheme="minorHAnsi"/>
                <w:lang w:eastAsia="en-US"/>
              </w:rPr>
            </w:pPr>
            <w:r w:rsidRPr="00C90AC9">
              <w:rPr>
                <w:rFonts w:eastAsiaTheme="minorHAnsi"/>
                <w:lang w:eastAsia="en-US"/>
              </w:rPr>
              <w:t>Luxury, privately   owned</w:t>
            </w:r>
          </w:p>
        </w:tc>
        <w:tc>
          <w:tcPr>
            <w:tcW w:w="3229" w:type="dxa"/>
            <w:shd w:val="pct12" w:color="auto" w:fill="auto"/>
            <w:vAlign w:val="bottom"/>
          </w:tcPr>
          <w:p w:rsidR="00A16B8C" w:rsidRPr="00C90AC9" w:rsidRDefault="00A16B8C" w:rsidP="00D67FA6">
            <w:pPr>
              <w:jc w:val="center"/>
              <w:rPr>
                <w:rFonts w:eastAsiaTheme="minorHAnsi"/>
                <w:lang w:eastAsia="en-US"/>
              </w:rPr>
            </w:pPr>
            <w:r w:rsidRPr="00C90AC9">
              <w:rPr>
                <w:rFonts w:eastAsiaTheme="minorHAnsi"/>
                <w:lang w:eastAsia="en-US"/>
              </w:rPr>
              <w:t>120</w:t>
            </w:r>
          </w:p>
        </w:tc>
      </w:tr>
      <w:tr w:rsidR="00A16B8C" w:rsidRPr="00C90AC9" w:rsidTr="000E17D2">
        <w:trPr>
          <w:trHeight w:hRule="exact" w:val="397"/>
          <w:jc w:val="center"/>
        </w:trPr>
        <w:tc>
          <w:tcPr>
            <w:tcW w:w="6516" w:type="dxa"/>
            <w:gridSpan w:val="2"/>
            <w:tcBorders>
              <w:bottom w:val="single" w:sz="4" w:space="0" w:color="auto"/>
            </w:tcBorders>
            <w:vAlign w:val="bottom"/>
          </w:tcPr>
          <w:p w:rsidR="00A16B8C" w:rsidRPr="00C90AC9" w:rsidRDefault="00A16B8C" w:rsidP="00D67FA6">
            <w:pPr>
              <w:jc w:val="center"/>
              <w:rPr>
                <w:rFonts w:eastAsiaTheme="minorHAnsi"/>
                <w:lang w:eastAsia="en-US"/>
              </w:rPr>
            </w:pPr>
            <w:r w:rsidRPr="00C90AC9">
              <w:rPr>
                <w:rFonts w:eastAsiaTheme="minorHAnsi"/>
                <w:lang w:eastAsia="en-US"/>
              </w:rPr>
              <w:t>Other types of dwelling</w:t>
            </w:r>
          </w:p>
        </w:tc>
      </w:tr>
      <w:tr w:rsidR="00A16B8C" w:rsidRPr="00C90AC9" w:rsidTr="000E17D2">
        <w:trPr>
          <w:trHeight w:hRule="exact" w:val="397"/>
          <w:jc w:val="center"/>
        </w:trPr>
        <w:tc>
          <w:tcPr>
            <w:tcW w:w="3287" w:type="dxa"/>
            <w:shd w:val="pct12" w:color="auto" w:fill="auto"/>
            <w:vAlign w:val="bottom"/>
          </w:tcPr>
          <w:p w:rsidR="00A16B8C" w:rsidRPr="00C90AC9" w:rsidRDefault="00A16B8C" w:rsidP="00D67FA6">
            <w:pPr>
              <w:jc w:val="center"/>
              <w:rPr>
                <w:rFonts w:eastAsiaTheme="minorHAnsi"/>
                <w:lang w:eastAsia="en-US"/>
              </w:rPr>
            </w:pPr>
            <w:r w:rsidRPr="00C90AC9">
              <w:rPr>
                <w:rFonts w:eastAsiaTheme="minorHAnsi"/>
                <w:lang w:eastAsia="en-US"/>
              </w:rPr>
              <w:t>Nursing staff accommodation</w:t>
            </w:r>
          </w:p>
        </w:tc>
        <w:tc>
          <w:tcPr>
            <w:tcW w:w="3229" w:type="dxa"/>
            <w:shd w:val="pct12" w:color="auto" w:fill="auto"/>
            <w:vAlign w:val="bottom"/>
          </w:tcPr>
          <w:p w:rsidR="00A16B8C" w:rsidRPr="00C90AC9" w:rsidRDefault="00A16B8C" w:rsidP="00D67FA6">
            <w:pPr>
              <w:jc w:val="center"/>
              <w:rPr>
                <w:rFonts w:eastAsiaTheme="minorHAnsi"/>
                <w:lang w:eastAsia="en-US"/>
              </w:rPr>
            </w:pPr>
            <w:r w:rsidRPr="00C90AC9">
              <w:rPr>
                <w:rFonts w:eastAsiaTheme="minorHAnsi"/>
                <w:lang w:eastAsia="en-US"/>
              </w:rPr>
              <w:t>120</w:t>
            </w:r>
          </w:p>
        </w:tc>
      </w:tr>
      <w:tr w:rsidR="00A16B8C" w:rsidRPr="00C90AC9" w:rsidTr="000E17D2">
        <w:trPr>
          <w:trHeight w:hRule="exact" w:val="397"/>
          <w:jc w:val="center"/>
        </w:trPr>
        <w:tc>
          <w:tcPr>
            <w:tcW w:w="3287" w:type="dxa"/>
            <w:shd w:val="pct12" w:color="auto" w:fill="auto"/>
            <w:vAlign w:val="bottom"/>
          </w:tcPr>
          <w:p w:rsidR="00A16B8C" w:rsidRPr="00C90AC9" w:rsidRDefault="00A16B8C" w:rsidP="00D67FA6">
            <w:pPr>
              <w:jc w:val="center"/>
              <w:rPr>
                <w:rFonts w:eastAsiaTheme="minorHAnsi"/>
                <w:lang w:eastAsia="en-US"/>
              </w:rPr>
            </w:pPr>
            <w:r w:rsidRPr="00C90AC9">
              <w:rPr>
                <w:rFonts w:eastAsiaTheme="minorHAnsi"/>
                <w:lang w:eastAsia="en-US"/>
              </w:rPr>
              <w:t>Hostels</w:t>
            </w:r>
          </w:p>
        </w:tc>
        <w:tc>
          <w:tcPr>
            <w:tcW w:w="3229" w:type="dxa"/>
            <w:shd w:val="pct12" w:color="auto" w:fill="auto"/>
            <w:vAlign w:val="bottom"/>
          </w:tcPr>
          <w:p w:rsidR="00A16B8C" w:rsidRPr="00C90AC9" w:rsidRDefault="00A16B8C" w:rsidP="00D67FA6">
            <w:pPr>
              <w:jc w:val="center"/>
              <w:rPr>
                <w:rFonts w:eastAsiaTheme="minorHAnsi"/>
                <w:lang w:eastAsia="en-US"/>
              </w:rPr>
            </w:pPr>
            <w:r w:rsidRPr="00C90AC9">
              <w:rPr>
                <w:rFonts w:eastAsiaTheme="minorHAnsi"/>
                <w:lang w:eastAsia="en-US"/>
              </w:rPr>
              <w:t>115</w:t>
            </w:r>
          </w:p>
        </w:tc>
      </w:tr>
    </w:tbl>
    <w:p w:rsidR="0057730F" w:rsidRPr="00C90AC9" w:rsidRDefault="0057730F" w:rsidP="00B06779">
      <w:pPr>
        <w:pStyle w:val="ListParagraph"/>
        <w:rPr>
          <w:rStyle w:val="SubtleEmphasis"/>
          <w:rFonts w:ascii="Times New Roman" w:hAnsi="Times New Roman" w:cs="Times New Roman"/>
          <w:sz w:val="24"/>
          <w:szCs w:val="24"/>
        </w:rPr>
      </w:pPr>
    </w:p>
    <w:p w:rsidR="003C52A4" w:rsidRPr="00C90AC9" w:rsidRDefault="003C52A4" w:rsidP="00B06779">
      <w:pPr>
        <w:rPr>
          <w:rStyle w:val="SubtleEmphasis"/>
          <w:rFonts w:cs="Times New Roman"/>
          <w:i/>
          <w:iCs/>
          <w:sz w:val="24"/>
          <w:szCs w:val="24"/>
          <w:lang w:eastAsia="en-US"/>
        </w:rPr>
      </w:pPr>
    </w:p>
    <w:p w:rsidR="00A16B8C" w:rsidRPr="00C90AC9" w:rsidRDefault="00A16B8C" w:rsidP="009601D8">
      <w:pPr>
        <w:pStyle w:val="Heading1"/>
        <w:rPr>
          <w:rStyle w:val="SubtleEmphasis"/>
        </w:rPr>
      </w:pPr>
      <w:r w:rsidRPr="00C90AC9">
        <w:rPr>
          <w:rStyle w:val="SubtleEmphasis"/>
        </w:rPr>
        <w:t>Efficiency of various methods for heating water for domestic use</w:t>
      </w:r>
    </w:p>
    <w:p w:rsidR="00A16B8C" w:rsidRPr="00C90AC9" w:rsidRDefault="00A16B8C" w:rsidP="00162965">
      <w:pPr>
        <w:pStyle w:val="BodyTextFirstIndent"/>
        <w:spacing w:line="360" w:lineRule="auto"/>
        <w:rPr>
          <w:rFonts w:eastAsiaTheme="minorHAnsi"/>
          <w:lang w:eastAsia="en-US"/>
        </w:rPr>
      </w:pPr>
      <w:r w:rsidRPr="00C90AC9">
        <w:rPr>
          <w:rFonts w:eastAsiaTheme="minorHAnsi"/>
          <w:lang w:eastAsia="en-US"/>
        </w:rPr>
        <w:t>There are a number of different types of methods in which water used for washing and other sanitary purposes can be heated. Each method either heats water so that it can be used in the property instantaneously or the heated water is stored in a tank until it is needed for use. These two categories are split in the UK,</w:t>
      </w:r>
      <w:r w:rsidR="00E76CAF" w:rsidRPr="00C90AC9">
        <w:rPr>
          <w:rFonts w:eastAsiaTheme="minorHAnsi"/>
          <w:lang w:eastAsia="en-US"/>
        </w:rPr>
        <w:t xml:space="preserve"> with about 55% of domestic</w:t>
      </w:r>
      <w:r w:rsidRPr="00C90AC9">
        <w:rPr>
          <w:rFonts w:eastAsiaTheme="minorHAnsi"/>
          <w:lang w:eastAsia="en-US"/>
        </w:rPr>
        <w:t xml:space="preserve"> water</w:t>
      </w:r>
      <w:r w:rsidR="00E76CAF" w:rsidRPr="00C90AC9">
        <w:rPr>
          <w:rFonts w:eastAsiaTheme="minorHAnsi"/>
          <w:lang w:eastAsia="en-US"/>
        </w:rPr>
        <w:t xml:space="preserve"> </w:t>
      </w:r>
      <w:r w:rsidRPr="00C90AC9">
        <w:rPr>
          <w:rFonts w:eastAsiaTheme="minorHAnsi"/>
          <w:lang w:eastAsia="en-US"/>
        </w:rPr>
        <w:t>used instantaneously</w:t>
      </w:r>
      <w:r w:rsidR="00E76CAF" w:rsidRPr="00C90AC9">
        <w:rPr>
          <w:rFonts w:eastAsiaTheme="minorHAnsi"/>
          <w:lang w:eastAsia="en-US"/>
        </w:rPr>
        <w:t xml:space="preserve"> for showers, baths or from taps</w:t>
      </w:r>
      <w:r w:rsidRPr="00C90AC9">
        <w:rPr>
          <w:rFonts w:eastAsiaTheme="minorHAnsi"/>
          <w:lang w:eastAsia="en-US"/>
        </w:rPr>
        <w:t>. The data was taken from a 2009 English Housing Survey (Department of Communities and Local Government, DCLG)</w:t>
      </w:r>
      <w:r w:rsidR="00AE21AD" w:rsidRPr="00C90AC9">
        <w:rPr>
          <w:rFonts w:eastAsiaTheme="minorHAnsi"/>
          <w:lang w:eastAsia="en-US"/>
        </w:rPr>
        <w:t xml:space="preserve"> </w:t>
      </w:r>
      <w:r w:rsidR="00AE21AD" w:rsidRPr="00C90AC9">
        <w:rPr>
          <w:rFonts w:eastAsiaTheme="minorHAnsi"/>
          <w:lang w:eastAsia="en-US"/>
        </w:rPr>
        <w:fldChar w:fldCharType="begin"/>
      </w:r>
      <w:r w:rsidR="00AE21AD" w:rsidRPr="00C90AC9">
        <w:rPr>
          <w:rFonts w:eastAsiaTheme="minorHAnsi"/>
          <w:lang w:eastAsia="en-US"/>
        </w:rPr>
        <w:instrText xml:space="preserve"> ADDIN EN.CITE &lt;EndNote&gt;&lt;Cite&gt;&lt;Author&gt;Ministry of Housing&lt;/Author&gt;&lt;Year&gt;2009&lt;/Year&gt;&lt;RecNum&gt;281&lt;/RecNum&gt;&lt;DisplayText&gt;(Ministry of Housing, 2009)&lt;/DisplayText&gt;&lt;record&gt;&lt;rec-number&gt;281&lt;/rec-number&gt;&lt;foreign-keys&gt;&lt;key app="EN" db-id="50wxdpzd9vd5r7e9t5b595djrfpttrxw9avp" timestamp="1526626035"&gt;281&lt;/key&gt;&lt;/foreign-keys&gt;&lt;ref-type name="Report"&gt;27&lt;/ref-type&gt;&lt;contributors&gt;&lt;authors&gt;&lt;author&gt;Ministry of Housing, Communities &amp;amp; Local Government&lt;/author&gt;&lt;/authors&gt;&lt;secondary-authors&gt;&lt;author&gt;Crown Copyright&lt;/author&gt;&lt;/secondary-authors&gt;&lt;tertiary-authors&gt;&lt;author&gt;Crown Coryright&lt;/author&gt;&lt;/tertiary-authors&gt;&lt;/contributors&gt;&lt;titles&gt;&lt;title&gt;English Housing Survey&lt;/title&gt;&lt;/titles&gt;&lt;dates&gt;&lt;year&gt;2009&lt;/year&gt;&lt;/dates&gt;&lt;pub-location&gt;London&lt;/pub-location&gt;&lt;urls&gt;&lt;/urls&gt;&lt;/record&gt;&lt;/Cite&gt;&lt;/EndNote&gt;</w:instrText>
      </w:r>
      <w:r w:rsidR="00AE21AD" w:rsidRPr="00C90AC9">
        <w:rPr>
          <w:rFonts w:eastAsiaTheme="minorHAnsi"/>
          <w:lang w:eastAsia="en-US"/>
        </w:rPr>
        <w:fldChar w:fldCharType="separate"/>
      </w:r>
      <w:r w:rsidR="00AE21AD" w:rsidRPr="00C90AC9">
        <w:rPr>
          <w:rFonts w:eastAsiaTheme="minorHAnsi"/>
          <w:lang w:eastAsia="en-US"/>
        </w:rPr>
        <w:t>(Ministry of Housing, 2009)</w:t>
      </w:r>
      <w:r w:rsidR="00AE21AD" w:rsidRPr="00C90AC9">
        <w:rPr>
          <w:rFonts w:eastAsiaTheme="minorHAnsi"/>
          <w:lang w:eastAsia="en-US"/>
        </w:rPr>
        <w:fldChar w:fldCharType="end"/>
      </w:r>
      <w:r w:rsidRPr="00C90AC9">
        <w:rPr>
          <w:rFonts w:eastAsiaTheme="minorHAnsi"/>
          <w:lang w:eastAsia="en-US"/>
        </w:rPr>
        <w:t xml:space="preserve">. </w:t>
      </w:r>
    </w:p>
    <w:p w:rsidR="00A16B8C" w:rsidRPr="00C90AC9" w:rsidRDefault="00A16B8C" w:rsidP="00162965">
      <w:pPr>
        <w:pStyle w:val="BodyText"/>
        <w:spacing w:line="360" w:lineRule="auto"/>
        <w:rPr>
          <w:rFonts w:eastAsiaTheme="minorHAnsi"/>
          <w:lang w:eastAsia="en-US"/>
        </w:rPr>
      </w:pPr>
      <w:r w:rsidRPr="00C90AC9">
        <w:rPr>
          <w:rFonts w:eastAsiaTheme="minorHAnsi"/>
          <w:lang w:eastAsia="en-US"/>
        </w:rPr>
        <w:t xml:space="preserve">The realistic behaviour and efficiency of heating systems were analysed using long term monitoring in the study by </w:t>
      </w:r>
      <w:proofErr w:type="spellStart"/>
      <w:r w:rsidR="00AE21AD" w:rsidRPr="00C90AC9">
        <w:rPr>
          <w:rFonts w:eastAsiaTheme="minorHAnsi"/>
          <w:lang w:eastAsia="en-US"/>
        </w:rPr>
        <w:t>Thur</w:t>
      </w:r>
      <w:proofErr w:type="spellEnd"/>
      <w:r w:rsidR="00AE21AD" w:rsidRPr="00C90AC9">
        <w:rPr>
          <w:rFonts w:eastAsiaTheme="minorHAnsi"/>
          <w:lang w:eastAsia="en-US"/>
        </w:rPr>
        <w:t>,</w:t>
      </w:r>
      <w:r w:rsidRPr="00C90AC9">
        <w:rPr>
          <w:rFonts w:eastAsiaTheme="minorHAnsi"/>
          <w:lang w:eastAsia="en-US"/>
        </w:rPr>
        <w:t xml:space="preserve"> in their study of the annual energy saving potential of </w:t>
      </w:r>
      <w:r w:rsidR="00972302" w:rsidRPr="00C90AC9">
        <w:rPr>
          <w:rFonts w:eastAsiaTheme="minorHAnsi"/>
          <w:lang w:eastAsia="en-US"/>
        </w:rPr>
        <w:t>three</w:t>
      </w:r>
      <w:r w:rsidRPr="00C90AC9">
        <w:rPr>
          <w:rFonts w:eastAsiaTheme="minorHAnsi"/>
          <w:lang w:eastAsia="en-US"/>
        </w:rPr>
        <w:t xml:space="preserve"> different </w:t>
      </w:r>
      <w:r w:rsidR="00972302" w:rsidRPr="00C90AC9">
        <w:rPr>
          <w:rFonts w:eastAsiaTheme="minorHAnsi"/>
          <w:lang w:eastAsia="en-US"/>
        </w:rPr>
        <w:t xml:space="preserve">Solar Domestic Hot Water </w:t>
      </w:r>
      <w:r w:rsidR="002C4A30" w:rsidRPr="00C90AC9">
        <w:rPr>
          <w:rFonts w:eastAsiaTheme="minorHAnsi"/>
          <w:lang w:eastAsia="en-US"/>
        </w:rPr>
        <w:t>S</w:t>
      </w:r>
      <w:r w:rsidRPr="00C90AC9">
        <w:rPr>
          <w:rFonts w:eastAsiaTheme="minorHAnsi"/>
          <w:lang w:eastAsia="en-US"/>
        </w:rPr>
        <w:t xml:space="preserve">ystems </w:t>
      </w:r>
      <w:r w:rsidR="002C4A30" w:rsidRPr="00C90AC9">
        <w:rPr>
          <w:rFonts w:eastAsiaTheme="minorHAnsi"/>
          <w:lang w:eastAsia="en-US"/>
        </w:rPr>
        <w:t xml:space="preserve">(SDHWS), </w:t>
      </w:r>
      <w:r w:rsidRPr="00C90AC9">
        <w:rPr>
          <w:rFonts w:eastAsiaTheme="minorHAnsi"/>
          <w:lang w:eastAsia="en-US"/>
        </w:rPr>
        <w:t>a 4m</w:t>
      </w:r>
      <w:r w:rsidRPr="00C90AC9">
        <w:rPr>
          <w:rFonts w:eastAsiaTheme="minorHAnsi"/>
          <w:vertAlign w:val="superscript"/>
          <w:lang w:eastAsia="en-US"/>
        </w:rPr>
        <w:t>2</w:t>
      </w:r>
      <w:r w:rsidRPr="00C90AC9">
        <w:rPr>
          <w:rFonts w:eastAsiaTheme="minorHAnsi"/>
          <w:lang w:eastAsia="en-US"/>
        </w:rPr>
        <w:t xml:space="preserve"> 1500kWh; a 4m</w:t>
      </w:r>
      <w:r w:rsidRPr="00C90AC9">
        <w:rPr>
          <w:rFonts w:eastAsiaTheme="minorHAnsi"/>
          <w:vertAlign w:val="superscript"/>
          <w:lang w:eastAsia="en-US"/>
        </w:rPr>
        <w:t>2</w:t>
      </w:r>
      <w:r w:rsidRPr="00C90AC9">
        <w:rPr>
          <w:rFonts w:eastAsiaTheme="minorHAnsi"/>
          <w:lang w:eastAsia="en-US"/>
        </w:rPr>
        <w:t xml:space="preserve"> 3000kWh; and a 2m</w:t>
      </w:r>
      <w:r w:rsidRPr="00C90AC9">
        <w:rPr>
          <w:rFonts w:eastAsiaTheme="minorHAnsi"/>
          <w:vertAlign w:val="superscript"/>
          <w:lang w:eastAsia="en-US"/>
        </w:rPr>
        <w:t xml:space="preserve">2 </w:t>
      </w:r>
      <w:r w:rsidRPr="00C90AC9">
        <w:rPr>
          <w:rFonts w:eastAsiaTheme="minorHAnsi"/>
          <w:lang w:eastAsia="en-US"/>
        </w:rPr>
        <w:t>1500 kWh</w:t>
      </w:r>
      <w:r w:rsidR="002C4A30" w:rsidRPr="00C90AC9">
        <w:rPr>
          <w:rFonts w:eastAsiaTheme="minorHAnsi"/>
          <w:lang w:eastAsia="en-US"/>
        </w:rPr>
        <w:t>,</w:t>
      </w:r>
      <w:r w:rsidRPr="00C90AC9">
        <w:rPr>
          <w:rFonts w:eastAsiaTheme="minorHAnsi"/>
          <w:lang w:eastAsia="en-US"/>
        </w:rPr>
        <w:t xml:space="preserve"> against different standard energy types: Gas boiler; Gas boiler + Electricity; and an Oil boiler </w:t>
      </w:r>
      <w:r w:rsidR="00AE21AD" w:rsidRPr="00C90AC9">
        <w:rPr>
          <w:rFonts w:eastAsiaTheme="minorHAnsi"/>
          <w:lang w:eastAsia="en-US"/>
        </w:rPr>
        <w:fldChar w:fldCharType="begin"/>
      </w:r>
      <w:r w:rsidR="00AE21AD" w:rsidRPr="00C90AC9">
        <w:rPr>
          <w:rFonts w:eastAsiaTheme="minorHAnsi"/>
          <w:lang w:eastAsia="en-US"/>
        </w:rPr>
        <w:instrText xml:space="preserve"> ADDIN EN.CITE &lt;EndNote&gt;&lt;Cite&gt;&lt;Author&gt;Thür&lt;/Author&gt;&lt;Year&gt;2006&lt;/Year&gt;&lt;RecNum&gt;198&lt;/RecNum&gt;&lt;DisplayText&gt;(Thür &amp;amp; Shah, 2006)&lt;/DisplayText&gt;&lt;record&gt;&lt;rec-number&gt;198&lt;/rec-number&gt;&lt;foreign-keys&gt;&lt;key app="EN" db-id="50wxdpzd9vd5r7e9t5b595djrfpttrxw9avp" timestamp="1525076335"&gt;198&lt;/key&gt;&lt;/foreign-keys&gt;&lt;ref-type name="Journal Article"&gt;17&lt;/ref-type&gt;&lt;contributors&gt;&lt;authors&gt;&lt;author&gt;Thür, A., S. Furbo,&lt;/author&gt;&lt;author&gt;L.J. Shah&lt;/author&gt;&lt;/authors&gt;&lt;/contributors&gt;&lt;titles&gt;&lt;title&gt;Energy savings for solar heating systems&lt;/title&gt;&lt;secondary-title&gt;Solar Energy&lt;/secondary-title&gt;&lt;short-title&gt;Thür, A., S. Furbo, and L.J. Shah 2006 – Energy savings for solar heating&lt;/short-title&gt;&lt;/titles&gt;&lt;pages&gt;p. 1463-1474&lt;/pages&gt;&lt;volume&gt;80&lt;/volume&gt;&lt;number&gt;80&lt;/number&gt;&lt;dates&gt;&lt;year&gt;2006&lt;/year&gt;&lt;/dates&gt;&lt;urls&gt;&lt;/urls&gt;&lt;/record&gt;&lt;/Cite&gt;&lt;/EndNote&gt;</w:instrText>
      </w:r>
      <w:r w:rsidR="00AE21AD" w:rsidRPr="00C90AC9">
        <w:rPr>
          <w:rFonts w:eastAsiaTheme="minorHAnsi"/>
          <w:lang w:eastAsia="en-US"/>
        </w:rPr>
        <w:fldChar w:fldCharType="separate"/>
      </w:r>
      <w:r w:rsidR="00AE21AD" w:rsidRPr="00C90AC9">
        <w:rPr>
          <w:rFonts w:eastAsiaTheme="minorHAnsi"/>
          <w:lang w:eastAsia="en-US"/>
        </w:rPr>
        <w:t>(Thür &amp; Shah, 2006)</w:t>
      </w:r>
      <w:r w:rsidR="00AE21AD" w:rsidRPr="00C90AC9">
        <w:rPr>
          <w:rFonts w:eastAsiaTheme="minorHAnsi"/>
          <w:lang w:eastAsia="en-US"/>
        </w:rPr>
        <w:fldChar w:fldCharType="end"/>
      </w:r>
      <w:r w:rsidRPr="00C90AC9">
        <w:rPr>
          <w:rFonts w:eastAsiaTheme="minorHAnsi"/>
          <w:lang w:eastAsia="en-US"/>
        </w:rPr>
        <w:t xml:space="preserve">. The study found a good level of similarity between the estimated fuel consumption and the measured fuel consumption. The study determined that when assuming a heating system which uses either an </w:t>
      </w:r>
      <w:r w:rsidR="005A06E3" w:rsidRPr="00C90AC9">
        <w:rPr>
          <w:rFonts w:eastAsiaTheme="minorHAnsi"/>
          <w:lang w:eastAsia="en-US"/>
        </w:rPr>
        <w:t>oil-fired</w:t>
      </w:r>
      <w:r w:rsidRPr="00C90AC9">
        <w:rPr>
          <w:rFonts w:eastAsiaTheme="minorHAnsi"/>
          <w:lang w:eastAsia="en-US"/>
        </w:rPr>
        <w:t xml:space="preserve"> boiler or a gas boiler the two factors that affect the energy savings of a heating system </w:t>
      </w:r>
      <w:r w:rsidRPr="00C90AC9">
        <w:rPr>
          <w:rFonts w:eastAsiaTheme="minorHAnsi"/>
          <w:i/>
          <w:lang w:eastAsia="en-US"/>
        </w:rPr>
        <w:t>before</w:t>
      </w:r>
      <w:r w:rsidRPr="00C90AC9">
        <w:rPr>
          <w:rFonts w:eastAsiaTheme="minorHAnsi"/>
          <w:lang w:eastAsia="en-US"/>
        </w:rPr>
        <w:t xml:space="preserve"> solar heating is used:</w:t>
      </w:r>
    </w:p>
    <w:p w:rsidR="009C50A5" w:rsidRPr="00C90AC9" w:rsidRDefault="00A16B8C" w:rsidP="00CA6E35">
      <w:pPr>
        <w:pStyle w:val="ListBullet2"/>
        <w:numPr>
          <w:ilvl w:val="0"/>
          <w:numId w:val="2"/>
        </w:numPr>
        <w:spacing w:line="360" w:lineRule="auto"/>
        <w:rPr>
          <w:rFonts w:eastAsiaTheme="minorHAnsi"/>
          <w:lang w:eastAsia="en-US"/>
        </w:rPr>
      </w:pPr>
      <w:r w:rsidRPr="00C90AC9">
        <w:rPr>
          <w:rFonts w:eastAsiaTheme="minorHAnsi"/>
          <w:lang w:eastAsia="en-US"/>
        </w:rPr>
        <w:lastRenderedPageBreak/>
        <w:t>The boiler efficiency; and</w:t>
      </w:r>
    </w:p>
    <w:p w:rsidR="00340C5A" w:rsidRPr="00C90AC9" w:rsidRDefault="00A16B8C" w:rsidP="00CA6E35">
      <w:pPr>
        <w:pStyle w:val="ListBullet2"/>
        <w:numPr>
          <w:ilvl w:val="0"/>
          <w:numId w:val="2"/>
        </w:numPr>
        <w:spacing w:line="360" w:lineRule="auto"/>
        <w:rPr>
          <w:rFonts w:eastAsiaTheme="minorHAnsi"/>
          <w:lang w:eastAsia="en-US"/>
        </w:rPr>
      </w:pPr>
      <w:r w:rsidRPr="00C90AC9">
        <w:rPr>
          <w:rFonts w:eastAsiaTheme="minorHAnsi"/>
          <w:lang w:eastAsia="en-US"/>
        </w:rPr>
        <w:t xml:space="preserve">The boiler electrical consumption.   </w:t>
      </w:r>
      <w:r w:rsidR="009C50A5" w:rsidRPr="00C90AC9">
        <w:rPr>
          <w:rFonts w:eastAsiaTheme="minorHAnsi"/>
          <w:lang w:eastAsia="en-US"/>
        </w:rPr>
        <w:tab/>
      </w:r>
      <w:r w:rsidR="009C50A5" w:rsidRPr="00C90AC9">
        <w:rPr>
          <w:rFonts w:eastAsiaTheme="minorHAnsi"/>
          <w:lang w:eastAsia="en-US"/>
        </w:rPr>
        <w:tab/>
        <w:t xml:space="preserve">  </w:t>
      </w:r>
      <w:r w:rsidR="00A64C09" w:rsidRPr="00C90AC9">
        <w:rPr>
          <w:rFonts w:eastAsiaTheme="minorHAnsi"/>
          <w:lang w:eastAsia="en-US"/>
        </w:rPr>
        <w:tab/>
      </w:r>
      <w:r w:rsidRPr="00C90AC9">
        <w:rPr>
          <w:rFonts w:eastAsiaTheme="minorHAnsi"/>
          <w:lang w:eastAsia="en-US"/>
        </w:rPr>
        <w:t xml:space="preserve"> </w:t>
      </w:r>
      <w:r w:rsidR="009C50A5" w:rsidRPr="00C90AC9">
        <w:rPr>
          <w:rFonts w:eastAsiaTheme="minorHAnsi"/>
          <w:lang w:eastAsia="en-US"/>
        </w:rPr>
        <w:tab/>
      </w:r>
      <w:r w:rsidR="00182124" w:rsidRPr="00C90AC9">
        <w:rPr>
          <w:rFonts w:eastAsiaTheme="minorHAnsi"/>
          <w:lang w:eastAsia="en-US"/>
        </w:rPr>
        <w:fldChar w:fldCharType="begin"/>
      </w:r>
      <w:r w:rsidR="00182124" w:rsidRPr="00C90AC9">
        <w:rPr>
          <w:rFonts w:eastAsiaTheme="minorHAnsi"/>
          <w:lang w:eastAsia="en-US"/>
        </w:rPr>
        <w:instrText xml:space="preserve"> ADDIN EN.CITE &lt;EndNote&gt;&lt;Cite&gt;&lt;Author&gt;Thür&lt;/Author&gt;&lt;Year&gt;2006&lt;/Year&gt;&lt;RecNum&gt;198&lt;/RecNum&gt;&lt;DisplayText&gt;(Thür &amp;amp; Shah, 2006)&lt;/DisplayText&gt;&lt;record&gt;&lt;rec-number&gt;198&lt;/rec-number&gt;&lt;foreign-keys&gt;&lt;key app="EN" db-id="50wxdpzd9vd5r7e9t5b595djrfpttrxw9avp" timestamp="1525076335"&gt;198&lt;/key&gt;&lt;/foreign-keys&gt;&lt;ref-type name="Journal Article"&gt;17&lt;/ref-type&gt;&lt;contributors&gt;&lt;authors&gt;&lt;author&gt;Thür, A., S. Furbo,&lt;/author&gt;&lt;author&gt;L.J. Shah&lt;/author&gt;&lt;/authors&gt;&lt;/contributors&gt;&lt;titles&gt;&lt;title&gt;Energy savings for solar heating systems&lt;/title&gt;&lt;secondary-title&gt;Solar Energy&lt;/secondary-title&gt;&lt;short-title&gt;Thür, A., S. Furbo, and L.J. Shah 2006 – Energy savings for solar heating&lt;/short-title&gt;&lt;/titles&gt;&lt;pages&gt;p. 1463-1474&lt;/pages&gt;&lt;volume&gt;80&lt;/volume&gt;&lt;number&gt;80&lt;/number&gt;&lt;dates&gt;&lt;year&gt;2006&lt;/year&gt;&lt;/dates&gt;&lt;urls&gt;&lt;/urls&gt;&lt;/record&gt;&lt;/Cite&gt;&lt;/EndNote&gt;</w:instrText>
      </w:r>
      <w:r w:rsidR="00182124" w:rsidRPr="00C90AC9">
        <w:rPr>
          <w:rFonts w:eastAsiaTheme="minorHAnsi"/>
          <w:lang w:eastAsia="en-US"/>
        </w:rPr>
        <w:fldChar w:fldCharType="separate"/>
      </w:r>
      <w:r w:rsidR="00182124" w:rsidRPr="00C90AC9">
        <w:rPr>
          <w:rFonts w:eastAsiaTheme="minorHAnsi"/>
          <w:lang w:eastAsia="en-US"/>
        </w:rPr>
        <w:t>(Thür &amp; Shah, 2006)</w:t>
      </w:r>
      <w:r w:rsidR="00182124" w:rsidRPr="00C90AC9">
        <w:rPr>
          <w:rFonts w:eastAsiaTheme="minorHAnsi"/>
          <w:lang w:eastAsia="en-US"/>
        </w:rPr>
        <w:fldChar w:fldCharType="end"/>
      </w:r>
      <w:r w:rsidR="009C50A5" w:rsidRPr="00C90AC9">
        <w:rPr>
          <w:rFonts w:eastAsiaTheme="minorHAnsi"/>
          <w:lang w:eastAsia="en-US"/>
        </w:rPr>
        <w:t xml:space="preserve">    </w:t>
      </w:r>
      <w:r w:rsidRPr="00C90AC9">
        <w:rPr>
          <w:rFonts w:eastAsiaTheme="minorHAnsi"/>
          <w:lang w:eastAsia="en-US"/>
        </w:rPr>
        <w:t xml:space="preserve"> </w:t>
      </w:r>
      <w:r w:rsidR="001B437C" w:rsidRPr="00C90AC9">
        <w:rPr>
          <w:rFonts w:eastAsiaTheme="minorHAnsi"/>
          <w:lang w:eastAsia="en-US"/>
        </w:rPr>
        <w:t xml:space="preserve">        </w:t>
      </w:r>
    </w:p>
    <w:p w:rsidR="00340C5A" w:rsidRPr="00C90AC9" w:rsidRDefault="00340C5A" w:rsidP="00162965">
      <w:pPr>
        <w:pStyle w:val="ListBullet2"/>
        <w:numPr>
          <w:ilvl w:val="0"/>
          <w:numId w:val="0"/>
        </w:numPr>
        <w:spacing w:line="360" w:lineRule="auto"/>
        <w:ind w:left="643" w:hanging="360"/>
        <w:rPr>
          <w:rFonts w:eastAsiaTheme="minorHAnsi"/>
          <w:lang w:eastAsia="en-US"/>
        </w:rPr>
      </w:pPr>
    </w:p>
    <w:p w:rsidR="00340C5A" w:rsidRPr="00C90AC9" w:rsidRDefault="00340C5A" w:rsidP="00162965">
      <w:pPr>
        <w:pStyle w:val="BodyText"/>
        <w:spacing w:line="360" w:lineRule="auto"/>
        <w:rPr>
          <w:rFonts w:eastAsiaTheme="minorHAnsi"/>
          <w:lang w:eastAsia="en-US"/>
        </w:rPr>
      </w:pPr>
      <w:r w:rsidRPr="00C90AC9">
        <w:rPr>
          <w:rFonts w:eastAsiaTheme="minorHAnsi"/>
          <w:lang w:eastAsia="en-US"/>
        </w:rPr>
        <w:t xml:space="preserve">Assuming that a heating system </w:t>
      </w:r>
      <w:r w:rsidR="00A64C09" w:rsidRPr="00C90AC9">
        <w:rPr>
          <w:rFonts w:eastAsiaTheme="minorHAnsi"/>
          <w:lang w:eastAsia="en-US"/>
        </w:rPr>
        <w:t xml:space="preserve">utilises </w:t>
      </w:r>
      <w:r w:rsidRPr="00C90AC9">
        <w:rPr>
          <w:rFonts w:eastAsiaTheme="minorHAnsi"/>
          <w:lang w:eastAsia="en-US"/>
        </w:rPr>
        <w:t xml:space="preserve">either an </w:t>
      </w:r>
      <w:proofErr w:type="gramStart"/>
      <w:r w:rsidRPr="00C90AC9">
        <w:rPr>
          <w:rFonts w:eastAsiaTheme="minorHAnsi"/>
          <w:lang w:eastAsia="en-US"/>
        </w:rPr>
        <w:t>oil fired</w:t>
      </w:r>
      <w:proofErr w:type="gramEnd"/>
      <w:r w:rsidRPr="00C90AC9">
        <w:rPr>
          <w:rFonts w:eastAsiaTheme="minorHAnsi"/>
          <w:lang w:eastAsia="en-US"/>
        </w:rPr>
        <w:t xml:space="preserve"> boiler or a gas boiler, the energy savings of a heating system </w:t>
      </w:r>
      <w:r w:rsidRPr="00C90AC9">
        <w:rPr>
          <w:rFonts w:eastAsiaTheme="minorHAnsi"/>
          <w:i/>
          <w:lang w:eastAsia="en-US"/>
        </w:rPr>
        <w:t>after</w:t>
      </w:r>
      <w:r w:rsidRPr="00C90AC9">
        <w:rPr>
          <w:rFonts w:eastAsiaTheme="minorHAnsi"/>
          <w:lang w:eastAsia="en-US"/>
        </w:rPr>
        <w:t xml:space="preserve"> a solar heating system is included depend on:</w:t>
      </w:r>
    </w:p>
    <w:p w:rsidR="00340C5A" w:rsidRPr="00C90AC9" w:rsidRDefault="00340C5A" w:rsidP="00CA6E35">
      <w:pPr>
        <w:pStyle w:val="ListBullet2"/>
        <w:numPr>
          <w:ilvl w:val="0"/>
          <w:numId w:val="2"/>
        </w:numPr>
        <w:spacing w:line="360" w:lineRule="auto"/>
        <w:rPr>
          <w:rFonts w:eastAsiaTheme="minorHAnsi"/>
          <w:lang w:eastAsia="en-US"/>
        </w:rPr>
      </w:pPr>
      <w:r w:rsidRPr="00C90AC9">
        <w:rPr>
          <w:rFonts w:eastAsiaTheme="minorHAnsi"/>
          <w:lang w:eastAsia="en-US"/>
        </w:rPr>
        <w:t xml:space="preserve">The boiler efficiency; </w:t>
      </w:r>
    </w:p>
    <w:p w:rsidR="00340C5A" w:rsidRPr="00C90AC9" w:rsidRDefault="00340C5A" w:rsidP="00CA6E35">
      <w:pPr>
        <w:pStyle w:val="ListBullet2"/>
        <w:numPr>
          <w:ilvl w:val="0"/>
          <w:numId w:val="2"/>
        </w:numPr>
        <w:spacing w:line="360" w:lineRule="auto"/>
        <w:rPr>
          <w:rFonts w:eastAsiaTheme="minorHAnsi"/>
          <w:lang w:eastAsia="en-US"/>
        </w:rPr>
      </w:pPr>
      <w:r w:rsidRPr="00C90AC9">
        <w:rPr>
          <w:rFonts w:eastAsiaTheme="minorHAnsi"/>
          <w:lang w:eastAsia="en-US"/>
        </w:rPr>
        <w:t>The boiler electrical consumption;</w:t>
      </w:r>
    </w:p>
    <w:p w:rsidR="00340C5A" w:rsidRPr="00C90AC9" w:rsidRDefault="00340C5A" w:rsidP="00CA6E35">
      <w:pPr>
        <w:pStyle w:val="ListBullet2"/>
        <w:numPr>
          <w:ilvl w:val="0"/>
          <w:numId w:val="2"/>
        </w:numPr>
        <w:spacing w:line="360" w:lineRule="auto"/>
        <w:rPr>
          <w:rFonts w:eastAsiaTheme="minorHAnsi"/>
          <w:lang w:eastAsia="en-US"/>
        </w:rPr>
      </w:pPr>
      <w:r w:rsidRPr="00C90AC9">
        <w:rPr>
          <w:rFonts w:eastAsiaTheme="minorHAnsi"/>
          <w:lang w:eastAsia="en-US"/>
        </w:rPr>
        <w:t>The solar heating system electrical consumption;</w:t>
      </w:r>
    </w:p>
    <w:p w:rsidR="00340C5A" w:rsidRPr="00C90AC9" w:rsidRDefault="00340C5A" w:rsidP="00CA6E35">
      <w:pPr>
        <w:pStyle w:val="ListBullet2"/>
        <w:numPr>
          <w:ilvl w:val="0"/>
          <w:numId w:val="2"/>
        </w:numPr>
        <w:spacing w:line="360" w:lineRule="auto"/>
        <w:rPr>
          <w:rFonts w:eastAsiaTheme="minorHAnsi"/>
          <w:lang w:eastAsia="en-US"/>
        </w:rPr>
      </w:pPr>
      <w:r w:rsidRPr="00C90AC9">
        <w:rPr>
          <w:rFonts w:eastAsiaTheme="minorHAnsi"/>
          <w:lang w:eastAsia="en-US"/>
        </w:rPr>
        <w:t>The solar systems’ net utilized solar energy; and</w:t>
      </w:r>
    </w:p>
    <w:p w:rsidR="00340C5A" w:rsidRPr="002B3A92" w:rsidRDefault="00340C5A" w:rsidP="00AE6DE9">
      <w:pPr>
        <w:pStyle w:val="ListBullet2"/>
        <w:numPr>
          <w:ilvl w:val="0"/>
          <w:numId w:val="2"/>
        </w:numPr>
        <w:spacing w:line="360" w:lineRule="auto"/>
        <w:ind w:left="0" w:firstLine="0"/>
        <w:rPr>
          <w:rFonts w:eastAsiaTheme="minorHAnsi"/>
          <w:lang w:eastAsia="en-US"/>
        </w:rPr>
      </w:pPr>
      <w:r w:rsidRPr="002B3A92">
        <w:rPr>
          <w:rFonts w:eastAsiaTheme="minorHAnsi"/>
          <w:lang w:eastAsia="en-US"/>
        </w:rPr>
        <w:t xml:space="preserve">Any energy savings from having the solar heating system turned off over periods of high solar energy (in the summer for example).       </w:t>
      </w:r>
      <w:r w:rsidRPr="002B3A92">
        <w:rPr>
          <w:rFonts w:eastAsiaTheme="minorHAnsi"/>
          <w:lang w:eastAsia="en-US"/>
        </w:rPr>
        <w:tab/>
        <w:t xml:space="preserve"> </w:t>
      </w:r>
      <w:r w:rsidR="00A64C09" w:rsidRPr="002B3A92">
        <w:rPr>
          <w:rFonts w:eastAsiaTheme="minorHAnsi"/>
          <w:lang w:eastAsia="en-US"/>
        </w:rPr>
        <w:tab/>
      </w:r>
      <w:r w:rsidRPr="002B3A92">
        <w:rPr>
          <w:rFonts w:eastAsiaTheme="minorHAnsi"/>
          <w:lang w:eastAsia="en-US"/>
        </w:rPr>
        <w:t xml:space="preserve">    </w:t>
      </w:r>
      <w:r w:rsidR="00182124" w:rsidRPr="002B3A92">
        <w:rPr>
          <w:rFonts w:eastAsiaTheme="minorHAnsi"/>
          <w:lang w:eastAsia="en-US"/>
        </w:rPr>
        <w:fldChar w:fldCharType="begin"/>
      </w:r>
      <w:r w:rsidR="00182124" w:rsidRPr="002B3A92">
        <w:rPr>
          <w:rFonts w:eastAsiaTheme="minorHAnsi"/>
          <w:lang w:eastAsia="en-US"/>
        </w:rPr>
        <w:instrText xml:space="preserve"> ADDIN EN.CITE &lt;EndNote&gt;&lt;Cite&gt;&lt;Author&gt;Thür&lt;/Author&gt;&lt;Year&gt;2006&lt;/Year&gt;&lt;RecNum&gt;198&lt;/RecNum&gt;&lt;DisplayText&gt;(Thür &amp;amp; Shah, 2006)&lt;/DisplayText&gt;&lt;record&gt;&lt;rec-number&gt;198&lt;/rec-number&gt;&lt;foreign-keys&gt;&lt;key app="EN" db-id="50wxdpzd9vd5r7e9t5b595djrfpttrxw9avp" timestamp="1525076335"&gt;198&lt;/key&gt;&lt;/foreign-keys&gt;&lt;ref-type name="Journal Article"&gt;17&lt;/ref-type&gt;&lt;contributors&gt;&lt;authors&gt;&lt;author&gt;Thür, A., S. Furbo,&lt;/author&gt;&lt;author&gt;L.J. Shah&lt;/author&gt;&lt;/authors&gt;&lt;/contributors&gt;&lt;titles&gt;&lt;title&gt;Energy savings for solar heating systems&lt;/title&gt;&lt;secondary-title&gt;Solar Energy&lt;/secondary-title&gt;&lt;short-title&gt;Thür, A., S. Furbo, and L.J. Shah 2006 – Energy savings for solar heating&lt;/short-title&gt;&lt;/titles&gt;&lt;pages&gt;p. 1463-1474&lt;/pages&gt;&lt;volume&gt;80&lt;/volume&gt;&lt;number&gt;80&lt;/number&gt;&lt;dates&gt;&lt;year&gt;2006&lt;/year&gt;&lt;/dates&gt;&lt;urls&gt;&lt;/urls&gt;&lt;/record&gt;&lt;/Cite&gt;&lt;/EndNote&gt;</w:instrText>
      </w:r>
      <w:r w:rsidR="00182124" w:rsidRPr="002B3A92">
        <w:rPr>
          <w:rFonts w:eastAsiaTheme="minorHAnsi"/>
          <w:lang w:eastAsia="en-US"/>
        </w:rPr>
        <w:fldChar w:fldCharType="separate"/>
      </w:r>
      <w:r w:rsidR="00182124" w:rsidRPr="002B3A92">
        <w:rPr>
          <w:rFonts w:eastAsiaTheme="minorHAnsi"/>
          <w:lang w:eastAsia="en-US"/>
        </w:rPr>
        <w:t>(Thür &amp; Shah, 2006)</w:t>
      </w:r>
      <w:r w:rsidR="00182124" w:rsidRPr="002B3A92">
        <w:rPr>
          <w:rFonts w:eastAsiaTheme="minorHAnsi"/>
          <w:lang w:eastAsia="en-US"/>
        </w:rPr>
        <w:fldChar w:fldCharType="end"/>
      </w:r>
      <w:r w:rsidRPr="002B3A92">
        <w:rPr>
          <w:rFonts w:eastAsiaTheme="minorHAnsi"/>
          <w:lang w:eastAsia="en-US"/>
        </w:rPr>
        <w:br w:type="page"/>
      </w:r>
      <w:r w:rsidR="002F47F9" w:rsidRPr="002B3A92">
        <w:rPr>
          <w:rFonts w:eastAsiaTheme="minorHAnsi"/>
          <w:lang w:eastAsia="en-US"/>
        </w:rPr>
        <w:lastRenderedPageBreak/>
        <w:t xml:space="preserve">The findings of </w:t>
      </w:r>
      <w:proofErr w:type="spellStart"/>
      <w:r w:rsidR="002F47F9" w:rsidRPr="002B3A92">
        <w:rPr>
          <w:rFonts w:eastAsiaTheme="minorHAnsi"/>
          <w:lang w:eastAsia="en-US"/>
        </w:rPr>
        <w:t>Boait</w:t>
      </w:r>
      <w:proofErr w:type="spellEnd"/>
      <w:r w:rsidR="002F47F9" w:rsidRPr="002B3A92">
        <w:rPr>
          <w:rFonts w:eastAsiaTheme="minorHAnsi"/>
          <w:lang w:eastAsia="en-US"/>
        </w:rPr>
        <w:t xml:space="preserve"> 2012 are shown in Table 2.2. which detail the populations of heating systems employed in</w:t>
      </w:r>
      <w:r w:rsidR="00972302" w:rsidRPr="002B3A92">
        <w:rPr>
          <w:rFonts w:eastAsiaTheme="minorHAnsi"/>
          <w:lang w:eastAsia="en-US"/>
        </w:rPr>
        <w:t xml:space="preserve"> the UK for domestic hot water </w:t>
      </w:r>
      <w:r w:rsidR="00972302" w:rsidRPr="002B3A92">
        <w:rPr>
          <w:rFonts w:eastAsiaTheme="minorHAnsi"/>
          <w:lang w:eastAsia="en-US"/>
        </w:rPr>
        <w:fldChar w:fldCharType="begin"/>
      </w:r>
      <w:r w:rsidR="00972302" w:rsidRPr="002B3A92">
        <w:rPr>
          <w:rFonts w:eastAsiaTheme="minorHAnsi"/>
          <w:lang w:eastAsia="en-US"/>
        </w:rPr>
        <w:instrText xml:space="preserve"> ADDIN EN.CITE &lt;EndNote&gt;&lt;Cite&gt;&lt;Author&gt;Boait&lt;/Author&gt;&lt;Year&gt;2008&lt;/Year&gt;&lt;RecNum&gt;122&lt;/RecNum&gt;&lt;DisplayText&gt;(Boait &amp;amp; et al., 2008)&lt;/DisplayText&gt;&lt;record&gt;&lt;rec-number&gt;122&lt;/rec-number&gt;&lt;foreign-keys&gt;&lt;key app="EN" db-id="50wxdpzd9vd5r7e9t5b595djrfpttrxw9avp" timestamp="1525076334"&gt;122&lt;/key&gt;&lt;/foreign-keys&gt;&lt;ref-type name="Journal Article"&gt;17&lt;/ref-type&gt;&lt;contributors&gt;&lt;authors&gt;&lt;author&gt;Boait, P. J.&lt;/author&gt;&lt;author&gt;et al.,&lt;/author&gt;&lt;/authors&gt;&lt;/contributors&gt;&lt;titles&gt;&lt;title&gt;Production efficiency of hot water for dmoestic use&lt;/title&gt;&lt;secondary-title&gt;Applied Energy&lt;/secondary-title&gt;&lt;short-title&gt;Boait, P. J. et al 2008 – Production efficiency of hot water&lt;/short-title&gt;&lt;/titles&gt;&lt;pages&gt;p. 528-544&lt;/pages&gt;&lt;volume&gt;85&lt;/volume&gt;&lt;number&gt;6&lt;/number&gt;&lt;dates&gt;&lt;year&gt;2008&lt;/year&gt;&lt;/dates&gt;&lt;urls&gt;&lt;/urls&gt;&lt;/record&gt;&lt;/Cite&gt;&lt;/EndNote&gt;</w:instrText>
      </w:r>
      <w:r w:rsidR="00972302" w:rsidRPr="002B3A92">
        <w:rPr>
          <w:rFonts w:eastAsiaTheme="minorHAnsi"/>
          <w:lang w:eastAsia="en-US"/>
        </w:rPr>
        <w:fldChar w:fldCharType="separate"/>
      </w:r>
      <w:r w:rsidR="00972302" w:rsidRPr="002B3A92">
        <w:rPr>
          <w:rFonts w:eastAsiaTheme="minorHAnsi"/>
          <w:lang w:eastAsia="en-US"/>
        </w:rPr>
        <w:t xml:space="preserve">(Boait </w:t>
      </w:r>
      <w:r w:rsidR="00EE66A8" w:rsidRPr="002B3A92">
        <w:rPr>
          <w:rFonts w:eastAsiaTheme="minorHAnsi"/>
          <w:lang w:eastAsia="en-US"/>
        </w:rPr>
        <w:t>et al</w:t>
      </w:r>
      <w:r w:rsidR="00972302" w:rsidRPr="002B3A92">
        <w:rPr>
          <w:rFonts w:eastAsiaTheme="minorHAnsi"/>
          <w:lang w:eastAsia="en-US"/>
        </w:rPr>
        <w:t>., 2008)</w:t>
      </w:r>
      <w:r w:rsidR="00972302" w:rsidRPr="002B3A92">
        <w:rPr>
          <w:rFonts w:eastAsiaTheme="minorHAnsi"/>
          <w:lang w:eastAsia="en-US"/>
        </w:rPr>
        <w:fldChar w:fldCharType="end"/>
      </w:r>
      <w:r w:rsidR="00972302" w:rsidRPr="002B3A92">
        <w:rPr>
          <w:rFonts w:eastAsiaTheme="minorHAnsi"/>
          <w:lang w:eastAsia="en-US"/>
        </w:rPr>
        <w:t>.</w:t>
      </w:r>
      <w:r w:rsidR="002F47F9" w:rsidRPr="002B3A92">
        <w:rPr>
          <w:rFonts w:eastAsiaTheme="minorHAnsi"/>
          <w:lang w:eastAsia="en-US"/>
        </w:rPr>
        <w:t xml:space="preserve"> From this study it suggests that STPs comprise a significant minority of domestic hot water systems </w:t>
      </w:r>
      <w:r w:rsidR="00972302" w:rsidRPr="002B3A92">
        <w:rPr>
          <w:rFonts w:eastAsiaTheme="minorHAnsi"/>
          <w:lang w:eastAsia="en-US"/>
        </w:rPr>
        <w:t xml:space="preserve">in the UK </w:t>
      </w:r>
      <w:r w:rsidR="00182124" w:rsidRPr="002B3A92">
        <w:rPr>
          <w:rFonts w:eastAsiaTheme="minorHAnsi"/>
          <w:lang w:eastAsia="en-US"/>
        </w:rPr>
        <w:fldChar w:fldCharType="begin"/>
      </w:r>
      <w:r w:rsidR="00182124" w:rsidRPr="002B3A92">
        <w:rPr>
          <w:rFonts w:eastAsiaTheme="minorHAnsi"/>
          <w:lang w:eastAsia="en-US"/>
        </w:rPr>
        <w:instrText xml:space="preserve"> ADDIN EN.CITE &lt;EndNote&gt;&lt;Cite&gt;&lt;Author&gt;Boait&lt;/Author&gt;&lt;Year&gt;2008&lt;/Year&gt;&lt;RecNum&gt;122&lt;/RecNum&gt;&lt;DisplayText&gt;(Boait &amp;amp; et al., 2008)&lt;/DisplayText&gt;&lt;record&gt;&lt;rec-number&gt;122&lt;/rec-number&gt;&lt;foreign-keys&gt;&lt;key app="EN" db-id="50wxdpzd9vd5r7e9t5b595djrfpttrxw9avp" timestamp="1525076334"&gt;122&lt;/key&gt;&lt;/foreign-keys&gt;&lt;ref-type name="Journal Article"&gt;17&lt;/ref-type&gt;&lt;contributors&gt;&lt;authors&gt;&lt;author&gt;Boait, P. J.&lt;/author&gt;&lt;author&gt;et al.,&lt;/author&gt;&lt;/authors&gt;&lt;/contributors&gt;&lt;titles&gt;&lt;title&gt;Production efficiency of hot water for dmoestic use&lt;/title&gt;&lt;secondary-title&gt;Applied Energy&lt;/secondary-title&gt;&lt;short-title&gt;Boait, P. J. et al 2008 – Production efficiency of hot water&lt;/short-title&gt;&lt;/titles&gt;&lt;pages&gt;p. 528-544&lt;/pages&gt;&lt;volume&gt;85&lt;/volume&gt;&lt;number&gt;6&lt;/number&gt;&lt;dates&gt;&lt;year&gt;2008&lt;/year&gt;&lt;/dates&gt;&lt;urls&gt;&lt;/urls&gt;&lt;/record&gt;&lt;/Cite&gt;&lt;/EndNote&gt;</w:instrText>
      </w:r>
      <w:r w:rsidR="00182124" w:rsidRPr="002B3A92">
        <w:rPr>
          <w:rFonts w:eastAsiaTheme="minorHAnsi"/>
          <w:lang w:eastAsia="en-US"/>
        </w:rPr>
        <w:fldChar w:fldCharType="separate"/>
      </w:r>
      <w:r w:rsidR="00182124" w:rsidRPr="002B3A92">
        <w:rPr>
          <w:rFonts w:eastAsiaTheme="minorHAnsi"/>
          <w:lang w:eastAsia="en-US"/>
        </w:rPr>
        <w:t xml:space="preserve">(Boait </w:t>
      </w:r>
      <w:r w:rsidR="00EE66A8" w:rsidRPr="002B3A92">
        <w:rPr>
          <w:rFonts w:eastAsiaTheme="minorHAnsi"/>
          <w:lang w:eastAsia="en-US"/>
        </w:rPr>
        <w:t>et al</w:t>
      </w:r>
      <w:r w:rsidR="00182124" w:rsidRPr="002B3A92">
        <w:rPr>
          <w:rFonts w:eastAsiaTheme="minorHAnsi"/>
          <w:lang w:eastAsia="en-US"/>
        </w:rPr>
        <w:t>., 2008)</w:t>
      </w:r>
      <w:r w:rsidR="00182124" w:rsidRPr="002B3A92">
        <w:rPr>
          <w:rFonts w:eastAsiaTheme="minorHAnsi"/>
          <w:lang w:eastAsia="en-US"/>
        </w:rPr>
        <w:fldChar w:fldCharType="end"/>
      </w:r>
      <w:r w:rsidR="002F47F9" w:rsidRPr="002B3A92">
        <w:rPr>
          <w:rFonts w:eastAsiaTheme="minorHAnsi"/>
          <w:lang w:eastAsia="en-US"/>
        </w:rPr>
        <w:t>.</w:t>
      </w:r>
    </w:p>
    <w:p w:rsidR="00182124" w:rsidRPr="00C90AC9" w:rsidRDefault="00182124" w:rsidP="000E17D2">
      <w:pPr>
        <w:pStyle w:val="BodyText"/>
        <w:rPr>
          <w:rFonts w:eastAsiaTheme="minorHAnsi"/>
          <w:lang w:eastAsia="en-US"/>
        </w:rPr>
      </w:pPr>
      <w:r w:rsidRPr="00C90AC9">
        <w:rPr>
          <w:rFonts w:eastAsiaTheme="minorHAnsi"/>
          <w:lang w:eastAsia="en-US"/>
        </w:rPr>
        <w:t xml:space="preserve">Table 2.2. The various heating methods employed in the UK to heat domestic hot water  </w:t>
      </w:r>
    </w:p>
    <w:tbl>
      <w:tblPr>
        <w:tblpPr w:leftFromText="180" w:rightFromText="180" w:vertAnchor="page" w:horzAnchor="margin" w:tblpX="108" w:tblpY="4103"/>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05"/>
        <w:gridCol w:w="1874"/>
        <w:gridCol w:w="1874"/>
        <w:gridCol w:w="1544"/>
      </w:tblGrid>
      <w:tr w:rsidR="00182124" w:rsidRPr="00C90AC9" w:rsidTr="00784616">
        <w:trPr>
          <w:trHeight w:hRule="exact" w:val="1003"/>
        </w:trPr>
        <w:tc>
          <w:tcPr>
            <w:tcW w:w="3605" w:type="dxa"/>
            <w:tcBorders>
              <w:top w:val="single" w:sz="4" w:space="0" w:color="auto"/>
              <w:left w:val="single" w:sz="4" w:space="0" w:color="auto"/>
              <w:bottom w:val="double" w:sz="4" w:space="0" w:color="auto"/>
              <w:right w:val="single" w:sz="4" w:space="0" w:color="auto"/>
            </w:tcBorders>
            <w:vAlign w:val="center"/>
          </w:tcPr>
          <w:p w:rsidR="00182124" w:rsidRPr="00C90AC9" w:rsidRDefault="00182124" w:rsidP="00784616">
            <w:pPr>
              <w:jc w:val="center"/>
              <w:rPr>
                <w:rFonts w:eastAsiaTheme="minorHAnsi"/>
                <w:lang w:eastAsia="en-US"/>
              </w:rPr>
            </w:pPr>
            <w:r w:rsidRPr="00C90AC9">
              <w:rPr>
                <w:rFonts w:eastAsiaTheme="minorHAnsi"/>
                <w:lang w:eastAsia="en-US"/>
              </w:rPr>
              <w:t>System type</w:t>
            </w:r>
          </w:p>
        </w:tc>
        <w:tc>
          <w:tcPr>
            <w:tcW w:w="1874" w:type="dxa"/>
            <w:tcBorders>
              <w:top w:val="single" w:sz="4" w:space="0" w:color="auto"/>
              <w:left w:val="single" w:sz="4" w:space="0" w:color="auto"/>
              <w:bottom w:val="double" w:sz="4" w:space="0" w:color="auto"/>
              <w:right w:val="single" w:sz="4" w:space="0" w:color="auto"/>
            </w:tcBorders>
            <w:vAlign w:val="center"/>
          </w:tcPr>
          <w:p w:rsidR="00182124" w:rsidRPr="00C90AC9" w:rsidRDefault="00182124" w:rsidP="00784616">
            <w:pPr>
              <w:jc w:val="center"/>
              <w:rPr>
                <w:rFonts w:eastAsiaTheme="minorHAnsi"/>
                <w:lang w:eastAsia="en-US"/>
              </w:rPr>
            </w:pPr>
            <w:r w:rsidRPr="00C90AC9">
              <w:rPr>
                <w:rFonts w:eastAsiaTheme="minorHAnsi"/>
                <w:lang w:eastAsia="en-US"/>
              </w:rPr>
              <w:t>Storage (S) or instantaneous (I)</w:t>
            </w:r>
          </w:p>
        </w:tc>
        <w:tc>
          <w:tcPr>
            <w:tcW w:w="1874" w:type="dxa"/>
            <w:tcBorders>
              <w:top w:val="single" w:sz="4" w:space="0" w:color="auto"/>
              <w:left w:val="single" w:sz="4" w:space="0" w:color="auto"/>
              <w:bottom w:val="double" w:sz="4" w:space="0" w:color="auto"/>
              <w:right w:val="single" w:sz="4" w:space="0" w:color="auto"/>
            </w:tcBorders>
            <w:vAlign w:val="center"/>
          </w:tcPr>
          <w:p w:rsidR="00182124" w:rsidRPr="00C90AC9" w:rsidRDefault="00182124" w:rsidP="00784616">
            <w:pPr>
              <w:ind w:left="176" w:hanging="176"/>
              <w:jc w:val="center"/>
              <w:rPr>
                <w:rFonts w:eastAsiaTheme="minorHAnsi"/>
                <w:lang w:eastAsia="en-US"/>
              </w:rPr>
            </w:pPr>
            <w:r w:rsidRPr="00C90AC9">
              <w:rPr>
                <w:rFonts w:eastAsiaTheme="minorHAnsi"/>
                <w:lang w:eastAsia="en-US"/>
              </w:rPr>
              <w:t>Number of dwellings (000s)</w:t>
            </w:r>
          </w:p>
        </w:tc>
        <w:tc>
          <w:tcPr>
            <w:tcW w:w="1544" w:type="dxa"/>
            <w:tcBorders>
              <w:top w:val="single" w:sz="4" w:space="0" w:color="auto"/>
              <w:left w:val="single" w:sz="4" w:space="0" w:color="auto"/>
              <w:bottom w:val="double" w:sz="4" w:space="0" w:color="auto"/>
              <w:right w:val="single" w:sz="4" w:space="0" w:color="auto"/>
            </w:tcBorders>
            <w:vAlign w:val="center"/>
          </w:tcPr>
          <w:p w:rsidR="00182124" w:rsidRPr="00C90AC9" w:rsidRDefault="00182124" w:rsidP="00784616">
            <w:pPr>
              <w:jc w:val="center"/>
              <w:rPr>
                <w:rFonts w:eastAsiaTheme="minorHAnsi"/>
                <w:lang w:eastAsia="en-US"/>
              </w:rPr>
            </w:pPr>
            <w:r w:rsidRPr="00C90AC9">
              <w:rPr>
                <w:rFonts w:eastAsiaTheme="minorHAnsi"/>
                <w:lang w:eastAsia="en-US"/>
              </w:rPr>
              <w:t>Proportion of total (%)</w:t>
            </w:r>
          </w:p>
        </w:tc>
      </w:tr>
      <w:tr w:rsidR="00182124" w:rsidRPr="00C90AC9" w:rsidTr="00784616">
        <w:trPr>
          <w:trHeight w:hRule="exact" w:val="680"/>
        </w:trPr>
        <w:tc>
          <w:tcPr>
            <w:tcW w:w="3605" w:type="dxa"/>
            <w:tcBorders>
              <w:top w:val="double" w:sz="4" w:space="0" w:color="auto"/>
            </w:tcBorders>
            <w:vAlign w:val="center"/>
          </w:tcPr>
          <w:p w:rsidR="00182124" w:rsidRPr="00C90AC9" w:rsidRDefault="00182124" w:rsidP="00784616">
            <w:pPr>
              <w:jc w:val="center"/>
              <w:rPr>
                <w:rFonts w:eastAsiaTheme="minorHAnsi"/>
                <w:lang w:eastAsia="en-US"/>
              </w:rPr>
            </w:pPr>
            <w:r w:rsidRPr="00C90AC9">
              <w:rPr>
                <w:rFonts w:eastAsiaTheme="minorHAnsi"/>
                <w:lang w:eastAsia="en-US"/>
              </w:rPr>
              <w:t>Electrically heated, on-demand</w:t>
            </w:r>
          </w:p>
        </w:tc>
        <w:tc>
          <w:tcPr>
            <w:tcW w:w="1874" w:type="dxa"/>
            <w:tcBorders>
              <w:top w:val="double" w:sz="4" w:space="0" w:color="auto"/>
            </w:tcBorders>
            <w:vAlign w:val="center"/>
          </w:tcPr>
          <w:p w:rsidR="00182124" w:rsidRPr="00C90AC9" w:rsidRDefault="00182124" w:rsidP="00784616">
            <w:pPr>
              <w:jc w:val="center"/>
              <w:rPr>
                <w:rFonts w:eastAsiaTheme="minorHAnsi"/>
                <w:lang w:eastAsia="en-US"/>
              </w:rPr>
            </w:pPr>
            <w:r w:rsidRPr="00C90AC9">
              <w:rPr>
                <w:rFonts w:eastAsiaTheme="minorHAnsi"/>
                <w:lang w:eastAsia="en-US"/>
              </w:rPr>
              <w:t>I</w:t>
            </w:r>
          </w:p>
        </w:tc>
        <w:tc>
          <w:tcPr>
            <w:tcW w:w="1874" w:type="dxa"/>
            <w:tcBorders>
              <w:top w:val="double" w:sz="4" w:space="0" w:color="auto"/>
            </w:tcBorders>
            <w:vAlign w:val="center"/>
          </w:tcPr>
          <w:p w:rsidR="00182124" w:rsidRPr="00C90AC9" w:rsidRDefault="00182124" w:rsidP="00784616">
            <w:pPr>
              <w:jc w:val="center"/>
              <w:rPr>
                <w:rFonts w:eastAsiaTheme="minorHAnsi"/>
                <w:lang w:eastAsia="en-US"/>
              </w:rPr>
            </w:pPr>
            <w:r w:rsidRPr="00C90AC9">
              <w:rPr>
                <w:rFonts w:eastAsiaTheme="minorHAnsi"/>
                <w:lang w:eastAsia="en-US"/>
              </w:rPr>
              <w:t>340</w:t>
            </w:r>
          </w:p>
        </w:tc>
        <w:tc>
          <w:tcPr>
            <w:tcW w:w="1544" w:type="dxa"/>
            <w:tcBorders>
              <w:top w:val="double" w:sz="4" w:space="0" w:color="auto"/>
            </w:tcBorders>
            <w:vAlign w:val="center"/>
          </w:tcPr>
          <w:p w:rsidR="00182124" w:rsidRPr="00C90AC9" w:rsidRDefault="00182124" w:rsidP="00784616">
            <w:pPr>
              <w:jc w:val="center"/>
              <w:rPr>
                <w:rFonts w:eastAsiaTheme="minorHAnsi"/>
                <w:lang w:eastAsia="en-US"/>
              </w:rPr>
            </w:pPr>
            <w:r w:rsidRPr="00C90AC9">
              <w:rPr>
                <w:rFonts w:eastAsiaTheme="minorHAnsi"/>
                <w:lang w:eastAsia="en-US"/>
              </w:rPr>
              <w:t>2.5</w:t>
            </w:r>
          </w:p>
        </w:tc>
      </w:tr>
      <w:tr w:rsidR="00182124" w:rsidRPr="00C90AC9" w:rsidTr="00784616">
        <w:trPr>
          <w:trHeight w:hRule="exact" w:val="680"/>
        </w:trPr>
        <w:tc>
          <w:tcPr>
            <w:tcW w:w="3605" w:type="dxa"/>
            <w:vAlign w:val="center"/>
          </w:tcPr>
          <w:p w:rsidR="00182124" w:rsidRPr="00C90AC9" w:rsidRDefault="00182124" w:rsidP="00784616">
            <w:pPr>
              <w:jc w:val="center"/>
              <w:rPr>
                <w:rFonts w:eastAsiaTheme="minorHAnsi"/>
                <w:lang w:eastAsia="en-US"/>
              </w:rPr>
            </w:pPr>
            <w:r w:rsidRPr="00C90AC9">
              <w:rPr>
                <w:rFonts w:eastAsiaTheme="minorHAnsi"/>
                <w:lang w:eastAsia="en-US"/>
              </w:rPr>
              <w:t>Electric immersion heater, normal tariff</w:t>
            </w:r>
          </w:p>
        </w:tc>
        <w:tc>
          <w:tcPr>
            <w:tcW w:w="1874" w:type="dxa"/>
            <w:vAlign w:val="center"/>
          </w:tcPr>
          <w:p w:rsidR="00182124" w:rsidRPr="00C90AC9" w:rsidRDefault="00182124" w:rsidP="00784616">
            <w:pPr>
              <w:jc w:val="center"/>
              <w:rPr>
                <w:rFonts w:eastAsiaTheme="minorHAnsi"/>
                <w:lang w:eastAsia="en-US"/>
              </w:rPr>
            </w:pPr>
            <w:r w:rsidRPr="00C90AC9">
              <w:rPr>
                <w:rFonts w:eastAsiaTheme="minorHAnsi"/>
                <w:lang w:eastAsia="en-US"/>
              </w:rPr>
              <w:t>S</w:t>
            </w:r>
          </w:p>
        </w:tc>
        <w:tc>
          <w:tcPr>
            <w:tcW w:w="1874" w:type="dxa"/>
            <w:vAlign w:val="center"/>
          </w:tcPr>
          <w:p w:rsidR="00182124" w:rsidRPr="00C90AC9" w:rsidRDefault="00182124" w:rsidP="00784616">
            <w:pPr>
              <w:jc w:val="center"/>
              <w:rPr>
                <w:rFonts w:eastAsiaTheme="minorHAnsi"/>
                <w:lang w:eastAsia="en-US"/>
              </w:rPr>
            </w:pPr>
            <w:r w:rsidRPr="00C90AC9">
              <w:rPr>
                <w:rFonts w:eastAsiaTheme="minorHAnsi"/>
                <w:lang w:eastAsia="en-US"/>
              </w:rPr>
              <w:t>612</w:t>
            </w:r>
          </w:p>
        </w:tc>
        <w:tc>
          <w:tcPr>
            <w:tcW w:w="1544" w:type="dxa"/>
            <w:vAlign w:val="center"/>
          </w:tcPr>
          <w:p w:rsidR="00182124" w:rsidRPr="00C90AC9" w:rsidRDefault="00182124" w:rsidP="00784616">
            <w:pPr>
              <w:jc w:val="center"/>
              <w:rPr>
                <w:rFonts w:eastAsiaTheme="minorHAnsi"/>
                <w:lang w:eastAsia="en-US"/>
              </w:rPr>
            </w:pPr>
            <w:r w:rsidRPr="00C90AC9">
              <w:rPr>
                <w:rFonts w:eastAsiaTheme="minorHAnsi"/>
                <w:lang w:eastAsia="en-US"/>
              </w:rPr>
              <w:t>2.7</w:t>
            </w:r>
          </w:p>
        </w:tc>
      </w:tr>
      <w:tr w:rsidR="00182124" w:rsidRPr="00C90AC9" w:rsidTr="00784616">
        <w:trPr>
          <w:trHeight w:hRule="exact" w:val="680"/>
        </w:trPr>
        <w:tc>
          <w:tcPr>
            <w:tcW w:w="3605" w:type="dxa"/>
            <w:vAlign w:val="center"/>
          </w:tcPr>
          <w:p w:rsidR="00182124" w:rsidRPr="00C90AC9" w:rsidRDefault="00182124" w:rsidP="00784616">
            <w:pPr>
              <w:jc w:val="center"/>
              <w:rPr>
                <w:rFonts w:eastAsiaTheme="minorHAnsi"/>
                <w:lang w:eastAsia="en-US"/>
              </w:rPr>
            </w:pPr>
            <w:r w:rsidRPr="00C90AC9">
              <w:rPr>
                <w:rFonts w:eastAsiaTheme="minorHAnsi"/>
                <w:lang w:eastAsia="en-US"/>
              </w:rPr>
              <w:t>Electric immersion heater, Economy 7</w:t>
            </w:r>
          </w:p>
        </w:tc>
        <w:tc>
          <w:tcPr>
            <w:tcW w:w="1874" w:type="dxa"/>
            <w:vAlign w:val="center"/>
          </w:tcPr>
          <w:p w:rsidR="00182124" w:rsidRPr="00C90AC9" w:rsidRDefault="00182124" w:rsidP="00784616">
            <w:pPr>
              <w:jc w:val="center"/>
              <w:rPr>
                <w:rFonts w:eastAsiaTheme="minorHAnsi"/>
                <w:lang w:eastAsia="en-US"/>
              </w:rPr>
            </w:pPr>
            <w:r w:rsidRPr="00C90AC9">
              <w:rPr>
                <w:rFonts w:eastAsiaTheme="minorHAnsi"/>
                <w:lang w:eastAsia="en-US"/>
              </w:rPr>
              <w:t>S</w:t>
            </w:r>
          </w:p>
        </w:tc>
        <w:tc>
          <w:tcPr>
            <w:tcW w:w="1874" w:type="dxa"/>
            <w:vAlign w:val="center"/>
          </w:tcPr>
          <w:p w:rsidR="00182124" w:rsidRPr="00C90AC9" w:rsidRDefault="00182124" w:rsidP="00784616">
            <w:pPr>
              <w:jc w:val="center"/>
              <w:rPr>
                <w:rFonts w:eastAsiaTheme="minorHAnsi"/>
                <w:lang w:eastAsia="en-US"/>
              </w:rPr>
            </w:pPr>
            <w:r w:rsidRPr="00C90AC9">
              <w:rPr>
                <w:rFonts w:eastAsiaTheme="minorHAnsi"/>
                <w:lang w:eastAsia="en-US"/>
              </w:rPr>
              <w:t>1673</w:t>
            </w:r>
          </w:p>
        </w:tc>
        <w:tc>
          <w:tcPr>
            <w:tcW w:w="1544" w:type="dxa"/>
            <w:vAlign w:val="center"/>
          </w:tcPr>
          <w:p w:rsidR="00182124" w:rsidRPr="00C90AC9" w:rsidRDefault="00182124" w:rsidP="00784616">
            <w:pPr>
              <w:jc w:val="center"/>
              <w:rPr>
                <w:rFonts w:eastAsiaTheme="minorHAnsi"/>
                <w:lang w:eastAsia="en-US"/>
              </w:rPr>
            </w:pPr>
            <w:r w:rsidRPr="00C90AC9">
              <w:rPr>
                <w:rFonts w:eastAsiaTheme="minorHAnsi"/>
                <w:lang w:eastAsia="en-US"/>
              </w:rPr>
              <w:t>7.5</w:t>
            </w:r>
          </w:p>
        </w:tc>
      </w:tr>
      <w:tr w:rsidR="00182124" w:rsidRPr="00C90AC9" w:rsidTr="00784616">
        <w:trPr>
          <w:trHeight w:hRule="exact" w:val="680"/>
        </w:trPr>
        <w:tc>
          <w:tcPr>
            <w:tcW w:w="3605" w:type="dxa"/>
            <w:vAlign w:val="center"/>
          </w:tcPr>
          <w:p w:rsidR="00182124" w:rsidRPr="00C90AC9" w:rsidRDefault="00182124" w:rsidP="00784616">
            <w:pPr>
              <w:jc w:val="center"/>
              <w:rPr>
                <w:rFonts w:eastAsiaTheme="minorHAnsi"/>
                <w:lang w:eastAsia="en-US"/>
              </w:rPr>
            </w:pPr>
            <w:r w:rsidRPr="00C90AC9">
              <w:rPr>
                <w:rFonts w:eastAsiaTheme="minorHAnsi"/>
                <w:lang w:eastAsia="en-US"/>
              </w:rPr>
              <w:t>Gas-fired non-condensing “combi” or water heater</w:t>
            </w:r>
          </w:p>
        </w:tc>
        <w:tc>
          <w:tcPr>
            <w:tcW w:w="1874" w:type="dxa"/>
            <w:vAlign w:val="center"/>
          </w:tcPr>
          <w:p w:rsidR="00182124" w:rsidRPr="00C90AC9" w:rsidRDefault="00182124" w:rsidP="00784616">
            <w:pPr>
              <w:jc w:val="center"/>
              <w:rPr>
                <w:rFonts w:eastAsiaTheme="minorHAnsi"/>
                <w:lang w:eastAsia="en-US"/>
              </w:rPr>
            </w:pPr>
            <w:r w:rsidRPr="00C90AC9">
              <w:rPr>
                <w:rFonts w:eastAsiaTheme="minorHAnsi"/>
                <w:lang w:eastAsia="en-US"/>
              </w:rPr>
              <w:t>I</w:t>
            </w:r>
          </w:p>
        </w:tc>
        <w:tc>
          <w:tcPr>
            <w:tcW w:w="1874" w:type="dxa"/>
            <w:vAlign w:val="center"/>
          </w:tcPr>
          <w:p w:rsidR="00182124" w:rsidRPr="00C90AC9" w:rsidRDefault="00182124" w:rsidP="00784616">
            <w:pPr>
              <w:jc w:val="center"/>
              <w:rPr>
                <w:rFonts w:eastAsiaTheme="minorHAnsi"/>
                <w:lang w:eastAsia="en-US"/>
              </w:rPr>
            </w:pPr>
            <w:r w:rsidRPr="00C90AC9">
              <w:rPr>
                <w:rFonts w:eastAsiaTheme="minorHAnsi"/>
                <w:lang w:eastAsia="en-US"/>
              </w:rPr>
              <w:t>5498</w:t>
            </w:r>
          </w:p>
        </w:tc>
        <w:tc>
          <w:tcPr>
            <w:tcW w:w="1544" w:type="dxa"/>
            <w:vAlign w:val="center"/>
          </w:tcPr>
          <w:p w:rsidR="00182124" w:rsidRPr="00C90AC9" w:rsidRDefault="00182124" w:rsidP="00784616">
            <w:pPr>
              <w:jc w:val="center"/>
              <w:rPr>
                <w:rFonts w:eastAsiaTheme="minorHAnsi"/>
                <w:lang w:eastAsia="en-US"/>
              </w:rPr>
            </w:pPr>
            <w:r w:rsidRPr="00C90AC9">
              <w:rPr>
                <w:rFonts w:eastAsiaTheme="minorHAnsi"/>
                <w:lang w:eastAsia="en-US"/>
              </w:rPr>
              <w:t>24.8</w:t>
            </w:r>
          </w:p>
        </w:tc>
      </w:tr>
      <w:tr w:rsidR="00182124" w:rsidRPr="00C90AC9" w:rsidTr="00784616">
        <w:trPr>
          <w:trHeight w:hRule="exact" w:val="680"/>
        </w:trPr>
        <w:tc>
          <w:tcPr>
            <w:tcW w:w="3605" w:type="dxa"/>
            <w:tcBorders>
              <w:bottom w:val="single" w:sz="4" w:space="0" w:color="auto"/>
            </w:tcBorders>
            <w:vAlign w:val="center"/>
          </w:tcPr>
          <w:p w:rsidR="00182124" w:rsidRPr="00C90AC9" w:rsidRDefault="00182124" w:rsidP="00784616">
            <w:pPr>
              <w:jc w:val="center"/>
              <w:rPr>
                <w:rFonts w:eastAsiaTheme="minorHAnsi"/>
                <w:lang w:eastAsia="en-US"/>
              </w:rPr>
            </w:pPr>
            <w:r w:rsidRPr="00C90AC9">
              <w:rPr>
                <w:rFonts w:eastAsiaTheme="minorHAnsi"/>
                <w:lang w:eastAsia="en-US"/>
              </w:rPr>
              <w:t>Gas fired condensing “combi”</w:t>
            </w:r>
          </w:p>
        </w:tc>
        <w:tc>
          <w:tcPr>
            <w:tcW w:w="1874" w:type="dxa"/>
            <w:tcBorders>
              <w:bottom w:val="single" w:sz="4" w:space="0" w:color="auto"/>
            </w:tcBorders>
            <w:vAlign w:val="center"/>
          </w:tcPr>
          <w:p w:rsidR="00182124" w:rsidRPr="00C90AC9" w:rsidRDefault="00182124" w:rsidP="00784616">
            <w:pPr>
              <w:jc w:val="center"/>
              <w:rPr>
                <w:rFonts w:eastAsiaTheme="minorHAnsi"/>
                <w:lang w:eastAsia="en-US"/>
              </w:rPr>
            </w:pPr>
            <w:r w:rsidRPr="00C90AC9">
              <w:rPr>
                <w:rFonts w:eastAsiaTheme="minorHAnsi"/>
                <w:lang w:eastAsia="en-US"/>
              </w:rPr>
              <w:t>I</w:t>
            </w:r>
          </w:p>
        </w:tc>
        <w:tc>
          <w:tcPr>
            <w:tcW w:w="1874" w:type="dxa"/>
            <w:tcBorders>
              <w:bottom w:val="single" w:sz="4" w:space="0" w:color="auto"/>
            </w:tcBorders>
            <w:vAlign w:val="center"/>
          </w:tcPr>
          <w:p w:rsidR="00182124" w:rsidRPr="00C90AC9" w:rsidRDefault="00182124" w:rsidP="00784616">
            <w:pPr>
              <w:jc w:val="center"/>
              <w:rPr>
                <w:rFonts w:eastAsiaTheme="minorHAnsi"/>
                <w:lang w:eastAsia="en-US"/>
              </w:rPr>
            </w:pPr>
            <w:r w:rsidRPr="00C90AC9">
              <w:rPr>
                <w:rFonts w:eastAsiaTheme="minorHAnsi"/>
                <w:lang w:eastAsia="en-US"/>
              </w:rPr>
              <w:t>4061</w:t>
            </w:r>
          </w:p>
        </w:tc>
        <w:tc>
          <w:tcPr>
            <w:tcW w:w="1544" w:type="dxa"/>
            <w:tcBorders>
              <w:bottom w:val="single" w:sz="4" w:space="0" w:color="auto"/>
            </w:tcBorders>
            <w:vAlign w:val="center"/>
          </w:tcPr>
          <w:p w:rsidR="00182124" w:rsidRPr="00C90AC9" w:rsidRDefault="00182124" w:rsidP="00784616">
            <w:pPr>
              <w:jc w:val="center"/>
              <w:rPr>
                <w:rFonts w:eastAsiaTheme="minorHAnsi"/>
                <w:lang w:eastAsia="en-US"/>
              </w:rPr>
            </w:pPr>
            <w:r w:rsidRPr="00C90AC9">
              <w:rPr>
                <w:rFonts w:eastAsiaTheme="minorHAnsi"/>
                <w:lang w:eastAsia="en-US"/>
              </w:rPr>
              <w:t>18.2</w:t>
            </w:r>
          </w:p>
        </w:tc>
      </w:tr>
      <w:tr w:rsidR="00182124" w:rsidRPr="00C90AC9" w:rsidTr="00784616">
        <w:trPr>
          <w:trHeight w:hRule="exact" w:val="680"/>
        </w:trPr>
        <w:tc>
          <w:tcPr>
            <w:tcW w:w="3605" w:type="dxa"/>
            <w:vAlign w:val="center"/>
          </w:tcPr>
          <w:p w:rsidR="00182124" w:rsidRPr="00C90AC9" w:rsidRDefault="00182124" w:rsidP="00784616">
            <w:pPr>
              <w:jc w:val="center"/>
              <w:rPr>
                <w:rFonts w:eastAsiaTheme="minorHAnsi"/>
                <w:lang w:eastAsia="en-US"/>
              </w:rPr>
            </w:pPr>
            <w:r w:rsidRPr="00C90AC9">
              <w:rPr>
                <w:rFonts w:eastAsiaTheme="minorHAnsi"/>
                <w:lang w:eastAsia="en-US"/>
              </w:rPr>
              <w:t>Gas-fired non-condensing with tank</w:t>
            </w:r>
          </w:p>
        </w:tc>
        <w:tc>
          <w:tcPr>
            <w:tcW w:w="1874" w:type="dxa"/>
            <w:vAlign w:val="center"/>
          </w:tcPr>
          <w:p w:rsidR="00182124" w:rsidRPr="00C90AC9" w:rsidRDefault="00182124" w:rsidP="00784616">
            <w:pPr>
              <w:jc w:val="center"/>
              <w:rPr>
                <w:rFonts w:eastAsiaTheme="minorHAnsi"/>
                <w:lang w:eastAsia="en-US"/>
              </w:rPr>
            </w:pPr>
            <w:r w:rsidRPr="00C90AC9">
              <w:rPr>
                <w:rFonts w:eastAsiaTheme="minorHAnsi"/>
                <w:lang w:eastAsia="en-US"/>
              </w:rPr>
              <w:t>S</w:t>
            </w:r>
          </w:p>
        </w:tc>
        <w:tc>
          <w:tcPr>
            <w:tcW w:w="1874" w:type="dxa"/>
            <w:vAlign w:val="center"/>
          </w:tcPr>
          <w:p w:rsidR="00182124" w:rsidRPr="00C90AC9" w:rsidRDefault="00182124" w:rsidP="00784616">
            <w:pPr>
              <w:jc w:val="center"/>
              <w:rPr>
                <w:rFonts w:eastAsiaTheme="minorHAnsi"/>
                <w:lang w:eastAsia="en-US"/>
              </w:rPr>
            </w:pPr>
            <w:r w:rsidRPr="00C90AC9">
              <w:rPr>
                <w:rFonts w:eastAsiaTheme="minorHAnsi"/>
                <w:lang w:eastAsia="en-US"/>
              </w:rPr>
              <w:t>7653</w:t>
            </w:r>
          </w:p>
        </w:tc>
        <w:tc>
          <w:tcPr>
            <w:tcW w:w="1544" w:type="dxa"/>
            <w:vAlign w:val="center"/>
          </w:tcPr>
          <w:p w:rsidR="00182124" w:rsidRPr="00C90AC9" w:rsidRDefault="00182124" w:rsidP="00784616">
            <w:pPr>
              <w:jc w:val="center"/>
              <w:rPr>
                <w:rFonts w:eastAsiaTheme="minorHAnsi"/>
                <w:lang w:eastAsia="en-US"/>
              </w:rPr>
            </w:pPr>
            <w:r w:rsidRPr="00C90AC9">
              <w:rPr>
                <w:rFonts w:eastAsiaTheme="minorHAnsi"/>
                <w:lang w:eastAsia="en-US"/>
              </w:rPr>
              <w:t>34.3</w:t>
            </w:r>
          </w:p>
        </w:tc>
      </w:tr>
      <w:tr w:rsidR="00182124" w:rsidRPr="00C90AC9" w:rsidTr="00784616">
        <w:trPr>
          <w:trHeight w:hRule="exact" w:val="680"/>
        </w:trPr>
        <w:tc>
          <w:tcPr>
            <w:tcW w:w="3605" w:type="dxa"/>
            <w:tcBorders>
              <w:bottom w:val="single" w:sz="4" w:space="0" w:color="auto"/>
            </w:tcBorders>
            <w:vAlign w:val="center"/>
          </w:tcPr>
          <w:p w:rsidR="00182124" w:rsidRPr="00C90AC9" w:rsidRDefault="00182124" w:rsidP="00784616">
            <w:pPr>
              <w:jc w:val="center"/>
              <w:rPr>
                <w:rFonts w:eastAsiaTheme="minorHAnsi"/>
                <w:lang w:eastAsia="en-US"/>
              </w:rPr>
            </w:pPr>
            <w:r w:rsidRPr="00C90AC9">
              <w:rPr>
                <w:rFonts w:eastAsiaTheme="minorHAnsi"/>
                <w:lang w:eastAsia="en-US"/>
              </w:rPr>
              <w:t>Gas-fired condensing with tank</w:t>
            </w:r>
          </w:p>
        </w:tc>
        <w:tc>
          <w:tcPr>
            <w:tcW w:w="1874" w:type="dxa"/>
            <w:tcBorders>
              <w:bottom w:val="single" w:sz="4" w:space="0" w:color="auto"/>
            </w:tcBorders>
            <w:vAlign w:val="center"/>
          </w:tcPr>
          <w:p w:rsidR="00182124" w:rsidRPr="00C90AC9" w:rsidRDefault="00182124" w:rsidP="00784616">
            <w:pPr>
              <w:jc w:val="center"/>
              <w:rPr>
                <w:rFonts w:eastAsiaTheme="minorHAnsi"/>
                <w:lang w:eastAsia="en-US"/>
              </w:rPr>
            </w:pPr>
            <w:r w:rsidRPr="00C90AC9">
              <w:rPr>
                <w:rFonts w:eastAsiaTheme="minorHAnsi"/>
                <w:lang w:eastAsia="en-US"/>
              </w:rPr>
              <w:t>S</w:t>
            </w:r>
          </w:p>
        </w:tc>
        <w:tc>
          <w:tcPr>
            <w:tcW w:w="1874" w:type="dxa"/>
            <w:tcBorders>
              <w:bottom w:val="single" w:sz="4" w:space="0" w:color="auto"/>
            </w:tcBorders>
            <w:vAlign w:val="center"/>
          </w:tcPr>
          <w:p w:rsidR="00182124" w:rsidRPr="00C90AC9" w:rsidRDefault="00182124" w:rsidP="00784616">
            <w:pPr>
              <w:jc w:val="center"/>
              <w:rPr>
                <w:rFonts w:eastAsiaTheme="minorHAnsi"/>
                <w:lang w:eastAsia="en-US"/>
              </w:rPr>
            </w:pPr>
            <w:r w:rsidRPr="00C90AC9">
              <w:rPr>
                <w:rFonts w:eastAsiaTheme="minorHAnsi"/>
                <w:lang w:eastAsia="en-US"/>
              </w:rPr>
              <w:t>1331</w:t>
            </w:r>
          </w:p>
        </w:tc>
        <w:tc>
          <w:tcPr>
            <w:tcW w:w="1544" w:type="dxa"/>
            <w:tcBorders>
              <w:bottom w:val="single" w:sz="4" w:space="0" w:color="auto"/>
            </w:tcBorders>
            <w:vAlign w:val="center"/>
          </w:tcPr>
          <w:p w:rsidR="00182124" w:rsidRPr="00C90AC9" w:rsidRDefault="00182124" w:rsidP="00784616">
            <w:pPr>
              <w:jc w:val="center"/>
              <w:rPr>
                <w:rFonts w:eastAsiaTheme="minorHAnsi"/>
                <w:lang w:eastAsia="en-US"/>
              </w:rPr>
            </w:pPr>
            <w:r w:rsidRPr="00C90AC9">
              <w:rPr>
                <w:rFonts w:eastAsiaTheme="minorHAnsi"/>
                <w:lang w:eastAsia="en-US"/>
              </w:rPr>
              <w:t>6.0</w:t>
            </w:r>
          </w:p>
        </w:tc>
      </w:tr>
      <w:tr w:rsidR="00182124" w:rsidRPr="00C90AC9" w:rsidTr="00784616">
        <w:trPr>
          <w:trHeight w:hRule="exact" w:val="680"/>
        </w:trPr>
        <w:tc>
          <w:tcPr>
            <w:tcW w:w="3605" w:type="dxa"/>
            <w:tcBorders>
              <w:top w:val="single" w:sz="4" w:space="0" w:color="auto"/>
              <w:left w:val="single" w:sz="4" w:space="0" w:color="auto"/>
              <w:bottom w:val="single" w:sz="4" w:space="0" w:color="auto"/>
              <w:right w:val="single" w:sz="4" w:space="0" w:color="auto"/>
            </w:tcBorders>
            <w:vAlign w:val="center"/>
          </w:tcPr>
          <w:p w:rsidR="00182124" w:rsidRPr="00C90AC9" w:rsidRDefault="00182124" w:rsidP="00784616">
            <w:pPr>
              <w:jc w:val="center"/>
              <w:rPr>
                <w:rFonts w:eastAsiaTheme="minorHAnsi"/>
                <w:lang w:eastAsia="en-US"/>
              </w:rPr>
            </w:pPr>
            <w:r w:rsidRPr="00C90AC9">
              <w:rPr>
                <w:rFonts w:eastAsiaTheme="minorHAnsi"/>
                <w:lang w:eastAsia="en-US"/>
              </w:rPr>
              <w:t>Other fuels with tank</w:t>
            </w:r>
          </w:p>
        </w:tc>
        <w:tc>
          <w:tcPr>
            <w:tcW w:w="1874" w:type="dxa"/>
            <w:tcBorders>
              <w:top w:val="single" w:sz="4" w:space="0" w:color="auto"/>
              <w:left w:val="single" w:sz="4" w:space="0" w:color="auto"/>
              <w:bottom w:val="single" w:sz="4" w:space="0" w:color="auto"/>
              <w:right w:val="single" w:sz="4" w:space="0" w:color="auto"/>
            </w:tcBorders>
            <w:vAlign w:val="center"/>
          </w:tcPr>
          <w:p w:rsidR="00182124" w:rsidRPr="00C90AC9" w:rsidRDefault="00182124" w:rsidP="00784616">
            <w:pPr>
              <w:jc w:val="center"/>
              <w:rPr>
                <w:rFonts w:eastAsiaTheme="minorHAnsi"/>
                <w:lang w:eastAsia="en-US"/>
              </w:rPr>
            </w:pPr>
            <w:r w:rsidRPr="00C90AC9">
              <w:rPr>
                <w:rFonts w:eastAsiaTheme="minorHAnsi"/>
                <w:lang w:eastAsia="en-US"/>
              </w:rPr>
              <w:t>S</w:t>
            </w:r>
          </w:p>
        </w:tc>
        <w:tc>
          <w:tcPr>
            <w:tcW w:w="1874" w:type="dxa"/>
            <w:tcBorders>
              <w:top w:val="single" w:sz="4" w:space="0" w:color="auto"/>
              <w:left w:val="single" w:sz="4" w:space="0" w:color="auto"/>
              <w:bottom w:val="single" w:sz="4" w:space="0" w:color="auto"/>
              <w:right w:val="single" w:sz="4" w:space="0" w:color="auto"/>
            </w:tcBorders>
            <w:vAlign w:val="center"/>
          </w:tcPr>
          <w:p w:rsidR="00182124" w:rsidRPr="00C90AC9" w:rsidRDefault="00182124" w:rsidP="00784616">
            <w:pPr>
              <w:jc w:val="center"/>
              <w:rPr>
                <w:rFonts w:eastAsiaTheme="minorHAnsi"/>
                <w:lang w:eastAsia="en-US"/>
              </w:rPr>
            </w:pPr>
            <w:r w:rsidRPr="00C90AC9">
              <w:rPr>
                <w:rFonts w:eastAsiaTheme="minorHAnsi"/>
                <w:lang w:eastAsia="en-US"/>
              </w:rPr>
              <w:t>1122</w:t>
            </w:r>
          </w:p>
        </w:tc>
        <w:tc>
          <w:tcPr>
            <w:tcW w:w="1544" w:type="dxa"/>
            <w:tcBorders>
              <w:top w:val="single" w:sz="4" w:space="0" w:color="auto"/>
              <w:left w:val="single" w:sz="4" w:space="0" w:color="auto"/>
              <w:bottom w:val="single" w:sz="4" w:space="0" w:color="auto"/>
              <w:right w:val="single" w:sz="4" w:space="0" w:color="auto"/>
            </w:tcBorders>
            <w:vAlign w:val="center"/>
          </w:tcPr>
          <w:p w:rsidR="00182124" w:rsidRPr="00C90AC9" w:rsidRDefault="00182124" w:rsidP="00784616">
            <w:pPr>
              <w:jc w:val="center"/>
              <w:rPr>
                <w:rFonts w:eastAsiaTheme="minorHAnsi"/>
                <w:lang w:eastAsia="en-US"/>
              </w:rPr>
            </w:pPr>
            <w:r w:rsidRPr="00C90AC9">
              <w:rPr>
                <w:rFonts w:eastAsiaTheme="minorHAnsi"/>
                <w:lang w:eastAsia="en-US"/>
              </w:rPr>
              <w:t>5. 0</w:t>
            </w:r>
          </w:p>
        </w:tc>
      </w:tr>
    </w:tbl>
    <w:p w:rsidR="00D67FA6" w:rsidRPr="00C90AC9" w:rsidRDefault="00E82D6C" w:rsidP="002C646F">
      <w:pPr>
        <w:pStyle w:val="ListBullet2"/>
        <w:numPr>
          <w:ilvl w:val="0"/>
          <w:numId w:val="0"/>
        </w:numPr>
        <w:ind w:left="765"/>
        <w:jc w:val="right"/>
        <w:rPr>
          <w:rFonts w:eastAsia="Times New Roman"/>
          <w:szCs w:val="24"/>
        </w:rPr>
      </w:pPr>
      <w:r w:rsidRPr="00C90AC9">
        <w:rPr>
          <w:rFonts w:eastAsia="Times New Roman"/>
          <w:szCs w:val="24"/>
        </w:rPr>
        <w:fldChar w:fldCharType="begin"/>
      </w:r>
      <w:r w:rsidRPr="00C90AC9">
        <w:rPr>
          <w:rFonts w:eastAsia="Times New Roman"/>
          <w:szCs w:val="24"/>
        </w:rPr>
        <w:instrText xml:space="preserve"> ADDIN EN.CITE &lt;EndNote&gt;&lt;Cite&gt;&lt;Author&gt;Boait&lt;/Author&gt;&lt;Year&gt;2008&lt;/Year&gt;&lt;RecNum&gt;122&lt;/RecNum&gt;&lt;DisplayText&gt;(Boait &amp;amp; et al., 2008)&lt;/DisplayText&gt;&lt;record&gt;&lt;rec-number&gt;122&lt;/rec-number&gt;&lt;foreign-keys&gt;&lt;key app="EN" db-id="50wxdpzd9vd5r7e9t5b595djrfpttrxw9avp" timestamp="1525076334"&gt;122&lt;/key&gt;&lt;/foreign-keys&gt;&lt;ref-type name="Journal Article"&gt;17&lt;/ref-type&gt;&lt;contributors&gt;&lt;authors&gt;&lt;author&gt;Boait, P. J.&lt;/author&gt;&lt;author&gt;et al.,&lt;/author&gt;&lt;/authors&gt;&lt;/contributors&gt;&lt;titles&gt;&lt;title&gt;Production efficiency of hot water for dmoestic use&lt;/title&gt;&lt;secondary-title&gt;Applied Energy&lt;/secondary-title&gt;&lt;short-title&gt;Boait, P. J. et al 2008 – Production efficiency of hot water&lt;/short-title&gt;&lt;/titles&gt;&lt;pages&gt;p. 528-544&lt;/pages&gt;&lt;volume&gt;85&lt;/volume&gt;&lt;number&gt;6&lt;/number&gt;&lt;dates&gt;&lt;year&gt;2008&lt;/year&gt;&lt;/dates&gt;&lt;urls&gt;&lt;/urls&gt;&lt;/record&gt;&lt;/Cite&gt;&lt;/EndNote&gt;</w:instrText>
      </w:r>
      <w:r w:rsidRPr="00C90AC9">
        <w:rPr>
          <w:rFonts w:eastAsia="Times New Roman"/>
          <w:szCs w:val="24"/>
        </w:rPr>
        <w:fldChar w:fldCharType="separate"/>
      </w:r>
      <w:r w:rsidRPr="00C90AC9">
        <w:rPr>
          <w:rFonts w:eastAsia="Times New Roman"/>
          <w:szCs w:val="24"/>
        </w:rPr>
        <w:t xml:space="preserve">(Boait </w:t>
      </w:r>
      <w:r w:rsidR="00EE66A8" w:rsidRPr="00C90AC9">
        <w:rPr>
          <w:rFonts w:eastAsia="Times New Roman"/>
          <w:szCs w:val="24"/>
        </w:rPr>
        <w:t>et al</w:t>
      </w:r>
      <w:r w:rsidRPr="00C90AC9">
        <w:rPr>
          <w:rFonts w:eastAsia="Times New Roman"/>
          <w:szCs w:val="24"/>
        </w:rPr>
        <w:t>., 2008)</w:t>
      </w:r>
      <w:r w:rsidRPr="00C90AC9">
        <w:rPr>
          <w:rFonts w:eastAsia="Times New Roman"/>
          <w:szCs w:val="24"/>
        </w:rPr>
        <w:fldChar w:fldCharType="end"/>
      </w:r>
    </w:p>
    <w:p w:rsidR="00A16B8C" w:rsidRPr="00C90AC9" w:rsidRDefault="00BF0A11" w:rsidP="00CA6E35">
      <w:pPr>
        <w:pStyle w:val="ListBullet2"/>
        <w:numPr>
          <w:ilvl w:val="0"/>
          <w:numId w:val="2"/>
        </w:numPr>
        <w:rPr>
          <w:rFonts w:eastAsia="Times New Roman"/>
          <w:sz w:val="22"/>
        </w:rPr>
      </w:pPr>
      <w:r w:rsidRPr="00C90AC9">
        <w:rPr>
          <w:rFonts w:eastAsia="Times New Roman"/>
          <w:sz w:val="22"/>
        </w:rPr>
        <w:t xml:space="preserve"> </w:t>
      </w:r>
      <w:r w:rsidR="00A16B8C" w:rsidRPr="00C90AC9">
        <w:rPr>
          <w:rFonts w:eastAsia="Times New Roman"/>
          <w:sz w:val="22"/>
        </w:rPr>
        <w:t xml:space="preserve">“Economy 7” refers to </w:t>
      </w:r>
      <w:r w:rsidR="00E76CAF" w:rsidRPr="00C90AC9">
        <w:rPr>
          <w:rFonts w:eastAsia="Times New Roman"/>
          <w:sz w:val="22"/>
        </w:rPr>
        <w:t>an</w:t>
      </w:r>
      <w:r w:rsidR="00A16B8C" w:rsidRPr="00C90AC9">
        <w:rPr>
          <w:rFonts w:eastAsia="Times New Roman"/>
          <w:sz w:val="22"/>
        </w:rPr>
        <w:t xml:space="preserve"> electricity tariff option available in the UK under which electricity is supplied within a 7 h overnight time window at a lower cost and also lower carbon intensity.</w:t>
      </w:r>
    </w:p>
    <w:p w:rsidR="00A16B8C" w:rsidRPr="00C90AC9" w:rsidRDefault="00A16B8C" w:rsidP="00CA6E35">
      <w:pPr>
        <w:pStyle w:val="ListBullet2"/>
        <w:numPr>
          <w:ilvl w:val="0"/>
          <w:numId w:val="2"/>
        </w:numPr>
        <w:rPr>
          <w:rFonts w:eastAsia="Times New Roman"/>
          <w:sz w:val="22"/>
        </w:rPr>
      </w:pPr>
      <w:r w:rsidRPr="00C90AC9">
        <w:rPr>
          <w:rFonts w:eastAsia="Times New Roman"/>
          <w:sz w:val="22"/>
        </w:rPr>
        <w:t xml:space="preserve">“Combi” refers to a type of gas boiler which provides space heating by circulating hot water through a radiator network and heats water directly from the </w:t>
      </w:r>
      <w:r w:rsidR="00E82522" w:rsidRPr="00C90AC9">
        <w:rPr>
          <w:rFonts w:eastAsia="Times New Roman"/>
          <w:sz w:val="22"/>
        </w:rPr>
        <w:t>main</w:t>
      </w:r>
      <w:r w:rsidRPr="00C90AC9">
        <w:rPr>
          <w:rFonts w:eastAsia="Times New Roman"/>
          <w:sz w:val="22"/>
        </w:rPr>
        <w:t>s supply to deliver domestic hot water on demand.</w:t>
      </w:r>
    </w:p>
    <w:p w:rsidR="00A16B8C" w:rsidRPr="00C90AC9" w:rsidRDefault="00A16B8C" w:rsidP="00CA6E35">
      <w:pPr>
        <w:pStyle w:val="ListBullet2"/>
        <w:numPr>
          <w:ilvl w:val="0"/>
          <w:numId w:val="2"/>
        </w:numPr>
        <w:rPr>
          <w:rFonts w:eastAsia="Times New Roman"/>
          <w:sz w:val="22"/>
        </w:rPr>
      </w:pPr>
      <w:r w:rsidRPr="00C90AC9">
        <w:rPr>
          <w:rFonts w:eastAsia="Times New Roman"/>
          <w:sz w:val="22"/>
        </w:rPr>
        <w:t>“Other fuels” comprise oil and solid fuels such as coal or biomass.</w:t>
      </w:r>
    </w:p>
    <w:p w:rsidR="00E82D6C" w:rsidRPr="00C90AC9" w:rsidRDefault="00E82D6C" w:rsidP="000E17D2">
      <w:pPr>
        <w:spacing w:line="360" w:lineRule="auto"/>
        <w:rPr>
          <w:rStyle w:val="SubtleEmphasis"/>
          <w:rFonts w:cs="Times New Roman"/>
          <w:iCs/>
          <w:sz w:val="24"/>
          <w:szCs w:val="24"/>
        </w:rPr>
      </w:pPr>
    </w:p>
    <w:p w:rsidR="00DA0D9A" w:rsidRPr="00C90AC9" w:rsidRDefault="00DA0D9A" w:rsidP="000E17D2">
      <w:pPr>
        <w:spacing w:line="360" w:lineRule="auto"/>
        <w:rPr>
          <w:rFonts w:eastAsiaTheme="minorHAnsi"/>
          <w:lang w:eastAsia="en-US"/>
        </w:rPr>
      </w:pPr>
      <w:r w:rsidRPr="00C90AC9">
        <w:rPr>
          <w:rStyle w:val="SubtleEmphasis"/>
          <w:rFonts w:cs="Times New Roman"/>
          <w:iCs/>
          <w:sz w:val="24"/>
          <w:szCs w:val="24"/>
        </w:rPr>
        <w:t xml:space="preserve">Table 2.2 </w:t>
      </w:r>
      <w:r w:rsidR="00D9582F" w:rsidRPr="00C90AC9">
        <w:rPr>
          <w:rStyle w:val="SubtleEmphasis"/>
          <w:rFonts w:cs="Times New Roman"/>
          <w:iCs/>
          <w:sz w:val="24"/>
          <w:szCs w:val="24"/>
        </w:rPr>
        <w:t>indicates</w:t>
      </w:r>
      <w:r w:rsidRPr="00C90AC9">
        <w:rPr>
          <w:rStyle w:val="SubtleEmphasis"/>
          <w:rFonts w:cs="Times New Roman"/>
          <w:iCs/>
          <w:sz w:val="24"/>
          <w:szCs w:val="24"/>
        </w:rPr>
        <w:t xml:space="preserve"> that the vast majority of homes in the UK utilise either gas-fired noncondensing Combi boilers either with or without a tank. This fact exemplifies the UK not utilising STP technology </w:t>
      </w:r>
      <w:r w:rsidR="00182124" w:rsidRPr="00C90AC9">
        <w:rPr>
          <w:rStyle w:val="SubtleEmphasis"/>
          <w:rFonts w:cs="Times New Roman"/>
          <w:iCs/>
          <w:sz w:val="24"/>
          <w:szCs w:val="24"/>
        </w:rPr>
        <w:fldChar w:fldCharType="begin"/>
      </w:r>
      <w:r w:rsidR="00182124" w:rsidRPr="00C90AC9">
        <w:rPr>
          <w:rStyle w:val="SubtleEmphasis"/>
          <w:rFonts w:cs="Times New Roman"/>
          <w:iCs/>
          <w:sz w:val="24"/>
          <w:szCs w:val="24"/>
        </w:rPr>
        <w:instrText xml:space="preserve"> ADDIN EN.CITE &lt;EndNote&gt;&lt;Cite&gt;&lt;Author&gt;Boait&lt;/Author&gt;&lt;Year&gt;2008&lt;/Year&gt;&lt;RecNum&gt;122&lt;/RecNum&gt;&lt;DisplayText&gt;(Boait &amp;amp; et al., 2008)&lt;/DisplayText&gt;&lt;record&gt;&lt;rec-number&gt;122&lt;/rec-number&gt;&lt;foreign-keys&gt;&lt;key app="EN" db-id="50wxdpzd9vd5r7e9t5b595djrfpttrxw9avp" timestamp="1525076334"&gt;122&lt;/key&gt;&lt;/foreign-keys&gt;&lt;ref-type name="Journal Article"&gt;17&lt;/ref-type&gt;&lt;contributors&gt;&lt;authors&gt;&lt;author&gt;Boait, P. J.&lt;/author&gt;&lt;author&gt;et al.,&lt;/author&gt;&lt;/authors&gt;&lt;/contributors&gt;&lt;titles&gt;&lt;title&gt;Production efficiency of hot water for dmoestic use&lt;/title&gt;&lt;secondary-title&gt;Applied Energy&lt;/secondary-title&gt;&lt;short-title&gt;Boait, P. J. et al 2008 – Production efficiency of hot water&lt;/short-title&gt;&lt;/titles&gt;&lt;pages&gt;p. 528-544&lt;/pages&gt;&lt;volume&gt;85&lt;/volume&gt;&lt;number&gt;6&lt;/number&gt;&lt;dates&gt;&lt;year&gt;2008&lt;/year&gt;&lt;/dates&gt;&lt;urls&gt;&lt;/urls&gt;&lt;/record&gt;&lt;/Cite&gt;&lt;/EndNote&gt;</w:instrText>
      </w:r>
      <w:r w:rsidR="00182124" w:rsidRPr="00C90AC9">
        <w:rPr>
          <w:rStyle w:val="SubtleEmphasis"/>
          <w:rFonts w:cs="Times New Roman"/>
          <w:iCs/>
          <w:sz w:val="24"/>
          <w:szCs w:val="24"/>
        </w:rPr>
        <w:fldChar w:fldCharType="separate"/>
      </w:r>
      <w:r w:rsidR="00182124" w:rsidRPr="00C90AC9">
        <w:rPr>
          <w:rStyle w:val="SubtleEmphasis"/>
          <w:rFonts w:cs="Times New Roman"/>
          <w:iCs/>
          <w:sz w:val="24"/>
          <w:szCs w:val="24"/>
        </w:rPr>
        <w:t xml:space="preserve">(Boait </w:t>
      </w:r>
      <w:r w:rsidR="00EE66A8" w:rsidRPr="00C90AC9">
        <w:rPr>
          <w:rStyle w:val="SubtleEmphasis"/>
          <w:rFonts w:cs="Times New Roman"/>
          <w:iCs/>
          <w:sz w:val="24"/>
          <w:szCs w:val="24"/>
        </w:rPr>
        <w:t>et al</w:t>
      </w:r>
      <w:r w:rsidR="00182124" w:rsidRPr="00C90AC9">
        <w:rPr>
          <w:rStyle w:val="SubtleEmphasis"/>
          <w:rFonts w:cs="Times New Roman"/>
          <w:iCs/>
          <w:sz w:val="24"/>
          <w:szCs w:val="24"/>
        </w:rPr>
        <w:t>., 2008)</w:t>
      </w:r>
      <w:r w:rsidR="00182124" w:rsidRPr="00C90AC9">
        <w:rPr>
          <w:rStyle w:val="SubtleEmphasis"/>
          <w:rFonts w:cs="Times New Roman"/>
          <w:iCs/>
          <w:sz w:val="24"/>
          <w:szCs w:val="24"/>
        </w:rPr>
        <w:fldChar w:fldCharType="end"/>
      </w:r>
      <w:r w:rsidR="002C646F" w:rsidRPr="00C90AC9">
        <w:rPr>
          <w:rStyle w:val="SubtleEmphasis"/>
          <w:rFonts w:cs="Times New Roman"/>
          <w:iCs/>
          <w:sz w:val="24"/>
          <w:szCs w:val="24"/>
        </w:rPr>
        <w:t xml:space="preserve"> to its full capacity and suggests that the modes of adoption of STP technology are poorly understood and provides a reason for conducting this research</w:t>
      </w:r>
      <w:r w:rsidRPr="00C90AC9">
        <w:rPr>
          <w:rFonts w:eastAsiaTheme="minorHAnsi"/>
          <w:lang w:eastAsia="en-US"/>
        </w:rPr>
        <w:t>.</w:t>
      </w:r>
    </w:p>
    <w:p w:rsidR="00A16B8C" w:rsidRPr="00C90AC9" w:rsidRDefault="00A16B8C" w:rsidP="009601D8">
      <w:pPr>
        <w:pStyle w:val="Heading1"/>
        <w:rPr>
          <w:rStyle w:val="SubtleEmphasis"/>
          <w:iCs w:val="0"/>
        </w:rPr>
      </w:pPr>
      <w:r w:rsidRPr="00C90AC9">
        <w:rPr>
          <w:rStyle w:val="SubtleEmphasis"/>
          <w:iCs w:val="0"/>
        </w:rPr>
        <w:lastRenderedPageBreak/>
        <w:t>Efficiency of utilising solar thermal panels for heating water</w:t>
      </w:r>
    </w:p>
    <w:p w:rsidR="00A16B8C" w:rsidRPr="00C90AC9" w:rsidRDefault="00A16B8C" w:rsidP="00162965">
      <w:pPr>
        <w:pStyle w:val="BodyTextFirstIndent"/>
        <w:spacing w:line="360" w:lineRule="auto"/>
        <w:rPr>
          <w:rFonts w:eastAsiaTheme="minorHAnsi"/>
          <w:lang w:eastAsia="en-US"/>
        </w:rPr>
      </w:pPr>
      <w:r w:rsidRPr="00C90AC9">
        <w:rPr>
          <w:rFonts w:eastAsiaTheme="minorHAnsi"/>
          <w:lang w:eastAsia="en-US"/>
        </w:rPr>
        <w:t xml:space="preserve">Utilisation of </w:t>
      </w:r>
      <w:r w:rsidR="002A208F" w:rsidRPr="00C90AC9">
        <w:rPr>
          <w:rFonts w:eastAsiaTheme="minorHAnsi"/>
          <w:lang w:eastAsia="en-US"/>
        </w:rPr>
        <w:t>STPs offer an</w:t>
      </w:r>
      <w:r w:rsidRPr="00C90AC9">
        <w:rPr>
          <w:rFonts w:eastAsiaTheme="minorHAnsi"/>
          <w:lang w:eastAsia="en-US"/>
        </w:rPr>
        <w:t xml:space="preserve"> effective and efficient way of converting the </w:t>
      </w:r>
      <w:r w:rsidR="000450FC" w:rsidRPr="00C90AC9">
        <w:rPr>
          <w:rFonts w:eastAsiaTheme="minorHAnsi"/>
          <w:lang w:eastAsia="en-US"/>
        </w:rPr>
        <w:t>sun</w:t>
      </w:r>
      <w:r w:rsidRPr="00C90AC9">
        <w:rPr>
          <w:rFonts w:eastAsiaTheme="minorHAnsi"/>
          <w:lang w:eastAsia="en-US"/>
        </w:rPr>
        <w:t xml:space="preserve">’s solar energy into thermal energy in the form of heated water </w:t>
      </w:r>
      <w:r w:rsidR="00E82D6C" w:rsidRPr="00C90AC9">
        <w:rPr>
          <w:rFonts w:eastAsiaTheme="minorHAnsi"/>
          <w:lang w:eastAsia="en-US"/>
        </w:rPr>
        <w:fldChar w:fldCharType="begin"/>
      </w:r>
      <w:r w:rsidR="00E82D6C" w:rsidRPr="00C90AC9">
        <w:rPr>
          <w:rFonts w:eastAsiaTheme="minorHAnsi"/>
          <w:lang w:eastAsia="en-US"/>
        </w:rPr>
        <w:instrText xml:space="preserve"> ADDIN EN.CITE &lt;EndNote&gt;&lt;Cite&gt;&lt;Author&gt;Jaisankar&lt;/Author&gt;&lt;Year&gt;2011&lt;/Year&gt;&lt;RecNum&gt;161&lt;/RecNum&gt;&lt;DisplayText&gt;(Jaisankar &amp;amp; et al., 2011)&lt;/DisplayText&gt;&lt;record&gt;&lt;rec-number&gt;161&lt;/rec-number&gt;&lt;foreign-keys&gt;&lt;key app="EN" db-id="50wxdpzd9vd5r7e9t5b595djrfpttrxw9avp" timestamp="1525076335"&gt;161&lt;/key&gt;&lt;/foreign-keys&gt;&lt;ref-type name="Journal Article"&gt;17&lt;/ref-type&gt;&lt;contributors&gt;&lt;authors&gt;&lt;author&gt;Jaisankar, S., .&lt;/author&gt;&lt;author&gt;et al.,&lt;/author&gt;&lt;/authors&gt;&lt;/contributors&gt;&lt;titles&gt;&lt;title&gt;A comprehensive review on solar water heaters&lt;/title&gt;&lt;secondary-title&gt;Renewable and Sustainable Energy Reviews&lt;/secondary-title&gt;&lt;short-title&gt;Jaisankar, S., et al. 2011 – A comprehensive review on solar&lt;/short-title&gt;&lt;/titles&gt;&lt;pages&gt;p. 3045-3050&lt;/pages&gt;&lt;volume&gt;15&lt;/volume&gt;&lt;number&gt;6&lt;/number&gt;&lt;dates&gt;&lt;year&gt;2011&lt;/year&gt;&lt;/dates&gt;&lt;urls&gt;&lt;/urls&gt;&lt;/record&gt;&lt;/Cite&gt;&lt;/EndNote&gt;</w:instrText>
      </w:r>
      <w:r w:rsidR="00E82D6C" w:rsidRPr="00C90AC9">
        <w:rPr>
          <w:rFonts w:eastAsiaTheme="minorHAnsi"/>
          <w:lang w:eastAsia="en-US"/>
        </w:rPr>
        <w:fldChar w:fldCharType="separate"/>
      </w:r>
      <w:r w:rsidR="00E82D6C" w:rsidRPr="00C90AC9">
        <w:rPr>
          <w:rFonts w:eastAsiaTheme="minorHAnsi"/>
          <w:lang w:eastAsia="en-US"/>
        </w:rPr>
        <w:t xml:space="preserve">(Jaisankar </w:t>
      </w:r>
      <w:r w:rsidR="00EE66A8" w:rsidRPr="00C90AC9">
        <w:rPr>
          <w:rFonts w:eastAsiaTheme="minorHAnsi"/>
          <w:lang w:eastAsia="en-US"/>
        </w:rPr>
        <w:t>et al</w:t>
      </w:r>
      <w:r w:rsidR="00E82D6C" w:rsidRPr="00C90AC9">
        <w:rPr>
          <w:rFonts w:eastAsiaTheme="minorHAnsi"/>
          <w:lang w:eastAsia="en-US"/>
        </w:rPr>
        <w:t>., 2011)</w:t>
      </w:r>
      <w:r w:rsidR="00E82D6C" w:rsidRPr="00C90AC9">
        <w:rPr>
          <w:rFonts w:eastAsiaTheme="minorHAnsi"/>
          <w:lang w:eastAsia="en-US"/>
        </w:rPr>
        <w:fldChar w:fldCharType="end"/>
      </w:r>
      <w:r w:rsidRPr="00C90AC9">
        <w:rPr>
          <w:rFonts w:eastAsiaTheme="minorHAnsi"/>
          <w:lang w:eastAsia="en-US"/>
        </w:rPr>
        <w:t xml:space="preserve">. As a direct conversion solar thermal technologies can achieve 70% efficiency which is high compared </w:t>
      </w:r>
      <w:r w:rsidR="002A208F" w:rsidRPr="00C90AC9">
        <w:rPr>
          <w:rFonts w:eastAsiaTheme="minorHAnsi"/>
          <w:lang w:eastAsia="en-US"/>
        </w:rPr>
        <w:t>with other solar systems such as</w:t>
      </w:r>
      <w:r w:rsidRPr="00C90AC9">
        <w:rPr>
          <w:rFonts w:eastAsiaTheme="minorHAnsi"/>
          <w:lang w:eastAsia="en-US"/>
        </w:rPr>
        <w:t xml:space="preserve"> PV cells which can be used for heating water which only achieve an efficiency of about 17% </w:t>
      </w:r>
      <w:r w:rsidR="0081339A" w:rsidRPr="00C90AC9">
        <w:rPr>
          <w:rFonts w:eastAsiaTheme="minorHAnsi"/>
          <w:lang w:eastAsia="en-US"/>
        </w:rPr>
        <w:fldChar w:fldCharType="begin"/>
      </w:r>
      <w:r w:rsidR="0081339A" w:rsidRPr="00C90AC9">
        <w:rPr>
          <w:rFonts w:eastAsiaTheme="minorHAnsi"/>
          <w:lang w:eastAsia="en-US"/>
        </w:rPr>
        <w:instrText xml:space="preserve"> ADDIN EN.CITE &lt;EndNote&gt;&lt;Cite&gt;&lt;Author&gt;Jaisankar&lt;/Author&gt;&lt;Year&gt;2011&lt;/Year&gt;&lt;RecNum&gt;161&lt;/RecNum&gt;&lt;DisplayText&gt;(Jaisankar &amp;amp; et al., 2011)&lt;/DisplayText&gt;&lt;record&gt;&lt;rec-number&gt;161&lt;/rec-number&gt;&lt;foreign-keys&gt;&lt;key app="EN" db-id="50wxdpzd9vd5r7e9t5b595djrfpttrxw9avp" timestamp="1525076335"&gt;161&lt;/key&gt;&lt;/foreign-keys&gt;&lt;ref-type name="Journal Article"&gt;17&lt;/ref-type&gt;&lt;contributors&gt;&lt;authors&gt;&lt;author&gt;Jaisankar, S., .&lt;/author&gt;&lt;author&gt;et al.,&lt;/author&gt;&lt;/authors&gt;&lt;/contributors&gt;&lt;titles&gt;&lt;title&gt;A comprehensive review on solar water heaters&lt;/title&gt;&lt;secondary-title&gt;Renewable and Sustainable Energy Reviews&lt;/secondary-title&gt;&lt;short-title&gt;Jaisankar, S., et al. 2011 – A comprehensive review on solar&lt;/short-title&gt;&lt;/titles&gt;&lt;pages&gt;p. 3045-3050&lt;/pages&gt;&lt;volume&gt;15&lt;/volume&gt;&lt;number&gt;6&lt;/number&gt;&lt;dates&gt;&lt;year&gt;2011&lt;/year&gt;&lt;/dates&gt;&lt;urls&gt;&lt;/urls&gt;&lt;/record&gt;&lt;/Cite&gt;&lt;/EndNote&gt;</w:instrText>
      </w:r>
      <w:r w:rsidR="0081339A" w:rsidRPr="00C90AC9">
        <w:rPr>
          <w:rFonts w:eastAsiaTheme="minorHAnsi"/>
          <w:lang w:eastAsia="en-US"/>
        </w:rPr>
        <w:fldChar w:fldCharType="separate"/>
      </w:r>
      <w:r w:rsidR="0081339A" w:rsidRPr="00C90AC9">
        <w:rPr>
          <w:rFonts w:eastAsiaTheme="minorHAnsi"/>
          <w:lang w:eastAsia="en-US"/>
        </w:rPr>
        <w:t xml:space="preserve">(Jaisankar </w:t>
      </w:r>
      <w:r w:rsidR="00EE66A8" w:rsidRPr="00C90AC9">
        <w:rPr>
          <w:rFonts w:eastAsiaTheme="minorHAnsi"/>
          <w:lang w:eastAsia="en-US"/>
        </w:rPr>
        <w:t>et al</w:t>
      </w:r>
      <w:r w:rsidR="0081339A" w:rsidRPr="00C90AC9">
        <w:rPr>
          <w:rFonts w:eastAsiaTheme="minorHAnsi"/>
          <w:lang w:eastAsia="en-US"/>
        </w:rPr>
        <w:t>., 2011)</w:t>
      </w:r>
      <w:r w:rsidR="0081339A" w:rsidRPr="00C90AC9">
        <w:rPr>
          <w:rFonts w:eastAsiaTheme="minorHAnsi"/>
          <w:lang w:eastAsia="en-US"/>
        </w:rPr>
        <w:fldChar w:fldCharType="end"/>
      </w:r>
      <w:r w:rsidR="00182124" w:rsidRPr="00C90AC9">
        <w:rPr>
          <w:rFonts w:eastAsiaTheme="minorHAnsi"/>
          <w:lang w:eastAsia="en-US"/>
        </w:rPr>
        <w:t xml:space="preserve">. </w:t>
      </w:r>
      <w:r w:rsidRPr="00C90AC9">
        <w:rPr>
          <w:rFonts w:eastAsiaTheme="minorHAnsi"/>
          <w:lang w:eastAsia="en-US"/>
        </w:rPr>
        <w:t>For highly efficient S</w:t>
      </w:r>
      <w:r w:rsidR="002A208F" w:rsidRPr="00C90AC9">
        <w:rPr>
          <w:rFonts w:eastAsiaTheme="minorHAnsi"/>
          <w:lang w:eastAsia="en-US"/>
        </w:rPr>
        <w:t xml:space="preserve">TPs </w:t>
      </w:r>
      <w:r w:rsidRPr="00C90AC9">
        <w:rPr>
          <w:rFonts w:eastAsiaTheme="minorHAnsi"/>
          <w:lang w:eastAsia="en-US"/>
        </w:rPr>
        <w:t xml:space="preserve">the efficiency can be improved by 23-37% whilst the cost is only increased by about 5% </w:t>
      </w:r>
      <w:r w:rsidR="0081339A" w:rsidRPr="00C90AC9">
        <w:rPr>
          <w:rFonts w:eastAsiaTheme="minorHAnsi"/>
          <w:lang w:eastAsia="en-US"/>
        </w:rPr>
        <w:fldChar w:fldCharType="begin"/>
      </w:r>
      <w:r w:rsidR="0081339A" w:rsidRPr="00C90AC9">
        <w:rPr>
          <w:rFonts w:eastAsiaTheme="minorHAnsi"/>
          <w:lang w:eastAsia="en-US"/>
        </w:rPr>
        <w:instrText xml:space="preserve"> ADDIN EN.CITE &lt;EndNote&gt;&lt;Cite&gt;&lt;Author&gt;K. Vejen&lt;/Author&gt;&lt;Year&gt;2004&lt;/Year&gt;&lt;RecNum&gt;109&lt;/RecNum&gt;&lt;DisplayText&gt;(K. Vejen, 2004)&lt;/DisplayText&gt;&lt;record&gt;&lt;rec-number&gt;109&lt;/rec-number&gt;&lt;foreign-keys&gt;&lt;key app="EN" db-id="50wxdpzd9vd5r7e9t5b595djrfpttrxw9avp" timestamp="1525076334"&gt;109&lt;/key&gt;&lt;/foreign-keys&gt;&lt;ref-type name="Journal Article"&gt;17&lt;/ref-type&gt;&lt;contributors&gt;&lt;authors&gt;&lt;author&gt;K. Vejen, S.F., L.J. Shah&lt;/author&gt;&lt;/authors&gt;&lt;/contributors&gt;&lt;titles&gt;&lt;title&gt;Development of 12.5m2 solar collector panel for solar heating plane&lt;/title&gt;&lt;secondary-title&gt;Solar Energy Materials &amp;amp; Solar Cells&lt;/secondary-title&gt;&lt;short-title&gt;.K. Vejen, S.F., L.J. Shah 2004 – Development of 12.5m2 solar collector&lt;/short-title&gt;&lt;/titles&gt;&lt;pages&gt;p. 205-223&lt;/pages&gt;&lt;volume&gt;84&lt;/volume&gt;&lt;dates&gt;&lt;year&gt;2004&lt;/year&gt;&lt;/dates&gt;&lt;urls&gt;&lt;/urls&gt;&lt;/record&gt;&lt;/Cite&gt;&lt;/EndNote&gt;</w:instrText>
      </w:r>
      <w:r w:rsidR="0081339A" w:rsidRPr="00C90AC9">
        <w:rPr>
          <w:rFonts w:eastAsiaTheme="minorHAnsi"/>
          <w:lang w:eastAsia="en-US"/>
        </w:rPr>
        <w:fldChar w:fldCharType="separate"/>
      </w:r>
      <w:r w:rsidR="0081339A" w:rsidRPr="00C90AC9">
        <w:rPr>
          <w:rFonts w:eastAsiaTheme="minorHAnsi"/>
          <w:lang w:eastAsia="en-US"/>
        </w:rPr>
        <w:t>(K. Vejen, 2004)</w:t>
      </w:r>
      <w:r w:rsidR="0081339A" w:rsidRPr="00C90AC9">
        <w:rPr>
          <w:rFonts w:eastAsiaTheme="minorHAnsi"/>
          <w:lang w:eastAsia="en-US"/>
        </w:rPr>
        <w:fldChar w:fldCharType="end"/>
      </w:r>
      <w:r w:rsidRPr="00C90AC9">
        <w:rPr>
          <w:rFonts w:eastAsiaTheme="minorHAnsi"/>
          <w:lang w:eastAsia="en-US"/>
        </w:rPr>
        <w:t>.</w:t>
      </w:r>
    </w:p>
    <w:p w:rsidR="00A16B8C" w:rsidRPr="00C90AC9" w:rsidRDefault="00A16B8C" w:rsidP="00162965">
      <w:pPr>
        <w:pStyle w:val="BodyText"/>
        <w:spacing w:line="360" w:lineRule="auto"/>
        <w:rPr>
          <w:rFonts w:eastAsiaTheme="minorHAnsi"/>
          <w:lang w:eastAsia="en-US"/>
        </w:rPr>
      </w:pPr>
      <w:r w:rsidRPr="00C90AC9">
        <w:rPr>
          <w:rFonts w:eastAsiaTheme="minorHAnsi"/>
          <w:lang w:eastAsia="en-US"/>
        </w:rPr>
        <w:t xml:space="preserve">The application of  Solar Thermal technologies is closely linked to the cost of the solar systems and their efficiencies </w:t>
      </w:r>
      <w:r w:rsidR="0081339A" w:rsidRPr="00C90AC9">
        <w:rPr>
          <w:rFonts w:eastAsiaTheme="minorHAnsi"/>
          <w:lang w:eastAsia="en-US"/>
        </w:rPr>
        <w:t>a</w:t>
      </w:r>
      <w:r w:rsidRPr="00C90AC9">
        <w:rPr>
          <w:rFonts w:eastAsiaTheme="minorHAnsi"/>
          <w:lang w:eastAsia="en-US"/>
        </w:rPr>
        <w:t xml:space="preserve">s the efficiency of </w:t>
      </w:r>
      <w:r w:rsidR="006518C0" w:rsidRPr="00C90AC9">
        <w:rPr>
          <w:rFonts w:eastAsiaTheme="minorHAnsi"/>
          <w:lang w:eastAsia="en-US"/>
        </w:rPr>
        <w:t>STPs</w:t>
      </w:r>
      <w:r w:rsidRPr="00C90AC9">
        <w:rPr>
          <w:rFonts w:eastAsiaTheme="minorHAnsi"/>
          <w:lang w:eastAsia="en-US"/>
        </w:rPr>
        <w:t xml:space="preserve"> increases the cost per volume of heated water falls</w:t>
      </w:r>
      <w:r w:rsidR="0081339A" w:rsidRPr="00C90AC9">
        <w:rPr>
          <w:rFonts w:eastAsiaTheme="minorHAnsi"/>
          <w:lang w:eastAsia="en-US"/>
        </w:rPr>
        <w:t xml:space="preserve"> </w:t>
      </w:r>
      <w:r w:rsidR="0081339A" w:rsidRPr="00C90AC9">
        <w:rPr>
          <w:rFonts w:eastAsiaTheme="minorHAnsi"/>
          <w:lang w:eastAsia="en-US"/>
        </w:rPr>
        <w:fldChar w:fldCharType="begin"/>
      </w:r>
      <w:r w:rsidR="0081339A" w:rsidRPr="00C90AC9">
        <w:rPr>
          <w:rFonts w:eastAsiaTheme="minorHAnsi"/>
          <w:lang w:eastAsia="en-US"/>
        </w:rPr>
        <w:instrText xml:space="preserve"> ADDIN EN.CITE &lt;EndNote&gt;&lt;Cite&gt;&lt;Author&gt;Medved&lt;/Author&gt;&lt;Year&gt;2003&lt;/Year&gt;&lt;RecNum&gt;171&lt;/RecNum&gt;&lt;DisplayText&gt;(Medved &amp;amp; Černe, 2003)&lt;/DisplayText&gt;&lt;record&gt;&lt;rec-number&gt;171&lt;/rec-number&gt;&lt;foreign-keys&gt;&lt;key app="EN" db-id="50wxdpzd9vd5r7e9t5b595djrfpttrxw9avp" timestamp="1525076335"&gt;171&lt;/key&gt;&lt;/foreign-keys&gt;&lt;ref-type name="Journal Article"&gt;17&lt;/ref-type&gt;&lt;contributors&gt;&lt;authors&gt;&lt;author&gt;Medved, S., C. Arkar,&lt;/author&gt;&lt;author&gt;B. Černe&lt;/author&gt;&lt;/authors&gt;&lt;/contributors&gt;&lt;titles&gt;&lt;title&gt;A large-panel unglazed roof-integrated liquid solar collector––energy and economic evaluation&lt;/title&gt;&lt;secondary-title&gt;Solar Energy&lt;/secondary-title&gt;&lt;short-title&gt;Medved, S., C. Arkar, and B. Černe 2003 – A large-panel unglazed roof-integrated liquid&lt;/short-title&gt;&lt;/titles&gt;&lt;pages&gt;p. 455-467&lt;/pages&gt;&lt;volume&gt;75&lt;/volume&gt;&lt;number&gt;6&lt;/number&gt;&lt;dates&gt;&lt;year&gt;2003&lt;/year&gt;&lt;/dates&gt;&lt;urls&gt;&lt;/urls&gt;&lt;/record&gt;&lt;/Cite&gt;&lt;/EndNote&gt;</w:instrText>
      </w:r>
      <w:r w:rsidR="0081339A" w:rsidRPr="00C90AC9">
        <w:rPr>
          <w:rFonts w:eastAsiaTheme="minorHAnsi"/>
          <w:lang w:eastAsia="en-US"/>
        </w:rPr>
        <w:fldChar w:fldCharType="separate"/>
      </w:r>
      <w:r w:rsidR="0081339A" w:rsidRPr="00C90AC9">
        <w:rPr>
          <w:rFonts w:eastAsiaTheme="minorHAnsi"/>
          <w:lang w:eastAsia="en-US"/>
        </w:rPr>
        <w:t>(Medved &amp; Černe, 2003)</w:t>
      </w:r>
      <w:r w:rsidR="0081339A" w:rsidRPr="00C90AC9">
        <w:rPr>
          <w:rFonts w:eastAsiaTheme="minorHAnsi"/>
          <w:lang w:eastAsia="en-US"/>
        </w:rPr>
        <w:fldChar w:fldCharType="end"/>
      </w:r>
      <w:r w:rsidR="0081339A" w:rsidRPr="00C90AC9">
        <w:rPr>
          <w:rFonts w:eastAsiaTheme="minorHAnsi"/>
          <w:lang w:eastAsia="en-US"/>
        </w:rPr>
        <w:t>. As STP technology evolves</w:t>
      </w:r>
      <w:r w:rsidRPr="00C90AC9">
        <w:rPr>
          <w:rFonts w:eastAsiaTheme="minorHAnsi"/>
          <w:lang w:eastAsia="en-US"/>
        </w:rPr>
        <w:t xml:space="preserve"> and the technology is recognised by consumers the more likely people are to adopt the technology </w:t>
      </w:r>
      <w:r w:rsidR="0081339A" w:rsidRPr="00C90AC9">
        <w:rPr>
          <w:rFonts w:eastAsiaTheme="minorHAnsi"/>
          <w:lang w:eastAsia="en-US"/>
        </w:rPr>
        <w:fldChar w:fldCharType="begin"/>
      </w:r>
      <w:r w:rsidR="0081339A" w:rsidRPr="00C90AC9">
        <w:rPr>
          <w:rFonts w:eastAsiaTheme="minorHAnsi"/>
          <w:lang w:eastAsia="en-US"/>
        </w:rPr>
        <w:instrText xml:space="preserve"> ADDIN EN.CITE &lt;EndNote&gt;&lt;Cite&gt;&lt;Author&gt;Medved&lt;/Author&gt;&lt;Year&gt;2003&lt;/Year&gt;&lt;RecNum&gt;171&lt;/RecNum&gt;&lt;DisplayText&gt;(Medved &amp;amp; Černe, 2003)&lt;/DisplayText&gt;&lt;record&gt;&lt;rec-number&gt;171&lt;/rec-number&gt;&lt;foreign-keys&gt;&lt;key app="EN" db-id="50wxdpzd9vd5r7e9t5b595djrfpttrxw9avp" timestamp="1525076335"&gt;171&lt;/key&gt;&lt;/foreign-keys&gt;&lt;ref-type name="Journal Article"&gt;17&lt;/ref-type&gt;&lt;contributors&gt;&lt;authors&gt;&lt;author&gt;Medved, S., C. Arkar,&lt;/author&gt;&lt;author&gt;B. Černe&lt;/author&gt;&lt;/authors&gt;&lt;/contributors&gt;&lt;titles&gt;&lt;title&gt;A large-panel unglazed roof-integrated liquid solar collector––energy and economic evaluation&lt;/title&gt;&lt;secondary-title&gt;Solar Energy&lt;/secondary-title&gt;&lt;short-title&gt;Medved, S., C. Arkar, and B. Černe 2003 – A large-panel unglazed roof-integrated liquid&lt;/short-title&gt;&lt;/titles&gt;&lt;pages&gt;p. 455-467&lt;/pages&gt;&lt;volume&gt;75&lt;/volume&gt;&lt;number&gt;6&lt;/number&gt;&lt;dates&gt;&lt;year&gt;2003&lt;/year&gt;&lt;/dates&gt;&lt;urls&gt;&lt;/urls&gt;&lt;/record&gt;&lt;/Cite&gt;&lt;/EndNote&gt;</w:instrText>
      </w:r>
      <w:r w:rsidR="0081339A" w:rsidRPr="00C90AC9">
        <w:rPr>
          <w:rFonts w:eastAsiaTheme="minorHAnsi"/>
          <w:lang w:eastAsia="en-US"/>
        </w:rPr>
        <w:fldChar w:fldCharType="separate"/>
      </w:r>
      <w:r w:rsidR="0081339A" w:rsidRPr="00C90AC9">
        <w:rPr>
          <w:rFonts w:eastAsiaTheme="minorHAnsi"/>
          <w:lang w:eastAsia="en-US"/>
        </w:rPr>
        <w:t>(Medved &amp; Černe, 2003)</w:t>
      </w:r>
      <w:r w:rsidR="0081339A" w:rsidRPr="00C90AC9">
        <w:rPr>
          <w:rFonts w:eastAsiaTheme="minorHAnsi"/>
          <w:lang w:eastAsia="en-US"/>
        </w:rPr>
        <w:fldChar w:fldCharType="end"/>
      </w:r>
      <w:r w:rsidR="0081339A" w:rsidRPr="00C90AC9">
        <w:rPr>
          <w:rFonts w:eastAsiaTheme="minorHAnsi"/>
          <w:lang w:eastAsia="en-US"/>
        </w:rPr>
        <w:t>.</w:t>
      </w:r>
      <w:r w:rsidRPr="00C90AC9">
        <w:rPr>
          <w:rFonts w:eastAsiaTheme="minorHAnsi"/>
          <w:lang w:eastAsia="en-US"/>
        </w:rPr>
        <w:t xml:space="preserve"> Costs can be expected to fall as the technology benefits from economies of scale with regard to the manufacturing process and this will ultimately affect the technologies payback period</w:t>
      </w:r>
      <w:r w:rsidR="0081339A" w:rsidRPr="00C90AC9">
        <w:rPr>
          <w:rFonts w:eastAsiaTheme="minorHAnsi"/>
          <w:lang w:eastAsia="en-US"/>
        </w:rPr>
        <w:t xml:space="preserve"> </w:t>
      </w:r>
      <w:r w:rsidR="0081339A" w:rsidRPr="00C90AC9">
        <w:rPr>
          <w:rFonts w:eastAsiaTheme="minorHAnsi"/>
          <w:lang w:eastAsia="en-US"/>
        </w:rPr>
        <w:fldChar w:fldCharType="begin"/>
      </w:r>
      <w:r w:rsidR="0081339A" w:rsidRPr="00C90AC9">
        <w:rPr>
          <w:rFonts w:eastAsiaTheme="minorHAnsi"/>
          <w:lang w:eastAsia="en-US"/>
        </w:rPr>
        <w:instrText xml:space="preserve"> ADDIN EN.CITE &lt;EndNote&gt;&lt;Cite&gt;&lt;Author&gt;Medved&lt;/Author&gt;&lt;Year&gt;2003&lt;/Year&gt;&lt;RecNum&gt;171&lt;/RecNum&gt;&lt;DisplayText&gt;(Medved &amp;amp; Černe, 2003)&lt;/DisplayText&gt;&lt;record&gt;&lt;rec-number&gt;171&lt;/rec-number&gt;&lt;foreign-keys&gt;&lt;key app="EN" db-id="50wxdpzd9vd5r7e9t5b595djrfpttrxw9avp" timestamp="1525076335"&gt;171&lt;/key&gt;&lt;/foreign-keys&gt;&lt;ref-type name="Journal Article"&gt;17&lt;/ref-type&gt;&lt;contributors&gt;&lt;authors&gt;&lt;author&gt;Medved, S., C. Arkar,&lt;/author&gt;&lt;author&gt;B. Černe&lt;/author&gt;&lt;/authors&gt;&lt;/contributors&gt;&lt;titles&gt;&lt;title&gt;A large-panel unglazed roof-integrated liquid solar collector––energy and economic evaluation&lt;/title&gt;&lt;secondary-title&gt;Solar Energy&lt;/secondary-title&gt;&lt;short-title&gt;Medved, S., C. Arkar, and B. Černe 2003 – A large-panel unglazed roof-integrated liquid&lt;/short-title&gt;&lt;/titles&gt;&lt;pages&gt;p. 455-467&lt;/pages&gt;&lt;volume&gt;75&lt;/volume&gt;&lt;number&gt;6&lt;/number&gt;&lt;dates&gt;&lt;year&gt;2003&lt;/year&gt;&lt;/dates&gt;&lt;urls&gt;&lt;/urls&gt;&lt;/record&gt;&lt;/Cite&gt;&lt;/EndNote&gt;</w:instrText>
      </w:r>
      <w:r w:rsidR="0081339A" w:rsidRPr="00C90AC9">
        <w:rPr>
          <w:rFonts w:eastAsiaTheme="minorHAnsi"/>
          <w:lang w:eastAsia="en-US"/>
        </w:rPr>
        <w:fldChar w:fldCharType="separate"/>
      </w:r>
      <w:r w:rsidR="0081339A" w:rsidRPr="00C90AC9">
        <w:rPr>
          <w:rFonts w:eastAsiaTheme="minorHAnsi"/>
          <w:lang w:eastAsia="en-US"/>
        </w:rPr>
        <w:t>(Medved &amp; Černe, 2003)</w:t>
      </w:r>
      <w:r w:rsidR="0081339A" w:rsidRPr="00C90AC9">
        <w:rPr>
          <w:rFonts w:eastAsiaTheme="minorHAnsi"/>
          <w:lang w:eastAsia="en-US"/>
        </w:rPr>
        <w:fldChar w:fldCharType="end"/>
      </w:r>
      <w:r w:rsidRPr="00C90AC9">
        <w:rPr>
          <w:rFonts w:eastAsiaTheme="minorHAnsi"/>
          <w:lang w:eastAsia="en-US"/>
        </w:rPr>
        <w:t xml:space="preserve">. </w:t>
      </w:r>
    </w:p>
    <w:p w:rsidR="00A16B8C" w:rsidRPr="00C90AC9" w:rsidRDefault="00A16B8C" w:rsidP="00162965">
      <w:pPr>
        <w:pStyle w:val="BodyText"/>
        <w:spacing w:line="360" w:lineRule="auto"/>
        <w:rPr>
          <w:rFonts w:eastAsiaTheme="minorHAnsi"/>
          <w:lang w:eastAsia="en-US"/>
        </w:rPr>
      </w:pPr>
      <w:r w:rsidRPr="00C90AC9">
        <w:rPr>
          <w:rFonts w:eastAsiaTheme="minorHAnsi"/>
          <w:lang w:eastAsia="en-US"/>
        </w:rPr>
        <w:t xml:space="preserve">The efficiency of flat-plate collectors is dependent on number of factors such as: the angle of elevation of the panels; the location of the panel on the Earth; the materials used in the construction of the panels; ambient temperature </w:t>
      </w:r>
      <w:r w:rsidR="00E76CAF" w:rsidRPr="00C90AC9">
        <w:rPr>
          <w:rFonts w:eastAsiaTheme="minorHAnsi"/>
          <w:lang w:eastAsia="en-US"/>
        </w:rPr>
        <w:t>etc.</w:t>
      </w:r>
      <w:r w:rsidR="0081339A" w:rsidRPr="00C90AC9">
        <w:rPr>
          <w:rFonts w:eastAsiaTheme="minorHAnsi"/>
          <w:lang w:eastAsia="en-US"/>
        </w:rPr>
        <w:t xml:space="preserve"> </w:t>
      </w:r>
      <w:r w:rsidR="0081339A" w:rsidRPr="00C90AC9">
        <w:rPr>
          <w:rFonts w:eastAsiaTheme="minorHAnsi"/>
          <w:lang w:eastAsia="en-US"/>
        </w:rPr>
        <w:fldChar w:fldCharType="begin"/>
      </w:r>
      <w:r w:rsidR="0081339A" w:rsidRPr="00C90AC9">
        <w:rPr>
          <w:rFonts w:eastAsiaTheme="minorHAnsi"/>
          <w:lang w:eastAsia="en-US"/>
        </w:rPr>
        <w:instrText xml:space="preserve"> ADDIN EN.CITE &lt;EndNote&gt;&lt;Cite&gt;&lt;Author&gt;Medved&lt;/Author&gt;&lt;Year&gt;2003&lt;/Year&gt;&lt;RecNum&gt;171&lt;/RecNum&gt;&lt;DisplayText&gt;(Medved &amp;amp; Černe, 2003)&lt;/DisplayText&gt;&lt;record&gt;&lt;rec-number&gt;171&lt;/rec-number&gt;&lt;foreign-keys&gt;&lt;key app="EN" db-id="50wxdpzd9vd5r7e9t5b595djrfpttrxw9avp" timestamp="1525076335"&gt;171&lt;/key&gt;&lt;/foreign-keys&gt;&lt;ref-type name="Journal Article"&gt;17&lt;/ref-type&gt;&lt;contributors&gt;&lt;authors&gt;&lt;author&gt;Medved, S., C. Arkar,&lt;/author&gt;&lt;author&gt;B. Černe&lt;/author&gt;&lt;/authors&gt;&lt;/contributors&gt;&lt;titles&gt;&lt;title&gt;A large-panel unglazed roof-integrated liquid solar collector––energy and economic evaluation&lt;/title&gt;&lt;secondary-title&gt;Solar Energy&lt;/secondary-title&gt;&lt;short-title&gt;Medved, S., C. Arkar, and B. Černe 2003 – A large-panel unglazed roof-integrated liquid&lt;/short-title&gt;&lt;/titles&gt;&lt;pages&gt;p. 455-467&lt;/pages&gt;&lt;volume&gt;75&lt;/volume&gt;&lt;number&gt;6&lt;/number&gt;&lt;dates&gt;&lt;year&gt;2003&lt;/year&gt;&lt;/dates&gt;&lt;urls&gt;&lt;/urls&gt;&lt;/record&gt;&lt;/Cite&gt;&lt;/EndNote&gt;</w:instrText>
      </w:r>
      <w:r w:rsidR="0081339A" w:rsidRPr="00C90AC9">
        <w:rPr>
          <w:rFonts w:eastAsiaTheme="minorHAnsi"/>
          <w:lang w:eastAsia="en-US"/>
        </w:rPr>
        <w:fldChar w:fldCharType="separate"/>
      </w:r>
      <w:r w:rsidR="0081339A" w:rsidRPr="00C90AC9">
        <w:rPr>
          <w:rFonts w:eastAsiaTheme="minorHAnsi"/>
          <w:lang w:eastAsia="en-US"/>
        </w:rPr>
        <w:t>(Medved &amp; Černe, 2003)</w:t>
      </w:r>
      <w:r w:rsidR="0081339A" w:rsidRPr="00C90AC9">
        <w:rPr>
          <w:rFonts w:eastAsiaTheme="minorHAnsi"/>
          <w:lang w:eastAsia="en-US"/>
        </w:rPr>
        <w:fldChar w:fldCharType="end"/>
      </w:r>
      <w:r w:rsidR="0081339A" w:rsidRPr="00C90AC9">
        <w:rPr>
          <w:rFonts w:eastAsiaTheme="minorHAnsi"/>
          <w:lang w:eastAsia="en-US"/>
        </w:rPr>
        <w:t xml:space="preserve">. </w:t>
      </w:r>
      <w:proofErr w:type="gramStart"/>
      <w:r w:rsidR="0081339A" w:rsidRPr="00C90AC9">
        <w:rPr>
          <w:rFonts w:eastAsiaTheme="minorHAnsi"/>
          <w:lang w:eastAsia="en-US"/>
        </w:rPr>
        <w:t>Thus</w:t>
      </w:r>
      <w:proofErr w:type="gramEnd"/>
      <w:r w:rsidR="0081339A" w:rsidRPr="00C90AC9">
        <w:rPr>
          <w:rFonts w:eastAsiaTheme="minorHAnsi"/>
          <w:lang w:eastAsia="en-US"/>
        </w:rPr>
        <w:t xml:space="preserve"> STPs are not suitable for all domestic properties as they are aligned away from the optimal angle to the </w:t>
      </w:r>
      <w:r w:rsidR="000450FC" w:rsidRPr="00C90AC9">
        <w:rPr>
          <w:rFonts w:eastAsiaTheme="minorHAnsi"/>
          <w:lang w:eastAsia="en-US"/>
        </w:rPr>
        <w:t>sun</w:t>
      </w:r>
      <w:r w:rsidR="0081339A" w:rsidRPr="00C90AC9">
        <w:rPr>
          <w:rFonts w:eastAsiaTheme="minorHAnsi"/>
          <w:lang w:eastAsia="en-US"/>
        </w:rPr>
        <w:t xml:space="preserve"> (due south in northern hemispheres) or the property is far away from the equator etc.</w:t>
      </w:r>
    </w:p>
    <w:p w:rsidR="00375E5A" w:rsidRPr="00C90AC9" w:rsidRDefault="00375E5A" w:rsidP="00375E5A">
      <w:pPr>
        <w:pStyle w:val="BodyText"/>
        <w:spacing w:line="360" w:lineRule="auto"/>
        <w:rPr>
          <w:rFonts w:eastAsiaTheme="minorHAnsi"/>
          <w:lang w:eastAsia="en-US"/>
        </w:rPr>
      </w:pPr>
    </w:p>
    <w:p w:rsidR="00120DC5" w:rsidRPr="00C90AC9" w:rsidRDefault="00A16B8C" w:rsidP="009601D8">
      <w:pPr>
        <w:pStyle w:val="Heading1"/>
        <w:rPr>
          <w:rStyle w:val="SubtleEmphasis"/>
          <w:iCs w:val="0"/>
        </w:rPr>
      </w:pPr>
      <w:r w:rsidRPr="00C90AC9">
        <w:rPr>
          <w:rStyle w:val="SubtleEmphasis"/>
          <w:iCs w:val="0"/>
        </w:rPr>
        <w:t xml:space="preserve">Environmental benefits of </w:t>
      </w:r>
      <w:r w:rsidR="006518C0" w:rsidRPr="00C90AC9">
        <w:rPr>
          <w:rStyle w:val="SubtleEmphasis"/>
          <w:iCs w:val="0"/>
        </w:rPr>
        <w:t>STPs</w:t>
      </w:r>
    </w:p>
    <w:p w:rsidR="0081339A" w:rsidRPr="00C90AC9" w:rsidRDefault="00A16B8C" w:rsidP="0096723A">
      <w:pPr>
        <w:pStyle w:val="BodyTextFirstIndent"/>
        <w:spacing w:line="360" w:lineRule="auto"/>
        <w:ind w:firstLine="357"/>
        <w:rPr>
          <w:rFonts w:eastAsiaTheme="minorHAnsi"/>
          <w:lang w:eastAsia="en-US"/>
        </w:rPr>
      </w:pPr>
      <w:r w:rsidRPr="00C90AC9">
        <w:rPr>
          <w:rFonts w:eastAsiaTheme="minorHAnsi"/>
          <w:lang w:eastAsia="en-US"/>
        </w:rPr>
        <w:t>In previous year</w:t>
      </w:r>
      <w:r w:rsidR="00170E5C" w:rsidRPr="00C90AC9">
        <w:rPr>
          <w:rFonts w:eastAsiaTheme="minorHAnsi"/>
          <w:lang w:eastAsia="en-US"/>
        </w:rPr>
        <w:t>s,</w:t>
      </w:r>
      <w:r w:rsidRPr="00C90AC9">
        <w:rPr>
          <w:rFonts w:eastAsiaTheme="minorHAnsi"/>
          <w:lang w:eastAsia="en-US"/>
        </w:rPr>
        <w:t xml:space="preserve"> an environmental analysis of technologies such as </w:t>
      </w:r>
      <w:r w:rsidR="006518C0" w:rsidRPr="00C90AC9">
        <w:rPr>
          <w:rFonts w:eastAsiaTheme="minorHAnsi"/>
          <w:lang w:eastAsia="en-US"/>
        </w:rPr>
        <w:t>STPs</w:t>
      </w:r>
      <w:r w:rsidRPr="00C90AC9">
        <w:rPr>
          <w:rFonts w:eastAsiaTheme="minorHAnsi"/>
          <w:lang w:eastAsia="en-US"/>
        </w:rPr>
        <w:t xml:space="preserve"> centred on pollutants such as: sulphur dioxide (SO</w:t>
      </w:r>
      <w:r w:rsidRPr="00C90AC9">
        <w:rPr>
          <w:rFonts w:eastAsiaTheme="minorHAnsi"/>
          <w:vertAlign w:val="subscript"/>
          <w:lang w:eastAsia="en-US"/>
        </w:rPr>
        <w:t>2</w:t>
      </w:r>
      <w:r w:rsidRPr="00C90AC9">
        <w:rPr>
          <w:rFonts w:eastAsiaTheme="minorHAnsi"/>
          <w:lang w:eastAsia="en-US"/>
        </w:rPr>
        <w:t>); nitrogen oxide (NO</w:t>
      </w:r>
      <w:r w:rsidRPr="00C90AC9">
        <w:rPr>
          <w:rFonts w:eastAsiaTheme="minorHAnsi"/>
          <w:vertAlign w:val="subscript"/>
          <w:lang w:eastAsia="en-US"/>
        </w:rPr>
        <w:t>2</w:t>
      </w:r>
      <w:r w:rsidRPr="00C90AC9">
        <w:rPr>
          <w:rFonts w:eastAsiaTheme="minorHAnsi"/>
          <w:vertAlign w:val="subscript"/>
          <w:lang w:eastAsia="en-US"/>
        </w:rPr>
        <w:softHyphen/>
      </w:r>
      <w:r w:rsidRPr="00C90AC9">
        <w:rPr>
          <w:rFonts w:eastAsiaTheme="minorHAnsi"/>
          <w:lang w:eastAsia="en-US"/>
        </w:rPr>
        <w:t>); carbon monoxide (CO): and particulates released during the manufacture or use of such technologies</w:t>
      </w:r>
      <w:r w:rsidR="00C51F88" w:rsidRPr="00C90AC9">
        <w:rPr>
          <w:rFonts w:eastAsiaTheme="minorHAnsi"/>
          <w:lang w:eastAsia="en-US"/>
        </w:rPr>
        <w:t xml:space="preserve"> as these pollutants were considered having the most significant impact on the local environment</w:t>
      </w:r>
      <w:r w:rsidRPr="00C90AC9">
        <w:rPr>
          <w:rFonts w:eastAsiaTheme="minorHAnsi"/>
          <w:lang w:eastAsia="en-US"/>
        </w:rPr>
        <w:t xml:space="preserve"> </w:t>
      </w:r>
      <w:r w:rsidR="0081339A" w:rsidRPr="00C90AC9">
        <w:rPr>
          <w:rFonts w:eastAsiaTheme="minorHAnsi"/>
          <w:lang w:eastAsia="en-US"/>
        </w:rPr>
        <w:fldChar w:fldCharType="begin"/>
      </w:r>
      <w:r w:rsidR="0081339A" w:rsidRPr="00C90AC9">
        <w:rPr>
          <w:rFonts w:eastAsiaTheme="minorHAnsi"/>
          <w:lang w:eastAsia="en-US"/>
        </w:rPr>
        <w:instrText xml:space="preserve"> ADDIN EN.CITE &lt;EndNote&gt;&lt;Cite&gt;&lt;Author&gt;Lachapelle&lt;/Author&gt;&lt;Year&gt;2012&lt;/Year&gt;&lt;RecNum&gt;168&lt;/RecNum&gt;&lt;DisplayText&gt;(Brechin &amp;amp; Bhandari, 2011; Lachapelle &amp;amp; Rabe, 2012)&lt;/DisplayText&gt;&lt;record&gt;&lt;rec-number&gt;168&lt;/rec-number&gt;&lt;foreign-keys&gt;&lt;key app="EN" db-id="50wxdpzd9vd5r7e9t5b595djrfpttrxw9avp" timestamp="1525076335"&gt;168&lt;/key&gt;&lt;/foreign-keys&gt;&lt;ref-type name="Journal Article"&gt;17&lt;/ref-type&gt;&lt;contributors&gt;&lt;authors&gt;&lt;author&gt;Lachapelle, E., C.P. Borick,&lt;/author&gt;&lt;author&gt;B. Rabe&lt;/author&gt;&lt;/authors&gt;&lt;/contributors&gt;&lt;titles&gt;&lt;title&gt;Public Attitudes toward Climate Science and Climate Policy in Federal Systems: Canada and the United States Compared1&lt;/title&gt;&lt;secondary-title&gt;Review of Policy Research&lt;/secondary-title&gt;&lt;short-title&gt;Lachapelle, E., C.P. Borick, and B. Rabe 2012 – Public Attitudes toward Climate Science&lt;/short-title&gt;&lt;/titles&gt;&lt;pages&gt;p. 334-357&lt;/pages&gt;&lt;volume&gt;29&lt;/volume&gt;&lt;number&gt;3&lt;/number&gt;&lt;dates&gt;&lt;year&gt;2012&lt;/year&gt;&lt;/dates&gt;&lt;urls&gt;&lt;/urls&gt;&lt;/record&gt;&lt;/Cite&gt;&lt;Cite&gt;&lt;Author&gt;Brechin&lt;/Author&gt;&lt;Year&gt;2011&lt;/Year&gt;&lt;RecNum&gt;124&lt;/RecNum&gt;&lt;record&gt;&lt;rec-number&gt;124&lt;/rec-number&gt;&lt;foreign-keys&gt;&lt;key app="EN" db-id="50wxdpzd9vd5r7e9t5b595djrfpttrxw9avp" timestamp="1525076334"&gt;124&lt;/key&gt;&lt;/foreign-keys&gt;&lt;ref-type name="Journal Article"&gt;17&lt;/ref-type&gt;&lt;contributors&gt;&lt;authors&gt;&lt;author&gt;Brechin, S.R.&lt;/author&gt;&lt;author&gt;M. Bhandari&lt;/author&gt;&lt;/authors&gt;&lt;/contributors&gt;&lt;titles&gt;&lt;title&gt;Perceptions of climate change worldwide&lt;/title&gt;&lt;secondary-title&gt;Wiley Interdisciplinary Reviews&lt;/secondary-title&gt;&lt;short-title&gt;Brechin, S.R. and M. Bhandari 2011 – Perceptions of climate change worldwide&lt;/short-title&gt;&lt;/titles&gt;&lt;pages&gt;p. 871-885&lt;/pages&gt;&lt;volume&gt;2&lt;/volume&gt;&lt;number&gt;2&lt;/number&gt;&lt;dates&gt;&lt;year&gt;2011&lt;/year&gt;&lt;/dates&gt;&lt;urls&gt;&lt;/urls&gt;&lt;/record&gt;&lt;/Cite&gt;&lt;/EndNote&gt;</w:instrText>
      </w:r>
      <w:r w:rsidR="0081339A" w:rsidRPr="00C90AC9">
        <w:rPr>
          <w:rFonts w:eastAsiaTheme="minorHAnsi"/>
          <w:lang w:eastAsia="en-US"/>
        </w:rPr>
        <w:fldChar w:fldCharType="separate"/>
      </w:r>
      <w:r w:rsidR="0081339A" w:rsidRPr="00C90AC9">
        <w:rPr>
          <w:rFonts w:eastAsiaTheme="minorHAnsi"/>
          <w:lang w:eastAsia="en-US"/>
        </w:rPr>
        <w:t>(Brechin &amp; Bhandari, 2011; Lachapelle &amp; Rabe, 2012)</w:t>
      </w:r>
      <w:r w:rsidR="0081339A" w:rsidRPr="00C90AC9">
        <w:rPr>
          <w:rFonts w:eastAsiaTheme="minorHAnsi"/>
          <w:lang w:eastAsia="en-US"/>
        </w:rPr>
        <w:fldChar w:fldCharType="end"/>
      </w:r>
      <w:r w:rsidRPr="00C90AC9">
        <w:rPr>
          <w:rFonts w:eastAsiaTheme="minorHAnsi"/>
          <w:lang w:eastAsia="en-US"/>
        </w:rPr>
        <w:t>.</w:t>
      </w:r>
      <w:r w:rsidR="0081339A" w:rsidRPr="00C90AC9">
        <w:rPr>
          <w:rFonts w:eastAsiaTheme="minorHAnsi"/>
          <w:lang w:eastAsia="en-US"/>
        </w:rPr>
        <w:t xml:space="preserve"> </w:t>
      </w:r>
      <w:r w:rsidRPr="00C90AC9">
        <w:rPr>
          <w:rFonts w:eastAsiaTheme="minorHAnsi"/>
          <w:lang w:eastAsia="en-US"/>
        </w:rPr>
        <w:t xml:space="preserve"> In m</w:t>
      </w:r>
      <w:r w:rsidR="007B3FCF" w:rsidRPr="00C90AC9">
        <w:rPr>
          <w:rFonts w:eastAsiaTheme="minorHAnsi"/>
          <w:lang w:eastAsia="en-US"/>
        </w:rPr>
        <w:t>ore recent years</w:t>
      </w:r>
      <w:r w:rsidR="00C51F88" w:rsidRPr="00C90AC9">
        <w:rPr>
          <w:rFonts w:eastAsiaTheme="minorHAnsi"/>
          <w:lang w:eastAsia="en-US"/>
        </w:rPr>
        <w:t xml:space="preserve"> however</w:t>
      </w:r>
      <w:r w:rsidR="007B3FCF" w:rsidRPr="00C90AC9">
        <w:rPr>
          <w:rFonts w:eastAsiaTheme="minorHAnsi"/>
          <w:lang w:eastAsia="en-US"/>
        </w:rPr>
        <w:t xml:space="preserve">, </w:t>
      </w:r>
      <w:r w:rsidRPr="00C90AC9">
        <w:rPr>
          <w:rFonts w:eastAsiaTheme="minorHAnsi"/>
          <w:lang w:eastAsia="en-US"/>
        </w:rPr>
        <w:t xml:space="preserve">environmental analyses have expanded to a broader life cycle analysis which encapsulates </w:t>
      </w:r>
      <w:r w:rsidR="00C51F88" w:rsidRPr="00C90AC9">
        <w:rPr>
          <w:rFonts w:eastAsiaTheme="minorHAnsi"/>
          <w:lang w:eastAsia="en-US"/>
        </w:rPr>
        <w:t xml:space="preserve">all pollutants generated in the period </w:t>
      </w:r>
      <w:r w:rsidRPr="00C90AC9">
        <w:rPr>
          <w:rFonts w:eastAsiaTheme="minorHAnsi"/>
          <w:lang w:eastAsia="en-US"/>
        </w:rPr>
        <w:t>from cradle to grave of a STP system</w:t>
      </w:r>
      <w:r w:rsidR="0081339A" w:rsidRPr="00C90AC9">
        <w:rPr>
          <w:rFonts w:eastAsiaTheme="minorHAnsi"/>
          <w:lang w:eastAsia="en-US"/>
        </w:rPr>
        <w:t xml:space="preserve"> </w:t>
      </w:r>
      <w:r w:rsidR="0081339A" w:rsidRPr="00C90AC9">
        <w:rPr>
          <w:rFonts w:eastAsiaTheme="minorHAnsi"/>
          <w:lang w:eastAsia="en-US"/>
        </w:rPr>
        <w:fldChar w:fldCharType="begin"/>
      </w:r>
      <w:r w:rsidR="0081339A" w:rsidRPr="00C90AC9">
        <w:rPr>
          <w:rFonts w:eastAsiaTheme="minorHAnsi"/>
          <w:lang w:eastAsia="en-US"/>
        </w:rPr>
        <w:instrText xml:space="preserve"> ADDIN EN.CITE &lt;EndNote&gt;&lt;Cite&gt;&lt;Author&gt;Brechin&lt;/Author&gt;&lt;Year&gt;2011&lt;/Year&gt;&lt;RecNum&gt;124&lt;/RecNum&gt;&lt;DisplayText&gt;(Brechin &amp;amp; Bhandari, 2011; Tagliafico &amp;amp; Rosa, 2014)&lt;/DisplayText&gt;&lt;record&gt;&lt;rec-number&gt;124&lt;/rec-number&gt;&lt;foreign-keys&gt;&lt;key app="EN" db-id="50wxdpzd9vd5r7e9t5b595djrfpttrxw9avp" timestamp="1525076334"&gt;124&lt;/key&gt;&lt;/foreign-keys&gt;&lt;ref-type name="Journal Article"&gt;17&lt;/ref-type&gt;&lt;contributors&gt;&lt;authors&gt;&lt;author&gt;Brechin, S.R.&lt;/author&gt;&lt;author&gt;M. Bhandari&lt;/author&gt;&lt;/authors&gt;&lt;/contributors&gt;&lt;titles&gt;&lt;title&gt;Perceptions of climate change worldwide&lt;/title&gt;&lt;secondary-title&gt;Wiley Interdisciplinary Reviews&lt;/secondary-title&gt;&lt;short-title&gt;Brechin, S.R. and M. Bhandari 2011 – Perceptions of climate change worldwide&lt;/short-title&gt;&lt;/titles&gt;&lt;pages&gt;p. 871-885&lt;/pages&gt;&lt;volume&gt;2&lt;/volume&gt;&lt;number&gt;2&lt;/number&gt;&lt;dates&gt;&lt;year&gt;2011&lt;/year&gt;&lt;/dates&gt;&lt;urls&gt;&lt;/urls&gt;&lt;/record&gt;&lt;/Cite&gt;&lt;Cite&gt;&lt;Author&gt;Tagliafico&lt;/Author&gt;&lt;Year&gt;2014&lt;/Year&gt;&lt;RecNum&gt;196&lt;/RecNum&gt;&lt;record&gt;&lt;rec-number&gt;196&lt;/rec-number&gt;&lt;foreign-keys&gt;&lt;key app="EN" db-id="50wxdpzd9vd5r7e9t5b595djrfpttrxw9avp" timestamp="1525076335"&gt;196&lt;/key&gt;&lt;/foreign-keys&gt;&lt;ref-type name="Journal Article"&gt;17&lt;/ref-type&gt;&lt;contributors&gt;&lt;authors&gt;&lt;author&gt;Tagliafico, L.A., F. Scarpa,&lt;/author&gt;&lt;author&gt;M. De Rosa&lt;/author&gt;&lt;/authors&gt;&lt;/contributors&gt;&lt;titles&gt;&lt;title&gt;Dynamic thermal models and CFD analysis for flat-plate thermal solar collectors - A review&lt;/title&gt;&lt;secondary-title&gt;Renewable &amp;amp; Sustainable Energy Reviews&lt;/secondary-title&gt;&lt;short-title&gt;Tagliafico, L.A., F. Scarpa, and M. De Rosa 2014 – Dynamic thermal models and CFD&lt;/short-title&gt;&lt;/titles&gt;&lt;pages&gt;p. 526-537&lt;/pages&gt;&lt;volume&gt;30&lt;/volume&gt;&lt;number&gt;0&lt;/number&gt;&lt;dates&gt;&lt;year&gt;2014&lt;/year&gt;&lt;/dates&gt;&lt;urls&gt;&lt;/urls&gt;&lt;/record&gt;&lt;/Cite&gt;&lt;/EndNote&gt;</w:instrText>
      </w:r>
      <w:r w:rsidR="0081339A" w:rsidRPr="00C90AC9">
        <w:rPr>
          <w:rFonts w:eastAsiaTheme="minorHAnsi"/>
          <w:lang w:eastAsia="en-US"/>
        </w:rPr>
        <w:fldChar w:fldCharType="separate"/>
      </w:r>
      <w:r w:rsidR="0081339A" w:rsidRPr="00C90AC9">
        <w:rPr>
          <w:rFonts w:eastAsiaTheme="minorHAnsi"/>
          <w:lang w:eastAsia="en-US"/>
        </w:rPr>
        <w:t>(Brechin &amp; Bhandari, 2011; Tagliafico &amp; Rosa, 2014)</w:t>
      </w:r>
      <w:r w:rsidR="0081339A" w:rsidRPr="00C90AC9">
        <w:rPr>
          <w:rFonts w:eastAsiaTheme="minorHAnsi"/>
          <w:lang w:eastAsia="en-US"/>
        </w:rPr>
        <w:fldChar w:fldCharType="end"/>
      </w:r>
      <w:r w:rsidRPr="00C90AC9">
        <w:rPr>
          <w:rFonts w:eastAsiaTheme="minorHAnsi"/>
          <w:lang w:eastAsia="en-US"/>
        </w:rPr>
        <w:t xml:space="preserve">. </w:t>
      </w:r>
      <w:r w:rsidR="002B028C" w:rsidRPr="00C90AC9">
        <w:rPr>
          <w:rFonts w:eastAsiaTheme="minorHAnsi"/>
          <w:lang w:eastAsia="en-US"/>
        </w:rPr>
        <w:t>By considering each stage of a product’s life-cycle and more accurate and precise determination of its environmental impact can be determined</w:t>
      </w:r>
      <w:r w:rsidR="00C51F88" w:rsidRPr="00C90AC9">
        <w:rPr>
          <w:rFonts w:eastAsiaTheme="minorHAnsi"/>
          <w:lang w:eastAsia="en-US"/>
        </w:rPr>
        <w:t xml:space="preserve"> as more pollutants are considered and all</w:t>
      </w:r>
      <w:r w:rsidR="00D1566C" w:rsidRPr="00C90AC9">
        <w:rPr>
          <w:rFonts w:eastAsiaTheme="minorHAnsi"/>
          <w:lang w:eastAsia="en-US"/>
        </w:rPr>
        <w:t xml:space="preserve"> stages are evaluated. Additionally, evaluating a STP in a UK </w:t>
      </w:r>
      <w:r w:rsidR="00D1566C" w:rsidRPr="00C90AC9">
        <w:rPr>
          <w:rFonts w:eastAsiaTheme="minorHAnsi"/>
          <w:lang w:eastAsia="en-US"/>
        </w:rPr>
        <w:lastRenderedPageBreak/>
        <w:t>climate rather than an overseas climate will lead to a more accurate evaluation of the overall environmental impact being made</w:t>
      </w:r>
      <w:r w:rsidR="0081339A" w:rsidRPr="00C90AC9">
        <w:rPr>
          <w:rFonts w:eastAsiaTheme="minorHAnsi"/>
          <w:lang w:eastAsia="en-US"/>
        </w:rPr>
        <w:t xml:space="preserve"> </w:t>
      </w:r>
      <w:r w:rsidR="0081339A" w:rsidRPr="00C90AC9">
        <w:rPr>
          <w:rFonts w:eastAsiaTheme="minorHAnsi"/>
          <w:lang w:eastAsia="en-US"/>
        </w:rPr>
        <w:fldChar w:fldCharType="begin"/>
      </w:r>
      <w:r w:rsidR="0081339A" w:rsidRPr="00C90AC9">
        <w:rPr>
          <w:rFonts w:eastAsiaTheme="minorHAnsi"/>
          <w:lang w:eastAsia="en-US"/>
        </w:rPr>
        <w:instrText xml:space="preserve"> ADDIN EN.CITE &lt;EndNote&gt;&lt;Cite&gt;&lt;Author&gt;Greening&lt;/Author&gt;&lt;Year&gt;2014&lt;/Year&gt;&lt;RecNum&gt;146&lt;/RecNum&gt;&lt;DisplayText&gt;(Greening &amp;amp; Azapagic, 2014)&lt;/DisplayText&gt;&lt;record&gt;&lt;rec-number&gt;146&lt;/rec-number&gt;&lt;foreign-keys&gt;&lt;key app="EN" db-id="50wxdpzd9vd5r7e9t5b595djrfpttrxw9avp" timestamp="1525076334"&gt;146&lt;/key&gt;&lt;/foreign-keys&gt;&lt;ref-type name="Journal Article"&gt;17&lt;/ref-type&gt;&lt;contributors&gt;&lt;authors&gt;&lt;author&gt;Greening, B.&lt;/author&gt;&lt;author&gt;A. Azapagic&lt;/author&gt;&lt;/authors&gt;&lt;/contributors&gt;&lt;titles&gt;&lt;title&gt;Domestic solar thermal water heating: A sustainable option for the UK?&lt;/title&gt;&lt;secondary-title&gt;Renewable Energy&lt;/secondary-title&gt;&lt;short-title&gt;Greening, B. and A. Azapagic 2014 – Domestic solar thermal water heating&lt;/short-title&gt;&lt;/titles&gt;&lt;pages&gt;p. 23-36&lt;/pages&gt;&lt;volume&gt;63&lt;/volume&gt;&lt;number&gt;0&lt;/number&gt;&lt;dates&gt;&lt;year&gt;2014&lt;/year&gt;&lt;/dates&gt;&lt;urls&gt;&lt;/urls&gt;&lt;/record&gt;&lt;/Cite&gt;&lt;/EndNote&gt;</w:instrText>
      </w:r>
      <w:r w:rsidR="0081339A" w:rsidRPr="00C90AC9">
        <w:rPr>
          <w:rFonts w:eastAsiaTheme="minorHAnsi"/>
          <w:lang w:eastAsia="en-US"/>
        </w:rPr>
        <w:fldChar w:fldCharType="separate"/>
      </w:r>
      <w:r w:rsidR="0081339A" w:rsidRPr="00C90AC9">
        <w:rPr>
          <w:rFonts w:eastAsiaTheme="minorHAnsi"/>
          <w:lang w:eastAsia="en-US"/>
        </w:rPr>
        <w:t>(Greening &amp; Azapagic, 2014)</w:t>
      </w:r>
      <w:r w:rsidR="0081339A" w:rsidRPr="00C90AC9">
        <w:rPr>
          <w:rFonts w:eastAsiaTheme="minorHAnsi"/>
          <w:lang w:eastAsia="en-US"/>
        </w:rPr>
        <w:fldChar w:fldCharType="end"/>
      </w:r>
      <w:r w:rsidR="00D1566C" w:rsidRPr="00C90AC9">
        <w:rPr>
          <w:rFonts w:eastAsiaTheme="minorHAnsi"/>
          <w:lang w:eastAsia="en-US"/>
        </w:rPr>
        <w:t>.</w:t>
      </w:r>
      <w:r w:rsidR="0096723A" w:rsidRPr="00C90AC9">
        <w:rPr>
          <w:rFonts w:eastAsiaTheme="minorHAnsi"/>
          <w:lang w:eastAsia="en-US"/>
        </w:rPr>
        <w:t xml:space="preserve"> </w:t>
      </w:r>
      <w:r w:rsidR="0081339A" w:rsidRPr="00C90AC9">
        <w:rPr>
          <w:rFonts w:eastAsiaTheme="minorHAnsi"/>
          <w:lang w:eastAsia="en-US"/>
        </w:rPr>
        <w:t xml:space="preserve">A life cycle environmental impact assessment was conducted in 2012 by </w:t>
      </w:r>
      <w:proofErr w:type="spellStart"/>
      <w:r w:rsidR="0081339A" w:rsidRPr="00C90AC9">
        <w:rPr>
          <w:rFonts w:eastAsiaTheme="minorHAnsi"/>
          <w:lang w:eastAsia="en-US"/>
        </w:rPr>
        <w:t>Koroneos</w:t>
      </w:r>
      <w:proofErr w:type="spellEnd"/>
      <w:r w:rsidR="005632CC" w:rsidRPr="00C90AC9">
        <w:rPr>
          <w:rFonts w:eastAsiaTheme="minorHAnsi"/>
          <w:lang w:eastAsia="en-US"/>
        </w:rPr>
        <w:t xml:space="preserve"> et al of a solar thermal concentrating system, which assessed electricity generation, but it is mentioned here as their method was  expanded upon for future life-cycle assessments on solar products </w:t>
      </w:r>
      <w:r w:rsidR="005632CC" w:rsidRPr="00C90AC9">
        <w:rPr>
          <w:rFonts w:eastAsiaTheme="minorHAnsi"/>
          <w:lang w:eastAsia="en-US"/>
        </w:rPr>
        <w:fldChar w:fldCharType="begin"/>
      </w:r>
      <w:r w:rsidR="005632CC" w:rsidRPr="00C90AC9">
        <w:rPr>
          <w:rFonts w:eastAsiaTheme="minorHAnsi"/>
          <w:lang w:eastAsia="en-US"/>
        </w:rPr>
        <w:instrText xml:space="preserve"> ADDIN EN.CITE &lt;EndNote&gt;&lt;Cite&gt;&lt;Author&gt;Koroneos&lt;/Author&gt;&lt;Year&gt;2012&lt;/Year&gt;&lt;RecNum&gt;166&lt;/RecNum&gt;&lt;DisplayText&gt;(Koroneos &amp;amp; Nanaki, 2012)&lt;/DisplayText&gt;&lt;record&gt;&lt;rec-number&gt;166&lt;/rec-number&gt;&lt;foreign-keys&gt;&lt;key app="EN" db-id="50wxdpzd9vd5r7e9t5b595djrfpttrxw9avp" timestamp="1525076335"&gt;166&lt;/key&gt;&lt;/foreign-keys&gt;&lt;ref-type name="Journal Article"&gt;17&lt;/ref-type&gt;&lt;contributors&gt;&lt;authors&gt;&lt;author&gt;Koroneos, C.J.&lt;/author&gt;&lt;author&gt;E.A. Nanaki&lt;/author&gt;&lt;/authors&gt;&lt;/contributors&gt;&lt;titles&gt;&lt;title&gt;Life cycle environmental impact assessment of a solar water heater&lt;/title&gt;&lt;secondary-title&gt;Journal of Cleaner Production&lt;/secondary-title&gt;&lt;short-title&gt;Koroneos, C.J. and E.A. Nanaki 2012 – Life cycle environmental impact assessment&lt;/short-title&gt;&lt;/titles&gt;&lt;pages&gt;p. 154-161&lt;/pages&gt;&lt;volume&gt;37&lt;/volume&gt;&lt;dates&gt;&lt;year&gt;2012&lt;/year&gt;&lt;/dates&gt;&lt;urls&gt;&lt;/urls&gt;&lt;/record&gt;&lt;/Cite&gt;&lt;/EndNote&gt;</w:instrText>
      </w:r>
      <w:r w:rsidR="005632CC" w:rsidRPr="00C90AC9">
        <w:rPr>
          <w:rFonts w:eastAsiaTheme="minorHAnsi"/>
          <w:lang w:eastAsia="en-US"/>
        </w:rPr>
        <w:fldChar w:fldCharType="separate"/>
      </w:r>
      <w:r w:rsidR="005632CC" w:rsidRPr="00C90AC9">
        <w:rPr>
          <w:rFonts w:eastAsiaTheme="minorHAnsi"/>
          <w:lang w:eastAsia="en-US"/>
        </w:rPr>
        <w:t>(Koroneos &amp; Nanaki, 2012)</w:t>
      </w:r>
      <w:r w:rsidR="005632CC" w:rsidRPr="00C90AC9">
        <w:rPr>
          <w:rFonts w:eastAsiaTheme="minorHAnsi"/>
          <w:lang w:eastAsia="en-US"/>
        </w:rPr>
        <w:fldChar w:fldCharType="end"/>
      </w:r>
      <w:r w:rsidR="005632CC" w:rsidRPr="00C90AC9">
        <w:rPr>
          <w:rFonts w:eastAsiaTheme="minorHAnsi"/>
          <w:lang w:eastAsia="en-US"/>
        </w:rPr>
        <w:t>.</w:t>
      </w:r>
    </w:p>
    <w:p w:rsidR="00A16B8C" w:rsidRPr="00C90AC9" w:rsidRDefault="00C03B43" w:rsidP="005632CC">
      <w:pPr>
        <w:pStyle w:val="BodyTextFirstIndent"/>
        <w:spacing w:line="360" w:lineRule="auto"/>
        <w:ind w:firstLine="357"/>
        <w:rPr>
          <w:rFonts w:eastAsiaTheme="minorHAnsi"/>
          <w:lang w:eastAsia="en-US"/>
        </w:rPr>
      </w:pPr>
      <w:r w:rsidRPr="00C90AC9">
        <w:rPr>
          <w:rFonts w:eastAsiaTheme="minorHAnsi"/>
          <w:lang w:eastAsia="en-US"/>
        </w:rPr>
        <w:t xml:space="preserve">A full environmental </w:t>
      </w:r>
      <w:r w:rsidR="00D1566C" w:rsidRPr="00C90AC9">
        <w:rPr>
          <w:rFonts w:eastAsiaTheme="minorHAnsi"/>
          <w:lang w:eastAsia="en-US"/>
        </w:rPr>
        <w:t xml:space="preserve">assessment was conducted by </w:t>
      </w:r>
      <w:r w:rsidR="00A16B8C" w:rsidRPr="00C90AC9">
        <w:rPr>
          <w:rFonts w:eastAsiaTheme="minorHAnsi"/>
          <w:lang w:eastAsia="en-US"/>
        </w:rPr>
        <w:t xml:space="preserve">Greening and </w:t>
      </w:r>
      <w:proofErr w:type="spellStart"/>
      <w:r w:rsidR="00A16B8C" w:rsidRPr="00C90AC9">
        <w:rPr>
          <w:rFonts w:eastAsiaTheme="minorHAnsi"/>
          <w:lang w:eastAsia="en-US"/>
        </w:rPr>
        <w:t>Azapagic</w:t>
      </w:r>
      <w:proofErr w:type="spellEnd"/>
      <w:r w:rsidR="00A16B8C" w:rsidRPr="00C90AC9">
        <w:rPr>
          <w:rFonts w:eastAsiaTheme="minorHAnsi"/>
          <w:lang w:eastAsia="en-US"/>
        </w:rPr>
        <w:t xml:space="preserve"> </w:t>
      </w:r>
      <w:r w:rsidR="00D1566C" w:rsidRPr="00C90AC9">
        <w:rPr>
          <w:rFonts w:eastAsiaTheme="minorHAnsi"/>
          <w:lang w:eastAsia="en-US"/>
        </w:rPr>
        <w:t>in 2014</w:t>
      </w:r>
      <w:r w:rsidRPr="00C90AC9">
        <w:rPr>
          <w:rFonts w:eastAsiaTheme="minorHAnsi"/>
          <w:lang w:eastAsia="en-US"/>
        </w:rPr>
        <w:t xml:space="preserve"> for </w:t>
      </w:r>
      <w:r w:rsidR="00A16B8C" w:rsidRPr="00C90AC9">
        <w:rPr>
          <w:rFonts w:eastAsiaTheme="minorHAnsi"/>
          <w:lang w:eastAsia="en-US"/>
        </w:rPr>
        <w:t>domestic solar water heating</w:t>
      </w:r>
      <w:r w:rsidR="00514BFD" w:rsidRPr="00C90AC9">
        <w:rPr>
          <w:rFonts w:eastAsiaTheme="minorHAnsi"/>
          <w:lang w:eastAsia="en-US"/>
        </w:rPr>
        <w:t xml:space="preserve"> </w:t>
      </w:r>
      <w:r w:rsidR="0081339A" w:rsidRPr="00C90AC9">
        <w:rPr>
          <w:rFonts w:eastAsiaTheme="minorHAnsi"/>
          <w:lang w:eastAsia="en-US"/>
        </w:rPr>
        <w:fldChar w:fldCharType="begin"/>
      </w:r>
      <w:r w:rsidR="0081339A" w:rsidRPr="00C90AC9">
        <w:rPr>
          <w:rFonts w:eastAsiaTheme="minorHAnsi"/>
          <w:lang w:eastAsia="en-US"/>
        </w:rPr>
        <w:instrText xml:space="preserve"> ADDIN EN.CITE &lt;EndNote&gt;&lt;Cite&gt;&lt;Author&gt;Greening&lt;/Author&gt;&lt;Year&gt;2014&lt;/Year&gt;&lt;RecNum&gt;146&lt;/RecNum&gt;&lt;DisplayText&gt;(Greening &amp;amp; Azapagic, 2014)&lt;/DisplayText&gt;&lt;record&gt;&lt;rec-number&gt;146&lt;/rec-number&gt;&lt;foreign-keys&gt;&lt;key app="EN" db-id="50wxdpzd9vd5r7e9t5b595djrfpttrxw9avp" timestamp="1525076334"&gt;146&lt;/key&gt;&lt;/foreign-keys&gt;&lt;ref-type name="Journal Article"&gt;17&lt;/ref-type&gt;&lt;contributors&gt;&lt;authors&gt;&lt;author&gt;Greening, B.&lt;/author&gt;&lt;author&gt;A. Azapagic&lt;/author&gt;&lt;/authors&gt;&lt;/contributors&gt;&lt;titles&gt;&lt;title&gt;Domestic solar thermal water heating: A sustainable option for the UK?&lt;/title&gt;&lt;secondary-title&gt;Renewable Energy&lt;/secondary-title&gt;&lt;short-title&gt;Greening, B. and A. Azapagic 2014 – Domestic solar thermal water heating&lt;/short-title&gt;&lt;/titles&gt;&lt;pages&gt;p. 23-36&lt;/pages&gt;&lt;volume&gt;63&lt;/volume&gt;&lt;number&gt;0&lt;/number&gt;&lt;dates&gt;&lt;year&gt;2014&lt;/year&gt;&lt;/dates&gt;&lt;urls&gt;&lt;/urls&gt;&lt;/record&gt;&lt;/Cite&gt;&lt;/EndNote&gt;</w:instrText>
      </w:r>
      <w:r w:rsidR="0081339A" w:rsidRPr="00C90AC9">
        <w:rPr>
          <w:rFonts w:eastAsiaTheme="minorHAnsi"/>
          <w:lang w:eastAsia="en-US"/>
        </w:rPr>
        <w:fldChar w:fldCharType="separate"/>
      </w:r>
      <w:r w:rsidR="0081339A" w:rsidRPr="00C90AC9">
        <w:rPr>
          <w:rFonts w:eastAsiaTheme="minorHAnsi"/>
          <w:lang w:eastAsia="en-US"/>
        </w:rPr>
        <w:t>(Greening &amp; Azapagic, 2014)</w:t>
      </w:r>
      <w:r w:rsidR="0081339A" w:rsidRPr="00C90AC9">
        <w:rPr>
          <w:rFonts w:eastAsiaTheme="minorHAnsi"/>
          <w:lang w:eastAsia="en-US"/>
        </w:rPr>
        <w:fldChar w:fldCharType="end"/>
      </w:r>
      <w:r w:rsidR="0081339A" w:rsidRPr="00C90AC9">
        <w:rPr>
          <w:rFonts w:eastAsiaTheme="minorHAnsi"/>
          <w:lang w:eastAsia="en-US"/>
        </w:rPr>
        <w:t>.</w:t>
      </w:r>
      <w:r w:rsidR="00A16B8C" w:rsidRPr="00C90AC9">
        <w:rPr>
          <w:rFonts w:eastAsiaTheme="minorHAnsi"/>
          <w:lang w:eastAsia="en-US"/>
        </w:rPr>
        <w:t xml:space="preserve"> </w:t>
      </w:r>
      <w:r w:rsidR="00D1566C" w:rsidRPr="00C90AC9">
        <w:rPr>
          <w:rFonts w:eastAsiaTheme="minorHAnsi"/>
          <w:lang w:eastAsia="en-US"/>
        </w:rPr>
        <w:t xml:space="preserve">Greening and </w:t>
      </w:r>
      <w:proofErr w:type="spellStart"/>
      <w:r w:rsidR="00D1566C" w:rsidRPr="00C90AC9">
        <w:rPr>
          <w:rFonts w:eastAsiaTheme="minorHAnsi"/>
          <w:lang w:eastAsia="en-US"/>
        </w:rPr>
        <w:t>Azapagic</w:t>
      </w:r>
      <w:proofErr w:type="spellEnd"/>
      <w:r w:rsidR="00D1566C" w:rsidRPr="00C90AC9">
        <w:rPr>
          <w:rFonts w:eastAsiaTheme="minorHAnsi"/>
          <w:lang w:eastAsia="en-US"/>
        </w:rPr>
        <w:t xml:space="preserve"> </w:t>
      </w:r>
      <w:r w:rsidR="00A16B8C" w:rsidRPr="00C90AC9">
        <w:rPr>
          <w:rFonts w:eastAsiaTheme="minorHAnsi"/>
          <w:lang w:eastAsia="en-US"/>
        </w:rPr>
        <w:t xml:space="preserve">assessed not only the manufacturing of components as </w:t>
      </w:r>
      <w:r w:rsidR="0080565C" w:rsidRPr="00C90AC9">
        <w:rPr>
          <w:rFonts w:eastAsiaTheme="minorHAnsi"/>
          <w:lang w:eastAsia="en-US"/>
        </w:rPr>
        <w:t xml:space="preserve">the study by </w:t>
      </w:r>
      <w:proofErr w:type="spellStart"/>
      <w:r w:rsidR="00A16B8C" w:rsidRPr="00C90AC9">
        <w:rPr>
          <w:rFonts w:eastAsiaTheme="minorHAnsi"/>
          <w:lang w:eastAsia="en-US"/>
        </w:rPr>
        <w:t>Koroneos</w:t>
      </w:r>
      <w:proofErr w:type="spellEnd"/>
      <w:r w:rsidR="00514BFD" w:rsidRPr="00C90AC9">
        <w:rPr>
          <w:rFonts w:eastAsiaTheme="minorHAnsi"/>
          <w:lang w:eastAsia="en-US"/>
        </w:rPr>
        <w:t xml:space="preserve"> had </w:t>
      </w:r>
      <w:r w:rsidR="0080565C" w:rsidRPr="00C90AC9">
        <w:rPr>
          <w:rFonts w:eastAsiaTheme="minorHAnsi"/>
          <w:lang w:eastAsia="en-US"/>
        </w:rPr>
        <w:t xml:space="preserve">done </w:t>
      </w:r>
      <w:r w:rsidR="005632CC" w:rsidRPr="00C90AC9">
        <w:rPr>
          <w:rFonts w:eastAsiaTheme="minorHAnsi"/>
          <w:lang w:eastAsia="en-US"/>
        </w:rPr>
        <w:t>in 2012</w:t>
      </w:r>
      <w:r w:rsidR="00A16B8C" w:rsidRPr="00C90AC9">
        <w:rPr>
          <w:rFonts w:eastAsiaTheme="minorHAnsi"/>
          <w:lang w:eastAsia="en-US"/>
        </w:rPr>
        <w:t xml:space="preserve"> but they also considered additional </w:t>
      </w:r>
      <w:r w:rsidR="0080565C" w:rsidRPr="00C90AC9">
        <w:rPr>
          <w:rFonts w:eastAsiaTheme="minorHAnsi"/>
          <w:lang w:eastAsia="en-US"/>
        </w:rPr>
        <w:t>stages of the life-cycle of a STP</w:t>
      </w:r>
      <w:r w:rsidR="00A16B8C" w:rsidRPr="00C90AC9">
        <w:rPr>
          <w:rFonts w:eastAsiaTheme="minorHAnsi"/>
          <w:lang w:eastAsia="en-US"/>
        </w:rPr>
        <w:t xml:space="preserve"> such as the </w:t>
      </w:r>
      <w:r w:rsidR="00E82522" w:rsidRPr="00C90AC9">
        <w:rPr>
          <w:rFonts w:eastAsiaTheme="minorHAnsi"/>
          <w:lang w:eastAsia="en-US"/>
        </w:rPr>
        <w:t>main</w:t>
      </w:r>
      <w:r w:rsidR="00A16B8C" w:rsidRPr="00C90AC9">
        <w:rPr>
          <w:rFonts w:eastAsiaTheme="minorHAnsi"/>
          <w:lang w:eastAsia="en-US"/>
        </w:rPr>
        <w:t>tenance</w:t>
      </w:r>
      <w:r w:rsidR="0080565C" w:rsidRPr="00C90AC9">
        <w:rPr>
          <w:rFonts w:eastAsiaTheme="minorHAnsi"/>
          <w:lang w:eastAsia="en-US"/>
        </w:rPr>
        <w:t xml:space="preserve"> of the STP during use of the STP</w:t>
      </w:r>
      <w:r w:rsidR="00A16B8C" w:rsidRPr="00C90AC9">
        <w:rPr>
          <w:rFonts w:eastAsiaTheme="minorHAnsi"/>
          <w:lang w:eastAsia="en-US"/>
        </w:rPr>
        <w:t xml:space="preserve"> and</w:t>
      </w:r>
      <w:r w:rsidR="0080565C" w:rsidRPr="00C90AC9">
        <w:rPr>
          <w:rFonts w:eastAsiaTheme="minorHAnsi"/>
          <w:lang w:eastAsia="en-US"/>
        </w:rPr>
        <w:t xml:space="preserve"> the</w:t>
      </w:r>
      <w:r w:rsidR="00A16B8C" w:rsidRPr="00C90AC9">
        <w:rPr>
          <w:rFonts w:eastAsiaTheme="minorHAnsi"/>
          <w:lang w:eastAsia="en-US"/>
        </w:rPr>
        <w:t xml:space="preserve"> final waste/disposal of the solar therm</w:t>
      </w:r>
      <w:r w:rsidR="006202A3" w:rsidRPr="00C90AC9">
        <w:rPr>
          <w:rFonts w:eastAsiaTheme="minorHAnsi"/>
          <w:lang w:eastAsia="en-US"/>
        </w:rPr>
        <w:t>al system as shown in Figure 2.1</w:t>
      </w:r>
      <w:r w:rsidR="005632CC" w:rsidRPr="00C90AC9">
        <w:rPr>
          <w:rFonts w:eastAsiaTheme="minorHAnsi"/>
          <w:lang w:eastAsia="en-US"/>
        </w:rPr>
        <w:fldChar w:fldCharType="begin"/>
      </w:r>
      <w:r w:rsidR="00B35A6E" w:rsidRPr="00C90AC9">
        <w:rPr>
          <w:rFonts w:eastAsiaTheme="minorHAnsi"/>
          <w:lang w:eastAsia="en-US"/>
        </w:rPr>
        <w:instrText xml:space="preserve"> ADDIN EN.CITE &lt;EndNote&gt;&lt;Cite&gt;&lt;Author&gt;Koroneos&lt;/Author&gt;&lt;Year&gt;2012&lt;/Year&gt;&lt;RecNum&gt;166&lt;/RecNum&gt;&lt;DisplayText&gt;(Greening &amp;amp; Azapagic, 2014; Koroneos &amp;amp; Nanaki, 2012)&lt;/DisplayText&gt;&lt;record&gt;&lt;rec-number&gt;166&lt;/rec-number&gt;&lt;foreign-keys&gt;&lt;key app="EN" db-id="50wxdpzd9vd5r7e9t5b595djrfpttrxw9avp" timestamp="1525076335"&gt;166&lt;/key&gt;&lt;/foreign-keys&gt;&lt;ref-type name="Journal Article"&gt;17&lt;/ref-type&gt;&lt;contributors&gt;&lt;authors&gt;&lt;author&gt;Koroneos, C.J.&lt;/author&gt;&lt;author&gt;E.A. Nanaki&lt;/author&gt;&lt;/authors&gt;&lt;/contributors&gt;&lt;titles&gt;&lt;title&gt;Life cycle environmental impact assessment of a solar water heater&lt;/title&gt;&lt;secondary-title&gt;Journal of Cleaner Production&lt;/secondary-title&gt;&lt;short-title&gt;Koroneos, C.J. and E.A. Nanaki 2012 – Life cycle environmental impact assessment&lt;/short-title&gt;&lt;/titles&gt;&lt;pages&gt;p. 154-161&lt;/pages&gt;&lt;volume&gt;37&lt;/volume&gt;&lt;dates&gt;&lt;year&gt;2012&lt;/year&gt;&lt;/dates&gt;&lt;urls&gt;&lt;/urls&gt;&lt;/record&gt;&lt;/Cite&gt;&lt;Cite&gt;&lt;Author&gt;Greening&lt;/Author&gt;&lt;Year&gt;2014&lt;/Year&gt;&lt;RecNum&gt;146&lt;/RecNum&gt;&lt;record&gt;&lt;rec-number&gt;146&lt;/rec-number&gt;&lt;foreign-keys&gt;&lt;key app="EN" db-id="50wxdpzd9vd5r7e9t5b595djrfpttrxw9avp" timestamp="1525076334"&gt;146&lt;/key&gt;&lt;/foreign-keys&gt;&lt;ref-type name="Journal Article"&gt;17&lt;/ref-type&gt;&lt;contributors&gt;&lt;authors&gt;&lt;author&gt;Greening, B.&lt;/author&gt;&lt;author&gt;A. Azapagic&lt;/author&gt;&lt;/authors&gt;&lt;/contributors&gt;&lt;titles&gt;&lt;title&gt;Domestic solar thermal water heating: A sustainable option for the UK?&lt;/title&gt;&lt;secondary-title&gt;Renewable Energy&lt;/secondary-title&gt;&lt;short-title&gt;Greening, B. and A. Azapagic 2014 – Domestic solar thermal water heating&lt;/short-title&gt;&lt;/titles&gt;&lt;pages&gt;p. 23-36&lt;/pages&gt;&lt;volume&gt;63&lt;/volume&gt;&lt;number&gt;0&lt;/number&gt;&lt;dates&gt;&lt;year&gt;2014&lt;/year&gt;&lt;/dates&gt;&lt;urls&gt;&lt;/urls&gt;&lt;/record&gt;&lt;/Cite&gt;&lt;/EndNote&gt;</w:instrText>
      </w:r>
      <w:r w:rsidR="005632CC" w:rsidRPr="00C90AC9">
        <w:rPr>
          <w:rFonts w:eastAsiaTheme="minorHAnsi"/>
          <w:lang w:eastAsia="en-US"/>
        </w:rPr>
        <w:fldChar w:fldCharType="separate"/>
      </w:r>
      <w:r w:rsidR="00B35A6E" w:rsidRPr="00C90AC9">
        <w:rPr>
          <w:rFonts w:eastAsiaTheme="minorHAnsi"/>
          <w:lang w:eastAsia="en-US"/>
        </w:rPr>
        <w:t>(Greening &amp; Azapagic, 2014; Koroneos &amp; Nanaki, 2012)</w:t>
      </w:r>
      <w:r w:rsidR="005632CC" w:rsidRPr="00C90AC9">
        <w:rPr>
          <w:rFonts w:eastAsiaTheme="minorHAnsi"/>
          <w:lang w:eastAsia="en-US"/>
        </w:rPr>
        <w:fldChar w:fldCharType="end"/>
      </w:r>
      <w:r w:rsidR="005632CC" w:rsidRPr="00C90AC9">
        <w:rPr>
          <w:rFonts w:eastAsiaTheme="minorHAnsi"/>
          <w:lang w:eastAsia="en-US"/>
        </w:rPr>
        <w:t>.</w:t>
      </w:r>
      <w:r w:rsidR="00514BFD" w:rsidRPr="00C90AC9">
        <w:rPr>
          <w:rFonts w:eastAsiaTheme="minorHAnsi"/>
          <w:lang w:eastAsia="en-US"/>
        </w:rPr>
        <w:t xml:space="preserve"> </w:t>
      </w:r>
      <w:r w:rsidR="005632CC" w:rsidRPr="00C90AC9">
        <w:rPr>
          <w:rFonts w:eastAsiaTheme="minorHAnsi"/>
          <w:lang w:eastAsia="en-US"/>
        </w:rPr>
        <w:t xml:space="preserve">Greening and </w:t>
      </w:r>
      <w:proofErr w:type="spellStart"/>
      <w:r w:rsidR="005632CC" w:rsidRPr="00C90AC9">
        <w:rPr>
          <w:rFonts w:eastAsiaTheme="minorHAnsi"/>
          <w:lang w:eastAsia="en-US"/>
        </w:rPr>
        <w:t>Azapagic</w:t>
      </w:r>
      <w:proofErr w:type="spellEnd"/>
      <w:r w:rsidR="005632CC" w:rsidRPr="00C90AC9">
        <w:rPr>
          <w:rFonts w:eastAsiaTheme="minorHAnsi"/>
          <w:lang w:eastAsia="en-US"/>
        </w:rPr>
        <w:t xml:space="preserve"> noted that due to different life-cycle analyses being employed by different researchers it is often difficult to make an accurate comparison between them particularly as overall boundaries of the studies are rarely the same </w:t>
      </w:r>
      <w:r w:rsidR="005632CC" w:rsidRPr="00C90AC9">
        <w:rPr>
          <w:rFonts w:eastAsiaTheme="minorHAnsi"/>
          <w:lang w:eastAsia="en-US"/>
        </w:rPr>
        <w:fldChar w:fldCharType="begin"/>
      </w:r>
      <w:r w:rsidR="005632CC" w:rsidRPr="00C90AC9">
        <w:rPr>
          <w:rFonts w:eastAsiaTheme="minorHAnsi"/>
          <w:lang w:eastAsia="en-US"/>
        </w:rPr>
        <w:instrText xml:space="preserve"> ADDIN EN.CITE &lt;EndNote&gt;&lt;Cite&gt;&lt;Author&gt;Greening&lt;/Author&gt;&lt;Year&gt;2014&lt;/Year&gt;&lt;RecNum&gt;146&lt;/RecNum&gt;&lt;DisplayText&gt;(Greening &amp;amp; Azapagic, 2014)&lt;/DisplayText&gt;&lt;record&gt;&lt;rec-number&gt;146&lt;/rec-number&gt;&lt;foreign-keys&gt;&lt;key app="EN" db-id="50wxdpzd9vd5r7e9t5b595djrfpttrxw9avp" timestamp="1525076334"&gt;146&lt;/key&gt;&lt;/foreign-keys&gt;&lt;ref-type name="Journal Article"&gt;17&lt;/ref-type&gt;&lt;contributors&gt;&lt;authors&gt;&lt;author&gt;Greening, B.&lt;/author&gt;&lt;author&gt;A. Azapagic&lt;/author&gt;&lt;/authors&gt;&lt;/contributors&gt;&lt;titles&gt;&lt;title&gt;Domestic solar thermal water heating: A sustainable option for the UK?&lt;/title&gt;&lt;secondary-title&gt;Renewable Energy&lt;/secondary-title&gt;&lt;short-title&gt;Greening, B. and A. Azapagic 2014 – Domestic solar thermal water heating&lt;/short-title&gt;&lt;/titles&gt;&lt;pages&gt;p. 23-36&lt;/pages&gt;&lt;volume&gt;63&lt;/volume&gt;&lt;number&gt;0&lt;/number&gt;&lt;dates&gt;&lt;year&gt;2014&lt;/year&gt;&lt;/dates&gt;&lt;urls&gt;&lt;/urls&gt;&lt;/record&gt;&lt;/Cite&gt;&lt;/EndNote&gt;</w:instrText>
      </w:r>
      <w:r w:rsidR="005632CC" w:rsidRPr="00C90AC9">
        <w:rPr>
          <w:rFonts w:eastAsiaTheme="minorHAnsi"/>
          <w:lang w:eastAsia="en-US"/>
        </w:rPr>
        <w:fldChar w:fldCharType="separate"/>
      </w:r>
      <w:r w:rsidR="005632CC" w:rsidRPr="00C90AC9">
        <w:rPr>
          <w:rFonts w:eastAsiaTheme="minorHAnsi"/>
          <w:lang w:eastAsia="en-US"/>
        </w:rPr>
        <w:t>(Greening &amp; Azapagic, 2014)</w:t>
      </w:r>
      <w:r w:rsidR="005632CC" w:rsidRPr="00C90AC9">
        <w:rPr>
          <w:rFonts w:eastAsiaTheme="minorHAnsi"/>
          <w:lang w:eastAsia="en-US"/>
        </w:rPr>
        <w:fldChar w:fldCharType="end"/>
      </w:r>
      <w:r w:rsidR="005632CC" w:rsidRPr="00C90AC9">
        <w:rPr>
          <w:rFonts w:eastAsiaTheme="minorHAnsi"/>
          <w:lang w:eastAsia="en-US"/>
        </w:rPr>
        <w:t xml:space="preserve">. </w:t>
      </w:r>
    </w:p>
    <w:p w:rsidR="00A16B8C" w:rsidRPr="00C90AC9" w:rsidRDefault="006202A3" w:rsidP="000E17D2">
      <w:pPr>
        <w:pStyle w:val="BodyText"/>
        <w:spacing w:line="360" w:lineRule="auto"/>
        <w:rPr>
          <w:rFonts w:eastAsiaTheme="minorHAnsi"/>
          <w:lang w:eastAsia="en-US"/>
        </w:rPr>
      </w:pPr>
      <w:r w:rsidRPr="00C90AC9">
        <w:rPr>
          <w:rFonts w:eastAsiaTheme="minorHAnsi"/>
          <w:lang w:eastAsia="en-US"/>
        </w:rPr>
        <w:t>T</w:t>
      </w:r>
      <w:r w:rsidR="00C82AB9" w:rsidRPr="00C90AC9">
        <w:rPr>
          <w:rFonts w:eastAsiaTheme="minorHAnsi"/>
          <w:lang w:eastAsia="en-US"/>
        </w:rPr>
        <w:t>heir study</w:t>
      </w:r>
      <w:r w:rsidR="005632CC" w:rsidRPr="00C90AC9">
        <w:rPr>
          <w:rFonts w:eastAsiaTheme="minorHAnsi"/>
          <w:lang w:eastAsia="en-US"/>
        </w:rPr>
        <w:t xml:space="preserve"> in 2014</w:t>
      </w:r>
      <w:r w:rsidR="00C82AB9" w:rsidRPr="00C90AC9">
        <w:rPr>
          <w:rFonts w:eastAsiaTheme="minorHAnsi"/>
          <w:lang w:eastAsia="en-US"/>
        </w:rPr>
        <w:t xml:space="preserve"> determined that </w:t>
      </w:r>
      <w:r w:rsidR="00E37E65" w:rsidRPr="00C90AC9">
        <w:rPr>
          <w:rFonts w:eastAsiaTheme="minorHAnsi"/>
          <w:lang w:eastAsia="en-US"/>
        </w:rPr>
        <w:t>STP</w:t>
      </w:r>
      <w:r w:rsidR="00C82AB9" w:rsidRPr="00C90AC9">
        <w:rPr>
          <w:rFonts w:eastAsiaTheme="minorHAnsi"/>
          <w:lang w:eastAsia="en-US"/>
        </w:rPr>
        <w:t>s</w:t>
      </w:r>
      <w:r w:rsidR="00A16B8C" w:rsidRPr="00C90AC9">
        <w:rPr>
          <w:rFonts w:eastAsiaTheme="minorHAnsi"/>
          <w:lang w:eastAsia="en-US"/>
        </w:rPr>
        <w:t>,</w:t>
      </w:r>
      <w:r w:rsidR="00095D50" w:rsidRPr="00C90AC9">
        <w:rPr>
          <w:rFonts w:eastAsiaTheme="minorHAnsi"/>
          <w:lang w:eastAsia="en-US"/>
        </w:rPr>
        <w:t xml:space="preserve"> </w:t>
      </w:r>
      <w:r w:rsidR="00C51F88" w:rsidRPr="00C90AC9">
        <w:rPr>
          <w:rFonts w:eastAsiaTheme="minorHAnsi"/>
          <w:lang w:eastAsia="en-US"/>
        </w:rPr>
        <w:t xml:space="preserve">when </w:t>
      </w:r>
      <w:r w:rsidR="00095D50" w:rsidRPr="00C90AC9">
        <w:rPr>
          <w:rFonts w:eastAsiaTheme="minorHAnsi"/>
          <w:lang w:eastAsia="en-US"/>
        </w:rPr>
        <w:t>used</w:t>
      </w:r>
      <w:r w:rsidR="00A16B8C" w:rsidRPr="00C90AC9">
        <w:rPr>
          <w:rFonts w:eastAsiaTheme="minorHAnsi"/>
          <w:lang w:eastAsia="en-US"/>
        </w:rPr>
        <w:t xml:space="preserve"> in a UK climate, have on average a 7% lower </w:t>
      </w:r>
      <w:r w:rsidR="00C51F88" w:rsidRPr="00C90AC9">
        <w:rPr>
          <w:rFonts w:eastAsiaTheme="minorHAnsi"/>
          <w:lang w:eastAsia="en-US"/>
        </w:rPr>
        <w:t xml:space="preserve">environmental </w:t>
      </w:r>
      <w:r w:rsidR="00A16B8C" w:rsidRPr="00C90AC9">
        <w:rPr>
          <w:rFonts w:eastAsiaTheme="minorHAnsi"/>
          <w:lang w:eastAsia="en-US"/>
        </w:rPr>
        <w:t>impact compared to the Evacuated Tube Collector (ETC)</w:t>
      </w:r>
      <w:r w:rsidR="00C51F88" w:rsidRPr="00C90AC9">
        <w:rPr>
          <w:rFonts w:eastAsiaTheme="minorHAnsi"/>
          <w:lang w:eastAsia="en-US"/>
        </w:rPr>
        <w:t xml:space="preserve"> considered in their study</w:t>
      </w:r>
      <w:r w:rsidR="00A16B8C" w:rsidRPr="00C90AC9">
        <w:rPr>
          <w:rFonts w:eastAsiaTheme="minorHAnsi"/>
          <w:lang w:eastAsia="en-US"/>
        </w:rPr>
        <w:t xml:space="preserve"> </w:t>
      </w:r>
      <w:r w:rsidR="005632CC" w:rsidRPr="00C90AC9">
        <w:rPr>
          <w:rFonts w:eastAsiaTheme="minorHAnsi"/>
          <w:lang w:eastAsia="en-US"/>
        </w:rPr>
        <w:fldChar w:fldCharType="begin"/>
      </w:r>
      <w:r w:rsidR="005632CC" w:rsidRPr="00C90AC9">
        <w:rPr>
          <w:rFonts w:eastAsiaTheme="minorHAnsi"/>
          <w:lang w:eastAsia="en-US"/>
        </w:rPr>
        <w:instrText xml:space="preserve"> ADDIN EN.CITE &lt;EndNote&gt;&lt;Cite&gt;&lt;Author&gt;Greening&lt;/Author&gt;&lt;Year&gt;2014&lt;/Year&gt;&lt;RecNum&gt;146&lt;/RecNum&gt;&lt;DisplayText&gt;(Greening &amp;amp; Azapagic, 2014)&lt;/DisplayText&gt;&lt;record&gt;&lt;rec-number&gt;146&lt;/rec-number&gt;&lt;foreign-keys&gt;&lt;key app="EN" db-id="50wxdpzd9vd5r7e9t5b595djrfpttrxw9avp" timestamp="1525076334"&gt;146&lt;/key&gt;&lt;/foreign-keys&gt;&lt;ref-type name="Journal Article"&gt;17&lt;/ref-type&gt;&lt;contributors&gt;&lt;authors&gt;&lt;author&gt;Greening, B.&lt;/author&gt;&lt;author&gt;A. Azapagic&lt;/author&gt;&lt;/authors&gt;&lt;/contributors&gt;&lt;titles&gt;&lt;title&gt;Domestic solar thermal water heating: A sustainable option for the UK?&lt;/title&gt;&lt;secondary-title&gt;Renewable Energy&lt;/secondary-title&gt;&lt;short-title&gt;Greening, B. and A. Azapagic 2014 – Domestic solar thermal water heating&lt;/short-title&gt;&lt;/titles&gt;&lt;pages&gt;p. 23-36&lt;/pages&gt;&lt;volume&gt;63&lt;/volume&gt;&lt;number&gt;0&lt;/number&gt;&lt;dates&gt;&lt;year&gt;2014&lt;/year&gt;&lt;/dates&gt;&lt;urls&gt;&lt;/urls&gt;&lt;/record&gt;&lt;/Cite&gt;&lt;/EndNote&gt;</w:instrText>
      </w:r>
      <w:r w:rsidR="005632CC" w:rsidRPr="00C90AC9">
        <w:rPr>
          <w:rFonts w:eastAsiaTheme="minorHAnsi"/>
          <w:lang w:eastAsia="en-US"/>
        </w:rPr>
        <w:fldChar w:fldCharType="separate"/>
      </w:r>
      <w:r w:rsidR="005632CC" w:rsidRPr="00C90AC9">
        <w:rPr>
          <w:rFonts w:eastAsiaTheme="minorHAnsi"/>
          <w:lang w:eastAsia="en-US"/>
        </w:rPr>
        <w:t>(Greening &amp; Azapagic, 2014)</w:t>
      </w:r>
      <w:r w:rsidR="005632CC" w:rsidRPr="00C90AC9">
        <w:rPr>
          <w:rFonts w:eastAsiaTheme="minorHAnsi"/>
          <w:lang w:eastAsia="en-US"/>
        </w:rPr>
        <w:fldChar w:fldCharType="end"/>
      </w:r>
      <w:r w:rsidR="005632CC" w:rsidRPr="00C90AC9">
        <w:rPr>
          <w:rFonts w:eastAsiaTheme="minorHAnsi"/>
          <w:lang w:eastAsia="en-US"/>
        </w:rPr>
        <w:t>.</w:t>
      </w:r>
      <w:r w:rsidR="00A16B8C" w:rsidRPr="00C90AC9">
        <w:rPr>
          <w:rFonts w:eastAsiaTheme="minorHAnsi"/>
          <w:lang w:eastAsia="en-US"/>
        </w:rPr>
        <w:t xml:space="preserve"> The majority of the environmental impacts </w:t>
      </w:r>
      <w:r w:rsidR="00C51F88" w:rsidRPr="00C90AC9">
        <w:rPr>
          <w:rFonts w:eastAsiaTheme="minorHAnsi"/>
          <w:lang w:eastAsia="en-US"/>
        </w:rPr>
        <w:t xml:space="preserve">(~60%) </w:t>
      </w:r>
      <w:r w:rsidR="00A16B8C" w:rsidRPr="00C90AC9">
        <w:rPr>
          <w:rFonts w:eastAsiaTheme="minorHAnsi"/>
          <w:lang w:eastAsia="en-US"/>
        </w:rPr>
        <w:t xml:space="preserve">for both the </w:t>
      </w:r>
      <w:r w:rsidR="00E37E65" w:rsidRPr="00C90AC9">
        <w:rPr>
          <w:rFonts w:eastAsiaTheme="minorHAnsi"/>
          <w:lang w:eastAsia="en-US"/>
        </w:rPr>
        <w:t>STP</w:t>
      </w:r>
      <w:r w:rsidR="00A16B8C" w:rsidRPr="00C90AC9">
        <w:rPr>
          <w:rFonts w:eastAsiaTheme="minorHAnsi"/>
          <w:lang w:eastAsia="en-US"/>
        </w:rPr>
        <w:t xml:space="preserve"> and the ETC occur during the manufacturing process </w:t>
      </w:r>
      <w:r w:rsidR="00C51F88" w:rsidRPr="00C90AC9">
        <w:rPr>
          <w:rFonts w:eastAsiaTheme="minorHAnsi"/>
          <w:lang w:eastAsia="en-US"/>
        </w:rPr>
        <w:t>as this is the stage in which the most amount of energy is used and thus this is when the majority of the GHG emissions are generated</w:t>
      </w:r>
      <w:r w:rsidR="005632CC" w:rsidRPr="00C90AC9">
        <w:rPr>
          <w:rFonts w:eastAsiaTheme="minorHAnsi"/>
          <w:lang w:eastAsia="en-US"/>
        </w:rPr>
        <w:t xml:space="preserve"> </w:t>
      </w:r>
      <w:r w:rsidR="005632CC" w:rsidRPr="00C90AC9">
        <w:rPr>
          <w:rFonts w:eastAsiaTheme="minorHAnsi"/>
          <w:lang w:eastAsia="en-US"/>
        </w:rPr>
        <w:fldChar w:fldCharType="begin"/>
      </w:r>
      <w:r w:rsidR="005632CC" w:rsidRPr="00C90AC9">
        <w:rPr>
          <w:rFonts w:eastAsiaTheme="minorHAnsi"/>
          <w:lang w:eastAsia="en-US"/>
        </w:rPr>
        <w:instrText xml:space="preserve"> ADDIN EN.CITE &lt;EndNote&gt;&lt;Cite&gt;&lt;Author&gt;Greening&lt;/Author&gt;&lt;Year&gt;2014&lt;/Year&gt;&lt;RecNum&gt;146&lt;/RecNum&gt;&lt;DisplayText&gt;(Greening &amp;amp; Azapagic, 2014)&lt;/DisplayText&gt;&lt;record&gt;&lt;rec-number&gt;146&lt;/rec-number&gt;&lt;foreign-keys&gt;&lt;key app="EN" db-id="50wxdpzd9vd5r7e9t5b595djrfpttrxw9avp" timestamp="1525076334"&gt;146&lt;/key&gt;&lt;/foreign-keys&gt;&lt;ref-type name="Journal Article"&gt;17&lt;/ref-type&gt;&lt;contributors&gt;&lt;authors&gt;&lt;author&gt;Greening, B.&lt;/author&gt;&lt;author&gt;A. Azapagic&lt;/author&gt;&lt;/authors&gt;&lt;/contributors&gt;&lt;titles&gt;&lt;title&gt;Domestic solar thermal water heating: A sustainable option for the UK?&lt;/title&gt;&lt;secondary-title&gt;Renewable Energy&lt;/secondary-title&gt;&lt;short-title&gt;Greening, B. and A. Azapagic 2014 – Domestic solar thermal water heating&lt;/short-title&gt;&lt;/titles&gt;&lt;pages&gt;p. 23-36&lt;/pages&gt;&lt;volume&gt;63&lt;/volume&gt;&lt;number&gt;0&lt;/number&gt;&lt;dates&gt;&lt;year&gt;2014&lt;/year&gt;&lt;/dates&gt;&lt;urls&gt;&lt;/urls&gt;&lt;/record&gt;&lt;/Cite&gt;&lt;/EndNote&gt;</w:instrText>
      </w:r>
      <w:r w:rsidR="005632CC" w:rsidRPr="00C90AC9">
        <w:rPr>
          <w:rFonts w:eastAsiaTheme="minorHAnsi"/>
          <w:lang w:eastAsia="en-US"/>
        </w:rPr>
        <w:fldChar w:fldCharType="separate"/>
      </w:r>
      <w:r w:rsidR="005632CC" w:rsidRPr="00C90AC9">
        <w:rPr>
          <w:rFonts w:eastAsiaTheme="minorHAnsi"/>
          <w:lang w:eastAsia="en-US"/>
        </w:rPr>
        <w:t>(Greening &amp; Azapagic, 2014)</w:t>
      </w:r>
      <w:r w:rsidR="005632CC" w:rsidRPr="00C90AC9">
        <w:rPr>
          <w:rFonts w:eastAsiaTheme="minorHAnsi"/>
          <w:lang w:eastAsia="en-US"/>
        </w:rPr>
        <w:fldChar w:fldCharType="end"/>
      </w:r>
      <w:r w:rsidR="00A16B8C" w:rsidRPr="00C90AC9">
        <w:rPr>
          <w:rFonts w:eastAsiaTheme="minorHAnsi"/>
          <w:lang w:eastAsia="en-US"/>
        </w:rPr>
        <w:t xml:space="preserve">. </w:t>
      </w:r>
      <w:r w:rsidR="00C51F88" w:rsidRPr="00C90AC9">
        <w:rPr>
          <w:rFonts w:eastAsiaTheme="minorHAnsi"/>
          <w:lang w:eastAsia="en-US"/>
        </w:rPr>
        <w:t>T</w:t>
      </w:r>
      <w:r w:rsidR="00A16B8C" w:rsidRPr="00C90AC9">
        <w:rPr>
          <w:rFonts w:eastAsiaTheme="minorHAnsi"/>
          <w:lang w:eastAsia="en-US"/>
        </w:rPr>
        <w:t>he</w:t>
      </w:r>
      <w:r w:rsidR="00C51F88" w:rsidRPr="00C90AC9">
        <w:rPr>
          <w:rFonts w:eastAsiaTheme="minorHAnsi"/>
          <w:lang w:eastAsia="en-US"/>
        </w:rPr>
        <w:t xml:space="preserve"> period of time when the STP is in o</w:t>
      </w:r>
      <w:r w:rsidR="00A16B8C" w:rsidRPr="00C90AC9">
        <w:rPr>
          <w:rFonts w:eastAsiaTheme="minorHAnsi"/>
          <w:lang w:eastAsia="en-US"/>
        </w:rPr>
        <w:t>peration</w:t>
      </w:r>
      <w:r w:rsidR="00C51F88" w:rsidRPr="00C90AC9">
        <w:rPr>
          <w:rFonts w:eastAsiaTheme="minorHAnsi"/>
          <w:lang w:eastAsia="en-US"/>
        </w:rPr>
        <w:t xml:space="preserve"> accounts for approximately 20% of the environmental impacts </w:t>
      </w:r>
      <w:r w:rsidR="00A16B8C" w:rsidRPr="00C90AC9">
        <w:rPr>
          <w:rFonts w:eastAsiaTheme="minorHAnsi"/>
          <w:lang w:eastAsia="en-US"/>
        </w:rPr>
        <w:t xml:space="preserve">of the </w:t>
      </w:r>
      <w:r w:rsidR="00E37E65" w:rsidRPr="00C90AC9">
        <w:rPr>
          <w:rFonts w:eastAsiaTheme="minorHAnsi"/>
          <w:lang w:eastAsia="en-US"/>
        </w:rPr>
        <w:t>STP</w:t>
      </w:r>
      <w:r w:rsidR="00A16B8C" w:rsidRPr="00C90AC9">
        <w:rPr>
          <w:rFonts w:eastAsiaTheme="minorHAnsi"/>
          <w:lang w:eastAsia="en-US"/>
        </w:rPr>
        <w:t xml:space="preserve"> </w:t>
      </w:r>
      <w:r w:rsidR="00C51F88" w:rsidRPr="00C90AC9">
        <w:rPr>
          <w:rFonts w:eastAsiaTheme="minorHAnsi"/>
          <w:lang w:eastAsia="en-US"/>
        </w:rPr>
        <w:t xml:space="preserve">because of the need to have a traditional </w:t>
      </w:r>
      <w:r w:rsidR="00A16B8C" w:rsidRPr="00C90AC9">
        <w:rPr>
          <w:rFonts w:eastAsiaTheme="minorHAnsi"/>
          <w:lang w:eastAsia="en-US"/>
        </w:rPr>
        <w:t xml:space="preserve">energy source </w:t>
      </w:r>
      <w:r w:rsidR="00C51F88" w:rsidRPr="00C90AC9">
        <w:rPr>
          <w:rFonts w:eastAsiaTheme="minorHAnsi"/>
          <w:lang w:eastAsia="en-US"/>
        </w:rPr>
        <w:t>needed to</w:t>
      </w:r>
      <w:r w:rsidR="005632CC" w:rsidRPr="00C90AC9">
        <w:rPr>
          <w:rFonts w:eastAsiaTheme="minorHAnsi"/>
          <w:lang w:eastAsia="en-US"/>
        </w:rPr>
        <w:t xml:space="preserve"> circulate the heated water </w:t>
      </w:r>
      <w:r w:rsidR="005632CC" w:rsidRPr="00C90AC9">
        <w:rPr>
          <w:rFonts w:eastAsiaTheme="minorHAnsi"/>
          <w:lang w:eastAsia="en-US"/>
        </w:rPr>
        <w:fldChar w:fldCharType="begin"/>
      </w:r>
      <w:r w:rsidR="005632CC" w:rsidRPr="00C90AC9">
        <w:rPr>
          <w:rFonts w:eastAsiaTheme="minorHAnsi"/>
          <w:lang w:eastAsia="en-US"/>
        </w:rPr>
        <w:instrText xml:space="preserve"> ADDIN EN.CITE &lt;EndNote&gt;&lt;Cite&gt;&lt;Author&gt;Greening&lt;/Author&gt;&lt;Year&gt;2014&lt;/Year&gt;&lt;RecNum&gt;146&lt;/RecNum&gt;&lt;DisplayText&gt;(Greening &amp;amp; Azapagic, 2014)&lt;/DisplayText&gt;&lt;record&gt;&lt;rec-number&gt;146&lt;/rec-number&gt;&lt;foreign-keys&gt;&lt;key app="EN" db-id="50wxdpzd9vd5r7e9t5b595djrfpttrxw9avp" timestamp="1525076334"&gt;146&lt;/key&gt;&lt;/foreign-keys&gt;&lt;ref-type name="Journal Article"&gt;17&lt;/ref-type&gt;&lt;contributors&gt;&lt;authors&gt;&lt;author&gt;Greening, B.&lt;/author&gt;&lt;author&gt;A. Azapagic&lt;/author&gt;&lt;/authors&gt;&lt;/contributors&gt;&lt;titles&gt;&lt;title&gt;Domestic solar thermal water heating: A sustainable option for the UK?&lt;/title&gt;&lt;secondary-title&gt;Renewable Energy&lt;/secondary-title&gt;&lt;short-title&gt;Greening, B. and A. Azapagic 2014 – Domestic solar thermal water heating&lt;/short-title&gt;&lt;/titles&gt;&lt;pages&gt;p. 23-36&lt;/pages&gt;&lt;volume&gt;63&lt;/volume&gt;&lt;number&gt;0&lt;/number&gt;&lt;dates&gt;&lt;year&gt;2014&lt;/year&gt;&lt;/dates&gt;&lt;urls&gt;&lt;/urls&gt;&lt;/record&gt;&lt;/Cite&gt;&lt;/EndNote&gt;</w:instrText>
      </w:r>
      <w:r w:rsidR="005632CC" w:rsidRPr="00C90AC9">
        <w:rPr>
          <w:rFonts w:eastAsiaTheme="minorHAnsi"/>
          <w:lang w:eastAsia="en-US"/>
        </w:rPr>
        <w:fldChar w:fldCharType="separate"/>
      </w:r>
      <w:r w:rsidR="005632CC" w:rsidRPr="00C90AC9">
        <w:rPr>
          <w:rFonts w:eastAsiaTheme="minorHAnsi"/>
          <w:lang w:eastAsia="en-US"/>
        </w:rPr>
        <w:t>(Greening &amp; Azapagic, 2014)</w:t>
      </w:r>
      <w:r w:rsidR="005632CC" w:rsidRPr="00C90AC9">
        <w:rPr>
          <w:rFonts w:eastAsiaTheme="minorHAnsi"/>
          <w:lang w:eastAsia="en-US"/>
        </w:rPr>
        <w:fldChar w:fldCharType="end"/>
      </w:r>
      <w:r w:rsidR="005632CC" w:rsidRPr="00C90AC9">
        <w:rPr>
          <w:rFonts w:eastAsiaTheme="minorHAnsi"/>
          <w:lang w:eastAsia="en-US"/>
        </w:rPr>
        <w:t xml:space="preserve">. </w:t>
      </w:r>
      <w:r w:rsidR="002E2048" w:rsidRPr="00C90AC9">
        <w:rPr>
          <w:rFonts w:eastAsiaTheme="minorHAnsi"/>
          <w:lang w:eastAsia="en-US"/>
        </w:rPr>
        <w:t xml:space="preserve">The authors made clear from their study </w:t>
      </w:r>
      <w:r w:rsidR="00A16B8C" w:rsidRPr="00C90AC9">
        <w:rPr>
          <w:rFonts w:eastAsiaTheme="minorHAnsi"/>
          <w:lang w:eastAsia="en-US"/>
        </w:rPr>
        <w:t xml:space="preserve">that increasing the lifetime of the </w:t>
      </w:r>
      <w:r w:rsidR="00E37E65" w:rsidRPr="00C90AC9">
        <w:rPr>
          <w:rFonts w:eastAsiaTheme="minorHAnsi"/>
          <w:lang w:eastAsia="en-US"/>
        </w:rPr>
        <w:t>STP</w:t>
      </w:r>
      <w:r w:rsidR="00095D50" w:rsidRPr="00C90AC9">
        <w:rPr>
          <w:rFonts w:eastAsiaTheme="minorHAnsi"/>
          <w:lang w:eastAsia="en-US"/>
        </w:rPr>
        <w:t xml:space="preserve"> will reduce the</w:t>
      </w:r>
      <w:r w:rsidR="002E2048" w:rsidRPr="00C90AC9">
        <w:rPr>
          <w:rFonts w:eastAsiaTheme="minorHAnsi"/>
          <w:lang w:eastAsia="en-US"/>
        </w:rPr>
        <w:t xml:space="preserve"> overall</w:t>
      </w:r>
      <w:r w:rsidR="00A16B8C" w:rsidRPr="00C90AC9">
        <w:rPr>
          <w:rFonts w:eastAsiaTheme="minorHAnsi"/>
          <w:lang w:eastAsia="en-US"/>
        </w:rPr>
        <w:t xml:space="preserve"> environmental impact</w:t>
      </w:r>
      <w:r w:rsidR="00095D50" w:rsidRPr="00C90AC9">
        <w:rPr>
          <w:rFonts w:eastAsiaTheme="minorHAnsi"/>
          <w:lang w:eastAsia="en-US"/>
        </w:rPr>
        <w:t xml:space="preserve"> of </w:t>
      </w:r>
      <w:r w:rsidR="00411310" w:rsidRPr="00C90AC9">
        <w:rPr>
          <w:rFonts w:eastAsiaTheme="minorHAnsi"/>
          <w:lang w:eastAsia="en-US"/>
        </w:rPr>
        <w:t>the</w:t>
      </w:r>
      <w:r w:rsidR="00095D50" w:rsidRPr="00C90AC9">
        <w:rPr>
          <w:rFonts w:eastAsiaTheme="minorHAnsi"/>
          <w:lang w:eastAsia="en-US"/>
        </w:rPr>
        <w:t xml:space="preserve"> STP as carbon is offset by not using traditional fossil fuel based energy sources to heat domestic hot water</w:t>
      </w:r>
      <w:r w:rsidR="00A16B8C" w:rsidRPr="00C90AC9">
        <w:rPr>
          <w:rFonts w:eastAsiaTheme="minorHAnsi"/>
          <w:lang w:eastAsia="en-US"/>
        </w:rPr>
        <w:t xml:space="preserve"> </w:t>
      </w:r>
      <w:r w:rsidR="005632CC" w:rsidRPr="00C90AC9">
        <w:rPr>
          <w:rFonts w:eastAsiaTheme="minorHAnsi"/>
          <w:lang w:eastAsia="en-US"/>
        </w:rPr>
        <w:fldChar w:fldCharType="begin"/>
      </w:r>
      <w:r w:rsidR="005632CC" w:rsidRPr="00C90AC9">
        <w:rPr>
          <w:rFonts w:eastAsiaTheme="minorHAnsi"/>
          <w:lang w:eastAsia="en-US"/>
        </w:rPr>
        <w:instrText xml:space="preserve"> ADDIN EN.CITE &lt;EndNote&gt;&lt;Cite&gt;&lt;Author&gt;Greening&lt;/Author&gt;&lt;Year&gt;2014&lt;/Year&gt;&lt;RecNum&gt;146&lt;/RecNum&gt;&lt;DisplayText&gt;(Greening &amp;amp; Azapagic, 2014)&lt;/DisplayText&gt;&lt;record&gt;&lt;rec-number&gt;146&lt;/rec-number&gt;&lt;foreign-keys&gt;&lt;key app="EN" db-id="50wxdpzd9vd5r7e9t5b595djrfpttrxw9avp" timestamp="1525076334"&gt;146&lt;/key&gt;&lt;/foreign-keys&gt;&lt;ref-type name="Journal Article"&gt;17&lt;/ref-type&gt;&lt;contributors&gt;&lt;authors&gt;&lt;author&gt;Greening, B.&lt;/author&gt;&lt;author&gt;A. Azapagic&lt;/author&gt;&lt;/authors&gt;&lt;/contributors&gt;&lt;titles&gt;&lt;title&gt;Domestic solar thermal water heating: A sustainable option for the UK?&lt;/title&gt;&lt;secondary-title&gt;Renewable Energy&lt;/secondary-title&gt;&lt;short-title&gt;Greening, B. and A. Azapagic 2014 – Domestic solar thermal water heating&lt;/short-title&gt;&lt;/titles&gt;&lt;pages&gt;p. 23-36&lt;/pages&gt;&lt;volume&gt;63&lt;/volume&gt;&lt;number&gt;0&lt;/number&gt;&lt;dates&gt;&lt;year&gt;2014&lt;/year&gt;&lt;/dates&gt;&lt;urls&gt;&lt;/urls&gt;&lt;/record&gt;&lt;/Cite&gt;&lt;/EndNote&gt;</w:instrText>
      </w:r>
      <w:r w:rsidR="005632CC" w:rsidRPr="00C90AC9">
        <w:rPr>
          <w:rFonts w:eastAsiaTheme="minorHAnsi"/>
          <w:lang w:eastAsia="en-US"/>
        </w:rPr>
        <w:fldChar w:fldCharType="separate"/>
      </w:r>
      <w:r w:rsidR="005632CC" w:rsidRPr="00C90AC9">
        <w:rPr>
          <w:rFonts w:eastAsiaTheme="minorHAnsi"/>
          <w:lang w:eastAsia="en-US"/>
        </w:rPr>
        <w:t>(Greening &amp; Azapagic, 2014)</w:t>
      </w:r>
      <w:r w:rsidR="005632CC" w:rsidRPr="00C90AC9">
        <w:rPr>
          <w:rFonts w:eastAsiaTheme="minorHAnsi"/>
          <w:lang w:eastAsia="en-US"/>
        </w:rPr>
        <w:fldChar w:fldCharType="end"/>
      </w:r>
      <w:r w:rsidR="005632CC" w:rsidRPr="00C90AC9">
        <w:rPr>
          <w:rFonts w:eastAsiaTheme="minorHAnsi"/>
          <w:lang w:eastAsia="en-US"/>
        </w:rPr>
        <w:t>.</w:t>
      </w:r>
      <w:sdt>
        <w:sdtPr>
          <w:rPr>
            <w:rFonts w:eastAsiaTheme="minorHAnsi"/>
            <w:lang w:eastAsia="en-US"/>
          </w:rPr>
          <w:alias w:val="Don't edit this field"/>
          <w:tag w:val="CitaviPlaceholder#6b99eb86-fd85-4132-b291-56bc85aeb5f7"/>
          <w:id w:val="2006625427"/>
          <w:showingPlcHdr/>
        </w:sdtPr>
        <w:sdtEndPr/>
        <w:sdtContent>
          <w:r w:rsidR="005632CC" w:rsidRPr="00C90AC9">
            <w:rPr>
              <w:rFonts w:eastAsiaTheme="minorHAnsi"/>
              <w:lang w:eastAsia="en-US"/>
            </w:rPr>
            <w:t xml:space="preserve">     </w:t>
          </w:r>
        </w:sdtContent>
      </w:sdt>
    </w:p>
    <w:p w:rsidR="005632CC" w:rsidRPr="00C90AC9" w:rsidRDefault="005632CC">
      <w:pPr>
        <w:rPr>
          <w:rFonts w:eastAsiaTheme="minorHAnsi"/>
          <w:lang w:eastAsia="en-US"/>
        </w:rPr>
      </w:pPr>
      <w:r w:rsidRPr="00C90AC9">
        <w:rPr>
          <w:rFonts w:eastAsiaTheme="minorHAnsi"/>
          <w:lang w:eastAsia="en-US"/>
        </w:rPr>
        <w:br w:type="page"/>
      </w:r>
    </w:p>
    <w:p w:rsidR="00A16B8C" w:rsidRPr="00C90AC9" w:rsidRDefault="00A16B8C" w:rsidP="00B06779">
      <w:pPr>
        <w:pStyle w:val="BodyText"/>
        <w:rPr>
          <w:rFonts w:eastAsiaTheme="minorHAnsi"/>
          <w:lang w:eastAsia="en-US"/>
        </w:rPr>
      </w:pPr>
      <w:r w:rsidRPr="00C90AC9">
        <w:rPr>
          <w:rFonts w:eastAsiaTheme="minorHAnsi"/>
          <w:lang w:eastAsia="en-US"/>
        </w:rPr>
        <w:lastRenderedPageBreak/>
        <w:t>Figure 2.</w:t>
      </w:r>
      <w:r w:rsidR="002E2048" w:rsidRPr="00C90AC9">
        <w:rPr>
          <w:rFonts w:eastAsiaTheme="minorHAnsi"/>
          <w:lang w:eastAsia="en-US"/>
        </w:rPr>
        <w:t>1</w:t>
      </w:r>
      <w:r w:rsidR="002A208F" w:rsidRPr="00C90AC9">
        <w:rPr>
          <w:rFonts w:eastAsiaTheme="minorHAnsi"/>
          <w:lang w:eastAsia="en-US"/>
        </w:rPr>
        <w:t>. The Life C</w:t>
      </w:r>
      <w:r w:rsidRPr="00C90AC9">
        <w:rPr>
          <w:rFonts w:eastAsiaTheme="minorHAnsi"/>
          <w:lang w:eastAsia="en-US"/>
        </w:rPr>
        <w:t xml:space="preserve">ycle of solar thermal systems </w:t>
      </w:r>
      <w:r w:rsidR="005632CC" w:rsidRPr="00C90AC9">
        <w:rPr>
          <w:rFonts w:eastAsiaTheme="minorHAnsi"/>
          <w:lang w:eastAsia="en-US"/>
        </w:rPr>
        <w:fldChar w:fldCharType="begin"/>
      </w:r>
      <w:r w:rsidR="005632CC" w:rsidRPr="00C90AC9">
        <w:rPr>
          <w:rFonts w:eastAsiaTheme="minorHAnsi"/>
          <w:lang w:eastAsia="en-US"/>
        </w:rPr>
        <w:instrText xml:space="preserve"> ADDIN EN.CITE &lt;EndNote&gt;&lt;Cite&gt;&lt;Author&gt;Greening&lt;/Author&gt;&lt;Year&gt;2014&lt;/Year&gt;&lt;RecNum&gt;146&lt;/RecNum&gt;&lt;DisplayText&gt;(Greening &amp;amp; Azapagic, 2014)&lt;/DisplayText&gt;&lt;record&gt;&lt;rec-number&gt;146&lt;/rec-number&gt;&lt;foreign-keys&gt;&lt;key app="EN" db-id="50wxdpzd9vd5r7e9t5b595djrfpttrxw9avp" timestamp="1525076334"&gt;146&lt;/key&gt;&lt;/foreign-keys&gt;&lt;ref-type name="Journal Article"&gt;17&lt;/ref-type&gt;&lt;contributors&gt;&lt;authors&gt;&lt;author&gt;Greening, B.&lt;/author&gt;&lt;author&gt;A. Azapagic&lt;/author&gt;&lt;/authors&gt;&lt;/contributors&gt;&lt;titles&gt;&lt;title&gt;Domestic solar thermal water heating: A sustainable option for the UK?&lt;/title&gt;&lt;secondary-title&gt;Renewable Energy&lt;/secondary-title&gt;&lt;short-title&gt;Greening, B. and A. Azapagic 2014 – Domestic solar thermal water heating&lt;/short-title&gt;&lt;/titles&gt;&lt;pages&gt;p. 23-36&lt;/pages&gt;&lt;volume&gt;63&lt;/volume&gt;&lt;number&gt;0&lt;/number&gt;&lt;dates&gt;&lt;year&gt;2014&lt;/year&gt;&lt;/dates&gt;&lt;urls&gt;&lt;/urls&gt;&lt;/record&gt;&lt;/Cite&gt;&lt;/EndNote&gt;</w:instrText>
      </w:r>
      <w:r w:rsidR="005632CC" w:rsidRPr="00C90AC9">
        <w:rPr>
          <w:rFonts w:eastAsiaTheme="minorHAnsi"/>
          <w:lang w:eastAsia="en-US"/>
        </w:rPr>
        <w:fldChar w:fldCharType="separate"/>
      </w:r>
      <w:r w:rsidR="005632CC" w:rsidRPr="00C90AC9">
        <w:rPr>
          <w:rFonts w:eastAsiaTheme="minorHAnsi"/>
          <w:lang w:eastAsia="en-US"/>
        </w:rPr>
        <w:t>(Greening &amp; Azapagic, 2014)</w:t>
      </w:r>
      <w:r w:rsidR="005632CC" w:rsidRPr="00C90AC9">
        <w:rPr>
          <w:rFonts w:eastAsiaTheme="minorHAnsi"/>
          <w:lang w:eastAsia="en-US"/>
        </w:rPr>
        <w:fldChar w:fldCharType="end"/>
      </w:r>
    </w:p>
    <w:p w:rsidR="00A16B8C" w:rsidRPr="00C90AC9" w:rsidRDefault="00A16B8C" w:rsidP="00B06779">
      <w:pPr>
        <w:rPr>
          <w:rFonts w:eastAsiaTheme="minorHAnsi"/>
          <w:lang w:eastAsia="en-US"/>
        </w:rPr>
      </w:pPr>
      <w:r w:rsidRPr="00C90AC9">
        <w:rPr>
          <w:rFonts w:eastAsiaTheme="minorHAnsi"/>
          <w:noProof/>
        </w:rPr>
        <w:drawing>
          <wp:inline distT="0" distB="0" distL="0" distR="0" wp14:anchorId="7AA07465" wp14:editId="789E37FB">
            <wp:extent cx="5533390" cy="3886200"/>
            <wp:effectExtent l="19050" t="19050" r="10160" b="1905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srcRect l="46313" t="16767" r="4510" b="10180"/>
                    <a:stretch/>
                  </pic:blipFill>
                  <pic:spPr bwMode="auto">
                    <a:xfrm>
                      <a:off x="0" y="0"/>
                      <a:ext cx="5533390" cy="388620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9531E8" w:rsidRPr="00C90AC9" w:rsidRDefault="00E31EAD" w:rsidP="009D23AA">
      <w:pPr>
        <w:pStyle w:val="BodyText"/>
        <w:spacing w:line="360" w:lineRule="auto"/>
        <w:rPr>
          <w:rFonts w:eastAsiaTheme="minorHAnsi"/>
          <w:lang w:eastAsia="en-US"/>
        </w:rPr>
      </w:pPr>
      <w:r w:rsidRPr="00C90AC9">
        <w:rPr>
          <w:rFonts w:eastAsiaTheme="minorHAnsi"/>
          <w:lang w:eastAsia="en-US"/>
        </w:rPr>
        <w:t>Figure 2.</w:t>
      </w:r>
      <w:r w:rsidR="000E17D2" w:rsidRPr="00C90AC9">
        <w:rPr>
          <w:rFonts w:eastAsiaTheme="minorHAnsi"/>
          <w:lang w:eastAsia="en-US"/>
        </w:rPr>
        <w:t>1</w:t>
      </w:r>
      <w:r w:rsidRPr="00C90AC9">
        <w:rPr>
          <w:rFonts w:eastAsiaTheme="minorHAnsi"/>
          <w:lang w:eastAsia="en-US"/>
        </w:rPr>
        <w:t xml:space="preserve"> shows that that </w:t>
      </w:r>
      <w:r w:rsidR="00411310" w:rsidRPr="00C90AC9">
        <w:rPr>
          <w:rFonts w:eastAsiaTheme="minorHAnsi"/>
          <w:lang w:eastAsia="en-US"/>
        </w:rPr>
        <w:t xml:space="preserve">Greening and </w:t>
      </w:r>
      <w:proofErr w:type="spellStart"/>
      <w:r w:rsidR="00411310" w:rsidRPr="00C90AC9">
        <w:rPr>
          <w:rFonts w:eastAsiaTheme="minorHAnsi"/>
          <w:lang w:eastAsia="en-US"/>
        </w:rPr>
        <w:t>Azapagic</w:t>
      </w:r>
      <w:proofErr w:type="spellEnd"/>
      <w:r w:rsidR="006C7013" w:rsidRPr="00C90AC9">
        <w:rPr>
          <w:rFonts w:eastAsiaTheme="minorHAnsi"/>
          <w:lang w:eastAsia="en-US"/>
        </w:rPr>
        <w:t xml:space="preserve"> incorporated </w:t>
      </w:r>
      <w:r w:rsidR="00E82522" w:rsidRPr="00C90AC9">
        <w:rPr>
          <w:rFonts w:eastAsiaTheme="minorHAnsi"/>
          <w:lang w:eastAsia="en-US"/>
        </w:rPr>
        <w:t>main</w:t>
      </w:r>
      <w:r w:rsidR="006C7013" w:rsidRPr="00C90AC9">
        <w:rPr>
          <w:rFonts w:eastAsiaTheme="minorHAnsi"/>
          <w:lang w:eastAsia="en-US"/>
        </w:rPr>
        <w:t>ten</w:t>
      </w:r>
      <w:r w:rsidR="00411310" w:rsidRPr="00C90AC9">
        <w:rPr>
          <w:rFonts w:eastAsiaTheme="minorHAnsi"/>
          <w:lang w:eastAsia="en-US"/>
        </w:rPr>
        <w:t xml:space="preserve">ance as well as waste recycling and final </w:t>
      </w:r>
      <w:r w:rsidR="006C7013" w:rsidRPr="00C90AC9">
        <w:rPr>
          <w:rFonts w:eastAsiaTheme="minorHAnsi"/>
          <w:lang w:eastAsia="en-US"/>
        </w:rPr>
        <w:t>disposal</w:t>
      </w:r>
      <w:r w:rsidR="00411310" w:rsidRPr="00C90AC9">
        <w:rPr>
          <w:rFonts w:eastAsiaTheme="minorHAnsi"/>
          <w:lang w:eastAsia="en-US"/>
        </w:rPr>
        <w:t xml:space="preserve"> of the STP</w:t>
      </w:r>
      <w:r w:rsidR="006C7013" w:rsidRPr="00C90AC9">
        <w:rPr>
          <w:rFonts w:eastAsiaTheme="minorHAnsi"/>
          <w:lang w:eastAsia="en-US"/>
        </w:rPr>
        <w:t xml:space="preserve"> i</w:t>
      </w:r>
      <w:r w:rsidR="00411310" w:rsidRPr="00C90AC9">
        <w:rPr>
          <w:rFonts w:eastAsiaTheme="minorHAnsi"/>
          <w:lang w:eastAsia="en-US"/>
        </w:rPr>
        <w:t>nto their life cycle assessment</w:t>
      </w:r>
      <w:r w:rsidR="005632CC" w:rsidRPr="00C90AC9">
        <w:rPr>
          <w:rFonts w:eastAsiaTheme="minorHAnsi"/>
          <w:lang w:eastAsia="en-US"/>
        </w:rPr>
        <w:t xml:space="preserve"> </w:t>
      </w:r>
      <w:r w:rsidR="005632CC" w:rsidRPr="00C90AC9">
        <w:rPr>
          <w:rFonts w:eastAsiaTheme="minorHAnsi"/>
          <w:lang w:eastAsia="en-US"/>
        </w:rPr>
        <w:fldChar w:fldCharType="begin"/>
      </w:r>
      <w:r w:rsidR="005632CC" w:rsidRPr="00C90AC9">
        <w:rPr>
          <w:rFonts w:eastAsiaTheme="minorHAnsi"/>
          <w:lang w:eastAsia="en-US"/>
        </w:rPr>
        <w:instrText xml:space="preserve"> ADDIN EN.CITE &lt;EndNote&gt;&lt;Cite&gt;&lt;Author&gt;Greening&lt;/Author&gt;&lt;Year&gt;2014&lt;/Year&gt;&lt;RecNum&gt;146&lt;/RecNum&gt;&lt;DisplayText&gt;(Greening &amp;amp; Azapagic, 2014)&lt;/DisplayText&gt;&lt;record&gt;&lt;rec-number&gt;146&lt;/rec-number&gt;&lt;foreign-keys&gt;&lt;key app="EN" db-id="50wxdpzd9vd5r7e9t5b595djrfpttrxw9avp" timestamp="1525076334"&gt;146&lt;/key&gt;&lt;/foreign-keys&gt;&lt;ref-type name="Journal Article"&gt;17&lt;/ref-type&gt;&lt;contributors&gt;&lt;authors&gt;&lt;author&gt;Greening, B.&lt;/author&gt;&lt;author&gt;A. Azapagic&lt;/author&gt;&lt;/authors&gt;&lt;/contributors&gt;&lt;titles&gt;&lt;title&gt;Domestic solar thermal water heating: A sustainable option for the UK?&lt;/title&gt;&lt;secondary-title&gt;Renewable Energy&lt;/secondary-title&gt;&lt;short-title&gt;Greening, B. and A. Azapagic 2014 – Domestic solar thermal water heating&lt;/short-title&gt;&lt;/titles&gt;&lt;pages&gt;p. 23-36&lt;/pages&gt;&lt;volume&gt;63&lt;/volume&gt;&lt;number&gt;0&lt;/number&gt;&lt;dates&gt;&lt;year&gt;2014&lt;/year&gt;&lt;/dates&gt;&lt;urls&gt;&lt;/urls&gt;&lt;/record&gt;&lt;/Cite&gt;&lt;/EndNote&gt;</w:instrText>
      </w:r>
      <w:r w:rsidR="005632CC" w:rsidRPr="00C90AC9">
        <w:rPr>
          <w:rFonts w:eastAsiaTheme="minorHAnsi"/>
          <w:lang w:eastAsia="en-US"/>
        </w:rPr>
        <w:fldChar w:fldCharType="separate"/>
      </w:r>
      <w:r w:rsidR="005632CC" w:rsidRPr="00C90AC9">
        <w:rPr>
          <w:rFonts w:eastAsiaTheme="minorHAnsi"/>
          <w:lang w:eastAsia="en-US"/>
        </w:rPr>
        <w:t>(Greening &amp; Azapagic, 2014)</w:t>
      </w:r>
      <w:r w:rsidR="005632CC" w:rsidRPr="00C90AC9">
        <w:rPr>
          <w:rFonts w:eastAsiaTheme="minorHAnsi"/>
          <w:lang w:eastAsia="en-US"/>
        </w:rPr>
        <w:fldChar w:fldCharType="end"/>
      </w:r>
      <w:r w:rsidR="006C7013" w:rsidRPr="00C90AC9">
        <w:rPr>
          <w:rFonts w:eastAsiaTheme="minorHAnsi"/>
          <w:lang w:eastAsia="en-US"/>
        </w:rPr>
        <w:t>.</w:t>
      </w:r>
      <w:r w:rsidRPr="00C90AC9">
        <w:rPr>
          <w:rFonts w:eastAsiaTheme="minorHAnsi"/>
          <w:lang w:eastAsia="en-US"/>
        </w:rPr>
        <w:t xml:space="preserve"> </w:t>
      </w:r>
      <w:r w:rsidR="002C646F" w:rsidRPr="00C90AC9">
        <w:rPr>
          <w:rFonts w:eastAsiaTheme="minorHAnsi"/>
          <w:lang w:eastAsia="en-US"/>
        </w:rPr>
        <w:t>These projects occur when the STP is in operation (</w:t>
      </w:r>
      <w:r w:rsidR="00E82522" w:rsidRPr="00C90AC9">
        <w:rPr>
          <w:rFonts w:eastAsiaTheme="minorHAnsi"/>
          <w:lang w:eastAsia="en-US"/>
        </w:rPr>
        <w:t>main</w:t>
      </w:r>
      <w:r w:rsidR="002C646F" w:rsidRPr="00C90AC9">
        <w:rPr>
          <w:rFonts w:eastAsiaTheme="minorHAnsi"/>
          <w:lang w:eastAsia="en-US"/>
        </w:rPr>
        <w:t xml:space="preserve">tenance) and the very end of the STP’s life cycle (final disposal). </w:t>
      </w:r>
      <w:r w:rsidRPr="00C90AC9">
        <w:rPr>
          <w:rFonts w:eastAsiaTheme="minorHAnsi"/>
          <w:lang w:eastAsia="en-US"/>
        </w:rPr>
        <w:t>The results of their study demonstrated that the environmental impacts of STP’s could be reduced by 36% if the overall efficiency of the water heating system was increased from 35% to 55%</w:t>
      </w:r>
      <w:r w:rsidR="005632CC" w:rsidRPr="00C90AC9">
        <w:rPr>
          <w:rFonts w:eastAsiaTheme="minorHAnsi"/>
          <w:lang w:eastAsia="en-US"/>
        </w:rPr>
        <w:t xml:space="preserve">  </w:t>
      </w:r>
      <w:r w:rsidR="002B3148" w:rsidRPr="00C90AC9">
        <w:rPr>
          <w:rFonts w:eastAsiaTheme="minorHAnsi"/>
          <w:lang w:eastAsia="en-US"/>
        </w:rPr>
        <w:fldChar w:fldCharType="begin"/>
      </w:r>
      <w:r w:rsidR="002B3148" w:rsidRPr="00C90AC9">
        <w:rPr>
          <w:rFonts w:eastAsiaTheme="minorHAnsi"/>
          <w:lang w:eastAsia="en-US"/>
        </w:rPr>
        <w:instrText xml:space="preserve"> ADDIN EN.CITE &lt;EndNote&gt;&lt;Cite&gt;&lt;Author&gt;Greening&lt;/Author&gt;&lt;Year&gt;2014&lt;/Year&gt;&lt;RecNum&gt;146&lt;/RecNum&gt;&lt;DisplayText&gt;(Greening &amp;amp; Azapagic, 2014)&lt;/DisplayText&gt;&lt;record&gt;&lt;rec-number&gt;146&lt;/rec-number&gt;&lt;foreign-keys&gt;&lt;key app="EN" db-id="50wxdpzd9vd5r7e9t5b595djrfpttrxw9avp" timestamp="1525076334"&gt;146&lt;/key&gt;&lt;/foreign-keys&gt;&lt;ref-type name="Journal Article"&gt;17&lt;/ref-type&gt;&lt;contributors&gt;&lt;authors&gt;&lt;author&gt;Greening, B.&lt;/author&gt;&lt;author&gt;A. Azapagic&lt;/author&gt;&lt;/authors&gt;&lt;/contributors&gt;&lt;titles&gt;&lt;title&gt;Domestic solar thermal water heating: A sustainable option for the UK?&lt;/title&gt;&lt;secondary-title&gt;Renewable Energy&lt;/secondary-title&gt;&lt;short-title&gt;Greening, B. and A. Azapagic 2014 – Domestic solar thermal water heating&lt;/short-title&gt;&lt;/titles&gt;&lt;pages&gt;p. 23-36&lt;/pages&gt;&lt;volume&gt;63&lt;/volume&gt;&lt;number&gt;0&lt;/number&gt;&lt;dates&gt;&lt;year&gt;2014&lt;/year&gt;&lt;/dates&gt;&lt;urls&gt;&lt;/urls&gt;&lt;/record&gt;&lt;/Cite&gt;&lt;/EndNote&gt;</w:instrText>
      </w:r>
      <w:r w:rsidR="002B3148" w:rsidRPr="00C90AC9">
        <w:rPr>
          <w:rFonts w:eastAsiaTheme="minorHAnsi"/>
          <w:lang w:eastAsia="en-US"/>
        </w:rPr>
        <w:fldChar w:fldCharType="separate"/>
      </w:r>
      <w:r w:rsidR="002B3148" w:rsidRPr="00C90AC9">
        <w:rPr>
          <w:rFonts w:eastAsiaTheme="minorHAnsi"/>
          <w:lang w:eastAsia="en-US"/>
        </w:rPr>
        <w:t>(Greening &amp; Azapagic, 2014)</w:t>
      </w:r>
      <w:r w:rsidR="002B3148" w:rsidRPr="00C90AC9">
        <w:rPr>
          <w:rFonts w:eastAsiaTheme="minorHAnsi"/>
          <w:lang w:eastAsia="en-US"/>
        </w:rPr>
        <w:fldChar w:fldCharType="end"/>
      </w:r>
      <w:r w:rsidR="005632CC" w:rsidRPr="00C90AC9">
        <w:rPr>
          <w:rFonts w:eastAsiaTheme="minorHAnsi"/>
          <w:lang w:eastAsia="en-US"/>
        </w:rPr>
        <w:t>.</w:t>
      </w:r>
      <w:r w:rsidR="009D23AA" w:rsidRPr="00C90AC9">
        <w:rPr>
          <w:rFonts w:eastAsiaTheme="minorHAnsi"/>
          <w:lang w:eastAsia="en-US"/>
        </w:rPr>
        <w:t xml:space="preserve"> Their study considered a lifetime of 25 years for</w:t>
      </w:r>
      <w:r w:rsidR="009531E8" w:rsidRPr="00C90AC9">
        <w:rPr>
          <w:rFonts w:eastAsiaTheme="minorHAnsi"/>
          <w:lang w:eastAsia="en-US"/>
        </w:rPr>
        <w:t xml:space="preserve"> the STP but they note that this assumption relies on accurate information from the manufacturers as to the lifetime of the system and is subject to change due to either the system is performing for a longer time period than 25 years, or the STP systems needing to be replaced due to technical issues</w:t>
      </w:r>
      <w:r w:rsidR="002B3148" w:rsidRPr="00C90AC9">
        <w:rPr>
          <w:rFonts w:eastAsiaTheme="minorHAnsi"/>
          <w:lang w:eastAsia="en-US"/>
        </w:rPr>
        <w:t xml:space="preserve"> </w:t>
      </w:r>
      <w:r w:rsidR="002B3148" w:rsidRPr="00C90AC9">
        <w:rPr>
          <w:rFonts w:eastAsiaTheme="minorHAnsi"/>
          <w:lang w:eastAsia="en-US"/>
        </w:rPr>
        <w:fldChar w:fldCharType="begin"/>
      </w:r>
      <w:r w:rsidR="002B3148" w:rsidRPr="00C90AC9">
        <w:rPr>
          <w:rFonts w:eastAsiaTheme="minorHAnsi"/>
          <w:lang w:eastAsia="en-US"/>
        </w:rPr>
        <w:instrText xml:space="preserve"> ADDIN EN.CITE &lt;EndNote&gt;&lt;Cite&gt;&lt;Author&gt;Greening&lt;/Author&gt;&lt;Year&gt;2014&lt;/Year&gt;&lt;RecNum&gt;146&lt;/RecNum&gt;&lt;DisplayText&gt;(Greening &amp;amp; Azapagic, 2014)&lt;/DisplayText&gt;&lt;record&gt;&lt;rec-number&gt;146&lt;/rec-number&gt;&lt;foreign-keys&gt;&lt;key app="EN" db-id="50wxdpzd9vd5r7e9t5b595djrfpttrxw9avp" timestamp="1525076334"&gt;146&lt;/key&gt;&lt;/foreign-keys&gt;&lt;ref-type name="Journal Article"&gt;17&lt;/ref-type&gt;&lt;contributors&gt;&lt;authors&gt;&lt;author&gt;Greening, B.&lt;/author&gt;&lt;author&gt;A. Azapagic&lt;/author&gt;&lt;/authors&gt;&lt;/contributors&gt;&lt;titles&gt;&lt;title&gt;Domestic solar thermal water heating: A sustainable option for the UK?&lt;/title&gt;&lt;secondary-title&gt;Renewable Energy&lt;/secondary-title&gt;&lt;short-title&gt;Greening, B. and A. Azapagic 2014 – Domestic solar thermal water heating&lt;/short-title&gt;&lt;/titles&gt;&lt;pages&gt;p. 23-36&lt;/pages&gt;&lt;volume&gt;63&lt;/volume&gt;&lt;number&gt;0&lt;/number&gt;&lt;dates&gt;&lt;year&gt;2014&lt;/year&gt;&lt;/dates&gt;&lt;urls&gt;&lt;/urls&gt;&lt;/record&gt;&lt;/Cite&gt;&lt;/EndNote&gt;</w:instrText>
      </w:r>
      <w:r w:rsidR="002B3148" w:rsidRPr="00C90AC9">
        <w:rPr>
          <w:rFonts w:eastAsiaTheme="minorHAnsi"/>
          <w:lang w:eastAsia="en-US"/>
        </w:rPr>
        <w:fldChar w:fldCharType="separate"/>
      </w:r>
      <w:r w:rsidR="002B3148" w:rsidRPr="00C90AC9">
        <w:rPr>
          <w:rFonts w:eastAsiaTheme="minorHAnsi"/>
          <w:lang w:eastAsia="en-US"/>
        </w:rPr>
        <w:t>(Greening &amp; Azapagic, 2014)</w:t>
      </w:r>
      <w:r w:rsidR="002B3148" w:rsidRPr="00C90AC9">
        <w:rPr>
          <w:rFonts w:eastAsiaTheme="minorHAnsi"/>
          <w:lang w:eastAsia="en-US"/>
        </w:rPr>
        <w:fldChar w:fldCharType="end"/>
      </w:r>
      <w:r w:rsidR="009531E8" w:rsidRPr="00C90AC9">
        <w:rPr>
          <w:rFonts w:eastAsiaTheme="minorHAnsi"/>
          <w:lang w:eastAsia="en-US"/>
        </w:rPr>
        <w:t xml:space="preserve">. For these reasons they conducted a sensitivity analysis to ascertain exactly how changes to the lifetime of a STP impacts its environmental impact. </w:t>
      </w:r>
    </w:p>
    <w:p w:rsidR="00A16B8C" w:rsidRPr="00C90AC9" w:rsidRDefault="002B3148" w:rsidP="009D23AA">
      <w:pPr>
        <w:pStyle w:val="BodyText"/>
        <w:spacing w:line="360" w:lineRule="auto"/>
        <w:rPr>
          <w:rFonts w:eastAsiaTheme="minorHAnsi"/>
          <w:lang w:eastAsia="en-US"/>
        </w:rPr>
      </w:pPr>
      <w:r w:rsidRPr="00C90AC9">
        <w:rPr>
          <w:rFonts w:eastAsiaTheme="minorHAnsi"/>
          <w:lang w:eastAsia="en-US"/>
        </w:rPr>
        <w:t>From their sensitivity analysis t</w:t>
      </w:r>
      <w:r w:rsidR="009531E8" w:rsidRPr="00C90AC9">
        <w:rPr>
          <w:rFonts w:eastAsiaTheme="minorHAnsi"/>
          <w:lang w:eastAsia="en-US"/>
        </w:rPr>
        <w:t xml:space="preserve">hey determined that if a STP has a lifetime of between 15 and 20 years then the environmental impacts are increased by </w:t>
      </w:r>
      <w:r w:rsidRPr="00C90AC9">
        <w:rPr>
          <w:rFonts w:eastAsiaTheme="minorHAnsi"/>
          <w:lang w:eastAsia="en-US"/>
        </w:rPr>
        <w:t xml:space="preserve">either 48% or 15% respectively </w:t>
      </w:r>
      <w:r w:rsidRPr="00C90AC9">
        <w:rPr>
          <w:rFonts w:eastAsiaTheme="minorHAnsi"/>
          <w:lang w:eastAsia="en-US"/>
        </w:rPr>
        <w:fldChar w:fldCharType="begin"/>
      </w:r>
      <w:r w:rsidRPr="00C90AC9">
        <w:rPr>
          <w:rFonts w:eastAsiaTheme="minorHAnsi"/>
          <w:lang w:eastAsia="en-US"/>
        </w:rPr>
        <w:instrText xml:space="preserve"> ADDIN EN.CITE &lt;EndNote&gt;&lt;Cite&gt;&lt;Author&gt;Greening&lt;/Author&gt;&lt;Year&gt;2014&lt;/Year&gt;&lt;RecNum&gt;146&lt;/RecNum&gt;&lt;DisplayText&gt;(Greening &amp;amp; Azapagic, 2014)&lt;/DisplayText&gt;&lt;record&gt;&lt;rec-number&gt;146&lt;/rec-number&gt;&lt;foreign-keys&gt;&lt;key app="EN" db-id="50wxdpzd9vd5r7e9t5b595djrfpttrxw9avp" timestamp="1525076334"&gt;146&lt;/key&gt;&lt;/foreign-keys&gt;&lt;ref-type name="Journal Article"&gt;17&lt;/ref-type&gt;&lt;contributors&gt;&lt;authors&gt;&lt;author&gt;Greening, B.&lt;/author&gt;&lt;author&gt;A. Azapagic&lt;/author&gt;&lt;/authors&gt;&lt;/contributors&gt;&lt;titles&gt;&lt;title&gt;Domestic solar thermal water heating: A sustainable option for the UK?&lt;/title&gt;&lt;secondary-title&gt;Renewable Energy&lt;/secondary-title&gt;&lt;short-title&gt;Greening, B. and A. Azapagic 2014 – Domestic solar thermal water heating&lt;/short-title&gt;&lt;/titles&gt;&lt;pages&gt;p. 23-36&lt;/pages&gt;&lt;volume&gt;63&lt;/volume&gt;&lt;number&gt;0&lt;/number&gt;&lt;dates&gt;&lt;year&gt;2014&lt;/year&gt;&lt;/dates&gt;&lt;urls&gt;&lt;/urls&gt;&lt;/record&gt;&lt;/Cite&gt;&lt;/EndNote&gt;</w:instrText>
      </w:r>
      <w:r w:rsidRPr="00C90AC9">
        <w:rPr>
          <w:rFonts w:eastAsiaTheme="minorHAnsi"/>
          <w:lang w:eastAsia="en-US"/>
        </w:rPr>
        <w:fldChar w:fldCharType="separate"/>
      </w:r>
      <w:r w:rsidRPr="00C90AC9">
        <w:rPr>
          <w:rFonts w:eastAsiaTheme="minorHAnsi"/>
          <w:lang w:eastAsia="en-US"/>
        </w:rPr>
        <w:t>(Greening &amp; Azapagic, 2014)</w:t>
      </w:r>
      <w:r w:rsidRPr="00C90AC9">
        <w:rPr>
          <w:rFonts w:eastAsiaTheme="minorHAnsi"/>
          <w:lang w:eastAsia="en-US"/>
        </w:rPr>
        <w:fldChar w:fldCharType="end"/>
      </w:r>
      <w:r w:rsidRPr="00C90AC9">
        <w:rPr>
          <w:rFonts w:eastAsiaTheme="minorHAnsi"/>
          <w:lang w:eastAsia="en-US"/>
        </w:rPr>
        <w:t>.</w:t>
      </w:r>
      <w:r w:rsidR="009531E8" w:rsidRPr="00C90AC9">
        <w:rPr>
          <w:rFonts w:eastAsiaTheme="minorHAnsi"/>
          <w:lang w:eastAsia="en-US"/>
        </w:rPr>
        <w:t xml:space="preserve"> </w:t>
      </w:r>
      <w:r w:rsidR="008E18C2" w:rsidRPr="00C90AC9">
        <w:rPr>
          <w:rFonts w:eastAsiaTheme="minorHAnsi"/>
          <w:lang w:eastAsia="en-US"/>
        </w:rPr>
        <w:t xml:space="preserve">The environmental impacts are observed for the depletion of elements used in the construction of the STP and freshwater and human toxicity potential </w:t>
      </w:r>
      <w:r w:rsidRPr="00C90AC9">
        <w:rPr>
          <w:rFonts w:eastAsiaTheme="minorHAnsi"/>
          <w:lang w:eastAsia="en-US"/>
        </w:rPr>
        <w:fldChar w:fldCharType="begin"/>
      </w:r>
      <w:r w:rsidRPr="00C90AC9">
        <w:rPr>
          <w:rFonts w:eastAsiaTheme="minorHAnsi"/>
          <w:lang w:eastAsia="en-US"/>
        </w:rPr>
        <w:instrText xml:space="preserve"> ADDIN EN.CITE &lt;EndNote&gt;&lt;Cite&gt;&lt;Author&gt;Greening&lt;/Author&gt;&lt;Year&gt;2014&lt;/Year&gt;&lt;RecNum&gt;146&lt;/RecNum&gt;&lt;DisplayText&gt;(Greening &amp;amp; Azapagic, 2014)&lt;/DisplayText&gt;&lt;record&gt;&lt;rec-number&gt;146&lt;/rec-number&gt;&lt;foreign-keys&gt;&lt;key app="EN" db-id="50wxdpzd9vd5r7e9t5b595djrfpttrxw9avp" timestamp="1525076334"&gt;146&lt;/key&gt;&lt;/foreign-keys&gt;&lt;ref-type name="Journal Article"&gt;17&lt;/ref-type&gt;&lt;contributors&gt;&lt;authors&gt;&lt;author&gt;Greening, B.&lt;/author&gt;&lt;author&gt;A. Azapagic&lt;/author&gt;&lt;/authors&gt;&lt;/contributors&gt;&lt;titles&gt;&lt;title&gt;Domestic solar thermal water heating: A sustainable option for the UK?&lt;/title&gt;&lt;secondary-title&gt;Renewable Energy&lt;/secondary-title&gt;&lt;short-title&gt;Greening, B. and A. Azapagic 2014 – Domestic solar thermal water heating&lt;/short-title&gt;&lt;/titles&gt;&lt;pages&gt;p. 23-36&lt;/pages&gt;&lt;volume&gt;63&lt;/volume&gt;&lt;number&gt;0&lt;/number&gt;&lt;dates&gt;&lt;year&gt;2014&lt;/year&gt;&lt;/dates&gt;&lt;urls&gt;&lt;/urls&gt;&lt;/record&gt;&lt;/Cite&gt;&lt;/EndNote&gt;</w:instrText>
      </w:r>
      <w:r w:rsidRPr="00C90AC9">
        <w:rPr>
          <w:rFonts w:eastAsiaTheme="minorHAnsi"/>
          <w:lang w:eastAsia="en-US"/>
        </w:rPr>
        <w:fldChar w:fldCharType="separate"/>
      </w:r>
      <w:r w:rsidRPr="00C90AC9">
        <w:rPr>
          <w:rFonts w:eastAsiaTheme="minorHAnsi"/>
          <w:lang w:eastAsia="en-US"/>
        </w:rPr>
        <w:t>(Greening &amp; Azapagic, 2014)</w:t>
      </w:r>
      <w:r w:rsidRPr="00C90AC9">
        <w:rPr>
          <w:rFonts w:eastAsiaTheme="minorHAnsi"/>
          <w:lang w:eastAsia="en-US"/>
        </w:rPr>
        <w:fldChar w:fldCharType="end"/>
      </w:r>
      <w:r w:rsidR="008E18C2" w:rsidRPr="00C90AC9">
        <w:rPr>
          <w:rFonts w:eastAsiaTheme="minorHAnsi"/>
          <w:lang w:eastAsia="en-US"/>
        </w:rPr>
        <w:t xml:space="preserve">. The study also considered the converse situation, when a STP </w:t>
      </w:r>
      <w:r w:rsidR="008E18C2" w:rsidRPr="00C90AC9">
        <w:rPr>
          <w:rFonts w:eastAsiaTheme="minorHAnsi"/>
          <w:lang w:eastAsia="en-US"/>
        </w:rPr>
        <w:lastRenderedPageBreak/>
        <w:t>has a longer lifetime of 30 years. In these conditions they determined that the overall environmental impacts will be reduced by about 10%. This suggests that the overall environmental impact is very marginal once the STP is beyond its lifetime of approximately 25 years</w:t>
      </w:r>
      <w:r w:rsidRPr="00C90AC9">
        <w:rPr>
          <w:rFonts w:eastAsiaTheme="minorHAnsi"/>
          <w:lang w:eastAsia="en-US"/>
        </w:rPr>
        <w:t xml:space="preserve"> </w:t>
      </w:r>
      <w:r w:rsidRPr="00C90AC9">
        <w:rPr>
          <w:rFonts w:eastAsiaTheme="minorHAnsi"/>
          <w:lang w:eastAsia="en-US"/>
        </w:rPr>
        <w:fldChar w:fldCharType="begin"/>
      </w:r>
      <w:r w:rsidRPr="00C90AC9">
        <w:rPr>
          <w:rFonts w:eastAsiaTheme="minorHAnsi"/>
          <w:lang w:eastAsia="en-US"/>
        </w:rPr>
        <w:instrText xml:space="preserve"> ADDIN EN.CITE &lt;EndNote&gt;&lt;Cite&gt;&lt;Author&gt;Greening&lt;/Author&gt;&lt;Year&gt;2014&lt;/Year&gt;&lt;RecNum&gt;146&lt;/RecNum&gt;&lt;DisplayText&gt;(Greening &amp;amp; Azapagic, 2014)&lt;/DisplayText&gt;&lt;record&gt;&lt;rec-number&gt;146&lt;/rec-number&gt;&lt;foreign-keys&gt;&lt;key app="EN" db-id="50wxdpzd9vd5r7e9t5b595djrfpttrxw9avp" timestamp="1525076334"&gt;146&lt;/key&gt;&lt;/foreign-keys&gt;&lt;ref-type name="Journal Article"&gt;17&lt;/ref-type&gt;&lt;contributors&gt;&lt;authors&gt;&lt;author&gt;Greening, B.&lt;/author&gt;&lt;author&gt;A. Azapagic&lt;/author&gt;&lt;/authors&gt;&lt;/contributors&gt;&lt;titles&gt;&lt;title&gt;Domestic solar thermal water heating: A sustainable option for the UK?&lt;/title&gt;&lt;secondary-title&gt;Renewable Energy&lt;/secondary-title&gt;&lt;short-title&gt;Greening, B. and A. Azapagic 2014 – Domestic solar thermal water heating&lt;/short-title&gt;&lt;/titles&gt;&lt;pages&gt;p. 23-36&lt;/pages&gt;&lt;volume&gt;63&lt;/volume&gt;&lt;number&gt;0&lt;/number&gt;&lt;dates&gt;&lt;year&gt;2014&lt;/year&gt;&lt;/dates&gt;&lt;urls&gt;&lt;/urls&gt;&lt;/record&gt;&lt;/Cite&gt;&lt;/EndNote&gt;</w:instrText>
      </w:r>
      <w:r w:rsidRPr="00C90AC9">
        <w:rPr>
          <w:rFonts w:eastAsiaTheme="minorHAnsi"/>
          <w:lang w:eastAsia="en-US"/>
        </w:rPr>
        <w:fldChar w:fldCharType="separate"/>
      </w:r>
      <w:r w:rsidRPr="00C90AC9">
        <w:rPr>
          <w:rFonts w:eastAsiaTheme="minorHAnsi"/>
          <w:lang w:eastAsia="en-US"/>
        </w:rPr>
        <w:t>(Greening &amp; Azapagic, 2014)</w:t>
      </w:r>
      <w:r w:rsidRPr="00C90AC9">
        <w:rPr>
          <w:rFonts w:eastAsiaTheme="minorHAnsi"/>
          <w:lang w:eastAsia="en-US"/>
        </w:rPr>
        <w:fldChar w:fldCharType="end"/>
      </w:r>
      <w:r w:rsidR="008E18C2" w:rsidRPr="00C90AC9">
        <w:rPr>
          <w:rFonts w:eastAsiaTheme="minorHAnsi"/>
          <w:lang w:eastAsia="en-US"/>
        </w:rPr>
        <w:t>.</w:t>
      </w:r>
    </w:p>
    <w:p w:rsidR="006C7013" w:rsidRPr="00C90AC9" w:rsidRDefault="006C7013" w:rsidP="00B06779">
      <w:pPr>
        <w:rPr>
          <w:rFonts w:eastAsiaTheme="minorHAnsi"/>
          <w:lang w:eastAsia="en-US"/>
        </w:rPr>
      </w:pPr>
    </w:p>
    <w:p w:rsidR="00A16B8C" w:rsidRPr="00C90AC9" w:rsidRDefault="00A16B8C" w:rsidP="009601D8">
      <w:pPr>
        <w:pStyle w:val="Heading1"/>
        <w:rPr>
          <w:rStyle w:val="SubtleEmphasis"/>
          <w:iCs w:val="0"/>
        </w:rPr>
      </w:pPr>
      <w:bookmarkStart w:id="20" w:name="_Toc447173047"/>
      <w:r w:rsidRPr="00C90AC9">
        <w:rPr>
          <w:rStyle w:val="SubtleEmphasis"/>
          <w:iCs w:val="0"/>
        </w:rPr>
        <w:t>Computer models for domestic solar applications</w:t>
      </w:r>
      <w:bookmarkEnd w:id="20"/>
    </w:p>
    <w:p w:rsidR="00A16B8C" w:rsidRPr="00C90AC9" w:rsidRDefault="00A16B8C" w:rsidP="00375E5A">
      <w:pPr>
        <w:pStyle w:val="BodyTextFirstIndent"/>
        <w:spacing w:line="360" w:lineRule="auto"/>
        <w:ind w:firstLine="357"/>
        <w:rPr>
          <w:rFonts w:eastAsiaTheme="minorHAnsi"/>
          <w:lang w:eastAsia="en-US"/>
        </w:rPr>
      </w:pPr>
      <w:r w:rsidRPr="00C90AC9">
        <w:rPr>
          <w:rFonts w:eastAsiaTheme="minorHAnsi"/>
          <w:lang w:eastAsia="en-US"/>
        </w:rPr>
        <w:t xml:space="preserve">Computer models have been used to investigate how certain parameters affect the performance of solar thermal systems since the late 1950s </w:t>
      </w:r>
      <w:r w:rsidR="002B3148" w:rsidRPr="00C90AC9">
        <w:rPr>
          <w:rFonts w:eastAsiaTheme="minorHAnsi"/>
          <w:lang w:eastAsia="en-US"/>
        </w:rPr>
        <w:fldChar w:fldCharType="begin"/>
      </w:r>
      <w:r w:rsidR="002B3148" w:rsidRPr="00C90AC9">
        <w:rPr>
          <w:rFonts w:eastAsiaTheme="minorHAnsi"/>
          <w:lang w:eastAsia="en-US"/>
        </w:rPr>
        <w:instrText xml:space="preserve"> ADDIN EN.CITE &lt;EndNote&gt;&lt;Cite&gt;&lt;Author&gt;Speyer&lt;/Author&gt;&lt;Year&gt;1959&lt;/Year&gt;&lt;RecNum&gt;190&lt;/RecNum&gt;&lt;DisplayText&gt;(Speyer, 1959)&lt;/DisplayText&gt;&lt;record&gt;&lt;rec-number&gt;190&lt;/rec-number&gt;&lt;foreign-keys&gt;&lt;key app="EN" db-id="50wxdpzd9vd5r7e9t5b595djrfpttrxw9avp" timestamp="1525076335"&gt;190&lt;/key&gt;&lt;/foreign-keys&gt;&lt;ref-type name="Journal Article"&gt;17&lt;/ref-type&gt;&lt;contributors&gt;&lt;authors&gt;&lt;author&gt;Speyer, E.&lt;/author&gt;&lt;/authors&gt;&lt;/contributors&gt;&lt;titles&gt;&lt;title&gt;Optimum storage of heat with a solar house&lt;/title&gt;&lt;secondary-title&gt;Solar Energy&lt;/secondary-title&gt;&lt;short-title&gt;Speyer 1959 – Optimum storage of heat&lt;/short-title&gt;&lt;/titles&gt;&lt;pages&gt;p. 24-48&lt;/pages&gt;&lt;volume&gt;3&lt;/volume&gt;&lt;number&gt;4&lt;/number&gt;&lt;dates&gt;&lt;year&gt;1959&lt;/year&gt;&lt;/dates&gt;&lt;urls&gt;&lt;/urls&gt;&lt;/record&gt;&lt;/Cite&gt;&lt;/EndNote&gt;</w:instrText>
      </w:r>
      <w:r w:rsidR="002B3148" w:rsidRPr="00C90AC9">
        <w:rPr>
          <w:rFonts w:eastAsiaTheme="minorHAnsi"/>
          <w:lang w:eastAsia="en-US"/>
        </w:rPr>
        <w:fldChar w:fldCharType="separate"/>
      </w:r>
      <w:r w:rsidR="002B3148" w:rsidRPr="00C90AC9">
        <w:rPr>
          <w:rFonts w:eastAsiaTheme="minorHAnsi"/>
          <w:lang w:eastAsia="en-US"/>
        </w:rPr>
        <w:t>(Speyer, 1959)</w:t>
      </w:r>
      <w:r w:rsidR="002B3148" w:rsidRPr="00C90AC9">
        <w:rPr>
          <w:rFonts w:eastAsiaTheme="minorHAnsi"/>
          <w:lang w:eastAsia="en-US"/>
        </w:rPr>
        <w:fldChar w:fldCharType="end"/>
      </w:r>
      <w:r w:rsidR="002B3148" w:rsidRPr="00C90AC9">
        <w:rPr>
          <w:rFonts w:eastAsiaTheme="minorHAnsi"/>
          <w:lang w:eastAsia="en-US"/>
        </w:rPr>
        <w:t xml:space="preserve">. </w:t>
      </w:r>
      <w:r w:rsidR="002A208F" w:rsidRPr="00C90AC9">
        <w:rPr>
          <w:rFonts w:eastAsiaTheme="minorHAnsi"/>
          <w:lang w:eastAsia="en-US"/>
        </w:rPr>
        <w:t xml:space="preserve">The application of computers </w:t>
      </w:r>
      <w:r w:rsidR="00A07B9E" w:rsidRPr="00C90AC9">
        <w:rPr>
          <w:rFonts w:eastAsiaTheme="minorHAnsi"/>
          <w:lang w:eastAsia="en-US"/>
        </w:rPr>
        <w:t>was employed to benefit from the capability of computers to conduct vast computations rather than calculations by hand which has a limited capability.  These early studies determined</w:t>
      </w:r>
      <w:r w:rsidRPr="00C90AC9">
        <w:rPr>
          <w:rFonts w:eastAsiaTheme="minorHAnsi"/>
          <w:lang w:eastAsia="en-US"/>
        </w:rPr>
        <w:t xml:space="preserve">: that long-term storage is less economical than short term storage </w:t>
      </w:r>
      <w:r w:rsidR="002B3148" w:rsidRPr="00C90AC9">
        <w:rPr>
          <w:rFonts w:eastAsiaTheme="minorHAnsi"/>
          <w:lang w:eastAsia="en-US"/>
        </w:rPr>
        <w:fldChar w:fldCharType="begin"/>
      </w:r>
      <w:r w:rsidR="002B3148" w:rsidRPr="00C90AC9">
        <w:rPr>
          <w:rFonts w:eastAsiaTheme="minorHAnsi"/>
          <w:lang w:eastAsia="en-US"/>
        </w:rPr>
        <w:instrText xml:space="preserve"> ADDIN EN.CITE &lt;EndNote&gt;&lt;Cite&gt;&lt;Author&gt;Speyer&lt;/Author&gt;&lt;Year&gt;1959&lt;/Year&gt;&lt;RecNum&gt;190&lt;/RecNum&gt;&lt;DisplayText&gt;(Speyer, 1959)&lt;/DisplayText&gt;&lt;record&gt;&lt;rec-number&gt;190&lt;/rec-number&gt;&lt;foreign-keys&gt;&lt;key app="EN" db-id="50wxdpzd9vd5r7e9t5b595djrfpttrxw9avp" timestamp="1525076335"&gt;190&lt;/key&gt;&lt;/foreign-keys&gt;&lt;ref-type name="Journal Article"&gt;17&lt;/ref-type&gt;&lt;contributors&gt;&lt;authors&gt;&lt;author&gt;Speyer, E.&lt;/author&gt;&lt;/authors&gt;&lt;/contributors&gt;&lt;titles&gt;&lt;title&gt;Optimum storage of heat with a solar house&lt;/title&gt;&lt;secondary-title&gt;Solar Energy&lt;/secondary-title&gt;&lt;short-title&gt;Speyer 1959 – Optimum storage of heat&lt;/short-title&gt;&lt;/titles&gt;&lt;pages&gt;p. 24-48&lt;/pages&gt;&lt;volume&gt;3&lt;/volume&gt;&lt;number&gt;4&lt;/number&gt;&lt;dates&gt;&lt;year&gt;1959&lt;/year&gt;&lt;/dates&gt;&lt;urls&gt;&lt;/urls&gt;&lt;/record&gt;&lt;/Cite&gt;&lt;/EndNote&gt;</w:instrText>
      </w:r>
      <w:r w:rsidR="002B3148" w:rsidRPr="00C90AC9">
        <w:rPr>
          <w:rFonts w:eastAsiaTheme="minorHAnsi"/>
          <w:lang w:eastAsia="en-US"/>
        </w:rPr>
        <w:fldChar w:fldCharType="separate"/>
      </w:r>
      <w:r w:rsidR="002B3148" w:rsidRPr="00C90AC9">
        <w:rPr>
          <w:rFonts w:eastAsiaTheme="minorHAnsi"/>
          <w:lang w:eastAsia="en-US"/>
        </w:rPr>
        <w:t>(Speyer, 1959)</w:t>
      </w:r>
      <w:r w:rsidR="002B3148" w:rsidRPr="00C90AC9">
        <w:rPr>
          <w:rFonts w:eastAsiaTheme="minorHAnsi"/>
          <w:lang w:eastAsia="en-US"/>
        </w:rPr>
        <w:fldChar w:fldCharType="end"/>
      </w:r>
      <w:r w:rsidR="002B3148" w:rsidRPr="00C90AC9">
        <w:rPr>
          <w:rFonts w:eastAsiaTheme="minorHAnsi"/>
          <w:lang w:eastAsia="en-US"/>
        </w:rPr>
        <w:t>. U</w:t>
      </w:r>
      <w:r w:rsidRPr="00C90AC9">
        <w:rPr>
          <w:rFonts w:eastAsiaTheme="minorHAnsi"/>
          <w:lang w:eastAsia="en-US"/>
        </w:rPr>
        <w:t xml:space="preserve">sing actual climactic data over relatively small-time intervals resulted in valid design optimisation </w:t>
      </w:r>
      <w:r w:rsidR="002B3148" w:rsidRPr="00C90AC9">
        <w:rPr>
          <w:rFonts w:eastAsiaTheme="minorHAnsi"/>
          <w:lang w:eastAsia="en-US"/>
        </w:rPr>
        <w:t xml:space="preserve">was conducted in the 1960’s when it was determined that </w:t>
      </w:r>
      <w:r w:rsidRPr="00C90AC9">
        <w:rPr>
          <w:rFonts w:eastAsiaTheme="minorHAnsi"/>
          <w:lang w:eastAsia="en-US"/>
        </w:rPr>
        <w:t xml:space="preserve">changes to the collector area has a significant impact on the annual heat output of the collector whereas other variables such as: the collector slope; orientation; and storage tank volume had a contrastingly small impact on annual heat output </w:t>
      </w:r>
      <w:r w:rsidR="002B3148" w:rsidRPr="00C90AC9">
        <w:rPr>
          <w:rFonts w:eastAsiaTheme="minorHAnsi"/>
          <w:lang w:eastAsia="en-US"/>
        </w:rPr>
        <w:fldChar w:fldCharType="begin"/>
      </w:r>
      <w:r w:rsidR="002B3148" w:rsidRPr="00C90AC9">
        <w:rPr>
          <w:rFonts w:eastAsiaTheme="minorHAnsi"/>
          <w:lang w:eastAsia="en-US"/>
        </w:rPr>
        <w:instrText xml:space="preserve"> ADDIN EN.CITE &lt;EndNote&gt;&lt;Cite&gt;&lt;Author&gt;Buchberg&lt;/Author&gt;&lt;Year&gt;1968&lt;/Year&gt;&lt;RecNum&gt;126&lt;/RecNum&gt;&lt;DisplayText&gt;(Buchberg &amp;amp; Roulet, 1968; Speyer, 1968)&lt;/DisplayText&gt;&lt;record&gt;&lt;rec-number&gt;126&lt;/rec-number&gt;&lt;foreign-keys&gt;&lt;key app="EN" db-id="50wxdpzd9vd5r7e9t5b595djrfpttrxw9avp" timestamp="1525076334"&gt;126&lt;/key&gt;&lt;/foreign-keys&gt;&lt;ref-type name="Journal Article"&gt;17&lt;/ref-type&gt;&lt;contributors&gt;&lt;authors&gt;&lt;author&gt;Buchberg, H.&lt;/author&gt;&lt;author&gt;J.R. Roulet&lt;/author&gt;&lt;/authors&gt;&lt;/contributors&gt;&lt;titles&gt;&lt;title&gt;Simulation and optimization of solar collection and storage for house heating&lt;/title&gt;&lt;secondary-title&gt;Solar Energy&lt;/secondary-title&gt;&lt;short-title&gt;Buchberg, H. and J.R. Roulet 1968 – Simulation and optimization of solar&lt;/short-title&gt;&lt;/titles&gt;&lt;pages&gt;p. 31-50&lt;/pages&gt;&lt;volume&gt;12&lt;/volume&gt;&lt;number&gt;1&lt;/number&gt;&lt;dates&gt;&lt;year&gt;1968&lt;/year&gt;&lt;/dates&gt;&lt;urls&gt;&lt;/urls&gt;&lt;/record&gt;&lt;/Cite&gt;&lt;Cite&gt;&lt;Author&gt;Speyer&lt;/Author&gt;&lt;Year&gt;1968&lt;/Year&gt;&lt;RecNum&gt;191&lt;/RecNum&gt;&lt;record&gt;&lt;rec-number&gt;191&lt;/rec-number&gt;&lt;foreign-keys&gt;&lt;key app="EN" db-id="50wxdpzd9vd5r7e9t5b595djrfpttrxw9avp" timestamp="1525076335"&gt;191&lt;/key&gt;&lt;/foreign-keys&gt;&lt;ref-type name="Journal Article"&gt;17&lt;/ref-type&gt;&lt;contributors&gt;&lt;authors&gt;&lt;author&gt;Speyer, E.&lt;/author&gt;&lt;/authors&gt;&lt;/contributors&gt;&lt;titles&gt;&lt;title&gt;Optimum storage of heat with a solar house&lt;/title&gt;&lt;secondary-title&gt;Solar Energy&lt;/secondary-title&gt;&lt;short-title&gt;Speyer 1968 – Optimum storage of heat&lt;/short-title&gt;&lt;/titles&gt;&lt;pages&gt;p. 24-48&lt;/pages&gt;&lt;volume&gt;12&lt;/volume&gt;&lt;number&gt;1&lt;/number&gt;&lt;dates&gt;&lt;year&gt;1968&lt;/year&gt;&lt;/dates&gt;&lt;urls&gt;&lt;/urls&gt;&lt;/record&gt;&lt;/Cite&gt;&lt;/EndNote&gt;</w:instrText>
      </w:r>
      <w:r w:rsidR="002B3148" w:rsidRPr="00C90AC9">
        <w:rPr>
          <w:rFonts w:eastAsiaTheme="minorHAnsi"/>
          <w:lang w:eastAsia="en-US"/>
        </w:rPr>
        <w:fldChar w:fldCharType="separate"/>
      </w:r>
      <w:r w:rsidR="002B3148" w:rsidRPr="00C90AC9">
        <w:rPr>
          <w:rFonts w:eastAsiaTheme="minorHAnsi"/>
          <w:lang w:eastAsia="en-US"/>
        </w:rPr>
        <w:t>(Buchberg &amp; Roulet, 1968; Speyer, 1968)</w:t>
      </w:r>
      <w:r w:rsidR="002B3148" w:rsidRPr="00C90AC9">
        <w:rPr>
          <w:rFonts w:eastAsiaTheme="minorHAnsi"/>
          <w:lang w:eastAsia="en-US"/>
        </w:rPr>
        <w:fldChar w:fldCharType="end"/>
      </w:r>
      <w:r w:rsidR="002B3148" w:rsidRPr="00C90AC9">
        <w:rPr>
          <w:rFonts w:eastAsiaTheme="minorHAnsi"/>
          <w:lang w:eastAsia="en-US"/>
        </w:rPr>
        <w:t>.</w:t>
      </w:r>
      <w:r w:rsidRPr="00C90AC9">
        <w:rPr>
          <w:rFonts w:eastAsiaTheme="minorHAnsi"/>
          <w:lang w:eastAsia="en-US"/>
        </w:rPr>
        <w:t xml:space="preserve"> These early studies benefited by using computers in two </w:t>
      </w:r>
      <w:r w:rsidR="002B3148" w:rsidRPr="00C90AC9">
        <w:rPr>
          <w:rFonts w:eastAsiaTheme="minorHAnsi"/>
          <w:lang w:eastAsia="en-US"/>
        </w:rPr>
        <w:t>significant</w:t>
      </w:r>
      <w:r w:rsidRPr="00C90AC9">
        <w:rPr>
          <w:rFonts w:eastAsiaTheme="minorHAnsi"/>
          <w:lang w:eastAsia="en-US"/>
        </w:rPr>
        <w:t xml:space="preserve"> ways: the use of computers increased the overall accuracy of the </w:t>
      </w:r>
      <w:r w:rsidR="002B3148" w:rsidRPr="00C90AC9">
        <w:rPr>
          <w:rFonts w:eastAsiaTheme="minorHAnsi"/>
          <w:lang w:eastAsia="en-US"/>
        </w:rPr>
        <w:t>results gained; and computers a</w:t>
      </w:r>
      <w:r w:rsidRPr="00C90AC9">
        <w:rPr>
          <w:rFonts w:eastAsiaTheme="minorHAnsi"/>
          <w:lang w:eastAsia="en-US"/>
        </w:rPr>
        <w:t xml:space="preserve">re better suited to take into account the transient nature of solar irradiance as it changes throughout the day </w:t>
      </w:r>
      <w:r w:rsidR="002B3148" w:rsidRPr="00C90AC9">
        <w:rPr>
          <w:rFonts w:eastAsiaTheme="minorHAnsi"/>
          <w:lang w:eastAsia="en-US"/>
        </w:rPr>
        <w:fldChar w:fldCharType="begin"/>
      </w:r>
      <w:r w:rsidR="002B3148" w:rsidRPr="00C90AC9">
        <w:rPr>
          <w:rFonts w:eastAsiaTheme="minorHAnsi"/>
          <w:lang w:eastAsia="en-US"/>
        </w:rPr>
        <w:instrText xml:space="preserve"> ADDIN EN.CITE &lt;EndNote&gt;&lt;Cite&gt;&lt;Author&gt;Speyer&lt;/Author&gt;&lt;Year&gt;1968&lt;/Year&gt;&lt;RecNum&gt;191&lt;/RecNum&gt;&lt;DisplayText&gt;(Buchberg &amp;amp; Roulet, 1968; Speyer, 1968)&lt;/DisplayText&gt;&lt;record&gt;&lt;rec-number&gt;191&lt;/rec-number&gt;&lt;foreign-keys&gt;&lt;key app="EN" db-id="50wxdpzd9vd5r7e9t5b595djrfpttrxw9avp" timestamp="1525076335"&gt;191&lt;/key&gt;&lt;/foreign-keys&gt;&lt;ref-type name="Journal Article"&gt;17&lt;/ref-type&gt;&lt;contributors&gt;&lt;authors&gt;&lt;author&gt;Speyer, E.&lt;/author&gt;&lt;/authors&gt;&lt;/contributors&gt;&lt;titles&gt;&lt;title&gt;Optimum storage of heat with a solar house&lt;/title&gt;&lt;secondary-title&gt;Solar Energy&lt;/secondary-title&gt;&lt;short-title&gt;Speyer 1968 – Optimum storage of heat&lt;/short-title&gt;&lt;/titles&gt;&lt;pages&gt;p. 24-48&lt;/pages&gt;&lt;volume&gt;12&lt;/volume&gt;&lt;number&gt;1&lt;/number&gt;&lt;dates&gt;&lt;year&gt;1968&lt;/year&gt;&lt;/dates&gt;&lt;urls&gt;&lt;/urls&gt;&lt;/record&gt;&lt;/Cite&gt;&lt;Cite&gt;&lt;Author&gt;Buchberg&lt;/Author&gt;&lt;Year&gt;1968&lt;/Year&gt;&lt;RecNum&gt;126&lt;/RecNum&gt;&lt;record&gt;&lt;rec-number&gt;126&lt;/rec-number&gt;&lt;foreign-keys&gt;&lt;key app="EN" db-id="50wxdpzd9vd5r7e9t5b595djrfpttrxw9avp" timestamp="1525076334"&gt;126&lt;/key&gt;&lt;/foreign-keys&gt;&lt;ref-type name="Journal Article"&gt;17&lt;/ref-type&gt;&lt;contributors&gt;&lt;authors&gt;&lt;author&gt;Buchberg, H.&lt;/author&gt;&lt;author&gt;J.R. Roulet&lt;/author&gt;&lt;/authors&gt;&lt;/contributors&gt;&lt;titles&gt;&lt;title&gt;Simulation and optimization of solar collection and storage for house heating&lt;/title&gt;&lt;secondary-title&gt;Solar Energy&lt;/secondary-title&gt;&lt;short-title&gt;Buchberg, H. and J.R. Roulet 1968 – Simulation and optimization of solar&lt;/short-title&gt;&lt;/titles&gt;&lt;pages&gt;p. 31-50&lt;/pages&gt;&lt;volume&gt;12&lt;/volume&gt;&lt;number&gt;1&lt;/number&gt;&lt;dates&gt;&lt;year&gt;1968&lt;/year&gt;&lt;/dates&gt;&lt;urls&gt;&lt;/urls&gt;&lt;/record&gt;&lt;/Cite&gt;&lt;/EndNote&gt;</w:instrText>
      </w:r>
      <w:r w:rsidR="002B3148" w:rsidRPr="00C90AC9">
        <w:rPr>
          <w:rFonts w:eastAsiaTheme="minorHAnsi"/>
          <w:lang w:eastAsia="en-US"/>
        </w:rPr>
        <w:fldChar w:fldCharType="separate"/>
      </w:r>
      <w:r w:rsidR="002B3148" w:rsidRPr="00C90AC9">
        <w:rPr>
          <w:rFonts w:eastAsiaTheme="minorHAnsi"/>
          <w:lang w:eastAsia="en-US"/>
        </w:rPr>
        <w:t>(Buchberg &amp; Roulet, 1968; Speyer, 1968)</w:t>
      </w:r>
      <w:r w:rsidR="002B3148" w:rsidRPr="00C90AC9">
        <w:rPr>
          <w:rFonts w:eastAsiaTheme="minorHAnsi"/>
          <w:lang w:eastAsia="en-US"/>
        </w:rPr>
        <w:fldChar w:fldCharType="end"/>
      </w:r>
      <w:r w:rsidRPr="00C90AC9">
        <w:rPr>
          <w:rFonts w:eastAsiaTheme="minorHAnsi"/>
          <w:lang w:eastAsia="en-US"/>
        </w:rPr>
        <w:t xml:space="preserve">. </w:t>
      </w:r>
      <w:r w:rsidR="003014B5" w:rsidRPr="00C90AC9">
        <w:rPr>
          <w:rFonts w:eastAsiaTheme="minorHAnsi"/>
          <w:lang w:eastAsia="en-US"/>
        </w:rPr>
        <w:tab/>
      </w:r>
      <w:r w:rsidR="003014B5" w:rsidRPr="00C90AC9">
        <w:rPr>
          <w:rFonts w:eastAsiaTheme="minorHAnsi"/>
          <w:lang w:eastAsia="en-US"/>
        </w:rPr>
        <w:tab/>
      </w:r>
    </w:p>
    <w:p w:rsidR="00A16B8C" w:rsidRPr="00C90AC9" w:rsidRDefault="00A16B8C" w:rsidP="003014B5">
      <w:pPr>
        <w:pStyle w:val="BodyText"/>
        <w:spacing w:line="360" w:lineRule="auto"/>
        <w:rPr>
          <w:rFonts w:eastAsiaTheme="minorHAnsi"/>
          <w:lang w:eastAsia="en-US"/>
        </w:rPr>
      </w:pPr>
      <w:r w:rsidRPr="00C90AC9">
        <w:rPr>
          <w:rFonts w:eastAsiaTheme="minorHAnsi"/>
          <w:lang w:eastAsia="en-US"/>
        </w:rPr>
        <w:t xml:space="preserve">Control of Solar Thermal System have therefore been </w:t>
      </w:r>
      <w:r w:rsidR="00CE56F1" w:rsidRPr="00C90AC9">
        <w:rPr>
          <w:rFonts w:eastAsiaTheme="minorHAnsi"/>
          <w:lang w:eastAsia="en-US"/>
        </w:rPr>
        <w:t>employed</w:t>
      </w:r>
      <w:r w:rsidRPr="00C90AC9">
        <w:rPr>
          <w:rFonts w:eastAsiaTheme="minorHAnsi"/>
          <w:lang w:eastAsia="en-US"/>
        </w:rPr>
        <w:t xml:space="preserve"> since the mid-sixties with a greater focus placed on Solar Thermal Systems (STS) used for space heating rather than STS used for the heating of domestically used water </w:t>
      </w:r>
      <w:r w:rsidR="002B3148" w:rsidRPr="00C90AC9">
        <w:rPr>
          <w:rFonts w:eastAsiaTheme="minorHAnsi"/>
          <w:lang w:eastAsia="en-US"/>
        </w:rPr>
        <w:fldChar w:fldCharType="begin"/>
      </w:r>
      <w:r w:rsidR="002B3148" w:rsidRPr="00C90AC9">
        <w:rPr>
          <w:rFonts w:eastAsiaTheme="minorHAnsi"/>
          <w:lang w:eastAsia="en-US"/>
        </w:rPr>
        <w:instrText xml:space="preserve"> ADDIN EN.CITE &lt;EndNote&gt;&lt;Cite&gt;&lt;Author&gt;Buchberg&lt;/Author&gt;&lt;Year&gt;1968&lt;/Year&gt;&lt;RecNum&gt;126&lt;/RecNum&gt;&lt;DisplayText&gt;(Buchberg &amp;amp; Roulet, 1968)&lt;/DisplayText&gt;&lt;record&gt;&lt;rec-number&gt;126&lt;/rec-number&gt;&lt;foreign-keys&gt;&lt;key app="EN" db-id="50wxdpzd9vd5r7e9t5b595djrfpttrxw9avp" timestamp="1525076334"&gt;126&lt;/key&gt;&lt;/foreign-keys&gt;&lt;ref-type name="Journal Article"&gt;17&lt;/ref-type&gt;&lt;contributors&gt;&lt;authors&gt;&lt;author&gt;Buchberg, H.&lt;/author&gt;&lt;author&gt;J.R. Roulet&lt;/author&gt;&lt;/authors&gt;&lt;/contributors&gt;&lt;titles&gt;&lt;title&gt;Simulation and optimization of solar collection and storage for house heating&lt;/title&gt;&lt;secondary-title&gt;Solar Energy&lt;/secondary-title&gt;&lt;short-title&gt;Buchberg, H. and J.R. Roulet 1968 – Simulation and optimization of solar&lt;/short-title&gt;&lt;/titles&gt;&lt;pages&gt;p. 31-50&lt;/pages&gt;&lt;volume&gt;12&lt;/volume&gt;&lt;number&gt;1&lt;/number&gt;&lt;dates&gt;&lt;year&gt;1968&lt;/year&gt;&lt;/dates&gt;&lt;urls&gt;&lt;/urls&gt;&lt;/record&gt;&lt;/Cite&gt;&lt;/EndNote&gt;</w:instrText>
      </w:r>
      <w:r w:rsidR="002B3148" w:rsidRPr="00C90AC9">
        <w:rPr>
          <w:rFonts w:eastAsiaTheme="minorHAnsi"/>
          <w:lang w:eastAsia="en-US"/>
        </w:rPr>
        <w:fldChar w:fldCharType="separate"/>
      </w:r>
      <w:r w:rsidR="002B3148" w:rsidRPr="00C90AC9">
        <w:rPr>
          <w:rFonts w:eastAsiaTheme="minorHAnsi"/>
          <w:lang w:eastAsia="en-US"/>
        </w:rPr>
        <w:t>(Buchberg &amp; Roulet, 1968)</w:t>
      </w:r>
      <w:r w:rsidR="002B3148" w:rsidRPr="00C90AC9">
        <w:rPr>
          <w:rFonts w:eastAsiaTheme="minorHAnsi"/>
          <w:lang w:eastAsia="en-US"/>
        </w:rPr>
        <w:fldChar w:fldCharType="end"/>
      </w:r>
      <w:r w:rsidRPr="00C90AC9">
        <w:rPr>
          <w:rFonts w:eastAsiaTheme="minorHAnsi"/>
          <w:lang w:eastAsia="en-US"/>
        </w:rPr>
        <w:t xml:space="preserve">. </w:t>
      </w:r>
      <w:r w:rsidR="002B3148" w:rsidRPr="00C90AC9">
        <w:rPr>
          <w:rFonts w:eastAsiaTheme="minorHAnsi"/>
          <w:lang w:eastAsia="en-US"/>
        </w:rPr>
        <w:t>W</w:t>
      </w:r>
      <w:r w:rsidRPr="00C90AC9">
        <w:rPr>
          <w:rFonts w:eastAsiaTheme="minorHAnsi"/>
          <w:lang w:eastAsia="en-US"/>
        </w:rPr>
        <w:t xml:space="preserve">eather data </w:t>
      </w:r>
      <w:r w:rsidR="002B3148" w:rsidRPr="00C90AC9">
        <w:rPr>
          <w:rFonts w:eastAsiaTheme="minorHAnsi"/>
          <w:lang w:eastAsia="en-US"/>
        </w:rPr>
        <w:t xml:space="preserve">was used by R.G. Courtney  as it was </w:t>
      </w:r>
      <w:r w:rsidRPr="00C90AC9">
        <w:rPr>
          <w:rFonts w:eastAsiaTheme="minorHAnsi"/>
          <w:lang w:eastAsia="en-US"/>
        </w:rPr>
        <w:t xml:space="preserve">collected at hourly intervals for ten years from the Meteorological Office in Kew </w:t>
      </w:r>
      <w:r w:rsidR="002B3148" w:rsidRPr="00C90AC9">
        <w:rPr>
          <w:rFonts w:eastAsiaTheme="minorHAnsi"/>
          <w:lang w:eastAsia="en-US"/>
        </w:rPr>
        <w:fldChar w:fldCharType="begin"/>
      </w:r>
      <w:r w:rsidR="002B3148" w:rsidRPr="00C90AC9">
        <w:rPr>
          <w:rFonts w:eastAsiaTheme="minorHAnsi"/>
          <w:lang w:eastAsia="en-US"/>
        </w:rPr>
        <w:instrText xml:space="preserve"> ADDIN EN.CITE &lt;EndNote&gt;&lt;Cite&gt;&lt;Author&gt;Courtney&lt;/Author&gt;&lt;Year&gt;1977&lt;/Year&gt;&lt;RecNum&gt;134&lt;/RecNum&gt;&lt;DisplayText&gt;(Courtney, 1977)&lt;/DisplayText&gt;&lt;record&gt;&lt;rec-number&gt;134&lt;/rec-number&gt;&lt;foreign-keys&gt;&lt;key app="EN" db-id="50wxdpzd9vd5r7e9t5b595djrfpttrxw9avp" timestamp="1525076334"&gt;134&lt;/key&gt;&lt;/foreign-keys&gt;&lt;ref-type name="Journal Article"&gt;17&lt;/ref-type&gt;&lt;contributors&gt;&lt;authors&gt;&lt;author&gt;Courtney, R. G.&lt;/author&gt;&lt;/authors&gt;&lt;/contributors&gt;&lt;titles&gt;&lt;title&gt;A computer study of solar water heating&lt;/title&gt;&lt;secondary-title&gt;Building and Environment&lt;/secondary-title&gt;&lt;short-title&gt;Courtney 1977 – A computer study of solar&lt;/short-title&gt;&lt;/titles&gt;&lt;pages&gt;p. 73-80&lt;/pages&gt;&lt;volume&gt;12&lt;/volume&gt;&lt;number&gt;2&lt;/number&gt;&lt;dates&gt;&lt;year&gt;1977&lt;/year&gt;&lt;/dates&gt;&lt;urls&gt;&lt;/urls&gt;&lt;/record&gt;&lt;/Cite&gt;&lt;/EndNote&gt;</w:instrText>
      </w:r>
      <w:r w:rsidR="002B3148" w:rsidRPr="00C90AC9">
        <w:rPr>
          <w:rFonts w:eastAsiaTheme="minorHAnsi"/>
          <w:lang w:eastAsia="en-US"/>
        </w:rPr>
        <w:fldChar w:fldCharType="separate"/>
      </w:r>
      <w:r w:rsidR="002B3148" w:rsidRPr="00C90AC9">
        <w:rPr>
          <w:rFonts w:eastAsiaTheme="minorHAnsi"/>
          <w:lang w:eastAsia="en-US"/>
        </w:rPr>
        <w:t>(Courtney, 1977)</w:t>
      </w:r>
      <w:r w:rsidR="002B3148" w:rsidRPr="00C90AC9">
        <w:rPr>
          <w:rFonts w:eastAsiaTheme="minorHAnsi"/>
          <w:lang w:eastAsia="en-US"/>
        </w:rPr>
        <w:fldChar w:fldCharType="end"/>
      </w:r>
      <w:r w:rsidRPr="00C90AC9">
        <w:rPr>
          <w:rFonts w:eastAsiaTheme="minorHAnsi"/>
          <w:lang w:eastAsia="en-US"/>
        </w:rPr>
        <w:t>. Twelve meteorological variables were monitored at Kew and subsequently three of the variables: the global and diffuse radiation (measured on a horizontal plane) and ambient air temperature were used by R. G. Courtney</w:t>
      </w:r>
      <w:r w:rsidR="002B3148" w:rsidRPr="00C90AC9">
        <w:rPr>
          <w:rFonts w:eastAsiaTheme="minorHAnsi"/>
          <w:lang w:eastAsia="en-US"/>
        </w:rPr>
        <w:t xml:space="preserve"> </w:t>
      </w:r>
      <w:r w:rsidR="002B3148" w:rsidRPr="00C90AC9">
        <w:rPr>
          <w:rFonts w:eastAsiaTheme="minorHAnsi"/>
          <w:lang w:eastAsia="en-US"/>
        </w:rPr>
        <w:fldChar w:fldCharType="begin"/>
      </w:r>
      <w:r w:rsidR="002B3148" w:rsidRPr="00C90AC9">
        <w:rPr>
          <w:rFonts w:eastAsiaTheme="minorHAnsi"/>
          <w:lang w:eastAsia="en-US"/>
        </w:rPr>
        <w:instrText xml:space="preserve"> ADDIN EN.CITE &lt;EndNote&gt;&lt;Cite&gt;&lt;Author&gt;Courtney&lt;/Author&gt;&lt;Year&gt;1977&lt;/Year&gt;&lt;RecNum&gt;134&lt;/RecNum&gt;&lt;DisplayText&gt;(Courtney, 1977)&lt;/DisplayText&gt;&lt;record&gt;&lt;rec-number&gt;134&lt;/rec-number&gt;&lt;foreign-keys&gt;&lt;key app="EN" db-id="50wxdpzd9vd5r7e9t5b595djrfpttrxw9avp" timestamp="1525076334"&gt;134&lt;/key&gt;&lt;/foreign-keys&gt;&lt;ref-type name="Journal Article"&gt;17&lt;/ref-type&gt;&lt;contributors&gt;&lt;authors&gt;&lt;author&gt;Courtney, R. G.&lt;/author&gt;&lt;/authors&gt;&lt;/contributors&gt;&lt;titles&gt;&lt;title&gt;A computer study of solar water heating&lt;/title&gt;&lt;secondary-title&gt;Building and Environment&lt;/secondary-title&gt;&lt;short-title&gt;Courtney 1977 – A computer study of solar&lt;/short-title&gt;&lt;/titles&gt;&lt;pages&gt;p. 73-80&lt;/pages&gt;&lt;volume&gt;12&lt;/volume&gt;&lt;number&gt;2&lt;/number&gt;&lt;dates&gt;&lt;year&gt;1977&lt;/year&gt;&lt;/dates&gt;&lt;urls&gt;&lt;/urls&gt;&lt;/record&gt;&lt;/Cite&gt;&lt;/EndNote&gt;</w:instrText>
      </w:r>
      <w:r w:rsidR="002B3148" w:rsidRPr="00C90AC9">
        <w:rPr>
          <w:rFonts w:eastAsiaTheme="minorHAnsi"/>
          <w:lang w:eastAsia="en-US"/>
        </w:rPr>
        <w:fldChar w:fldCharType="separate"/>
      </w:r>
      <w:r w:rsidR="002B3148" w:rsidRPr="00C90AC9">
        <w:rPr>
          <w:rFonts w:eastAsiaTheme="minorHAnsi"/>
          <w:lang w:eastAsia="en-US"/>
        </w:rPr>
        <w:t>(Courtney, 1977)</w:t>
      </w:r>
      <w:r w:rsidR="002B3148" w:rsidRPr="00C90AC9">
        <w:rPr>
          <w:rFonts w:eastAsiaTheme="minorHAnsi"/>
          <w:lang w:eastAsia="en-US"/>
        </w:rPr>
        <w:fldChar w:fldCharType="end"/>
      </w:r>
      <w:r w:rsidRPr="00C90AC9">
        <w:rPr>
          <w:rFonts w:eastAsiaTheme="minorHAnsi"/>
          <w:lang w:eastAsia="en-US"/>
        </w:rPr>
        <w:t xml:space="preserve">. From this data a UK based ‘weather profile’ could be made and used as the solar irradiance for the year </w:t>
      </w:r>
      <w:r w:rsidR="002B3148" w:rsidRPr="00C90AC9">
        <w:rPr>
          <w:rFonts w:eastAsiaTheme="minorHAnsi"/>
          <w:lang w:eastAsia="en-US"/>
        </w:rPr>
        <w:t xml:space="preserve"> </w:t>
      </w:r>
      <w:r w:rsidR="002B3148" w:rsidRPr="00C90AC9">
        <w:rPr>
          <w:rFonts w:eastAsiaTheme="minorHAnsi"/>
          <w:lang w:eastAsia="en-US"/>
        </w:rPr>
        <w:fldChar w:fldCharType="begin"/>
      </w:r>
      <w:r w:rsidR="002B3148" w:rsidRPr="00C90AC9">
        <w:rPr>
          <w:rFonts w:eastAsiaTheme="minorHAnsi"/>
          <w:lang w:eastAsia="en-US"/>
        </w:rPr>
        <w:instrText xml:space="preserve"> ADDIN EN.CITE &lt;EndNote&gt;&lt;Cite&gt;&lt;Author&gt;Courtney&lt;/Author&gt;&lt;Year&gt;1977&lt;/Year&gt;&lt;RecNum&gt;134&lt;/RecNum&gt;&lt;DisplayText&gt;(Courtney, 1977)&lt;/DisplayText&gt;&lt;record&gt;&lt;rec-number&gt;134&lt;/rec-number&gt;&lt;foreign-keys&gt;&lt;key app="EN" db-id="50wxdpzd9vd5r7e9t5b595djrfpttrxw9avp" timestamp="1525076334"&gt;134&lt;/key&gt;&lt;/foreign-keys&gt;&lt;ref-type name="Journal Article"&gt;17&lt;/ref-type&gt;&lt;contributors&gt;&lt;authors&gt;&lt;author&gt;Courtney, R. G.&lt;/author&gt;&lt;/authors&gt;&lt;/contributors&gt;&lt;titles&gt;&lt;title&gt;A computer study of solar water heating&lt;/title&gt;&lt;secondary-title&gt;Building and Environment&lt;/secondary-title&gt;&lt;short-title&gt;Courtney 1977 – A computer study of solar&lt;/short-title&gt;&lt;/titles&gt;&lt;pages&gt;p. 73-80&lt;/pages&gt;&lt;volume&gt;12&lt;/volume&gt;&lt;number&gt;2&lt;/number&gt;&lt;dates&gt;&lt;year&gt;1977&lt;/year&gt;&lt;/dates&gt;&lt;urls&gt;&lt;/urls&gt;&lt;/record&gt;&lt;/Cite&gt;&lt;/EndNote&gt;</w:instrText>
      </w:r>
      <w:r w:rsidR="002B3148" w:rsidRPr="00C90AC9">
        <w:rPr>
          <w:rFonts w:eastAsiaTheme="minorHAnsi"/>
          <w:lang w:eastAsia="en-US"/>
        </w:rPr>
        <w:fldChar w:fldCharType="separate"/>
      </w:r>
      <w:r w:rsidR="002B3148" w:rsidRPr="00C90AC9">
        <w:rPr>
          <w:rFonts w:eastAsiaTheme="minorHAnsi"/>
          <w:lang w:eastAsia="en-US"/>
        </w:rPr>
        <w:t>(Courtney, 1977)</w:t>
      </w:r>
      <w:r w:rsidR="002B3148" w:rsidRPr="00C90AC9">
        <w:rPr>
          <w:rFonts w:eastAsiaTheme="minorHAnsi"/>
          <w:lang w:eastAsia="en-US"/>
        </w:rPr>
        <w:fldChar w:fldCharType="end"/>
      </w:r>
      <w:r w:rsidRPr="00C90AC9">
        <w:rPr>
          <w:rFonts w:eastAsiaTheme="minorHAnsi"/>
          <w:lang w:eastAsia="en-US"/>
        </w:rPr>
        <w:t xml:space="preserve">. The work </w:t>
      </w:r>
      <w:r w:rsidR="002B3148" w:rsidRPr="00C90AC9">
        <w:rPr>
          <w:rFonts w:eastAsiaTheme="minorHAnsi"/>
          <w:lang w:eastAsia="en-US"/>
        </w:rPr>
        <w:t xml:space="preserve">used </w:t>
      </w:r>
      <w:r w:rsidRPr="00C90AC9">
        <w:rPr>
          <w:rFonts w:eastAsiaTheme="minorHAnsi"/>
          <w:lang w:eastAsia="en-US"/>
        </w:rPr>
        <w:t xml:space="preserve">a standard interval of 0.1h as the input simulation interval for two reasons. Firstly there was found to be a significant effect on the simulations if the interval was increased to 0.25h and secondly when the simulation time was reduced to 0.1h there was a negligible effect </w:t>
      </w:r>
      <w:r w:rsidR="00DE7844" w:rsidRPr="00C90AC9">
        <w:rPr>
          <w:rFonts w:eastAsiaTheme="minorHAnsi"/>
          <w:lang w:eastAsia="en-US"/>
        </w:rPr>
        <w:fldChar w:fldCharType="begin"/>
      </w:r>
      <w:r w:rsidR="00DE7844" w:rsidRPr="00C90AC9">
        <w:rPr>
          <w:rFonts w:eastAsiaTheme="minorHAnsi"/>
          <w:lang w:eastAsia="en-US"/>
        </w:rPr>
        <w:instrText xml:space="preserve"> ADDIN EN.CITE &lt;EndNote&gt;&lt;Cite&gt;&lt;Author&gt;Courtney&lt;/Author&gt;&lt;Year&gt;1977&lt;/Year&gt;&lt;RecNum&gt;134&lt;/RecNum&gt;&lt;DisplayText&gt;(Courtney, 1977)&lt;/DisplayText&gt;&lt;record&gt;&lt;rec-number&gt;134&lt;/rec-number&gt;&lt;foreign-keys&gt;&lt;key app="EN" db-id="50wxdpzd9vd5r7e9t5b595djrfpttrxw9avp" timestamp="1525076334"&gt;134&lt;/key&gt;&lt;/foreign-keys&gt;&lt;ref-type name="Journal Article"&gt;17&lt;/ref-type&gt;&lt;contributors&gt;&lt;authors&gt;&lt;author&gt;Courtney, R. G.&lt;/author&gt;&lt;/authors&gt;&lt;/contributors&gt;&lt;titles&gt;&lt;title&gt;A computer study of solar water heating&lt;/title&gt;&lt;secondary-title&gt;Building and Environment&lt;/secondary-title&gt;&lt;short-title&gt;Courtney 1977 – A computer study of solar&lt;/short-title&gt;&lt;/titles&gt;&lt;pages&gt;p. 73-80&lt;/pages&gt;&lt;volume&gt;12&lt;/volume&gt;&lt;number&gt;2&lt;/number&gt;&lt;dates&gt;&lt;year&gt;1977&lt;/year&gt;&lt;/dates&gt;&lt;urls&gt;&lt;/urls&gt;&lt;/record&gt;&lt;/Cite&gt;&lt;/EndNote&gt;</w:instrText>
      </w:r>
      <w:r w:rsidR="00DE7844" w:rsidRPr="00C90AC9">
        <w:rPr>
          <w:rFonts w:eastAsiaTheme="minorHAnsi"/>
          <w:lang w:eastAsia="en-US"/>
        </w:rPr>
        <w:fldChar w:fldCharType="separate"/>
      </w:r>
      <w:r w:rsidR="00DE7844" w:rsidRPr="00C90AC9">
        <w:rPr>
          <w:rFonts w:eastAsiaTheme="minorHAnsi"/>
          <w:lang w:eastAsia="en-US"/>
        </w:rPr>
        <w:t>(Courtney, 1977)</w:t>
      </w:r>
      <w:r w:rsidR="00DE7844" w:rsidRPr="00C90AC9">
        <w:rPr>
          <w:rFonts w:eastAsiaTheme="minorHAnsi"/>
          <w:lang w:eastAsia="en-US"/>
        </w:rPr>
        <w:fldChar w:fldCharType="end"/>
      </w:r>
      <w:r w:rsidRPr="00C90AC9">
        <w:rPr>
          <w:rFonts w:eastAsiaTheme="minorHAnsi"/>
          <w:lang w:eastAsia="en-US"/>
        </w:rPr>
        <w:t>.</w:t>
      </w:r>
      <w:r w:rsidR="002B3148" w:rsidRPr="00C90AC9">
        <w:rPr>
          <w:rFonts w:eastAsiaTheme="minorHAnsi"/>
          <w:lang w:eastAsia="en-US"/>
        </w:rPr>
        <w:t xml:space="preserve"> </w:t>
      </w:r>
      <w:r w:rsidRPr="00C90AC9">
        <w:rPr>
          <w:rFonts w:eastAsiaTheme="minorHAnsi"/>
          <w:lang w:eastAsia="en-US"/>
        </w:rPr>
        <w:t xml:space="preserve">The work  by Courtney also found that the thermal systems were relatively insensitive to the angle that the </w:t>
      </w:r>
      <w:r w:rsidRPr="00C90AC9">
        <w:rPr>
          <w:rFonts w:eastAsiaTheme="minorHAnsi"/>
          <w:lang w:eastAsia="en-US"/>
        </w:rPr>
        <w:lastRenderedPageBreak/>
        <w:t xml:space="preserve">panels were positioned at to the horizontal and the orientation that the panels were placed at </w:t>
      </w:r>
      <w:r w:rsidR="00DE7844" w:rsidRPr="00C90AC9">
        <w:rPr>
          <w:rFonts w:eastAsiaTheme="minorHAnsi"/>
          <w:lang w:eastAsia="en-US"/>
        </w:rPr>
        <w:fldChar w:fldCharType="begin"/>
      </w:r>
      <w:r w:rsidR="00DE7844" w:rsidRPr="00C90AC9">
        <w:rPr>
          <w:rFonts w:eastAsiaTheme="minorHAnsi"/>
          <w:lang w:eastAsia="en-US"/>
        </w:rPr>
        <w:instrText xml:space="preserve"> ADDIN EN.CITE &lt;EndNote&gt;&lt;Cite&gt;&lt;Author&gt;Courtney&lt;/Author&gt;&lt;Year&gt;1977&lt;/Year&gt;&lt;RecNum&gt;134&lt;/RecNum&gt;&lt;DisplayText&gt;(Courtney, 1977)&lt;/DisplayText&gt;&lt;record&gt;&lt;rec-number&gt;134&lt;/rec-number&gt;&lt;foreign-keys&gt;&lt;key app="EN" db-id="50wxdpzd9vd5r7e9t5b595djrfpttrxw9avp" timestamp="1525076334"&gt;134&lt;/key&gt;&lt;/foreign-keys&gt;&lt;ref-type name="Journal Article"&gt;17&lt;/ref-type&gt;&lt;contributors&gt;&lt;authors&gt;&lt;author&gt;Courtney, R. G.&lt;/author&gt;&lt;/authors&gt;&lt;/contributors&gt;&lt;titles&gt;&lt;title&gt;A computer study of solar water heating&lt;/title&gt;&lt;secondary-title&gt;Building and Environment&lt;/secondary-title&gt;&lt;short-title&gt;Courtney 1977 – A computer study of solar&lt;/short-title&gt;&lt;/titles&gt;&lt;pages&gt;p. 73-80&lt;/pages&gt;&lt;volume&gt;12&lt;/volume&gt;&lt;number&gt;2&lt;/number&gt;&lt;dates&gt;&lt;year&gt;1977&lt;/year&gt;&lt;/dates&gt;&lt;urls&gt;&lt;/urls&gt;&lt;/record&gt;&lt;/Cite&gt;&lt;/EndNote&gt;</w:instrText>
      </w:r>
      <w:r w:rsidR="00DE7844" w:rsidRPr="00C90AC9">
        <w:rPr>
          <w:rFonts w:eastAsiaTheme="minorHAnsi"/>
          <w:lang w:eastAsia="en-US"/>
        </w:rPr>
        <w:fldChar w:fldCharType="separate"/>
      </w:r>
      <w:r w:rsidR="00DE7844" w:rsidRPr="00C90AC9">
        <w:rPr>
          <w:rFonts w:eastAsiaTheme="minorHAnsi"/>
          <w:lang w:eastAsia="en-US"/>
        </w:rPr>
        <w:t>(Courtney, 1977)</w:t>
      </w:r>
      <w:r w:rsidR="00DE7844" w:rsidRPr="00C90AC9">
        <w:rPr>
          <w:rFonts w:eastAsiaTheme="minorHAnsi"/>
          <w:lang w:eastAsia="en-US"/>
        </w:rPr>
        <w:fldChar w:fldCharType="end"/>
      </w:r>
      <w:r w:rsidRPr="00C90AC9">
        <w:rPr>
          <w:rFonts w:eastAsiaTheme="minorHAnsi"/>
          <w:lang w:eastAsia="en-US"/>
        </w:rPr>
        <w:t>. The most prominent factor which determined the heat output of the system was the collector area with the annual heat output of the solar thermal panels doubling from approximately 3.5 GJ to approximately 7 GJ with the collector area increasing from 2m</w:t>
      </w:r>
      <w:r w:rsidRPr="00C90AC9">
        <w:rPr>
          <w:rFonts w:eastAsiaTheme="minorHAnsi"/>
          <w:vertAlign w:val="superscript"/>
          <w:lang w:eastAsia="en-US"/>
        </w:rPr>
        <w:t>2</w:t>
      </w:r>
      <w:r w:rsidRPr="00C90AC9">
        <w:rPr>
          <w:rFonts w:eastAsiaTheme="minorHAnsi"/>
          <w:lang w:eastAsia="en-US"/>
        </w:rPr>
        <w:t xml:space="preserve"> to 6m</w:t>
      </w:r>
      <w:r w:rsidRPr="00C90AC9">
        <w:rPr>
          <w:rFonts w:eastAsiaTheme="minorHAnsi"/>
          <w:vertAlign w:val="superscript"/>
          <w:lang w:eastAsia="en-US"/>
        </w:rPr>
        <w:t>2</w:t>
      </w:r>
      <w:r w:rsidRPr="00C90AC9">
        <w:rPr>
          <w:rFonts w:eastAsiaTheme="minorHAnsi"/>
          <w:lang w:eastAsia="en-US"/>
        </w:rPr>
        <w:t xml:space="preserve"> </w:t>
      </w:r>
      <w:r w:rsidR="00DE7844" w:rsidRPr="00C90AC9">
        <w:rPr>
          <w:rFonts w:eastAsiaTheme="minorHAnsi"/>
          <w:lang w:eastAsia="en-US"/>
        </w:rPr>
        <w:fldChar w:fldCharType="begin"/>
      </w:r>
      <w:r w:rsidR="00DE7844" w:rsidRPr="00C90AC9">
        <w:rPr>
          <w:rFonts w:eastAsiaTheme="minorHAnsi"/>
          <w:lang w:eastAsia="en-US"/>
        </w:rPr>
        <w:instrText xml:space="preserve"> ADDIN EN.CITE &lt;EndNote&gt;&lt;Cite&gt;&lt;Author&gt;Courtney&lt;/Author&gt;&lt;Year&gt;1977&lt;/Year&gt;&lt;RecNum&gt;134&lt;/RecNum&gt;&lt;DisplayText&gt;(Courtney, 1977)&lt;/DisplayText&gt;&lt;record&gt;&lt;rec-number&gt;134&lt;/rec-number&gt;&lt;foreign-keys&gt;&lt;key app="EN" db-id="50wxdpzd9vd5r7e9t5b595djrfpttrxw9avp" timestamp="1525076334"&gt;134&lt;/key&gt;&lt;/foreign-keys&gt;&lt;ref-type name="Journal Article"&gt;17&lt;/ref-type&gt;&lt;contributors&gt;&lt;authors&gt;&lt;author&gt;Courtney, R. G.&lt;/author&gt;&lt;/authors&gt;&lt;/contributors&gt;&lt;titles&gt;&lt;title&gt;A computer study of solar water heating&lt;/title&gt;&lt;secondary-title&gt;Building and Environment&lt;/secondary-title&gt;&lt;short-title&gt;Courtney 1977 – A computer study of solar&lt;/short-title&gt;&lt;/titles&gt;&lt;pages&gt;p. 73-80&lt;/pages&gt;&lt;volume&gt;12&lt;/volume&gt;&lt;number&gt;2&lt;/number&gt;&lt;dates&gt;&lt;year&gt;1977&lt;/year&gt;&lt;/dates&gt;&lt;urls&gt;&lt;/urls&gt;&lt;/record&gt;&lt;/Cite&gt;&lt;/EndNote&gt;</w:instrText>
      </w:r>
      <w:r w:rsidR="00DE7844" w:rsidRPr="00C90AC9">
        <w:rPr>
          <w:rFonts w:eastAsiaTheme="minorHAnsi"/>
          <w:lang w:eastAsia="en-US"/>
        </w:rPr>
        <w:fldChar w:fldCharType="separate"/>
      </w:r>
      <w:r w:rsidR="00DE7844" w:rsidRPr="00C90AC9">
        <w:rPr>
          <w:rFonts w:eastAsiaTheme="minorHAnsi"/>
          <w:lang w:eastAsia="en-US"/>
        </w:rPr>
        <w:t>(Courtney, 1977)</w:t>
      </w:r>
      <w:r w:rsidR="00DE7844" w:rsidRPr="00C90AC9">
        <w:rPr>
          <w:rFonts w:eastAsiaTheme="minorHAnsi"/>
          <w:lang w:eastAsia="en-US"/>
        </w:rPr>
        <w:fldChar w:fldCharType="end"/>
      </w:r>
      <w:r w:rsidRPr="00C90AC9">
        <w:rPr>
          <w:rFonts w:eastAsiaTheme="minorHAnsi"/>
          <w:lang w:eastAsia="en-US"/>
        </w:rPr>
        <w:t>.</w:t>
      </w:r>
      <w:r w:rsidR="00DE7844" w:rsidRPr="00C90AC9">
        <w:rPr>
          <w:rFonts w:eastAsiaTheme="minorHAnsi"/>
          <w:lang w:eastAsia="en-US"/>
        </w:rPr>
        <w:t xml:space="preserve"> </w:t>
      </w:r>
      <w:r w:rsidRPr="00C90AC9">
        <w:rPr>
          <w:rFonts w:eastAsiaTheme="minorHAnsi"/>
          <w:lang w:eastAsia="en-US"/>
        </w:rPr>
        <w:t>Figures 2.</w:t>
      </w:r>
      <w:r w:rsidR="00F17541" w:rsidRPr="00C90AC9">
        <w:rPr>
          <w:rFonts w:eastAsiaTheme="minorHAnsi"/>
          <w:lang w:eastAsia="en-US"/>
        </w:rPr>
        <w:t>2</w:t>
      </w:r>
      <w:r w:rsidRPr="00C90AC9">
        <w:rPr>
          <w:rFonts w:eastAsiaTheme="minorHAnsi"/>
          <w:lang w:eastAsia="en-US"/>
        </w:rPr>
        <w:t xml:space="preserve"> and 2.</w:t>
      </w:r>
      <w:r w:rsidR="00F17541" w:rsidRPr="00C90AC9">
        <w:rPr>
          <w:rFonts w:eastAsiaTheme="minorHAnsi"/>
          <w:lang w:eastAsia="en-US"/>
        </w:rPr>
        <w:t>3</w:t>
      </w:r>
      <w:r w:rsidRPr="00C90AC9">
        <w:rPr>
          <w:rFonts w:eastAsiaTheme="minorHAnsi"/>
          <w:lang w:eastAsia="en-US"/>
        </w:rPr>
        <w:t xml:space="preserve"> show the results of the research showing little difference in heat output between solar collectors that were placed at 20° or 60°.</w:t>
      </w:r>
    </w:p>
    <w:p w:rsidR="00A16B8C" w:rsidRPr="00C90AC9" w:rsidRDefault="00A16B8C" w:rsidP="003014B5">
      <w:pPr>
        <w:pStyle w:val="BodyText"/>
        <w:spacing w:line="360" w:lineRule="auto"/>
        <w:rPr>
          <w:rFonts w:eastAsiaTheme="minorHAnsi"/>
          <w:lang w:eastAsia="en-US"/>
        </w:rPr>
      </w:pPr>
      <w:r w:rsidRPr="00C90AC9">
        <w:rPr>
          <w:rFonts w:eastAsiaTheme="minorHAnsi"/>
          <w:lang w:eastAsia="en-US"/>
        </w:rPr>
        <w:t>Courtney kept the angle of inclination of his solar thermal panel in his program set 40° which is comparable to the optimum angle which would be equal to the latitude of the panel’s placement on the planet, which for Kew is 51.5°</w:t>
      </w:r>
      <w:r w:rsidR="00DE7844" w:rsidRPr="00C90AC9">
        <w:rPr>
          <w:rFonts w:eastAsiaTheme="minorHAnsi"/>
          <w:lang w:eastAsia="en-US"/>
        </w:rPr>
        <w:fldChar w:fldCharType="begin"/>
      </w:r>
      <w:r w:rsidR="00DE7844" w:rsidRPr="00C90AC9">
        <w:rPr>
          <w:rFonts w:eastAsiaTheme="minorHAnsi"/>
          <w:lang w:eastAsia="en-US"/>
        </w:rPr>
        <w:instrText xml:space="preserve"> ADDIN EN.CITE &lt;EndNote&gt;&lt;Cite&gt;&lt;Author&gt;Courtney&lt;/Author&gt;&lt;Year&gt;1977&lt;/Year&gt;&lt;RecNum&gt;134&lt;/RecNum&gt;&lt;DisplayText&gt;(Courtney, 1977)&lt;/DisplayText&gt;&lt;record&gt;&lt;rec-number&gt;134&lt;/rec-number&gt;&lt;foreign-keys&gt;&lt;key app="EN" db-id="50wxdpzd9vd5r7e9t5b595djrfpttrxw9avp" timestamp="1525076334"&gt;134&lt;/key&gt;&lt;/foreign-keys&gt;&lt;ref-type name="Journal Article"&gt;17&lt;/ref-type&gt;&lt;contributors&gt;&lt;authors&gt;&lt;author&gt;Courtney, R. G.&lt;/author&gt;&lt;/authors&gt;&lt;/contributors&gt;&lt;titles&gt;&lt;title&gt;A computer study of solar water heating&lt;/title&gt;&lt;secondary-title&gt;Building and Environment&lt;/secondary-title&gt;&lt;short-title&gt;Courtney 1977 – A computer study of solar&lt;/short-title&gt;&lt;/titles&gt;&lt;pages&gt;p. 73-80&lt;/pages&gt;&lt;volume&gt;12&lt;/volume&gt;&lt;number&gt;2&lt;/number&gt;&lt;dates&gt;&lt;year&gt;1977&lt;/year&gt;&lt;/dates&gt;&lt;urls&gt;&lt;/urls&gt;&lt;/record&gt;&lt;/Cite&gt;&lt;/EndNote&gt;</w:instrText>
      </w:r>
      <w:r w:rsidR="00DE7844" w:rsidRPr="00C90AC9">
        <w:rPr>
          <w:rFonts w:eastAsiaTheme="minorHAnsi"/>
          <w:lang w:eastAsia="en-US"/>
        </w:rPr>
        <w:fldChar w:fldCharType="separate"/>
      </w:r>
      <w:r w:rsidR="00DE7844" w:rsidRPr="00C90AC9">
        <w:rPr>
          <w:rFonts w:eastAsiaTheme="minorHAnsi"/>
          <w:lang w:eastAsia="en-US"/>
        </w:rPr>
        <w:t>(Courtney, 1977)</w:t>
      </w:r>
      <w:r w:rsidR="00DE7844" w:rsidRPr="00C90AC9">
        <w:rPr>
          <w:rFonts w:eastAsiaTheme="minorHAnsi"/>
          <w:lang w:eastAsia="en-US"/>
        </w:rPr>
        <w:fldChar w:fldCharType="end"/>
      </w:r>
      <w:r w:rsidRPr="00C90AC9">
        <w:rPr>
          <w:rFonts w:eastAsiaTheme="minorHAnsi"/>
          <w:lang w:eastAsia="en-US"/>
        </w:rPr>
        <w:t>.</w:t>
      </w:r>
    </w:p>
    <w:p w:rsidR="00984852" w:rsidRPr="00C90AC9" w:rsidRDefault="00984852" w:rsidP="00984852">
      <w:pPr>
        <w:rPr>
          <w:rFonts w:eastAsiaTheme="minorHAnsi"/>
          <w:lang w:eastAsia="en-US"/>
        </w:rPr>
      </w:pPr>
    </w:p>
    <w:p w:rsidR="00A16B8C" w:rsidRPr="00C90AC9" w:rsidRDefault="00900FB9" w:rsidP="00984852">
      <w:pPr>
        <w:rPr>
          <w:rFonts w:eastAsiaTheme="minorHAnsi"/>
          <w:lang w:eastAsia="en-US"/>
        </w:rPr>
      </w:pPr>
      <w:r w:rsidRPr="00C90AC9">
        <w:rPr>
          <w:rFonts w:eastAsiaTheme="minorHAnsi"/>
          <w:noProof/>
        </w:rPr>
        <w:drawing>
          <wp:anchor distT="0" distB="0" distL="114300" distR="114300" simplePos="0" relativeHeight="251682816" behindDoc="0" locked="0" layoutInCell="1" allowOverlap="1" wp14:anchorId="68D68A99" wp14:editId="098FF783">
            <wp:simplePos x="0" y="0"/>
            <wp:positionH relativeFrom="margin">
              <wp:posOffset>-9525</wp:posOffset>
            </wp:positionH>
            <wp:positionV relativeFrom="paragraph">
              <wp:posOffset>565150</wp:posOffset>
            </wp:positionV>
            <wp:extent cx="5581650" cy="4552950"/>
            <wp:effectExtent l="19050" t="19050" r="19050" b="19050"/>
            <wp:wrapSquare wrapText="bothSides"/>
            <wp:docPr id="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5181" t="26064" r="55702" b="13286"/>
                    <a:stretch/>
                  </pic:blipFill>
                  <pic:spPr bwMode="auto">
                    <a:xfrm>
                      <a:off x="0" y="0"/>
                      <a:ext cx="5581650" cy="4552950"/>
                    </a:xfrm>
                    <a:prstGeom prst="rect">
                      <a:avLst/>
                    </a:prstGeom>
                    <a:noFill/>
                    <a:ln w="6350"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16B8C" w:rsidRPr="00C90AC9">
        <w:rPr>
          <w:rFonts w:eastAsiaTheme="minorHAnsi"/>
          <w:lang w:eastAsia="en-US"/>
        </w:rPr>
        <w:t>Figure 2.</w:t>
      </w:r>
      <w:r w:rsidR="00D62B11" w:rsidRPr="00C90AC9">
        <w:rPr>
          <w:rFonts w:eastAsiaTheme="minorHAnsi"/>
          <w:lang w:eastAsia="en-US"/>
        </w:rPr>
        <w:t>2</w:t>
      </w:r>
      <w:r w:rsidR="00464CD3" w:rsidRPr="00C90AC9">
        <w:rPr>
          <w:rFonts w:eastAsiaTheme="minorHAnsi"/>
          <w:lang w:eastAsia="en-US"/>
        </w:rPr>
        <w:t>. T</w:t>
      </w:r>
      <w:r w:rsidR="00A16B8C" w:rsidRPr="00C90AC9">
        <w:rPr>
          <w:rFonts w:eastAsiaTheme="minorHAnsi"/>
          <w:lang w:eastAsia="en-US"/>
        </w:rPr>
        <w:t xml:space="preserve">he heat output of solar collectors at two different angles 20° and 60° </w:t>
      </w:r>
      <w:r w:rsidR="00DE7844" w:rsidRPr="00C90AC9">
        <w:rPr>
          <w:rFonts w:eastAsiaTheme="minorHAnsi"/>
          <w:lang w:eastAsia="en-US"/>
        </w:rPr>
        <w:fldChar w:fldCharType="begin"/>
      </w:r>
      <w:r w:rsidR="00DE7844" w:rsidRPr="00C90AC9">
        <w:rPr>
          <w:rFonts w:eastAsiaTheme="minorHAnsi"/>
          <w:lang w:eastAsia="en-US"/>
        </w:rPr>
        <w:instrText xml:space="preserve"> ADDIN EN.CITE &lt;EndNote&gt;&lt;Cite&gt;&lt;Author&gt;Courtney&lt;/Author&gt;&lt;Year&gt;1977&lt;/Year&gt;&lt;RecNum&gt;134&lt;/RecNum&gt;&lt;DisplayText&gt;(Courtney, 1977)&lt;/DisplayText&gt;&lt;record&gt;&lt;rec-number&gt;134&lt;/rec-number&gt;&lt;foreign-keys&gt;&lt;key app="EN" db-id="50wxdpzd9vd5r7e9t5b595djrfpttrxw9avp" timestamp="1525076334"&gt;134&lt;/key&gt;&lt;/foreign-keys&gt;&lt;ref-type name="Journal Article"&gt;17&lt;/ref-type&gt;&lt;contributors&gt;&lt;authors&gt;&lt;author&gt;Courtney, R. G.&lt;/author&gt;&lt;/authors&gt;&lt;/contributors&gt;&lt;titles&gt;&lt;title&gt;A computer study of solar water heating&lt;/title&gt;&lt;secondary-title&gt;Building and Environment&lt;/secondary-title&gt;&lt;short-title&gt;Courtney 1977 – A computer study of solar&lt;/short-title&gt;&lt;/titles&gt;&lt;pages&gt;p. 73-80&lt;/pages&gt;&lt;volume&gt;12&lt;/volume&gt;&lt;number&gt;2&lt;/number&gt;&lt;dates&gt;&lt;year&gt;1977&lt;/year&gt;&lt;/dates&gt;&lt;urls&gt;&lt;/urls&gt;&lt;/record&gt;&lt;/Cite&gt;&lt;/EndNote&gt;</w:instrText>
      </w:r>
      <w:r w:rsidR="00DE7844" w:rsidRPr="00C90AC9">
        <w:rPr>
          <w:rFonts w:eastAsiaTheme="minorHAnsi"/>
          <w:lang w:eastAsia="en-US"/>
        </w:rPr>
        <w:fldChar w:fldCharType="separate"/>
      </w:r>
      <w:r w:rsidR="00DE7844" w:rsidRPr="00C90AC9">
        <w:rPr>
          <w:rFonts w:eastAsiaTheme="minorHAnsi"/>
          <w:lang w:eastAsia="en-US"/>
        </w:rPr>
        <w:t>(Courtney, 1977)</w:t>
      </w:r>
      <w:r w:rsidR="00DE7844" w:rsidRPr="00C90AC9">
        <w:rPr>
          <w:rFonts w:eastAsiaTheme="minorHAnsi"/>
          <w:lang w:eastAsia="en-US"/>
        </w:rPr>
        <w:fldChar w:fldCharType="end"/>
      </w:r>
    </w:p>
    <w:p w:rsidR="00394A1F" w:rsidRPr="00C90AC9" w:rsidRDefault="00394A1F" w:rsidP="00B06779">
      <w:pPr>
        <w:pStyle w:val="BodyText"/>
        <w:rPr>
          <w:rFonts w:eastAsiaTheme="minorHAnsi"/>
          <w:lang w:eastAsia="en-US"/>
        </w:rPr>
      </w:pPr>
    </w:p>
    <w:p w:rsidR="00972302" w:rsidRPr="00C90AC9" w:rsidRDefault="00972302" w:rsidP="00E82D6C">
      <w:pPr>
        <w:pStyle w:val="BodyText"/>
        <w:spacing w:line="360" w:lineRule="auto"/>
        <w:rPr>
          <w:rFonts w:eastAsiaTheme="minorHAnsi"/>
          <w:lang w:eastAsia="en-US"/>
        </w:rPr>
      </w:pPr>
      <w:r w:rsidRPr="00C90AC9">
        <w:rPr>
          <w:rFonts w:eastAsiaTheme="minorHAnsi"/>
          <w:lang w:eastAsia="en-US"/>
        </w:rPr>
        <w:lastRenderedPageBreak/>
        <w:t>As Figure 2.</w:t>
      </w:r>
      <w:r w:rsidR="00F17541" w:rsidRPr="00C90AC9">
        <w:rPr>
          <w:rFonts w:eastAsiaTheme="minorHAnsi"/>
          <w:lang w:eastAsia="en-US"/>
        </w:rPr>
        <w:t>2</w:t>
      </w:r>
      <w:r w:rsidRPr="00C90AC9">
        <w:rPr>
          <w:rFonts w:eastAsiaTheme="minorHAnsi"/>
          <w:lang w:eastAsia="en-US"/>
        </w:rPr>
        <w:t xml:space="preserve"> shows, the heat output from solar collectors follows the irradiance pattern of the </w:t>
      </w:r>
      <w:r w:rsidR="000450FC" w:rsidRPr="00C90AC9">
        <w:rPr>
          <w:rFonts w:eastAsiaTheme="minorHAnsi"/>
          <w:lang w:eastAsia="en-US"/>
        </w:rPr>
        <w:t>sun</w:t>
      </w:r>
      <w:r w:rsidRPr="00C90AC9">
        <w:rPr>
          <w:rFonts w:eastAsiaTheme="minorHAnsi"/>
          <w:lang w:eastAsia="en-US"/>
        </w:rPr>
        <w:t xml:space="preserve"> throughout a year with the summer months recording the highest heat output and the winter months the lowest </w:t>
      </w:r>
      <w:r w:rsidRPr="00C90AC9">
        <w:rPr>
          <w:rFonts w:eastAsiaTheme="minorHAnsi"/>
          <w:lang w:eastAsia="en-US"/>
        </w:rPr>
        <w:fldChar w:fldCharType="begin"/>
      </w:r>
      <w:r w:rsidRPr="00C90AC9">
        <w:rPr>
          <w:rFonts w:eastAsiaTheme="minorHAnsi"/>
          <w:lang w:eastAsia="en-US"/>
        </w:rPr>
        <w:instrText xml:space="preserve"> ADDIN EN.CITE &lt;EndNote&gt;&lt;Cite&gt;&lt;Author&gt;Courtney&lt;/Author&gt;&lt;Year&gt;1977&lt;/Year&gt;&lt;RecNum&gt;134&lt;/RecNum&gt;&lt;DisplayText&gt;(Courtney, 1977)&lt;/DisplayText&gt;&lt;record&gt;&lt;rec-number&gt;134&lt;/rec-number&gt;&lt;foreign-keys&gt;&lt;key app="EN" db-id="50wxdpzd9vd5r7e9t5b595djrfpttrxw9avp" timestamp="1525076334"&gt;134&lt;/key&gt;&lt;/foreign-keys&gt;&lt;ref-type name="Journal Article"&gt;17&lt;/ref-type&gt;&lt;contributors&gt;&lt;authors&gt;&lt;author&gt;Courtney, R. G.&lt;/author&gt;&lt;/authors&gt;&lt;/contributors&gt;&lt;titles&gt;&lt;title&gt;A computer study of solar water heating&lt;/title&gt;&lt;secondary-title&gt;Building and Environment&lt;/secondary-title&gt;&lt;short-title&gt;Courtney 1977 – A computer study of solar&lt;/short-title&gt;&lt;/titles&gt;&lt;pages&gt;p. 73-80&lt;/pages&gt;&lt;volume&gt;12&lt;/volume&gt;&lt;number&gt;2&lt;/number&gt;&lt;dates&gt;&lt;year&gt;1977&lt;/year&gt;&lt;/dates&gt;&lt;urls&gt;&lt;/urls&gt;&lt;/record&gt;&lt;/Cite&gt;&lt;/EndNote&gt;</w:instrText>
      </w:r>
      <w:r w:rsidRPr="00C90AC9">
        <w:rPr>
          <w:rFonts w:eastAsiaTheme="minorHAnsi"/>
          <w:lang w:eastAsia="en-US"/>
        </w:rPr>
        <w:fldChar w:fldCharType="separate"/>
      </w:r>
      <w:r w:rsidRPr="00C90AC9">
        <w:rPr>
          <w:rFonts w:eastAsiaTheme="minorHAnsi"/>
          <w:lang w:eastAsia="en-US"/>
        </w:rPr>
        <w:t>(Courtney, 1977)</w:t>
      </w:r>
      <w:r w:rsidRPr="00C90AC9">
        <w:rPr>
          <w:rFonts w:eastAsiaTheme="minorHAnsi"/>
          <w:lang w:eastAsia="en-US"/>
        </w:rPr>
        <w:fldChar w:fldCharType="end"/>
      </w:r>
      <w:r w:rsidRPr="00C90AC9">
        <w:rPr>
          <w:rFonts w:eastAsiaTheme="minorHAnsi"/>
          <w:lang w:eastAsia="en-US"/>
        </w:rPr>
        <w:t>.</w:t>
      </w:r>
    </w:p>
    <w:p w:rsidR="00A16B8C" w:rsidRPr="00C90AC9" w:rsidRDefault="00900FB9" w:rsidP="00162965">
      <w:pPr>
        <w:pStyle w:val="BodyText"/>
        <w:spacing w:line="360" w:lineRule="auto"/>
        <w:rPr>
          <w:rFonts w:eastAsiaTheme="minorHAnsi"/>
          <w:lang w:eastAsia="en-US"/>
        </w:rPr>
      </w:pPr>
      <w:r w:rsidRPr="00C90AC9">
        <w:rPr>
          <w:rFonts w:eastAsiaTheme="minorHAnsi"/>
          <w:lang w:eastAsia="en-US"/>
        </w:rPr>
        <w:t>Courtney</w:t>
      </w:r>
      <w:r w:rsidR="00A16B8C" w:rsidRPr="00C90AC9">
        <w:rPr>
          <w:rFonts w:eastAsiaTheme="minorHAnsi"/>
          <w:lang w:eastAsia="en-US"/>
        </w:rPr>
        <w:t xml:space="preserve"> also found that the benefits of a clean collector compared to a dirty one </w:t>
      </w:r>
      <w:proofErr w:type="gramStart"/>
      <w:r w:rsidR="00A16B8C" w:rsidRPr="00C90AC9">
        <w:rPr>
          <w:rFonts w:eastAsiaTheme="minorHAnsi"/>
          <w:lang w:eastAsia="en-US"/>
        </w:rPr>
        <w:t>were</w:t>
      </w:r>
      <w:proofErr w:type="gramEnd"/>
      <w:r w:rsidR="00A16B8C" w:rsidRPr="00C90AC9">
        <w:rPr>
          <w:rFonts w:eastAsiaTheme="minorHAnsi"/>
          <w:lang w:eastAsia="en-US"/>
        </w:rPr>
        <w:t xml:space="preserve"> found to affect the heat output of the system by only 6%. This effect was considered to be the maximum difference between two collectors in different environments (one very dirty environment and one very clean)</w:t>
      </w:r>
      <w:r w:rsidR="009319DD" w:rsidRPr="00C90AC9">
        <w:rPr>
          <w:rFonts w:eastAsiaTheme="minorHAnsi"/>
          <w:lang w:eastAsia="en-US"/>
        </w:rPr>
        <w:t xml:space="preserve"> </w:t>
      </w:r>
      <w:r w:rsidR="00DE7844" w:rsidRPr="00C90AC9">
        <w:rPr>
          <w:rFonts w:eastAsiaTheme="minorHAnsi"/>
          <w:lang w:eastAsia="en-US"/>
        </w:rPr>
        <w:fldChar w:fldCharType="begin"/>
      </w:r>
      <w:r w:rsidR="00DE7844" w:rsidRPr="00C90AC9">
        <w:rPr>
          <w:rFonts w:eastAsiaTheme="minorHAnsi"/>
          <w:lang w:eastAsia="en-US"/>
        </w:rPr>
        <w:instrText xml:space="preserve"> ADDIN EN.CITE &lt;EndNote&gt;&lt;Cite&gt;&lt;Author&gt;Courtney&lt;/Author&gt;&lt;Year&gt;1977&lt;/Year&gt;&lt;RecNum&gt;134&lt;/RecNum&gt;&lt;DisplayText&gt;(Courtney, 1977)&lt;/DisplayText&gt;&lt;record&gt;&lt;rec-number&gt;134&lt;/rec-number&gt;&lt;foreign-keys&gt;&lt;key app="EN" db-id="50wxdpzd9vd5r7e9t5b595djrfpttrxw9avp" timestamp="1525076334"&gt;134&lt;/key&gt;&lt;/foreign-keys&gt;&lt;ref-type name="Journal Article"&gt;17&lt;/ref-type&gt;&lt;contributors&gt;&lt;authors&gt;&lt;author&gt;Courtney, R. G.&lt;/author&gt;&lt;/authors&gt;&lt;/contributors&gt;&lt;titles&gt;&lt;title&gt;A computer study of solar water heating&lt;/title&gt;&lt;secondary-title&gt;Building and Environment&lt;/secondary-title&gt;&lt;short-title&gt;Courtney 1977 – A computer study of solar&lt;/short-title&gt;&lt;/titles&gt;&lt;pages&gt;p. 73-80&lt;/pages&gt;&lt;volume&gt;12&lt;/volume&gt;&lt;number&gt;2&lt;/number&gt;&lt;dates&gt;&lt;year&gt;1977&lt;/year&gt;&lt;/dates&gt;&lt;urls&gt;&lt;/urls&gt;&lt;/record&gt;&lt;/Cite&gt;&lt;/EndNote&gt;</w:instrText>
      </w:r>
      <w:r w:rsidR="00DE7844" w:rsidRPr="00C90AC9">
        <w:rPr>
          <w:rFonts w:eastAsiaTheme="minorHAnsi"/>
          <w:lang w:eastAsia="en-US"/>
        </w:rPr>
        <w:fldChar w:fldCharType="separate"/>
      </w:r>
      <w:r w:rsidR="00DE7844" w:rsidRPr="00C90AC9">
        <w:rPr>
          <w:rFonts w:eastAsiaTheme="minorHAnsi"/>
          <w:lang w:eastAsia="en-US"/>
        </w:rPr>
        <w:t>(Courtney, 1977)</w:t>
      </w:r>
      <w:r w:rsidR="00DE7844" w:rsidRPr="00C90AC9">
        <w:rPr>
          <w:rFonts w:eastAsiaTheme="minorHAnsi"/>
          <w:lang w:eastAsia="en-US"/>
        </w:rPr>
        <w:fldChar w:fldCharType="end"/>
      </w:r>
      <w:r w:rsidR="00A16B8C" w:rsidRPr="00C90AC9">
        <w:rPr>
          <w:rFonts w:eastAsiaTheme="minorHAnsi"/>
          <w:lang w:eastAsia="en-US"/>
        </w:rPr>
        <w:t>.</w:t>
      </w:r>
    </w:p>
    <w:p w:rsidR="00A16B8C" w:rsidRPr="00C90AC9" w:rsidRDefault="002C646F" w:rsidP="00162965">
      <w:pPr>
        <w:pStyle w:val="BodyText"/>
        <w:spacing w:line="360" w:lineRule="auto"/>
        <w:rPr>
          <w:rFonts w:eastAsiaTheme="minorHAnsi"/>
          <w:lang w:eastAsia="en-US"/>
        </w:rPr>
      </w:pPr>
      <w:r w:rsidRPr="00C90AC9">
        <w:rPr>
          <w:rFonts w:eastAsiaTheme="minorHAnsi"/>
          <w:lang w:eastAsia="en-US"/>
        </w:rPr>
        <w:t xml:space="preserve">In the 1980’s </w:t>
      </w:r>
      <w:r w:rsidR="00DE7844" w:rsidRPr="00C90AC9">
        <w:rPr>
          <w:rFonts w:eastAsiaTheme="minorHAnsi"/>
          <w:lang w:eastAsia="en-US"/>
        </w:rPr>
        <w:t xml:space="preserve">a study conducted at a different location found similar results to </w:t>
      </w:r>
      <w:r w:rsidR="00A16B8C" w:rsidRPr="00C90AC9">
        <w:rPr>
          <w:rFonts w:eastAsiaTheme="minorHAnsi"/>
          <w:lang w:eastAsia="en-US"/>
        </w:rPr>
        <w:t>concerning the orientation of the solar thermal panels to the horizontal with the optimal angle set as the Latitude of the solar panel</w:t>
      </w:r>
      <w:r w:rsidR="00DE7844" w:rsidRPr="00C90AC9">
        <w:rPr>
          <w:rFonts w:eastAsiaTheme="minorHAnsi"/>
          <w:lang w:eastAsia="en-US"/>
        </w:rPr>
        <w:t xml:space="preserve"> </w:t>
      </w:r>
      <w:r w:rsidR="00DE7844" w:rsidRPr="00C90AC9">
        <w:rPr>
          <w:rFonts w:eastAsiaTheme="minorHAnsi"/>
          <w:lang w:eastAsia="en-US"/>
        </w:rPr>
        <w:fldChar w:fldCharType="begin"/>
      </w:r>
      <w:r w:rsidR="00DE7844" w:rsidRPr="00C90AC9">
        <w:rPr>
          <w:rFonts w:eastAsiaTheme="minorHAnsi"/>
          <w:lang w:eastAsia="en-US"/>
        </w:rPr>
        <w:instrText xml:space="preserve"> ADDIN EN.CITE &lt;EndNote&gt;&lt;Cite&gt;&lt;Author&gt;Ammar&lt;/Author&gt;&lt;Year&gt;1989&lt;/Year&gt;&lt;RecNum&gt;115&lt;/RecNum&gt;&lt;DisplayText&gt;(Ammar &amp;amp; Ghoneim, 1989)&lt;/DisplayText&gt;&lt;record&gt;&lt;rec-number&gt;115&lt;/rec-number&gt;&lt;foreign-keys&gt;&lt;key app="EN" db-id="50wxdpzd9vd5r7e9t5b595djrfpttrxw9avp" timestamp="1525076334"&gt;115&lt;/key&gt;&lt;/foreign-keys&gt;&lt;ref-type name="Journal Article"&gt;17&lt;/ref-type&gt;&lt;contributors&gt;&lt;authors&gt;&lt;author&gt;Ammar, A.A., A.M. Okaz,&lt;/author&gt;&lt;author&gt;A.A. Ghoneim&lt;/author&gt;&lt;/authors&gt;&lt;/contributors&gt;&lt;titles&gt;&lt;title&gt;Investigation of optimum parameters for solar domestic hot water system in Alexandria, Egypt&lt;/title&gt;&lt;secondary-title&gt;Solar &amp;amp; Wind Technology&lt;/secondary-title&gt;&lt;short-title&gt;Ammar, A.A., A.M. Okaz, and A.A. Ghoneim 1989 – Investigation of optimum parameters&lt;/short-title&gt;&lt;/titles&gt;&lt;pages&gt;p. 627-632&lt;/pages&gt;&lt;volume&gt;6&lt;/volume&gt;&lt;number&gt;5&lt;/number&gt;&lt;dates&gt;&lt;year&gt;1989&lt;/year&gt;&lt;/dates&gt;&lt;urls&gt;&lt;/urls&gt;&lt;/record&gt;&lt;/Cite&gt;&lt;/EndNote&gt;</w:instrText>
      </w:r>
      <w:r w:rsidR="00DE7844" w:rsidRPr="00C90AC9">
        <w:rPr>
          <w:rFonts w:eastAsiaTheme="minorHAnsi"/>
          <w:lang w:eastAsia="en-US"/>
        </w:rPr>
        <w:fldChar w:fldCharType="separate"/>
      </w:r>
      <w:r w:rsidR="00DE7844" w:rsidRPr="00C90AC9">
        <w:rPr>
          <w:rFonts w:eastAsiaTheme="minorHAnsi"/>
          <w:lang w:eastAsia="en-US"/>
        </w:rPr>
        <w:t>(Ammar &amp; Ghoneim, 1989)</w:t>
      </w:r>
      <w:r w:rsidR="00DE7844" w:rsidRPr="00C90AC9">
        <w:rPr>
          <w:rFonts w:eastAsiaTheme="minorHAnsi"/>
          <w:lang w:eastAsia="en-US"/>
        </w:rPr>
        <w:fldChar w:fldCharType="end"/>
      </w:r>
      <w:r w:rsidR="00A16B8C" w:rsidRPr="00C90AC9">
        <w:rPr>
          <w:rFonts w:eastAsiaTheme="minorHAnsi"/>
          <w:lang w:eastAsia="en-US"/>
        </w:rPr>
        <w:t xml:space="preserve">. </w:t>
      </w:r>
      <w:r w:rsidR="00DE7844" w:rsidRPr="00C90AC9">
        <w:rPr>
          <w:rFonts w:eastAsiaTheme="minorHAnsi"/>
          <w:lang w:eastAsia="en-US"/>
        </w:rPr>
        <w:t>This study</w:t>
      </w:r>
      <w:r w:rsidR="00615E2D" w:rsidRPr="00C90AC9">
        <w:rPr>
          <w:rFonts w:eastAsiaTheme="minorHAnsi"/>
          <w:lang w:eastAsia="en-US"/>
        </w:rPr>
        <w:t xml:space="preserve"> was</w:t>
      </w:r>
      <w:r w:rsidR="00DE7844" w:rsidRPr="00C90AC9">
        <w:rPr>
          <w:rFonts w:eastAsiaTheme="minorHAnsi"/>
          <w:lang w:eastAsia="en-US"/>
        </w:rPr>
        <w:t xml:space="preserve"> conducted in Alexandria, Egypt </w:t>
      </w:r>
      <w:r w:rsidR="00A16B8C" w:rsidRPr="00C90AC9">
        <w:rPr>
          <w:rFonts w:eastAsiaTheme="minorHAnsi"/>
          <w:lang w:eastAsia="en-US"/>
        </w:rPr>
        <w:t xml:space="preserve">with </w:t>
      </w:r>
      <w:r w:rsidR="00DE7844" w:rsidRPr="00C90AC9">
        <w:rPr>
          <w:rFonts w:eastAsiaTheme="minorHAnsi"/>
          <w:lang w:eastAsia="en-US"/>
        </w:rPr>
        <w:t>Latitude</w:t>
      </w:r>
      <w:r w:rsidR="00615E2D" w:rsidRPr="00C90AC9">
        <w:rPr>
          <w:rFonts w:eastAsiaTheme="minorHAnsi"/>
          <w:lang w:eastAsia="en-US"/>
        </w:rPr>
        <w:t xml:space="preserve"> of 31.2° and t</w:t>
      </w:r>
      <w:r w:rsidR="00A16B8C" w:rsidRPr="00C90AC9">
        <w:rPr>
          <w:rFonts w:eastAsiaTheme="minorHAnsi"/>
          <w:lang w:eastAsia="en-US"/>
        </w:rPr>
        <w:t xml:space="preserve">hey calculated the variation in the solar fraction with a changing tilt angle of the solar panels. The results </w:t>
      </w:r>
      <w:r w:rsidR="000450FC" w:rsidRPr="00C90AC9">
        <w:rPr>
          <w:rFonts w:eastAsiaTheme="minorHAnsi"/>
          <w:lang w:eastAsia="en-US"/>
        </w:rPr>
        <w:t>of their investigation show that the solar collector receives the maximum solar irradiance when it is orientated due south (0</w:t>
      </w:r>
      <w:r w:rsidR="000450FC" w:rsidRPr="00C90AC9">
        <w:rPr>
          <w:rFonts w:eastAsiaTheme="minorHAnsi" w:cs="Times New Roman"/>
          <w:lang w:eastAsia="en-US"/>
        </w:rPr>
        <w:t>°</w:t>
      </w:r>
      <w:r w:rsidR="000450FC" w:rsidRPr="00C90AC9">
        <w:rPr>
          <w:rFonts w:eastAsiaTheme="minorHAnsi"/>
          <w:lang w:eastAsia="en-US"/>
        </w:rPr>
        <w:t xml:space="preserve">) and is </w:t>
      </w:r>
      <w:r w:rsidR="00A16B8C" w:rsidRPr="00C90AC9">
        <w:rPr>
          <w:rFonts w:eastAsiaTheme="minorHAnsi"/>
          <w:lang w:eastAsia="en-US"/>
        </w:rPr>
        <w:t xml:space="preserve">shown in </w:t>
      </w:r>
      <w:r w:rsidR="00935419" w:rsidRPr="00C90AC9">
        <w:rPr>
          <w:rFonts w:eastAsiaTheme="minorHAnsi"/>
          <w:lang w:eastAsia="en-US"/>
        </w:rPr>
        <w:t>Figure 2.</w:t>
      </w:r>
      <w:r w:rsidR="00F17541" w:rsidRPr="00C90AC9">
        <w:rPr>
          <w:rFonts w:eastAsiaTheme="minorHAnsi"/>
          <w:lang w:eastAsia="en-US"/>
        </w:rPr>
        <w:t>3</w:t>
      </w:r>
      <w:r w:rsidR="00A16B8C" w:rsidRPr="00C90AC9">
        <w:rPr>
          <w:rFonts w:eastAsiaTheme="minorHAnsi"/>
          <w:lang w:eastAsia="en-US"/>
        </w:rPr>
        <w:t>.</w:t>
      </w:r>
      <w:r w:rsidR="000450FC" w:rsidRPr="00C90AC9">
        <w:rPr>
          <w:rFonts w:eastAsiaTheme="minorHAnsi"/>
          <w:lang w:eastAsia="en-US"/>
        </w:rPr>
        <w:t xml:space="preserve"> </w:t>
      </w:r>
      <w:r w:rsidR="000450FC" w:rsidRPr="00C90AC9">
        <w:rPr>
          <w:rFonts w:eastAsiaTheme="minorHAnsi"/>
          <w:lang w:eastAsia="en-US"/>
        </w:rPr>
        <w:fldChar w:fldCharType="begin"/>
      </w:r>
      <w:r w:rsidR="000450FC" w:rsidRPr="00C90AC9">
        <w:rPr>
          <w:rFonts w:eastAsiaTheme="minorHAnsi"/>
          <w:lang w:eastAsia="en-US"/>
        </w:rPr>
        <w:instrText xml:space="preserve"> ADDIN EN.CITE &lt;EndNote&gt;&lt;Cite&gt;&lt;Author&gt;Ammar&lt;/Author&gt;&lt;Year&gt;1989&lt;/Year&gt;&lt;RecNum&gt;115&lt;/RecNum&gt;&lt;DisplayText&gt;(Ammar &amp;amp; Ghoneim, 1989)&lt;/DisplayText&gt;&lt;record&gt;&lt;rec-number&gt;115&lt;/rec-number&gt;&lt;foreign-keys&gt;&lt;key app="EN" db-id="50wxdpzd9vd5r7e9t5b595djrfpttrxw9avp" timestamp="1525076334"&gt;115&lt;/key&gt;&lt;/foreign-keys&gt;&lt;ref-type name="Journal Article"&gt;17&lt;/ref-type&gt;&lt;contributors&gt;&lt;authors&gt;&lt;author&gt;Ammar, A.A., A.M. Okaz,&lt;/author&gt;&lt;author&gt;A.A. Ghoneim&lt;/author&gt;&lt;/authors&gt;&lt;/contributors&gt;&lt;titles&gt;&lt;title&gt;Investigation of optimum parameters for solar domestic hot water system in Alexandria, Egypt&lt;/title&gt;&lt;secondary-title&gt;Solar &amp;amp; Wind Technology&lt;/secondary-title&gt;&lt;short-title&gt;Ammar, A.A., A.M. Okaz, and A.A. Ghoneim 1989 – Investigation of optimum parameters&lt;/short-title&gt;&lt;/titles&gt;&lt;pages&gt;p. 627-632&lt;/pages&gt;&lt;volume&gt;6&lt;/volume&gt;&lt;number&gt;5&lt;/number&gt;&lt;dates&gt;&lt;year&gt;1989&lt;/year&gt;&lt;/dates&gt;&lt;urls&gt;&lt;/urls&gt;&lt;/record&gt;&lt;/Cite&gt;&lt;/EndNote&gt;</w:instrText>
      </w:r>
      <w:r w:rsidR="000450FC" w:rsidRPr="00C90AC9">
        <w:rPr>
          <w:rFonts w:eastAsiaTheme="minorHAnsi"/>
          <w:lang w:eastAsia="en-US"/>
        </w:rPr>
        <w:fldChar w:fldCharType="separate"/>
      </w:r>
      <w:r w:rsidR="000450FC" w:rsidRPr="00C90AC9">
        <w:rPr>
          <w:rFonts w:eastAsiaTheme="minorHAnsi"/>
          <w:lang w:eastAsia="en-US"/>
        </w:rPr>
        <w:t>(Ammar &amp; Ghoneim, 1989)</w:t>
      </w:r>
      <w:r w:rsidR="000450FC" w:rsidRPr="00C90AC9">
        <w:rPr>
          <w:rFonts w:eastAsiaTheme="minorHAnsi"/>
          <w:lang w:eastAsia="en-US"/>
        </w:rPr>
        <w:fldChar w:fldCharType="end"/>
      </w:r>
      <w:r w:rsidR="000450FC" w:rsidRPr="00C90AC9">
        <w:rPr>
          <w:rFonts w:eastAsiaTheme="minorHAnsi"/>
          <w:lang w:eastAsia="en-US"/>
        </w:rPr>
        <w:t>.</w:t>
      </w:r>
    </w:p>
    <w:p w:rsidR="00DE7844" w:rsidRPr="00C90AC9" w:rsidRDefault="00D62B11" w:rsidP="00B06779">
      <w:pPr>
        <w:pStyle w:val="BodyText"/>
        <w:rPr>
          <w:rFonts w:eastAsiaTheme="minorHAnsi"/>
          <w:lang w:eastAsia="en-US"/>
        </w:rPr>
      </w:pPr>
      <w:r w:rsidRPr="00C90AC9">
        <w:rPr>
          <w:rFonts w:eastAsiaTheme="minorHAnsi"/>
          <w:lang w:eastAsia="en-US"/>
        </w:rPr>
        <w:t>Figure 2.3</w:t>
      </w:r>
      <w:r w:rsidR="00615E2D" w:rsidRPr="00C90AC9">
        <w:rPr>
          <w:rFonts w:eastAsiaTheme="minorHAnsi"/>
          <w:lang w:eastAsia="en-US"/>
        </w:rPr>
        <w:t xml:space="preserve">. </w:t>
      </w:r>
      <w:r w:rsidR="005F2F9B" w:rsidRPr="00C90AC9">
        <w:rPr>
          <w:rFonts w:eastAsiaTheme="minorHAnsi"/>
          <w:lang w:eastAsia="en-US"/>
        </w:rPr>
        <w:t>T</w:t>
      </w:r>
      <w:r w:rsidR="00A16B8C" w:rsidRPr="00C90AC9">
        <w:rPr>
          <w:rFonts w:eastAsiaTheme="minorHAnsi"/>
          <w:lang w:eastAsia="en-US"/>
        </w:rPr>
        <w:t>he variation of solar frac</w:t>
      </w:r>
      <w:r w:rsidR="005F2F9B" w:rsidRPr="00C90AC9">
        <w:rPr>
          <w:rFonts w:eastAsiaTheme="minorHAnsi"/>
          <w:lang w:eastAsia="en-US"/>
        </w:rPr>
        <w:t>tion with collector orientation</w:t>
      </w:r>
      <w:r w:rsidR="00DE7844" w:rsidRPr="00C90AC9">
        <w:rPr>
          <w:rFonts w:eastAsiaTheme="minorHAnsi"/>
          <w:lang w:eastAsia="en-US"/>
        </w:rPr>
        <w:t xml:space="preserve"> </w:t>
      </w:r>
      <w:r w:rsidR="00DE7844" w:rsidRPr="00C90AC9">
        <w:rPr>
          <w:rFonts w:eastAsiaTheme="minorHAnsi"/>
          <w:lang w:eastAsia="en-US"/>
        </w:rPr>
        <w:fldChar w:fldCharType="begin"/>
      </w:r>
      <w:r w:rsidR="00DE7844" w:rsidRPr="00C90AC9">
        <w:rPr>
          <w:rFonts w:eastAsiaTheme="minorHAnsi"/>
          <w:lang w:eastAsia="en-US"/>
        </w:rPr>
        <w:instrText xml:space="preserve"> ADDIN EN.CITE &lt;EndNote&gt;&lt;Cite&gt;&lt;Author&gt;Ammar&lt;/Author&gt;&lt;Year&gt;1989&lt;/Year&gt;&lt;RecNum&gt;115&lt;/RecNum&gt;&lt;DisplayText&gt;(Ammar &amp;amp; Ghoneim, 1989)&lt;/DisplayText&gt;&lt;record&gt;&lt;rec-number&gt;115&lt;/rec-number&gt;&lt;foreign-keys&gt;&lt;key app="EN" db-id="50wxdpzd9vd5r7e9t5b595djrfpttrxw9avp" timestamp="1525076334"&gt;115&lt;/key&gt;&lt;/foreign-keys&gt;&lt;ref-type name="Journal Article"&gt;17&lt;/ref-type&gt;&lt;contributors&gt;&lt;authors&gt;&lt;author&gt;Ammar, A.A., A.M. Okaz,&lt;/author&gt;&lt;author&gt;A.A. Ghoneim&lt;/author&gt;&lt;/authors&gt;&lt;/contributors&gt;&lt;titles&gt;&lt;title&gt;Investigation of optimum parameters for solar domestic hot water system in Alexandria, Egypt&lt;/title&gt;&lt;secondary-title&gt;Solar &amp;amp; Wind Technology&lt;/secondary-title&gt;&lt;short-title&gt;Ammar, A.A., A.M. Okaz, and A.A. Ghoneim 1989 – Investigation of optimum parameters&lt;/short-title&gt;&lt;/titles&gt;&lt;pages&gt;p. 627-632&lt;/pages&gt;&lt;volume&gt;6&lt;/volume&gt;&lt;number&gt;5&lt;/number&gt;&lt;dates&gt;&lt;year&gt;1989&lt;/year&gt;&lt;/dates&gt;&lt;urls&gt;&lt;/urls&gt;&lt;/record&gt;&lt;/Cite&gt;&lt;/EndNote&gt;</w:instrText>
      </w:r>
      <w:r w:rsidR="00DE7844" w:rsidRPr="00C90AC9">
        <w:rPr>
          <w:rFonts w:eastAsiaTheme="minorHAnsi"/>
          <w:lang w:eastAsia="en-US"/>
        </w:rPr>
        <w:fldChar w:fldCharType="separate"/>
      </w:r>
      <w:r w:rsidR="00DE7844" w:rsidRPr="00C90AC9">
        <w:rPr>
          <w:rFonts w:eastAsiaTheme="minorHAnsi"/>
          <w:lang w:eastAsia="en-US"/>
        </w:rPr>
        <w:t>(Ammar &amp; Ghoneim, 1989)</w:t>
      </w:r>
      <w:r w:rsidR="00DE7844" w:rsidRPr="00C90AC9">
        <w:rPr>
          <w:rFonts w:eastAsiaTheme="minorHAnsi"/>
          <w:lang w:eastAsia="en-US"/>
        </w:rPr>
        <w:fldChar w:fldCharType="end"/>
      </w:r>
      <w:r w:rsidR="00DE7844" w:rsidRPr="00C90AC9">
        <w:rPr>
          <w:rFonts w:eastAsiaTheme="minorHAnsi"/>
        </w:rPr>
        <w:t xml:space="preserve"> </w:t>
      </w:r>
      <w:r w:rsidR="00DE7844" w:rsidRPr="00C90AC9">
        <w:rPr>
          <w:rFonts w:eastAsiaTheme="minorHAnsi"/>
        </w:rPr>
        <w:tab/>
      </w:r>
    </w:p>
    <w:p w:rsidR="00A16B8C" w:rsidRPr="00C90AC9" w:rsidRDefault="00DE7844" w:rsidP="00B06779">
      <w:pPr>
        <w:pStyle w:val="BodyText"/>
        <w:rPr>
          <w:rFonts w:eastAsiaTheme="minorHAnsi"/>
          <w:lang w:eastAsia="en-US"/>
        </w:rPr>
      </w:pPr>
      <w:r w:rsidRPr="00C90AC9">
        <w:rPr>
          <w:rFonts w:eastAsiaTheme="minorHAnsi"/>
          <w:noProof/>
        </w:rPr>
        <w:drawing>
          <wp:inline distT="0" distB="0" distL="0" distR="0" wp14:anchorId="73170D97" wp14:editId="5671521D">
            <wp:extent cx="5629275" cy="4362450"/>
            <wp:effectExtent l="19050" t="19050" r="28575" b="19050"/>
            <wp:docPr id="3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1966" t="7979" r="52044" b="37766"/>
                    <a:stretch/>
                  </pic:blipFill>
                  <pic:spPr bwMode="auto">
                    <a:xfrm>
                      <a:off x="0" y="0"/>
                      <a:ext cx="5629275" cy="4362450"/>
                    </a:xfrm>
                    <a:prstGeom prst="rect">
                      <a:avLst/>
                    </a:prstGeom>
                    <a:noFill/>
                    <a:ln w="6350"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A16B8C" w:rsidRPr="00C90AC9" w:rsidRDefault="006F0C85" w:rsidP="00984852">
      <w:pPr>
        <w:pStyle w:val="BodyText"/>
        <w:spacing w:line="360" w:lineRule="auto"/>
        <w:rPr>
          <w:rFonts w:eastAsiaTheme="minorHAnsi"/>
          <w:lang w:eastAsia="en-US"/>
        </w:rPr>
      </w:pPr>
      <w:sdt>
        <w:sdtPr>
          <w:rPr>
            <w:rFonts w:eastAsiaTheme="minorHAnsi"/>
            <w:lang w:eastAsia="en-US"/>
          </w:rPr>
          <w:alias w:val="Don't edit this field"/>
          <w:tag w:val="CitaviPlaceholder#ce9db396-e610-43c1-8529-bf1688b47787"/>
          <w:id w:val="1848744842"/>
        </w:sdtPr>
        <w:sdtEndPr/>
        <w:sdtContent>
          <w:r w:rsidR="00C05E2B" w:rsidRPr="00C90AC9">
            <w:rPr>
              <w:rFonts w:eastAsiaTheme="minorHAnsi"/>
              <w:lang w:eastAsia="en-US"/>
            </w:rPr>
            <w:fldChar w:fldCharType="begin"/>
          </w:r>
          <w:r w:rsidR="007835E8" w:rsidRPr="00C90AC9">
            <w:rPr>
              <w:rFonts w:eastAsiaTheme="minorHAnsi"/>
              <w:lang w:eastAsia="en-US"/>
            </w:rPr>
            <w:instrText>ADDIN CitaviPlaceholder{eyIkaWQiOiIxIiwiRW50cmllcyI6W3siJGlkIjoiMiIsIkhhc1RlbXBvcmFyeVJlZmVyZW5jZSI6dHJ1ZSwiSWQiOiI5ODk2NWNhNy02M2Y4LTQ1NWEtYTNiOC1kY2E3ODhjNTJjOTgiLCJSYW5nZUxlbmd0aCI6OTQsIlJlZmVyZW5jZUlkIjoiMjQzYzhjZDAtMzkwMC00NTYyLTkzZGUtMzIyMDFkZTQ4ZDNh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}</w:instrText>
          </w:r>
          <w:r w:rsidR="00C05E2B" w:rsidRPr="00C90AC9">
            <w:rPr>
              <w:rFonts w:eastAsiaTheme="minorHAnsi"/>
              <w:lang w:eastAsia="en-US"/>
            </w:rPr>
            <w:fldChar w:fldCharType="end"/>
          </w:r>
        </w:sdtContent>
      </w:sdt>
      <w:r w:rsidR="00A16B8C" w:rsidRPr="00C90AC9">
        <w:rPr>
          <w:rFonts w:eastAsiaTheme="minorHAnsi"/>
          <w:lang w:eastAsia="en-US"/>
        </w:rPr>
        <w:t xml:space="preserve">During the </w:t>
      </w:r>
      <w:r w:rsidR="00615E2D" w:rsidRPr="00C90AC9">
        <w:rPr>
          <w:rFonts w:eastAsiaTheme="minorHAnsi"/>
          <w:lang w:eastAsia="en-US"/>
        </w:rPr>
        <w:t>nineteen nineties</w:t>
      </w:r>
      <w:r w:rsidR="00A16B8C" w:rsidRPr="00C90AC9">
        <w:rPr>
          <w:rFonts w:eastAsiaTheme="minorHAnsi"/>
          <w:lang w:eastAsia="en-US"/>
        </w:rPr>
        <w:t xml:space="preserve"> the emphasis for utilising solar control systems for domestic hot water focus</w:t>
      </w:r>
      <w:r w:rsidR="00615E2D" w:rsidRPr="00C90AC9">
        <w:rPr>
          <w:rFonts w:eastAsiaTheme="minorHAnsi"/>
          <w:lang w:eastAsia="en-US"/>
        </w:rPr>
        <w:t>ed</w:t>
      </w:r>
      <w:r w:rsidR="00A16B8C" w:rsidRPr="00C90AC9">
        <w:rPr>
          <w:rFonts w:eastAsiaTheme="minorHAnsi"/>
          <w:lang w:eastAsia="en-US"/>
        </w:rPr>
        <w:t xml:space="preserve"> </w:t>
      </w:r>
      <w:r w:rsidR="00615E2D" w:rsidRPr="00C90AC9">
        <w:rPr>
          <w:rFonts w:eastAsiaTheme="minorHAnsi"/>
          <w:lang w:eastAsia="en-US"/>
        </w:rPr>
        <w:t xml:space="preserve">less </w:t>
      </w:r>
      <w:r w:rsidR="00A16B8C" w:rsidRPr="00C90AC9">
        <w:rPr>
          <w:rFonts w:eastAsiaTheme="minorHAnsi"/>
          <w:lang w:eastAsia="en-US"/>
        </w:rPr>
        <w:t xml:space="preserve">on </w:t>
      </w:r>
      <w:r w:rsidR="00615E2D" w:rsidRPr="00C90AC9">
        <w:rPr>
          <w:rFonts w:eastAsiaTheme="minorHAnsi"/>
          <w:lang w:eastAsia="en-US"/>
        </w:rPr>
        <w:t xml:space="preserve">the </w:t>
      </w:r>
      <w:r w:rsidR="00A16B8C" w:rsidRPr="00C90AC9">
        <w:rPr>
          <w:rFonts w:eastAsiaTheme="minorHAnsi"/>
          <w:lang w:eastAsia="en-US"/>
        </w:rPr>
        <w:t>social and economic benefits</w:t>
      </w:r>
      <w:r w:rsidR="00615E2D" w:rsidRPr="00C90AC9">
        <w:rPr>
          <w:rFonts w:eastAsiaTheme="minorHAnsi"/>
          <w:lang w:eastAsia="en-US"/>
        </w:rPr>
        <w:t xml:space="preserve"> and more on </w:t>
      </w:r>
      <w:r w:rsidR="00A16B8C" w:rsidRPr="00C90AC9">
        <w:rPr>
          <w:rFonts w:eastAsiaTheme="minorHAnsi"/>
          <w:lang w:eastAsia="en-US"/>
        </w:rPr>
        <w:t xml:space="preserve">diminishing traditional </w:t>
      </w:r>
      <w:r w:rsidR="00615E2D" w:rsidRPr="00C90AC9">
        <w:rPr>
          <w:rFonts w:eastAsiaTheme="minorHAnsi"/>
          <w:lang w:eastAsia="en-US"/>
        </w:rPr>
        <w:t xml:space="preserve">fossil </w:t>
      </w:r>
      <w:r w:rsidR="00A16B8C" w:rsidRPr="00C90AC9">
        <w:rPr>
          <w:rFonts w:eastAsiaTheme="minorHAnsi"/>
          <w:lang w:eastAsia="en-US"/>
        </w:rPr>
        <w:t xml:space="preserve">fuel stocks and </w:t>
      </w:r>
      <w:r w:rsidR="00615E2D" w:rsidRPr="00C90AC9">
        <w:rPr>
          <w:rFonts w:eastAsiaTheme="minorHAnsi"/>
          <w:lang w:eastAsia="en-US"/>
        </w:rPr>
        <w:t xml:space="preserve">the </w:t>
      </w:r>
      <w:r w:rsidR="00A16B8C" w:rsidRPr="00C90AC9">
        <w:rPr>
          <w:rFonts w:eastAsiaTheme="minorHAnsi"/>
          <w:lang w:eastAsia="en-US"/>
        </w:rPr>
        <w:t>environmental pollution created t</w:t>
      </w:r>
      <w:r w:rsidR="00DE7844" w:rsidRPr="00C90AC9">
        <w:rPr>
          <w:rFonts w:eastAsiaTheme="minorHAnsi"/>
          <w:lang w:eastAsia="en-US"/>
        </w:rPr>
        <w:t xml:space="preserve">hrough using these fossil fuels </w:t>
      </w:r>
      <w:r w:rsidR="00DE7844" w:rsidRPr="00C90AC9">
        <w:rPr>
          <w:rFonts w:eastAsiaTheme="minorHAnsi"/>
          <w:lang w:eastAsia="en-US"/>
        </w:rPr>
        <w:fldChar w:fldCharType="begin"/>
      </w:r>
      <w:r w:rsidR="00DE7844" w:rsidRPr="00C90AC9">
        <w:rPr>
          <w:rFonts w:eastAsiaTheme="minorHAnsi"/>
          <w:lang w:eastAsia="en-US"/>
        </w:rPr>
        <w:instrText xml:space="preserve"> ADDIN EN.CITE &lt;EndNote&gt;&lt;Cite ExcludeYear="1"&gt;&lt;Author&gt;Carbonell&lt;/Author&gt;&lt;RecNum&gt;128&lt;/RecNum&gt;&lt;DisplayText&gt;(Carbonell &amp;amp; Consul)&lt;/DisplayText&gt;&lt;record&gt;&lt;rec-number&gt;128&lt;/rec-number&gt;&lt;foreign-keys&gt;&lt;key app="EN" db-id="50wxdpzd9vd5r7e9t5b595djrfpttrxw9avp" timestamp="1525076334"&gt;128&lt;/key&gt;&lt;/foreign-keys&gt;&lt;ref-type name="Journal Article"&gt;17&lt;/ref-type&gt;&lt;contributors&gt;&lt;authors&gt;&lt;author&gt;Carbonell, D., J. Cadafalch,&lt;/author&gt;&lt;author&gt;R. Consul&lt;/author&gt;&lt;/authors&gt;&lt;/contributors&gt;&lt;titles&gt;&lt;title&gt;Dynamic modelling of flat plate solar collectors. Analysis and validation under thermosyphon conditions&lt;/title&gt;&lt;secondary-title&gt;Solar Energy&lt;/secondary-title&gt;&lt;short-title&gt;Carbonell, D., J. Cadafalch, and R. Consul 12013 – Dynamic modelling of flat plate&lt;/short-title&gt;&lt;/titles&gt;&lt;pages&gt;p. 100-112&lt;/pages&gt;&lt;volume&gt;13&lt;/volume&gt;&lt;dates&gt;&lt;/dates&gt;&lt;urls&gt;&lt;/urls&gt;&lt;/record&gt;&lt;/Cite&gt;&lt;/EndNote&gt;</w:instrText>
      </w:r>
      <w:r w:rsidR="00DE7844" w:rsidRPr="00C90AC9">
        <w:rPr>
          <w:rFonts w:eastAsiaTheme="minorHAnsi"/>
          <w:lang w:eastAsia="en-US"/>
        </w:rPr>
        <w:fldChar w:fldCharType="separate"/>
      </w:r>
      <w:r w:rsidR="00DE7844" w:rsidRPr="00C90AC9">
        <w:rPr>
          <w:rFonts w:eastAsiaTheme="minorHAnsi"/>
          <w:lang w:eastAsia="en-US"/>
        </w:rPr>
        <w:t>(Carbonell &amp; Consul)</w:t>
      </w:r>
      <w:r w:rsidR="00DE7844" w:rsidRPr="00C90AC9">
        <w:rPr>
          <w:rFonts w:eastAsiaTheme="minorHAnsi"/>
          <w:lang w:eastAsia="en-US"/>
        </w:rPr>
        <w:fldChar w:fldCharType="end"/>
      </w:r>
      <w:r w:rsidR="00A16B8C" w:rsidRPr="00C90AC9">
        <w:rPr>
          <w:rFonts w:eastAsiaTheme="minorHAnsi"/>
          <w:lang w:eastAsia="en-US"/>
        </w:rPr>
        <w:t xml:space="preserve">. The economic benefits </w:t>
      </w:r>
      <w:r w:rsidR="00615E2D" w:rsidRPr="00C90AC9">
        <w:rPr>
          <w:rFonts w:eastAsiaTheme="minorHAnsi"/>
          <w:lang w:eastAsia="en-US"/>
        </w:rPr>
        <w:t xml:space="preserve">of utilising STPs were highlighted in a few </w:t>
      </w:r>
      <w:r w:rsidR="00A16B8C" w:rsidRPr="00C90AC9">
        <w:rPr>
          <w:rFonts w:eastAsiaTheme="minorHAnsi"/>
          <w:lang w:eastAsia="en-US"/>
        </w:rPr>
        <w:t xml:space="preserve">studies </w:t>
      </w:r>
      <w:r w:rsidR="00615E2D" w:rsidRPr="00C90AC9">
        <w:rPr>
          <w:rFonts w:eastAsiaTheme="minorHAnsi"/>
          <w:lang w:eastAsia="en-US"/>
        </w:rPr>
        <w:t xml:space="preserve">in the nineteen nighties but the emphasis had clearly shifted as traditional forms of energy were becoming more expensive and sparse </w:t>
      </w:r>
      <w:r w:rsidR="00DE7844" w:rsidRPr="00C90AC9">
        <w:rPr>
          <w:rFonts w:eastAsiaTheme="minorHAnsi"/>
          <w:lang w:eastAsia="en-US"/>
        </w:rPr>
        <w:fldChar w:fldCharType="begin"/>
      </w:r>
      <w:r w:rsidR="00DE7844" w:rsidRPr="00C90AC9">
        <w:rPr>
          <w:rFonts w:eastAsiaTheme="minorHAnsi"/>
          <w:lang w:eastAsia="en-US"/>
        </w:rPr>
        <w:instrText xml:space="preserve"> ADDIN EN.CITE &lt;EndNote&gt;&lt;Cite&gt;&lt;Author&gt;Berbash&lt;/Author&gt;&lt;Year&gt;1995&lt;/Year&gt;&lt;RecNum&gt;119&lt;/RecNum&gt;&lt;DisplayText&gt;(Berbash &amp;amp; Calamai, 1995)&lt;/DisplayText&gt;&lt;record&gt;&lt;rec-number&gt;119&lt;/rec-number&gt;&lt;foreign-keys&gt;&lt;key app="EN" db-id="50wxdpzd9vd5r7e9t5b595djrfpttrxw9avp" timestamp="1525076334"&gt;119&lt;/key&gt;&lt;/foreign-keys&gt;&lt;ref-type name="Journal Article"&gt;17&lt;/ref-type&gt;&lt;contributors&gt;&lt;authors&gt;&lt;author&gt;Berbash, Y., M. Chandrashekar,&lt;/author&gt;&lt;author&gt;P. Calamai&lt;/author&gt;&lt;/authors&gt;&lt;/contributors&gt;&lt;titles&gt;&lt;title&gt;Technology for sustainable development: A case study of solar domestic hot water heating in Ontario&lt;/title&gt;&lt;secondary-title&gt;Energy&lt;/secondary-title&gt;&lt;short-title&gt;Berbash, Y., M. Chandrashekar, and P. Calamai 1995 – Technology for sustainable development&lt;/short-title&gt;&lt;/titles&gt;&lt;pages&gt;p. 495-510&lt;/pages&gt;&lt;volume&gt;20&lt;/volume&gt;&lt;number&gt;6&lt;/number&gt;&lt;dates&gt;&lt;year&gt;1995&lt;/year&gt;&lt;/dates&gt;&lt;urls&gt;&lt;/urls&gt;&lt;/record&gt;&lt;/Cite&gt;&lt;/EndNote&gt;</w:instrText>
      </w:r>
      <w:r w:rsidR="00DE7844" w:rsidRPr="00C90AC9">
        <w:rPr>
          <w:rFonts w:eastAsiaTheme="minorHAnsi"/>
          <w:lang w:eastAsia="en-US"/>
        </w:rPr>
        <w:fldChar w:fldCharType="separate"/>
      </w:r>
      <w:r w:rsidR="00DE7844" w:rsidRPr="00C90AC9">
        <w:rPr>
          <w:rFonts w:eastAsiaTheme="minorHAnsi"/>
          <w:lang w:eastAsia="en-US"/>
        </w:rPr>
        <w:t>(Berbash &amp; Calamai, 1995)</w:t>
      </w:r>
      <w:r w:rsidR="00DE7844" w:rsidRPr="00C90AC9">
        <w:rPr>
          <w:rFonts w:eastAsiaTheme="minorHAnsi"/>
          <w:lang w:eastAsia="en-US"/>
        </w:rPr>
        <w:fldChar w:fldCharType="end"/>
      </w:r>
      <w:r w:rsidR="00DE7844" w:rsidRPr="00C90AC9">
        <w:rPr>
          <w:rFonts w:eastAsiaTheme="minorHAnsi"/>
          <w:lang w:eastAsia="en-US"/>
        </w:rPr>
        <w:t>.</w:t>
      </w:r>
      <w:r w:rsidR="00A16B8C" w:rsidRPr="00C90AC9">
        <w:rPr>
          <w:rFonts w:eastAsiaTheme="minorHAnsi"/>
          <w:lang w:eastAsia="en-US"/>
        </w:rPr>
        <w:t xml:space="preserve"> </w:t>
      </w:r>
    </w:p>
    <w:p w:rsidR="00A16B8C" w:rsidRPr="00C90AC9" w:rsidRDefault="000450FC" w:rsidP="003014B5">
      <w:pPr>
        <w:pStyle w:val="BodyText"/>
        <w:spacing w:line="360" w:lineRule="auto"/>
        <w:rPr>
          <w:rFonts w:eastAsiaTheme="minorHAnsi"/>
          <w:lang w:eastAsia="en-US"/>
        </w:rPr>
      </w:pPr>
      <w:r w:rsidRPr="00C90AC9">
        <w:rPr>
          <w:rFonts w:eastAsiaTheme="minorHAnsi"/>
          <w:lang w:eastAsia="en-US"/>
        </w:rPr>
        <w:t>T</w:t>
      </w:r>
      <w:r w:rsidR="00A16B8C" w:rsidRPr="00C90AC9">
        <w:rPr>
          <w:rFonts w:eastAsiaTheme="minorHAnsi"/>
          <w:lang w:eastAsia="en-US"/>
        </w:rPr>
        <w:t xml:space="preserve">he advancement of computing ability </w:t>
      </w:r>
      <w:r w:rsidRPr="00C90AC9">
        <w:rPr>
          <w:rFonts w:eastAsiaTheme="minorHAnsi"/>
          <w:lang w:eastAsia="en-US"/>
        </w:rPr>
        <w:t xml:space="preserve">that occurred after the 1990’s meant that weather predictions could be incorporated into </w:t>
      </w:r>
      <w:r w:rsidR="00FD10CE" w:rsidRPr="00C90AC9">
        <w:rPr>
          <w:rFonts w:eastAsiaTheme="minorHAnsi"/>
          <w:lang w:eastAsia="en-US"/>
        </w:rPr>
        <w:t xml:space="preserve">STP systems to improve their accuracy and predicting power </w:t>
      </w:r>
      <w:r w:rsidR="00FD10CE" w:rsidRPr="00C90AC9">
        <w:rPr>
          <w:rFonts w:eastAsiaTheme="minorHAnsi"/>
          <w:lang w:eastAsia="en-US"/>
        </w:rPr>
        <w:fldChar w:fldCharType="begin"/>
      </w:r>
      <w:r w:rsidR="00FD10CE" w:rsidRPr="00C90AC9">
        <w:rPr>
          <w:rFonts w:eastAsiaTheme="minorHAnsi"/>
          <w:lang w:eastAsia="en-US"/>
        </w:rPr>
        <w:instrText xml:space="preserve"> ADDIN EN.CITE &lt;EndNote&gt;&lt;Cite&gt;&lt;Author&gt;Biaou&lt;/Author&gt;&lt;Year&gt;2008&lt;/Year&gt;&lt;RecNum&gt;120&lt;/RecNum&gt;&lt;DisplayText&gt;(Biaou &amp;amp; Bernier, 2008)&lt;/DisplayText&gt;&lt;record&gt;&lt;rec-number&gt;120&lt;/rec-number&gt;&lt;foreign-keys&gt;&lt;key app="EN" db-id="50wxdpzd9vd5r7e9t5b595djrfpttrxw9avp" timestamp="1525076334"&gt;120&lt;/key&gt;&lt;/foreign-keys&gt;&lt;ref-type name="Journal Article"&gt;17&lt;/ref-type&gt;&lt;contributors&gt;&lt;authors&gt;&lt;author&gt;Biaou, A.L.&lt;/author&gt;&lt;author&gt;M.A. Bernier&lt;/author&gt;&lt;/authors&gt;&lt;/contributors&gt;&lt;titles&gt;&lt;title&gt;Achieving total domestic hot water production with renewable energy&lt;/title&gt;&lt;secondary-title&gt;Building and Environment&lt;/secondary-title&gt;&lt;short-title&gt;Biaou, A.L. and M.A. Bernier 2008 – Achieving total domestic hot water&lt;/short-title&gt;&lt;/titles&gt;&lt;pages&gt;p. 651-660&lt;/pages&gt;&lt;volume&gt;43&lt;/volume&gt;&lt;number&gt;4&lt;/number&gt;&lt;dates&gt;&lt;year&gt;2008&lt;/year&gt;&lt;/dates&gt;&lt;urls&gt;&lt;/urls&gt;&lt;/record&gt;&lt;/Cite&gt;&lt;/EndNote&gt;</w:instrText>
      </w:r>
      <w:r w:rsidR="00FD10CE" w:rsidRPr="00C90AC9">
        <w:rPr>
          <w:rFonts w:eastAsiaTheme="minorHAnsi"/>
          <w:lang w:eastAsia="en-US"/>
        </w:rPr>
        <w:fldChar w:fldCharType="separate"/>
      </w:r>
      <w:r w:rsidR="00FD10CE" w:rsidRPr="00C90AC9">
        <w:rPr>
          <w:rFonts w:eastAsiaTheme="minorHAnsi"/>
          <w:lang w:eastAsia="en-US"/>
        </w:rPr>
        <w:t>(Biaou &amp; Bernier, 2008)</w:t>
      </w:r>
      <w:r w:rsidR="00FD10CE" w:rsidRPr="00C90AC9">
        <w:rPr>
          <w:rFonts w:eastAsiaTheme="minorHAnsi"/>
          <w:lang w:eastAsia="en-US"/>
        </w:rPr>
        <w:fldChar w:fldCharType="end"/>
      </w:r>
      <w:r w:rsidR="00FD10CE" w:rsidRPr="00C90AC9">
        <w:rPr>
          <w:rFonts w:eastAsiaTheme="minorHAnsi"/>
          <w:lang w:eastAsia="en-US"/>
        </w:rPr>
        <w:t>. W</w:t>
      </w:r>
      <w:r w:rsidR="00A16B8C" w:rsidRPr="00C90AC9">
        <w:rPr>
          <w:rFonts w:eastAsiaTheme="minorHAnsi"/>
          <w:lang w:eastAsia="en-US"/>
        </w:rPr>
        <w:t xml:space="preserve">eather predictions were utilised to estimate the available energy from the </w:t>
      </w:r>
      <w:r w:rsidRPr="00C90AC9">
        <w:rPr>
          <w:rFonts w:eastAsiaTheme="minorHAnsi"/>
          <w:lang w:eastAsia="en-US"/>
        </w:rPr>
        <w:t>sun</w:t>
      </w:r>
      <w:r w:rsidR="00A16B8C" w:rsidRPr="00C90AC9">
        <w:rPr>
          <w:rFonts w:eastAsiaTheme="minorHAnsi"/>
          <w:lang w:eastAsia="en-US"/>
        </w:rPr>
        <w:t xml:space="preserve"> throughout the </w:t>
      </w:r>
      <w:r w:rsidR="00FD10CE" w:rsidRPr="00C90AC9">
        <w:rPr>
          <w:rFonts w:eastAsiaTheme="minorHAnsi"/>
          <w:lang w:eastAsia="en-US"/>
        </w:rPr>
        <w:t>day and allowed programming of s</w:t>
      </w:r>
      <w:r w:rsidR="00A16B8C" w:rsidRPr="00C90AC9">
        <w:rPr>
          <w:rFonts w:eastAsiaTheme="minorHAnsi"/>
          <w:lang w:eastAsia="en-US"/>
        </w:rPr>
        <w:t>ol</w:t>
      </w:r>
      <w:r w:rsidR="00FD10CE" w:rsidRPr="00C90AC9">
        <w:rPr>
          <w:rFonts w:eastAsiaTheme="minorHAnsi"/>
          <w:lang w:eastAsia="en-US"/>
        </w:rPr>
        <w:t>ar s</w:t>
      </w:r>
      <w:r w:rsidR="00A16B8C" w:rsidRPr="00C90AC9">
        <w:rPr>
          <w:rFonts w:eastAsiaTheme="minorHAnsi"/>
          <w:lang w:eastAsia="en-US"/>
        </w:rPr>
        <w:t>ystems to maximise the heating of water so that it is at a temperature which can be used in the home</w:t>
      </w:r>
      <w:r w:rsidR="00487717" w:rsidRPr="00C90AC9">
        <w:rPr>
          <w:rFonts w:eastAsiaTheme="minorHAnsi"/>
          <w:lang w:eastAsia="en-US"/>
        </w:rPr>
        <w:t xml:space="preserve"> </w:t>
      </w:r>
      <w:r w:rsidR="00487717" w:rsidRPr="00C90AC9">
        <w:rPr>
          <w:rFonts w:eastAsiaTheme="minorHAnsi"/>
          <w:lang w:eastAsia="en-US"/>
        </w:rPr>
        <w:fldChar w:fldCharType="begin"/>
      </w:r>
      <w:r w:rsidR="00487717" w:rsidRPr="00C90AC9">
        <w:rPr>
          <w:rFonts w:eastAsiaTheme="minorHAnsi"/>
          <w:lang w:eastAsia="en-US"/>
        </w:rPr>
        <w:instrText xml:space="preserve"> ADDIN EN.CITE &lt;EndNote&gt;&lt;Cite&gt;&lt;Author&gt;Biaou&lt;/Author&gt;&lt;Year&gt;2008&lt;/Year&gt;&lt;RecNum&gt;120&lt;/RecNum&gt;&lt;DisplayText&gt;(Biaou &amp;amp; Bernier, 2008)&lt;/DisplayText&gt;&lt;record&gt;&lt;rec-number&gt;120&lt;/rec-number&gt;&lt;foreign-keys&gt;&lt;key app="EN" db-id="50wxdpzd9vd5r7e9t5b595djrfpttrxw9avp" timestamp="1525076334"&gt;120&lt;/key&gt;&lt;/foreign-keys&gt;&lt;ref-type name="Journal Article"&gt;17&lt;/ref-type&gt;&lt;contributors&gt;&lt;authors&gt;&lt;author&gt;Biaou, A.L.&lt;/author&gt;&lt;author&gt;M.A. Bernier&lt;/author&gt;&lt;/authors&gt;&lt;/contributors&gt;&lt;titles&gt;&lt;title&gt;Achieving total domestic hot water production with renewable energy&lt;/title&gt;&lt;secondary-title&gt;Building and Environment&lt;/secondary-title&gt;&lt;short-title&gt;Biaou, A.L. and M.A. Bernier 2008 – Achieving total domestic hot water&lt;/short-title&gt;&lt;/titles&gt;&lt;pages&gt;p. 651-660&lt;/pages&gt;&lt;volume&gt;43&lt;/volume&gt;&lt;number&gt;4&lt;/number&gt;&lt;dates&gt;&lt;year&gt;2008&lt;/year&gt;&lt;/dates&gt;&lt;urls&gt;&lt;/urls&gt;&lt;/record&gt;&lt;/Cite&gt;&lt;/EndNote&gt;</w:instrText>
      </w:r>
      <w:r w:rsidR="00487717" w:rsidRPr="00C90AC9">
        <w:rPr>
          <w:rFonts w:eastAsiaTheme="minorHAnsi"/>
          <w:lang w:eastAsia="en-US"/>
        </w:rPr>
        <w:fldChar w:fldCharType="separate"/>
      </w:r>
      <w:r w:rsidR="00487717" w:rsidRPr="00C90AC9">
        <w:rPr>
          <w:rFonts w:eastAsiaTheme="minorHAnsi"/>
          <w:lang w:eastAsia="en-US"/>
        </w:rPr>
        <w:t>(Biaou &amp; Bernier, 2008)</w:t>
      </w:r>
      <w:r w:rsidR="00487717" w:rsidRPr="00C90AC9">
        <w:rPr>
          <w:rFonts w:eastAsiaTheme="minorHAnsi"/>
          <w:lang w:eastAsia="en-US"/>
        </w:rPr>
        <w:fldChar w:fldCharType="end"/>
      </w:r>
      <w:r w:rsidR="00A16B8C" w:rsidRPr="00C90AC9">
        <w:rPr>
          <w:rFonts w:eastAsiaTheme="minorHAnsi"/>
          <w:lang w:eastAsia="en-US"/>
        </w:rPr>
        <w:t>.</w:t>
      </w:r>
    </w:p>
    <w:p w:rsidR="00A16B8C" w:rsidRPr="00C90AC9" w:rsidRDefault="00D94ED6" w:rsidP="003014B5">
      <w:pPr>
        <w:pStyle w:val="BodyText"/>
        <w:spacing w:line="360" w:lineRule="auto"/>
        <w:rPr>
          <w:rFonts w:eastAsiaTheme="minorHAnsi"/>
          <w:lang w:eastAsia="en-US"/>
        </w:rPr>
      </w:pPr>
      <w:r w:rsidRPr="00C90AC9">
        <w:rPr>
          <w:rFonts w:eastAsiaTheme="minorHAnsi"/>
          <w:lang w:eastAsia="en-US"/>
        </w:rPr>
        <w:t>Figure 2.</w:t>
      </w:r>
      <w:r w:rsidR="00F17541" w:rsidRPr="00C90AC9">
        <w:rPr>
          <w:rFonts w:eastAsiaTheme="minorHAnsi"/>
          <w:lang w:eastAsia="en-US"/>
        </w:rPr>
        <w:t>4</w:t>
      </w:r>
      <w:r w:rsidR="008021E7" w:rsidRPr="00C90AC9">
        <w:rPr>
          <w:rFonts w:eastAsiaTheme="minorHAnsi"/>
          <w:lang w:eastAsia="en-US"/>
        </w:rPr>
        <w:t xml:space="preserve">. </w:t>
      </w:r>
      <w:r w:rsidR="00FD10CE" w:rsidRPr="00C90AC9">
        <w:rPr>
          <w:rFonts w:eastAsiaTheme="minorHAnsi"/>
          <w:lang w:eastAsia="en-US"/>
        </w:rPr>
        <w:t>is a diagram of the f</w:t>
      </w:r>
      <w:r w:rsidR="008021E7" w:rsidRPr="00C90AC9">
        <w:rPr>
          <w:rFonts w:eastAsiaTheme="minorHAnsi"/>
          <w:lang w:eastAsia="en-US"/>
        </w:rPr>
        <w:t xml:space="preserve">lat </w:t>
      </w:r>
      <w:r w:rsidR="00FD10CE" w:rsidRPr="00C90AC9">
        <w:rPr>
          <w:rFonts w:eastAsiaTheme="minorHAnsi"/>
          <w:lang w:eastAsia="en-US"/>
        </w:rPr>
        <w:t>p</w:t>
      </w:r>
      <w:r w:rsidR="008021E7" w:rsidRPr="00C90AC9">
        <w:rPr>
          <w:rFonts w:eastAsiaTheme="minorHAnsi"/>
          <w:lang w:eastAsia="en-US"/>
        </w:rPr>
        <w:t xml:space="preserve">late </w:t>
      </w:r>
      <w:r w:rsidR="00FD10CE" w:rsidRPr="00C90AC9">
        <w:rPr>
          <w:rFonts w:eastAsiaTheme="minorHAnsi"/>
          <w:lang w:eastAsia="en-US"/>
        </w:rPr>
        <w:t>p</w:t>
      </w:r>
      <w:r w:rsidR="00A16B8C" w:rsidRPr="00C90AC9">
        <w:rPr>
          <w:rFonts w:eastAsiaTheme="minorHAnsi"/>
          <w:lang w:eastAsia="en-US"/>
        </w:rPr>
        <w:t xml:space="preserve">anel system </w:t>
      </w:r>
      <w:r w:rsidR="00FD10CE" w:rsidRPr="00C90AC9">
        <w:rPr>
          <w:rFonts w:eastAsiaTheme="minorHAnsi"/>
          <w:lang w:eastAsia="en-US"/>
        </w:rPr>
        <w:t xml:space="preserve">researched by </w:t>
      </w:r>
      <w:proofErr w:type="spellStart"/>
      <w:r w:rsidR="00FD10CE" w:rsidRPr="00C90AC9">
        <w:rPr>
          <w:rFonts w:eastAsiaTheme="minorHAnsi"/>
          <w:lang w:eastAsia="en-US"/>
        </w:rPr>
        <w:t>Biaou</w:t>
      </w:r>
      <w:proofErr w:type="spellEnd"/>
      <w:r w:rsidR="00FD10CE" w:rsidRPr="00C90AC9">
        <w:rPr>
          <w:rFonts w:eastAsiaTheme="minorHAnsi"/>
          <w:lang w:eastAsia="en-US"/>
        </w:rPr>
        <w:t xml:space="preserve"> and Bernier </w:t>
      </w:r>
      <w:r w:rsidR="00A16B8C" w:rsidRPr="00C90AC9">
        <w:rPr>
          <w:rFonts w:eastAsiaTheme="minorHAnsi"/>
          <w:lang w:eastAsia="en-US"/>
        </w:rPr>
        <w:t xml:space="preserve">which would be located on the roof of a </w:t>
      </w:r>
      <w:r w:rsidR="00487717" w:rsidRPr="00C90AC9">
        <w:rPr>
          <w:rFonts w:eastAsiaTheme="minorHAnsi"/>
          <w:lang w:eastAsia="en-US"/>
        </w:rPr>
        <w:t xml:space="preserve">domestic </w:t>
      </w:r>
      <w:r w:rsidR="00A16B8C" w:rsidRPr="00C90AC9">
        <w:rPr>
          <w:rFonts w:eastAsiaTheme="minorHAnsi"/>
          <w:lang w:eastAsia="en-US"/>
        </w:rPr>
        <w:t>property</w:t>
      </w:r>
      <w:r w:rsidR="00FD10CE" w:rsidRPr="00C90AC9">
        <w:rPr>
          <w:rFonts w:eastAsiaTheme="minorHAnsi"/>
          <w:lang w:eastAsia="en-US"/>
        </w:rPr>
        <w:t xml:space="preserve"> </w:t>
      </w:r>
      <w:r w:rsidR="00FD10CE" w:rsidRPr="00C90AC9">
        <w:rPr>
          <w:rFonts w:eastAsiaTheme="minorHAnsi"/>
          <w:lang w:eastAsia="en-US"/>
        </w:rPr>
        <w:fldChar w:fldCharType="begin"/>
      </w:r>
      <w:r w:rsidR="00FD10CE" w:rsidRPr="00C90AC9">
        <w:rPr>
          <w:rFonts w:eastAsiaTheme="minorHAnsi"/>
          <w:lang w:eastAsia="en-US"/>
        </w:rPr>
        <w:instrText xml:space="preserve"> ADDIN EN.CITE &lt;EndNote&gt;&lt;Cite&gt;&lt;Author&gt;Biaou&lt;/Author&gt;&lt;Year&gt;2008&lt;/Year&gt;&lt;RecNum&gt;120&lt;/RecNum&gt;&lt;DisplayText&gt;(Biaou &amp;amp; Bernier, 2008)&lt;/DisplayText&gt;&lt;record&gt;&lt;rec-number&gt;120&lt;/rec-number&gt;&lt;foreign-keys&gt;&lt;key app="EN" db-id="50wxdpzd9vd5r7e9t5b595djrfpttrxw9avp" timestamp="1525076334"&gt;120&lt;/key&gt;&lt;/foreign-keys&gt;&lt;ref-type name="Journal Article"&gt;17&lt;/ref-type&gt;&lt;contributors&gt;&lt;authors&gt;&lt;author&gt;Biaou, A.L.&lt;/author&gt;&lt;author&gt;M.A. Bernier&lt;/author&gt;&lt;/authors&gt;&lt;/contributors&gt;&lt;titles&gt;&lt;title&gt;Achieving total domestic hot water production with renewable energy&lt;/title&gt;&lt;secondary-title&gt;Building and Environment&lt;/secondary-title&gt;&lt;short-title&gt;Biaou, A.L. and M.A. Bernier 2008 – Achieving total domestic hot water&lt;/short-title&gt;&lt;/titles&gt;&lt;pages&gt;p. 651-660&lt;/pages&gt;&lt;volume&gt;43&lt;/volume&gt;&lt;number&gt;4&lt;/number&gt;&lt;dates&gt;&lt;year&gt;2008&lt;/year&gt;&lt;/dates&gt;&lt;urls&gt;&lt;/urls&gt;&lt;/record&gt;&lt;/Cite&gt;&lt;/EndNote&gt;</w:instrText>
      </w:r>
      <w:r w:rsidR="00FD10CE" w:rsidRPr="00C90AC9">
        <w:rPr>
          <w:rFonts w:eastAsiaTheme="minorHAnsi"/>
          <w:lang w:eastAsia="en-US"/>
        </w:rPr>
        <w:fldChar w:fldCharType="separate"/>
      </w:r>
      <w:r w:rsidR="00FD10CE" w:rsidRPr="00C90AC9">
        <w:rPr>
          <w:rFonts w:eastAsiaTheme="minorHAnsi"/>
          <w:lang w:eastAsia="en-US"/>
        </w:rPr>
        <w:t>(Biaou &amp; Bernier, 2008)</w:t>
      </w:r>
      <w:r w:rsidR="00FD10CE" w:rsidRPr="00C90AC9">
        <w:rPr>
          <w:rFonts w:eastAsiaTheme="minorHAnsi"/>
          <w:lang w:eastAsia="en-US"/>
        </w:rPr>
        <w:fldChar w:fldCharType="end"/>
      </w:r>
      <w:r w:rsidR="00FD10CE" w:rsidRPr="00C90AC9">
        <w:rPr>
          <w:rFonts w:eastAsiaTheme="minorHAnsi"/>
          <w:lang w:eastAsia="en-US"/>
        </w:rPr>
        <w:t>. Water is</w:t>
      </w:r>
      <w:r w:rsidR="00A16B8C" w:rsidRPr="00C90AC9">
        <w:rPr>
          <w:rFonts w:eastAsiaTheme="minorHAnsi"/>
          <w:lang w:eastAsia="en-US"/>
        </w:rPr>
        <w:t xml:space="preserve"> allowed to flow </w:t>
      </w:r>
      <w:r w:rsidR="00FD10CE" w:rsidRPr="00C90AC9">
        <w:rPr>
          <w:rFonts w:eastAsiaTheme="minorHAnsi"/>
          <w:lang w:eastAsia="en-US"/>
        </w:rPr>
        <w:t>within the flat plate collector and is</w:t>
      </w:r>
      <w:r w:rsidR="00A16B8C" w:rsidRPr="00C90AC9">
        <w:rPr>
          <w:rFonts w:eastAsiaTheme="minorHAnsi"/>
          <w:lang w:eastAsia="en-US"/>
        </w:rPr>
        <w:t xml:space="preserve"> heated due </w:t>
      </w:r>
      <w:r w:rsidR="00487717" w:rsidRPr="00C90AC9">
        <w:rPr>
          <w:rFonts w:eastAsiaTheme="minorHAnsi"/>
          <w:lang w:eastAsia="en-US"/>
        </w:rPr>
        <w:t xml:space="preserve">to the </w:t>
      </w:r>
      <w:r w:rsidR="000450FC" w:rsidRPr="00C90AC9">
        <w:rPr>
          <w:rFonts w:eastAsiaTheme="minorHAnsi"/>
          <w:lang w:eastAsia="en-US"/>
        </w:rPr>
        <w:t>sun</w:t>
      </w:r>
      <w:r w:rsidR="00487717" w:rsidRPr="00C90AC9">
        <w:rPr>
          <w:rFonts w:eastAsiaTheme="minorHAnsi"/>
          <w:lang w:eastAsia="en-US"/>
        </w:rPr>
        <w:t>’s rays</w:t>
      </w:r>
      <w:r w:rsidR="00FD10CE" w:rsidRPr="00C90AC9">
        <w:rPr>
          <w:rFonts w:eastAsiaTheme="minorHAnsi"/>
          <w:lang w:eastAsia="en-US"/>
        </w:rPr>
        <w:t>. C</w:t>
      </w:r>
      <w:r w:rsidR="00A16B8C" w:rsidRPr="00C90AC9">
        <w:rPr>
          <w:rFonts w:eastAsiaTheme="minorHAnsi"/>
          <w:lang w:eastAsia="en-US"/>
        </w:rPr>
        <w:t xml:space="preserve">onnecting pipes transfer the heated water from the flat plate collectors </w:t>
      </w:r>
      <w:r w:rsidR="00FD10CE" w:rsidRPr="00C90AC9">
        <w:rPr>
          <w:rFonts w:eastAsiaTheme="minorHAnsi"/>
          <w:lang w:eastAsia="en-US"/>
        </w:rPr>
        <w:t xml:space="preserve">with the heated water then </w:t>
      </w:r>
      <w:r w:rsidR="00A16B8C" w:rsidRPr="00C90AC9">
        <w:rPr>
          <w:rFonts w:eastAsiaTheme="minorHAnsi"/>
          <w:lang w:eastAsia="en-US"/>
        </w:rPr>
        <w:t>circulated through a heat exchanger so that the heated water can give up its heat to a second line which is connected to a solar tank</w:t>
      </w:r>
      <w:r w:rsidR="00487717" w:rsidRPr="00C90AC9">
        <w:rPr>
          <w:rFonts w:eastAsiaTheme="minorHAnsi"/>
          <w:lang w:eastAsia="en-US"/>
        </w:rPr>
        <w:t xml:space="preserve"> </w:t>
      </w:r>
      <w:r w:rsidR="00487717" w:rsidRPr="00C90AC9">
        <w:rPr>
          <w:rFonts w:eastAsiaTheme="minorHAnsi"/>
          <w:lang w:eastAsia="en-US"/>
        </w:rPr>
        <w:fldChar w:fldCharType="begin"/>
      </w:r>
      <w:r w:rsidR="00487717" w:rsidRPr="00C90AC9">
        <w:rPr>
          <w:rFonts w:eastAsiaTheme="minorHAnsi"/>
          <w:lang w:eastAsia="en-US"/>
        </w:rPr>
        <w:instrText xml:space="preserve"> ADDIN EN.CITE &lt;EndNote&gt;&lt;Cite&gt;&lt;Author&gt;Biaou&lt;/Author&gt;&lt;Year&gt;2008&lt;/Year&gt;&lt;RecNum&gt;120&lt;/RecNum&gt;&lt;DisplayText&gt;(Biaou &amp;amp; Bernier, 2008)&lt;/DisplayText&gt;&lt;record&gt;&lt;rec-number&gt;120&lt;/rec-number&gt;&lt;foreign-keys&gt;&lt;key app="EN" db-id="50wxdpzd9vd5r7e9t5b595djrfpttrxw9avp" timestamp="1525076334"&gt;120&lt;/key&gt;&lt;/foreign-keys&gt;&lt;ref-type name="Journal Article"&gt;17&lt;/ref-type&gt;&lt;contributors&gt;&lt;authors&gt;&lt;author&gt;Biaou, A.L.&lt;/author&gt;&lt;author&gt;M.A. Bernier&lt;/author&gt;&lt;/authors&gt;&lt;/contributors&gt;&lt;titles&gt;&lt;title&gt;Achieving total domestic hot water production with renewable energy&lt;/title&gt;&lt;secondary-title&gt;Building and Environment&lt;/secondary-title&gt;&lt;short-title&gt;Biaou, A.L. and M.A. Bernier 2008 – Achieving total domestic hot water&lt;/short-title&gt;&lt;/titles&gt;&lt;pages&gt;p. 651-660&lt;/pages&gt;&lt;volume&gt;43&lt;/volume&gt;&lt;number&gt;4&lt;/number&gt;&lt;dates&gt;&lt;year&gt;2008&lt;/year&gt;&lt;/dates&gt;&lt;urls&gt;&lt;/urls&gt;&lt;/record&gt;&lt;/Cite&gt;&lt;/EndNote&gt;</w:instrText>
      </w:r>
      <w:r w:rsidR="00487717" w:rsidRPr="00C90AC9">
        <w:rPr>
          <w:rFonts w:eastAsiaTheme="minorHAnsi"/>
          <w:lang w:eastAsia="en-US"/>
        </w:rPr>
        <w:fldChar w:fldCharType="separate"/>
      </w:r>
      <w:r w:rsidR="00487717" w:rsidRPr="00C90AC9">
        <w:rPr>
          <w:rFonts w:eastAsiaTheme="minorHAnsi"/>
          <w:lang w:eastAsia="en-US"/>
        </w:rPr>
        <w:t>(Biaou &amp; Bernier, 2008)</w:t>
      </w:r>
      <w:r w:rsidR="00487717" w:rsidRPr="00C90AC9">
        <w:rPr>
          <w:rFonts w:eastAsiaTheme="minorHAnsi"/>
          <w:lang w:eastAsia="en-US"/>
        </w:rPr>
        <w:fldChar w:fldCharType="end"/>
      </w:r>
      <w:r w:rsidR="00A16B8C" w:rsidRPr="00C90AC9">
        <w:rPr>
          <w:rFonts w:eastAsiaTheme="minorHAnsi"/>
          <w:lang w:eastAsia="en-US"/>
        </w:rPr>
        <w:t xml:space="preserve">. The water having given up its heat in the heating exchanger </w:t>
      </w:r>
      <w:r w:rsidR="00FD10CE" w:rsidRPr="00C90AC9">
        <w:rPr>
          <w:rFonts w:eastAsiaTheme="minorHAnsi"/>
          <w:lang w:eastAsia="en-US"/>
        </w:rPr>
        <w:t xml:space="preserve">can </w:t>
      </w:r>
      <w:r w:rsidR="00A16B8C" w:rsidRPr="00C90AC9">
        <w:rPr>
          <w:rFonts w:eastAsiaTheme="minorHAnsi"/>
          <w:lang w:eastAsia="en-US"/>
        </w:rPr>
        <w:t>then circulated back to the col</w:t>
      </w:r>
      <w:r w:rsidR="00487717" w:rsidRPr="00C90AC9">
        <w:rPr>
          <w:rFonts w:eastAsiaTheme="minorHAnsi"/>
          <w:lang w:eastAsia="en-US"/>
        </w:rPr>
        <w:t xml:space="preserve">lectors at a lower temperature </w:t>
      </w:r>
      <w:r w:rsidR="00FD10CE" w:rsidRPr="00C90AC9">
        <w:rPr>
          <w:rFonts w:eastAsiaTheme="minorHAnsi"/>
          <w:lang w:eastAsia="en-US"/>
        </w:rPr>
        <w:t xml:space="preserve">with the whole process being repeated </w:t>
      </w:r>
      <w:r w:rsidR="00487717" w:rsidRPr="00C90AC9">
        <w:rPr>
          <w:rFonts w:eastAsiaTheme="minorHAnsi"/>
          <w:lang w:eastAsia="en-US"/>
        </w:rPr>
        <w:fldChar w:fldCharType="begin"/>
      </w:r>
      <w:r w:rsidR="00487717" w:rsidRPr="00C90AC9">
        <w:rPr>
          <w:rFonts w:eastAsiaTheme="minorHAnsi"/>
          <w:lang w:eastAsia="en-US"/>
        </w:rPr>
        <w:instrText xml:space="preserve"> ADDIN EN.CITE &lt;EndNote&gt;&lt;Cite&gt;&lt;Author&gt;Biaou&lt;/Author&gt;&lt;Year&gt;2008&lt;/Year&gt;&lt;RecNum&gt;120&lt;/RecNum&gt;&lt;DisplayText&gt;(Biaou &amp;amp; Bernier, 2008)&lt;/DisplayText&gt;&lt;record&gt;&lt;rec-number&gt;120&lt;/rec-number&gt;&lt;foreign-keys&gt;&lt;key app="EN" db-id="50wxdpzd9vd5r7e9t5b595djrfpttrxw9avp" timestamp="1525076334"&gt;120&lt;/key&gt;&lt;/foreign-keys&gt;&lt;ref-type name="Journal Article"&gt;17&lt;/ref-type&gt;&lt;contributors&gt;&lt;authors&gt;&lt;author&gt;Biaou, A.L.&lt;/author&gt;&lt;author&gt;M.A. Bernier&lt;/author&gt;&lt;/authors&gt;&lt;/contributors&gt;&lt;titles&gt;&lt;title&gt;Achieving total domestic hot water production with renewable energy&lt;/title&gt;&lt;secondary-title&gt;Building and Environment&lt;/secondary-title&gt;&lt;short-title&gt;Biaou, A.L. and M.A. Bernier 2008 – Achieving total domestic hot water&lt;/short-title&gt;&lt;/titles&gt;&lt;pages&gt;p. 651-660&lt;/pages&gt;&lt;volume&gt;43&lt;/volume&gt;&lt;number&gt;4&lt;/number&gt;&lt;dates&gt;&lt;year&gt;2008&lt;/year&gt;&lt;/dates&gt;&lt;urls&gt;&lt;/urls&gt;&lt;/record&gt;&lt;/Cite&gt;&lt;/EndNote&gt;</w:instrText>
      </w:r>
      <w:r w:rsidR="00487717" w:rsidRPr="00C90AC9">
        <w:rPr>
          <w:rFonts w:eastAsiaTheme="minorHAnsi"/>
          <w:lang w:eastAsia="en-US"/>
        </w:rPr>
        <w:fldChar w:fldCharType="separate"/>
      </w:r>
      <w:r w:rsidR="00487717" w:rsidRPr="00C90AC9">
        <w:rPr>
          <w:rFonts w:eastAsiaTheme="minorHAnsi"/>
          <w:lang w:eastAsia="en-US"/>
        </w:rPr>
        <w:t>(Biaou &amp; Bernier, 2008)</w:t>
      </w:r>
      <w:r w:rsidR="00487717" w:rsidRPr="00C90AC9">
        <w:rPr>
          <w:rFonts w:eastAsiaTheme="minorHAnsi"/>
          <w:lang w:eastAsia="en-US"/>
        </w:rPr>
        <w:fldChar w:fldCharType="end"/>
      </w:r>
      <w:r w:rsidR="00487717" w:rsidRPr="00C90AC9">
        <w:rPr>
          <w:rFonts w:eastAsiaTheme="minorHAnsi"/>
          <w:lang w:eastAsia="en-US"/>
        </w:rPr>
        <w:t>.</w:t>
      </w:r>
      <w:r w:rsidR="00A16B8C" w:rsidRPr="00C90AC9">
        <w:rPr>
          <w:rFonts w:eastAsiaTheme="minorHAnsi"/>
          <w:lang w:eastAsia="en-US"/>
        </w:rPr>
        <w:t xml:space="preserve"> </w:t>
      </w:r>
      <w:r w:rsidR="00487717" w:rsidRPr="00C90AC9">
        <w:rPr>
          <w:rFonts w:eastAsiaTheme="minorHAnsi"/>
          <w:lang w:eastAsia="en-US"/>
        </w:rPr>
        <w:t>T</w:t>
      </w:r>
      <w:r w:rsidR="00A77CB3" w:rsidRPr="00C90AC9">
        <w:rPr>
          <w:rFonts w:eastAsiaTheme="minorHAnsi"/>
          <w:lang w:eastAsia="en-US"/>
        </w:rPr>
        <w:t>he second-</w:t>
      </w:r>
      <w:r w:rsidR="00A16B8C" w:rsidRPr="00C90AC9">
        <w:rPr>
          <w:rFonts w:eastAsiaTheme="minorHAnsi"/>
          <w:lang w:eastAsia="en-US"/>
        </w:rPr>
        <w:t>line</w:t>
      </w:r>
      <w:r w:rsidR="00A77CB3" w:rsidRPr="00C90AC9">
        <w:rPr>
          <w:rFonts w:eastAsiaTheme="minorHAnsi"/>
          <w:lang w:eastAsia="en-US"/>
        </w:rPr>
        <w:t>,</w:t>
      </w:r>
      <w:r w:rsidR="00A16B8C" w:rsidRPr="00C90AC9">
        <w:rPr>
          <w:rFonts w:eastAsiaTheme="minorHAnsi"/>
          <w:lang w:eastAsia="en-US"/>
        </w:rPr>
        <w:t xml:space="preserve"> having water that is heated from heating </w:t>
      </w:r>
      <w:r w:rsidR="00A77CB3" w:rsidRPr="00C90AC9">
        <w:rPr>
          <w:rFonts w:eastAsiaTheme="minorHAnsi"/>
          <w:lang w:eastAsia="en-US"/>
        </w:rPr>
        <w:t>ex</w:t>
      </w:r>
      <w:r w:rsidR="00A16B8C" w:rsidRPr="00C90AC9">
        <w:rPr>
          <w:rFonts w:eastAsiaTheme="minorHAnsi"/>
          <w:lang w:eastAsia="en-US"/>
        </w:rPr>
        <w:t>changer</w:t>
      </w:r>
      <w:r w:rsidR="00A77CB3" w:rsidRPr="00C90AC9">
        <w:rPr>
          <w:rFonts w:eastAsiaTheme="minorHAnsi"/>
          <w:lang w:eastAsia="en-US"/>
        </w:rPr>
        <w:t>, is allowed then</w:t>
      </w:r>
      <w:r w:rsidR="00A16B8C" w:rsidRPr="00C90AC9">
        <w:rPr>
          <w:rFonts w:eastAsiaTheme="minorHAnsi"/>
          <w:lang w:eastAsia="en-US"/>
        </w:rPr>
        <w:t xml:space="preserve"> to flow into a solar tank </w:t>
      </w:r>
      <w:r w:rsidR="00487717" w:rsidRPr="00C90AC9">
        <w:rPr>
          <w:rFonts w:eastAsiaTheme="minorHAnsi"/>
          <w:lang w:eastAsia="en-US"/>
        </w:rPr>
        <w:t xml:space="preserve">to be stored ready for use </w:t>
      </w:r>
      <w:r w:rsidR="00487717" w:rsidRPr="00C90AC9">
        <w:rPr>
          <w:rFonts w:eastAsiaTheme="minorHAnsi"/>
          <w:lang w:eastAsia="en-US"/>
        </w:rPr>
        <w:fldChar w:fldCharType="begin"/>
      </w:r>
      <w:r w:rsidR="00487717" w:rsidRPr="00C90AC9">
        <w:rPr>
          <w:rFonts w:eastAsiaTheme="minorHAnsi"/>
          <w:lang w:eastAsia="en-US"/>
        </w:rPr>
        <w:instrText xml:space="preserve"> ADDIN EN.CITE &lt;EndNote&gt;&lt;Cite&gt;&lt;Author&gt;Biaou&lt;/Author&gt;&lt;Year&gt;2008&lt;/Year&gt;&lt;RecNum&gt;120&lt;/RecNum&gt;&lt;DisplayText&gt;(Biaou &amp;amp; Bernier, 2008)&lt;/DisplayText&gt;&lt;record&gt;&lt;rec-number&gt;120&lt;/rec-number&gt;&lt;foreign-keys&gt;&lt;key app="EN" db-id="50wxdpzd9vd5r7e9t5b595djrfpttrxw9avp" timestamp="1525076334"&gt;120&lt;/key&gt;&lt;/foreign-keys&gt;&lt;ref-type name="Journal Article"&gt;17&lt;/ref-type&gt;&lt;contributors&gt;&lt;authors&gt;&lt;author&gt;Biaou, A.L.&lt;/author&gt;&lt;author&gt;M.A. Bernier&lt;/author&gt;&lt;/authors&gt;&lt;/contributors&gt;&lt;titles&gt;&lt;title&gt;Achieving total domestic hot water production with renewable energy&lt;/title&gt;&lt;secondary-title&gt;Building and Environment&lt;/secondary-title&gt;&lt;short-title&gt;Biaou, A.L. and M.A. Bernier 2008 – Achieving total domestic hot water&lt;/short-title&gt;&lt;/titles&gt;&lt;pages&gt;p. 651-660&lt;/pages&gt;&lt;volume&gt;43&lt;/volume&gt;&lt;number&gt;4&lt;/number&gt;&lt;dates&gt;&lt;year&gt;2008&lt;/year&gt;&lt;/dates&gt;&lt;urls&gt;&lt;/urls&gt;&lt;/record&gt;&lt;/Cite&gt;&lt;/EndNote&gt;</w:instrText>
      </w:r>
      <w:r w:rsidR="00487717" w:rsidRPr="00C90AC9">
        <w:rPr>
          <w:rFonts w:eastAsiaTheme="minorHAnsi"/>
          <w:lang w:eastAsia="en-US"/>
        </w:rPr>
        <w:fldChar w:fldCharType="separate"/>
      </w:r>
      <w:r w:rsidR="00487717" w:rsidRPr="00C90AC9">
        <w:rPr>
          <w:rFonts w:eastAsiaTheme="minorHAnsi"/>
          <w:lang w:eastAsia="en-US"/>
        </w:rPr>
        <w:t>(Biaou &amp; Bernier, 2008)</w:t>
      </w:r>
      <w:r w:rsidR="00487717" w:rsidRPr="00C90AC9">
        <w:rPr>
          <w:rFonts w:eastAsiaTheme="minorHAnsi"/>
          <w:lang w:eastAsia="en-US"/>
        </w:rPr>
        <w:fldChar w:fldCharType="end"/>
      </w:r>
      <w:r w:rsidR="00A16B8C" w:rsidRPr="00C90AC9">
        <w:rPr>
          <w:rFonts w:eastAsiaTheme="minorHAnsi"/>
          <w:lang w:eastAsia="en-US"/>
        </w:rPr>
        <w:t xml:space="preserve">. </w:t>
      </w:r>
    </w:p>
    <w:p w:rsidR="00A16B8C" w:rsidRPr="00C90AC9" w:rsidRDefault="00A16B8C" w:rsidP="003014B5">
      <w:pPr>
        <w:pStyle w:val="BodyText"/>
        <w:spacing w:line="360" w:lineRule="auto"/>
        <w:rPr>
          <w:rFonts w:eastAsiaTheme="minorHAnsi"/>
          <w:lang w:eastAsia="en-US"/>
        </w:rPr>
      </w:pPr>
      <w:r w:rsidRPr="00C90AC9">
        <w:rPr>
          <w:rFonts w:eastAsiaTheme="minorHAnsi"/>
          <w:lang w:eastAsia="en-US"/>
        </w:rPr>
        <w:t xml:space="preserve">The flow rate of the water as it flows around the system is regulated by a controller which is connected to a pump/circulator. This controller measures the temperature of the water as it enters and leaves the heating changer so to maximise the transfer of heat energy from the </w:t>
      </w:r>
      <w:r w:rsidR="000450FC" w:rsidRPr="00C90AC9">
        <w:rPr>
          <w:rFonts w:eastAsiaTheme="minorHAnsi"/>
          <w:lang w:eastAsia="en-US"/>
        </w:rPr>
        <w:t>sun</w:t>
      </w:r>
      <w:r w:rsidR="00C80892" w:rsidRPr="00C90AC9">
        <w:rPr>
          <w:rFonts w:eastAsiaTheme="minorHAnsi"/>
          <w:lang w:eastAsia="en-US"/>
        </w:rPr>
        <w:t>’</w:t>
      </w:r>
      <w:r w:rsidRPr="00C90AC9">
        <w:rPr>
          <w:rFonts w:eastAsiaTheme="minorHAnsi"/>
          <w:lang w:eastAsia="en-US"/>
        </w:rPr>
        <w:t>s energy to the heated water.</w:t>
      </w:r>
    </w:p>
    <w:p w:rsidR="00A16B8C" w:rsidRPr="00C90AC9" w:rsidRDefault="00A16B8C" w:rsidP="003014B5">
      <w:pPr>
        <w:pStyle w:val="BodyText"/>
        <w:spacing w:line="360" w:lineRule="auto"/>
        <w:rPr>
          <w:rFonts w:eastAsiaTheme="minorHAnsi"/>
          <w:lang w:eastAsia="en-US"/>
        </w:rPr>
      </w:pPr>
      <w:r w:rsidRPr="00C90AC9">
        <w:rPr>
          <w:rFonts w:eastAsiaTheme="minorHAnsi"/>
          <w:lang w:eastAsia="en-US"/>
        </w:rPr>
        <w:t xml:space="preserve">Due to potential differences in the heating pattern of the </w:t>
      </w:r>
      <w:r w:rsidR="000450FC" w:rsidRPr="00C90AC9">
        <w:rPr>
          <w:rFonts w:eastAsiaTheme="minorHAnsi"/>
          <w:lang w:eastAsia="en-US"/>
        </w:rPr>
        <w:t>sun</w:t>
      </w:r>
      <w:r w:rsidRPr="00C90AC9">
        <w:rPr>
          <w:rFonts w:eastAsiaTheme="minorHAnsi"/>
          <w:lang w:eastAsia="en-US"/>
        </w:rPr>
        <w:t xml:space="preserve"> and the </w:t>
      </w:r>
      <w:r w:rsidR="00A77CB3" w:rsidRPr="00C90AC9">
        <w:rPr>
          <w:rFonts w:eastAsiaTheme="minorHAnsi"/>
          <w:lang w:eastAsia="en-US"/>
        </w:rPr>
        <w:t xml:space="preserve">consumption pattern </w:t>
      </w:r>
      <w:r w:rsidRPr="00C90AC9">
        <w:rPr>
          <w:rFonts w:eastAsiaTheme="minorHAnsi"/>
          <w:lang w:eastAsia="en-US"/>
        </w:rPr>
        <w:t>of hot water in the property</w:t>
      </w:r>
      <w:r w:rsidR="00A77CB3" w:rsidRPr="00C90AC9">
        <w:rPr>
          <w:rFonts w:eastAsiaTheme="minorHAnsi"/>
          <w:lang w:eastAsia="en-US"/>
        </w:rPr>
        <w:t>,</w:t>
      </w:r>
      <w:r w:rsidRPr="00C90AC9">
        <w:rPr>
          <w:rFonts w:eastAsiaTheme="minorHAnsi"/>
          <w:lang w:eastAsia="en-US"/>
        </w:rPr>
        <w:t xml:space="preserve"> a backup tank is available in the property which utilises conventional fuels to heat the water</w:t>
      </w:r>
      <w:r w:rsidR="00984852" w:rsidRPr="00C90AC9">
        <w:rPr>
          <w:rFonts w:eastAsiaTheme="minorHAnsi"/>
          <w:lang w:eastAsia="en-US"/>
        </w:rPr>
        <w:t xml:space="preserve"> up to the desired temperature</w:t>
      </w:r>
      <w:r w:rsidRPr="00C90AC9">
        <w:rPr>
          <w:rFonts w:eastAsiaTheme="minorHAnsi"/>
          <w:lang w:eastAsia="en-US"/>
        </w:rPr>
        <w:t xml:space="preserve">  </w:t>
      </w:r>
      <w:r w:rsidR="00487717" w:rsidRPr="00C90AC9">
        <w:rPr>
          <w:rFonts w:eastAsiaTheme="minorHAnsi"/>
          <w:lang w:eastAsia="en-US"/>
        </w:rPr>
        <w:fldChar w:fldCharType="begin"/>
      </w:r>
      <w:r w:rsidR="00487717" w:rsidRPr="00C90AC9">
        <w:rPr>
          <w:rFonts w:eastAsiaTheme="minorHAnsi"/>
          <w:lang w:eastAsia="en-US"/>
        </w:rPr>
        <w:instrText xml:space="preserve"> ADDIN EN.CITE &lt;EndNote&gt;&lt;Cite&gt;&lt;Author&gt;Biaou&lt;/Author&gt;&lt;Year&gt;2008&lt;/Year&gt;&lt;RecNum&gt;120&lt;/RecNum&gt;&lt;DisplayText&gt;(Biaou &amp;amp; Bernier, 2008)&lt;/DisplayText&gt;&lt;record&gt;&lt;rec-number&gt;120&lt;/rec-number&gt;&lt;foreign-keys&gt;&lt;key app="EN" db-id="50wxdpzd9vd5r7e9t5b595djrfpttrxw9avp" timestamp="1525076334"&gt;120&lt;/key&gt;&lt;/foreign-keys&gt;&lt;ref-type name="Journal Article"&gt;17&lt;/ref-type&gt;&lt;contributors&gt;&lt;authors&gt;&lt;author&gt;Biaou, A.L.&lt;/author&gt;&lt;author&gt;M.A. Bernier&lt;/author&gt;&lt;/authors&gt;&lt;/contributors&gt;&lt;titles&gt;&lt;title&gt;Achieving total domestic hot water production with renewable energy&lt;/title&gt;&lt;secondary-title&gt;Building and Environment&lt;/secondary-title&gt;&lt;short-title&gt;Biaou, A.L. and M.A. Bernier 2008 – Achieving total domestic hot water&lt;/short-title&gt;&lt;/titles&gt;&lt;pages&gt;p. 651-660&lt;/pages&gt;&lt;volume&gt;43&lt;/volume&gt;&lt;number&gt;4&lt;/number&gt;&lt;dates&gt;&lt;year&gt;2008&lt;/year&gt;&lt;/dates&gt;&lt;urls&gt;&lt;/urls&gt;&lt;/record&gt;&lt;/Cite&gt;&lt;/EndNote&gt;</w:instrText>
      </w:r>
      <w:r w:rsidR="00487717" w:rsidRPr="00C90AC9">
        <w:rPr>
          <w:rFonts w:eastAsiaTheme="minorHAnsi"/>
          <w:lang w:eastAsia="en-US"/>
        </w:rPr>
        <w:fldChar w:fldCharType="separate"/>
      </w:r>
      <w:r w:rsidR="00487717" w:rsidRPr="00C90AC9">
        <w:rPr>
          <w:rFonts w:eastAsiaTheme="minorHAnsi"/>
          <w:lang w:eastAsia="en-US"/>
        </w:rPr>
        <w:t>(Biaou &amp; Bernier, 2008)</w:t>
      </w:r>
      <w:r w:rsidR="00487717" w:rsidRPr="00C90AC9">
        <w:rPr>
          <w:rFonts w:eastAsiaTheme="minorHAnsi"/>
          <w:lang w:eastAsia="en-US"/>
        </w:rPr>
        <w:fldChar w:fldCharType="end"/>
      </w:r>
      <w:r w:rsidR="00487717" w:rsidRPr="00C90AC9">
        <w:rPr>
          <w:rFonts w:eastAsiaTheme="minorHAnsi"/>
          <w:lang w:eastAsia="en-US"/>
        </w:rPr>
        <w:t>.</w:t>
      </w:r>
      <w:r w:rsidRPr="00C90AC9">
        <w:rPr>
          <w:rFonts w:eastAsiaTheme="minorHAnsi"/>
          <w:lang w:eastAsia="en-US"/>
        </w:rPr>
        <w:t xml:space="preserve"> </w:t>
      </w:r>
    </w:p>
    <w:p w:rsidR="00A16B8C" w:rsidRPr="00C90AC9" w:rsidRDefault="00487717" w:rsidP="00B06779">
      <w:pPr>
        <w:pStyle w:val="BodyText"/>
        <w:rPr>
          <w:rFonts w:eastAsiaTheme="majorEastAsia"/>
          <w:lang w:eastAsia="en-US"/>
        </w:rPr>
      </w:pPr>
      <w:r w:rsidRPr="00C90AC9">
        <w:rPr>
          <w:rFonts w:eastAsiaTheme="majorEastAsia"/>
          <w:noProof/>
        </w:rPr>
        <w:lastRenderedPageBreak/>
        <w:drawing>
          <wp:anchor distT="0" distB="0" distL="114300" distR="114300" simplePos="0" relativeHeight="251679744" behindDoc="0" locked="0" layoutInCell="1" allowOverlap="1" wp14:anchorId="546810E7" wp14:editId="375D5D1D">
            <wp:simplePos x="0" y="0"/>
            <wp:positionH relativeFrom="margin">
              <wp:posOffset>9525</wp:posOffset>
            </wp:positionH>
            <wp:positionV relativeFrom="paragraph">
              <wp:posOffset>574675</wp:posOffset>
            </wp:positionV>
            <wp:extent cx="5676900" cy="3619500"/>
            <wp:effectExtent l="19050" t="19050" r="19050" b="19050"/>
            <wp:wrapSquare wrapText="bothSides"/>
            <wp:docPr id="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l="7811" t="30851" r="17239" b="9043"/>
                    <a:stretch>
                      <a:fillRect/>
                    </a:stretch>
                  </pic:blipFill>
                  <pic:spPr bwMode="auto">
                    <a:xfrm>
                      <a:off x="0" y="0"/>
                      <a:ext cx="5676900" cy="3619500"/>
                    </a:xfrm>
                    <a:prstGeom prst="rect">
                      <a:avLst/>
                    </a:prstGeom>
                    <a:noFill/>
                    <a:ln w="6350">
                      <a:solidFill>
                        <a:sysClr val="windowText" lastClr="000000"/>
                      </a:solidFill>
                      <a:miter lim="800000"/>
                      <a:headEnd/>
                      <a:tailEnd/>
                    </a:ln>
                  </pic:spPr>
                </pic:pic>
              </a:graphicData>
            </a:graphic>
            <wp14:sizeRelV relativeFrom="margin">
              <wp14:pctHeight>0</wp14:pctHeight>
            </wp14:sizeRelV>
          </wp:anchor>
        </w:drawing>
      </w:r>
      <w:r w:rsidR="00A16B8C" w:rsidRPr="00C90AC9">
        <w:rPr>
          <w:rFonts w:eastAsiaTheme="majorEastAsia"/>
          <w:lang w:eastAsia="en-US"/>
        </w:rPr>
        <w:t>Figure</w:t>
      </w:r>
      <w:r w:rsidR="00D62B11" w:rsidRPr="00C90AC9">
        <w:rPr>
          <w:rFonts w:eastAsiaTheme="majorEastAsia"/>
          <w:lang w:eastAsia="en-US"/>
        </w:rPr>
        <w:t xml:space="preserve"> 2.4</w:t>
      </w:r>
      <w:r w:rsidR="00A16B8C" w:rsidRPr="00C90AC9">
        <w:rPr>
          <w:rFonts w:eastAsiaTheme="majorEastAsia"/>
          <w:lang w:eastAsia="en-US"/>
        </w:rPr>
        <w:t xml:space="preserve">. </w:t>
      </w:r>
      <w:r w:rsidR="003E4C67" w:rsidRPr="00C90AC9">
        <w:rPr>
          <w:rFonts w:eastAsiaTheme="majorEastAsia"/>
          <w:lang w:eastAsia="en-US"/>
        </w:rPr>
        <w:t>T</w:t>
      </w:r>
      <w:r w:rsidR="00A16B8C" w:rsidRPr="00C90AC9">
        <w:rPr>
          <w:rFonts w:eastAsiaTheme="majorEastAsia"/>
          <w:lang w:eastAsia="en-US"/>
        </w:rPr>
        <w:t xml:space="preserve">he </w:t>
      </w:r>
      <w:r w:rsidR="00E717CC">
        <w:rPr>
          <w:rFonts w:eastAsiaTheme="majorEastAsia"/>
          <w:lang w:eastAsia="en-US"/>
        </w:rPr>
        <w:t>S</w:t>
      </w:r>
      <w:r w:rsidR="00A16B8C" w:rsidRPr="00C90AC9">
        <w:rPr>
          <w:rFonts w:eastAsiaTheme="majorEastAsia"/>
          <w:lang w:eastAsia="en-US"/>
        </w:rPr>
        <w:t xml:space="preserve">olar </w:t>
      </w:r>
      <w:r w:rsidR="00E717CC">
        <w:rPr>
          <w:rFonts w:eastAsiaTheme="majorEastAsia"/>
          <w:lang w:eastAsia="en-US"/>
        </w:rPr>
        <w:t>D</w:t>
      </w:r>
      <w:r w:rsidR="00A16B8C" w:rsidRPr="00C90AC9">
        <w:rPr>
          <w:rFonts w:eastAsiaTheme="majorEastAsia"/>
          <w:lang w:eastAsia="en-US"/>
        </w:rPr>
        <w:t xml:space="preserve">omestic </w:t>
      </w:r>
      <w:r w:rsidR="00E717CC">
        <w:rPr>
          <w:rFonts w:eastAsiaTheme="majorEastAsia"/>
          <w:lang w:eastAsia="en-US"/>
        </w:rPr>
        <w:t>H</w:t>
      </w:r>
      <w:r w:rsidR="00A16B8C" w:rsidRPr="00C90AC9">
        <w:rPr>
          <w:rFonts w:eastAsiaTheme="majorEastAsia"/>
          <w:lang w:eastAsia="en-US"/>
        </w:rPr>
        <w:t xml:space="preserve">eating </w:t>
      </w:r>
      <w:r w:rsidR="00E717CC">
        <w:rPr>
          <w:rFonts w:eastAsiaTheme="majorEastAsia"/>
          <w:lang w:eastAsia="en-US"/>
        </w:rPr>
        <w:t>S</w:t>
      </w:r>
      <w:r w:rsidR="00A16B8C" w:rsidRPr="00C90AC9">
        <w:rPr>
          <w:rFonts w:eastAsiaTheme="majorEastAsia"/>
          <w:lang w:eastAsia="en-US"/>
        </w:rPr>
        <w:t>ystem investigated</w:t>
      </w:r>
      <w:r w:rsidR="005F2F9B" w:rsidRPr="00C90AC9">
        <w:rPr>
          <w:rFonts w:eastAsiaTheme="majorEastAsia"/>
          <w:lang w:eastAsia="en-US"/>
        </w:rPr>
        <w:t xml:space="preserve"> by </w:t>
      </w:r>
      <w:proofErr w:type="spellStart"/>
      <w:r w:rsidR="005F2F9B" w:rsidRPr="00C90AC9">
        <w:rPr>
          <w:rFonts w:eastAsiaTheme="majorEastAsia"/>
          <w:lang w:eastAsia="en-US"/>
        </w:rPr>
        <w:t>Biaou</w:t>
      </w:r>
      <w:proofErr w:type="spellEnd"/>
      <w:r w:rsidR="00A16B8C" w:rsidRPr="00C90AC9">
        <w:rPr>
          <w:rFonts w:eastAsiaTheme="majorEastAsia"/>
          <w:lang w:eastAsia="en-US"/>
        </w:rPr>
        <w:t xml:space="preserve"> </w:t>
      </w:r>
      <w:r w:rsidRPr="00C90AC9">
        <w:rPr>
          <w:rFonts w:eastAsiaTheme="majorEastAsia"/>
          <w:lang w:eastAsia="en-US"/>
        </w:rPr>
        <w:fldChar w:fldCharType="begin"/>
      </w:r>
      <w:r w:rsidRPr="00C90AC9">
        <w:rPr>
          <w:rFonts w:eastAsiaTheme="majorEastAsia"/>
          <w:lang w:eastAsia="en-US"/>
        </w:rPr>
        <w:instrText xml:space="preserve"> ADDIN EN.CITE &lt;EndNote&gt;&lt;Cite&gt;&lt;Author&gt;Biaou&lt;/Author&gt;&lt;Year&gt;2008&lt;/Year&gt;&lt;RecNum&gt;120&lt;/RecNum&gt;&lt;DisplayText&gt;(Biaou &amp;amp; Bernier, 2008)&lt;/DisplayText&gt;&lt;record&gt;&lt;rec-number&gt;120&lt;/rec-number&gt;&lt;foreign-keys&gt;&lt;key app="EN" db-id="50wxdpzd9vd5r7e9t5b595djrfpttrxw9avp" timestamp="1525076334"&gt;120&lt;/key&gt;&lt;/foreign-keys&gt;&lt;ref-type name="Journal Article"&gt;17&lt;/ref-type&gt;&lt;contributors&gt;&lt;authors&gt;&lt;author&gt;Biaou, A.L.&lt;/author&gt;&lt;author&gt;M.A. Bernier&lt;/author&gt;&lt;/authors&gt;&lt;/contributors&gt;&lt;titles&gt;&lt;title&gt;Achieving total domestic hot water production with renewable energy&lt;/title&gt;&lt;secondary-title&gt;Building and Environment&lt;/secondary-title&gt;&lt;short-title&gt;Biaou, A.L. and M.A. Bernier 2008 – Achieving total domestic hot water&lt;/short-title&gt;&lt;/titles&gt;&lt;pages&gt;p. 651-660&lt;/pages&gt;&lt;volume&gt;43&lt;/volume&gt;&lt;number&gt;4&lt;/number&gt;&lt;dates&gt;&lt;year&gt;2008&lt;/year&gt;&lt;/dates&gt;&lt;urls&gt;&lt;/urls&gt;&lt;/record&gt;&lt;/Cite&gt;&lt;/EndNote&gt;</w:instrText>
      </w:r>
      <w:r w:rsidRPr="00C90AC9">
        <w:rPr>
          <w:rFonts w:eastAsiaTheme="majorEastAsia"/>
          <w:lang w:eastAsia="en-US"/>
        </w:rPr>
        <w:fldChar w:fldCharType="separate"/>
      </w:r>
      <w:r w:rsidRPr="00C90AC9">
        <w:rPr>
          <w:rFonts w:eastAsiaTheme="majorEastAsia"/>
          <w:lang w:eastAsia="en-US"/>
        </w:rPr>
        <w:t>(</w:t>
      </w:r>
      <w:proofErr w:type="spellStart"/>
      <w:r w:rsidRPr="00C90AC9">
        <w:rPr>
          <w:rFonts w:eastAsiaTheme="majorEastAsia"/>
          <w:lang w:eastAsia="en-US"/>
        </w:rPr>
        <w:t>Biaou</w:t>
      </w:r>
      <w:proofErr w:type="spellEnd"/>
      <w:r w:rsidRPr="00C90AC9">
        <w:rPr>
          <w:rFonts w:eastAsiaTheme="majorEastAsia"/>
          <w:lang w:eastAsia="en-US"/>
        </w:rPr>
        <w:t xml:space="preserve"> &amp; Bernier, 2008)</w:t>
      </w:r>
      <w:r w:rsidRPr="00C90AC9">
        <w:rPr>
          <w:rFonts w:eastAsiaTheme="majorEastAsia"/>
          <w:lang w:eastAsia="en-US"/>
        </w:rPr>
        <w:fldChar w:fldCharType="end"/>
      </w:r>
    </w:p>
    <w:p w:rsidR="00984852" w:rsidRPr="00C90AC9" w:rsidRDefault="00984852" w:rsidP="003014B5">
      <w:pPr>
        <w:pStyle w:val="BodyText"/>
        <w:spacing w:line="360" w:lineRule="auto"/>
        <w:rPr>
          <w:rFonts w:eastAsiaTheme="majorEastAsia"/>
          <w:lang w:eastAsia="en-US"/>
        </w:rPr>
      </w:pPr>
    </w:p>
    <w:p w:rsidR="00A16B8C" w:rsidRPr="00C90AC9" w:rsidRDefault="00A16B8C" w:rsidP="003014B5">
      <w:pPr>
        <w:pStyle w:val="BodyText"/>
        <w:spacing w:line="360" w:lineRule="auto"/>
        <w:rPr>
          <w:rFonts w:eastAsiaTheme="minorHAnsi"/>
          <w:lang w:eastAsia="en-US"/>
        </w:rPr>
      </w:pPr>
      <w:r w:rsidRPr="00C90AC9">
        <w:rPr>
          <w:rFonts w:eastAsiaTheme="majorEastAsia"/>
          <w:lang w:eastAsia="en-US"/>
        </w:rPr>
        <w:t xml:space="preserve">To ensure that the </w:t>
      </w:r>
      <w:r w:rsidR="00B435B0" w:rsidRPr="00C90AC9">
        <w:rPr>
          <w:rFonts w:eastAsiaTheme="majorEastAsia"/>
          <w:lang w:eastAsia="en-US"/>
        </w:rPr>
        <w:t xml:space="preserve">heated </w:t>
      </w:r>
      <w:r w:rsidRPr="00C90AC9">
        <w:rPr>
          <w:rFonts w:eastAsiaTheme="majorEastAsia"/>
          <w:lang w:eastAsia="en-US"/>
        </w:rPr>
        <w:t xml:space="preserve">water is at the </w:t>
      </w:r>
      <w:r w:rsidR="005F2F9B" w:rsidRPr="00C90AC9">
        <w:rPr>
          <w:rFonts w:eastAsiaTheme="majorEastAsia"/>
          <w:lang w:eastAsia="en-US"/>
        </w:rPr>
        <w:t>required</w:t>
      </w:r>
      <w:r w:rsidRPr="00C90AC9">
        <w:rPr>
          <w:rFonts w:eastAsiaTheme="majorEastAsia"/>
          <w:lang w:eastAsia="en-US"/>
        </w:rPr>
        <w:t xml:space="preserve"> temperature </w:t>
      </w:r>
      <w:r w:rsidR="00A77CB3" w:rsidRPr="00C90AC9">
        <w:rPr>
          <w:rFonts w:eastAsiaTheme="majorEastAsia"/>
          <w:lang w:eastAsia="en-US"/>
        </w:rPr>
        <w:t xml:space="preserve">when </w:t>
      </w:r>
      <w:r w:rsidRPr="00C90AC9">
        <w:rPr>
          <w:rFonts w:eastAsiaTheme="majorEastAsia"/>
          <w:lang w:eastAsia="en-US"/>
        </w:rPr>
        <w:t>it is used</w:t>
      </w:r>
      <w:r w:rsidR="00A77CB3" w:rsidRPr="00C90AC9">
        <w:rPr>
          <w:rFonts w:eastAsiaTheme="majorEastAsia"/>
          <w:lang w:eastAsia="en-US"/>
        </w:rPr>
        <w:t>,</w:t>
      </w:r>
      <w:r w:rsidRPr="00C90AC9">
        <w:rPr>
          <w:rFonts w:eastAsiaTheme="majorEastAsia"/>
          <w:lang w:eastAsia="en-US"/>
        </w:rPr>
        <w:t xml:space="preserve"> an auxiliary</w:t>
      </w:r>
      <w:r w:rsidR="008807F5" w:rsidRPr="00C90AC9">
        <w:rPr>
          <w:rFonts w:eastAsiaTheme="majorEastAsia"/>
          <w:lang w:eastAsia="en-US"/>
        </w:rPr>
        <w:t xml:space="preserve"> heater</w:t>
      </w:r>
      <w:r w:rsidRPr="00C90AC9">
        <w:rPr>
          <w:rFonts w:eastAsiaTheme="majorEastAsia"/>
          <w:lang w:eastAsia="en-US"/>
        </w:rPr>
        <w:t xml:space="preserve"> is used in conjunction with solar thermal panels.  Electric heating elements are often used as the auxiliary heat supply, with them located at the top of the tank of water heating the tank from the “top down” </w:t>
      </w:r>
      <w:r w:rsidR="00E82D6C" w:rsidRPr="00C90AC9">
        <w:rPr>
          <w:rFonts w:eastAsiaTheme="majorEastAsia"/>
          <w:lang w:eastAsia="en-US"/>
        </w:rPr>
        <w:t xml:space="preserve"> </w:t>
      </w:r>
      <w:r w:rsidR="00E82D6C" w:rsidRPr="00C90AC9">
        <w:rPr>
          <w:rFonts w:eastAsiaTheme="majorEastAsia"/>
          <w:lang w:eastAsia="en-US"/>
        </w:rPr>
        <w:fldChar w:fldCharType="begin"/>
      </w:r>
      <w:r w:rsidR="00E82D6C" w:rsidRPr="00C90AC9">
        <w:rPr>
          <w:rFonts w:eastAsiaTheme="majorEastAsia"/>
          <w:lang w:eastAsia="en-US"/>
        </w:rPr>
        <w:instrText xml:space="preserve"> ADDIN EN.CITE &lt;EndNote&gt;&lt;Cite&gt;&lt;Author&gt;Furbo&lt;/Author&gt;&lt;Year&gt;2005&lt;/Year&gt;&lt;RecNum&gt;143&lt;/RecNum&gt;&lt;DisplayText&gt;(Furbo &amp;amp; et al., 2005)&lt;/DisplayText&gt;&lt;record&gt;&lt;rec-number&gt;143&lt;/rec-number&gt;&lt;foreign-keys&gt;&lt;key app="EN" db-id="50wxdpzd9vd5r7e9t5b595djrfpttrxw9avp" timestamp="1525076334"&gt;143&lt;/key&gt;&lt;/foreign-keys&gt;&lt;ref-type name="Journal Article"&gt;17&lt;/ref-type&gt;&lt;contributors&gt;&lt;authors&gt;&lt;author&gt;Furbo, S., .&lt;/author&gt;&lt;author&gt;et al.,&lt;/author&gt;&lt;/authors&gt;&lt;/contributors&gt;&lt;titles&gt;&lt;title&gt;Smart solar tanks for small solar domestic hot water systems&lt;/title&gt;&lt;secondary-title&gt;Solar Energy&lt;/secondary-title&gt;&lt;short-title&gt;Furbo, S., et al. 2005 – Smart solar tanks for small&lt;/short-title&gt;&lt;/titles&gt;&lt;pages&gt;p. 269-279&lt;/pages&gt;&lt;volume&gt;78&lt;/volume&gt;&lt;number&gt;2&lt;/number&gt;&lt;dates&gt;&lt;year&gt;2005&lt;/year&gt;&lt;/dates&gt;&lt;urls&gt;&lt;/urls&gt;&lt;/record&gt;&lt;/Cite&gt;&lt;/EndNote&gt;</w:instrText>
      </w:r>
      <w:r w:rsidR="00E82D6C" w:rsidRPr="00C90AC9">
        <w:rPr>
          <w:rFonts w:eastAsiaTheme="majorEastAsia"/>
          <w:lang w:eastAsia="en-US"/>
        </w:rPr>
        <w:fldChar w:fldCharType="separate"/>
      </w:r>
      <w:r w:rsidR="00E82D6C" w:rsidRPr="00C90AC9">
        <w:rPr>
          <w:rFonts w:eastAsiaTheme="majorEastAsia"/>
          <w:lang w:eastAsia="en-US"/>
        </w:rPr>
        <w:t xml:space="preserve">(Furbo </w:t>
      </w:r>
      <w:r w:rsidR="00EE66A8" w:rsidRPr="00C90AC9">
        <w:rPr>
          <w:rFonts w:eastAsiaTheme="majorEastAsia"/>
          <w:lang w:eastAsia="en-US"/>
        </w:rPr>
        <w:t>et al</w:t>
      </w:r>
      <w:r w:rsidR="00E82D6C" w:rsidRPr="00C90AC9">
        <w:rPr>
          <w:rFonts w:eastAsiaTheme="majorEastAsia"/>
          <w:lang w:eastAsia="en-US"/>
        </w:rPr>
        <w:t>., 2005)</w:t>
      </w:r>
      <w:r w:rsidR="00E82D6C" w:rsidRPr="00C90AC9">
        <w:rPr>
          <w:rFonts w:eastAsiaTheme="majorEastAsia"/>
          <w:lang w:eastAsia="en-US"/>
        </w:rPr>
        <w:fldChar w:fldCharType="end"/>
      </w:r>
      <w:r w:rsidRPr="00C90AC9">
        <w:rPr>
          <w:rFonts w:eastAsiaTheme="majorEastAsia"/>
          <w:lang w:eastAsia="en-US"/>
        </w:rPr>
        <w:t>. A Solar Domestic Hot Water system (SDHW) was analysed it was shown that i</w:t>
      </w:r>
      <w:r w:rsidRPr="00C90AC9">
        <w:rPr>
          <w:rFonts w:eastAsiaTheme="minorHAnsi"/>
          <w:lang w:eastAsia="en-US"/>
        </w:rPr>
        <w:t xml:space="preserve">f there are periods when the demand on hot water is large, the volume of water that is heated by the auxiliary heater is similarly large, and vice versa. In this way the heating elements are controlled by a heating pattern that aims to replicate the hot water consumption and pattern of the user </w:t>
      </w:r>
      <w:r w:rsidR="00487717" w:rsidRPr="00C90AC9">
        <w:rPr>
          <w:rFonts w:eastAsiaTheme="minorHAnsi"/>
          <w:lang w:eastAsia="en-US"/>
        </w:rPr>
        <w:fldChar w:fldCharType="begin"/>
      </w:r>
      <w:r w:rsidR="00487717" w:rsidRPr="00C90AC9">
        <w:rPr>
          <w:rFonts w:eastAsiaTheme="minorHAnsi"/>
          <w:lang w:eastAsia="en-US"/>
        </w:rPr>
        <w:instrText xml:space="preserve"> ADDIN EN.CITE &lt;EndNote&gt;&lt;Cite&gt;&lt;Author&gt;Furbo&lt;/Author&gt;&lt;Year&gt;2005&lt;/Year&gt;&lt;RecNum&gt;143&lt;/RecNum&gt;&lt;DisplayText&gt;(Furbo &amp;amp; et al., 2005)&lt;/DisplayText&gt;&lt;record&gt;&lt;rec-number&gt;143&lt;/rec-number&gt;&lt;foreign-keys&gt;&lt;key app="EN" db-id="50wxdpzd9vd5r7e9t5b595djrfpttrxw9avp" timestamp="1525076334"&gt;143&lt;/key&gt;&lt;/foreign-keys&gt;&lt;ref-type name="Journal Article"&gt;17&lt;/ref-type&gt;&lt;contributors&gt;&lt;authors&gt;&lt;author&gt;Furbo, S., .&lt;/author&gt;&lt;author&gt;et al.,&lt;/author&gt;&lt;/authors&gt;&lt;/contributors&gt;&lt;titles&gt;&lt;title&gt;Smart solar tanks for small solar domestic hot water systems&lt;/title&gt;&lt;secondary-title&gt;Solar Energy&lt;/secondary-title&gt;&lt;short-title&gt;Furbo, S., et al. 2005 – Smart solar tanks for small&lt;/short-title&gt;&lt;/titles&gt;&lt;pages&gt;p. 269-279&lt;/pages&gt;&lt;volume&gt;78&lt;/volume&gt;&lt;number&gt;2&lt;/number&gt;&lt;dates&gt;&lt;year&gt;2005&lt;/year&gt;&lt;/dates&gt;&lt;urls&gt;&lt;/urls&gt;&lt;/record&gt;&lt;/Cite&gt;&lt;/EndNote&gt;</w:instrText>
      </w:r>
      <w:r w:rsidR="00487717" w:rsidRPr="00C90AC9">
        <w:rPr>
          <w:rFonts w:eastAsiaTheme="minorHAnsi"/>
          <w:lang w:eastAsia="en-US"/>
        </w:rPr>
        <w:fldChar w:fldCharType="separate"/>
      </w:r>
      <w:r w:rsidR="00487717" w:rsidRPr="00C90AC9">
        <w:rPr>
          <w:rFonts w:eastAsiaTheme="minorHAnsi"/>
          <w:lang w:eastAsia="en-US"/>
        </w:rPr>
        <w:t xml:space="preserve">(Furbo </w:t>
      </w:r>
      <w:r w:rsidR="00EE66A8" w:rsidRPr="00C90AC9">
        <w:rPr>
          <w:rFonts w:eastAsiaTheme="minorHAnsi"/>
          <w:lang w:eastAsia="en-US"/>
        </w:rPr>
        <w:t>et al</w:t>
      </w:r>
      <w:r w:rsidR="00487717" w:rsidRPr="00C90AC9">
        <w:rPr>
          <w:rFonts w:eastAsiaTheme="minorHAnsi"/>
          <w:lang w:eastAsia="en-US"/>
        </w:rPr>
        <w:t>., 2005)</w:t>
      </w:r>
      <w:r w:rsidR="00487717" w:rsidRPr="00C90AC9">
        <w:rPr>
          <w:rFonts w:eastAsiaTheme="minorHAnsi"/>
          <w:lang w:eastAsia="en-US"/>
        </w:rPr>
        <w:fldChar w:fldCharType="end"/>
      </w:r>
      <w:r w:rsidRPr="00C90AC9">
        <w:rPr>
          <w:rFonts w:eastAsiaTheme="minorHAnsi"/>
          <w:lang w:eastAsia="en-US"/>
        </w:rPr>
        <w:t>.</w:t>
      </w:r>
    </w:p>
    <w:p w:rsidR="00A16B8C" w:rsidRPr="00C90AC9" w:rsidRDefault="00A16B8C" w:rsidP="003014B5">
      <w:pPr>
        <w:pStyle w:val="BodyText"/>
        <w:spacing w:line="360" w:lineRule="auto"/>
        <w:rPr>
          <w:rFonts w:eastAsiaTheme="minorHAnsi"/>
          <w:lang w:eastAsia="en-US"/>
        </w:rPr>
      </w:pPr>
      <w:r w:rsidRPr="00C90AC9">
        <w:rPr>
          <w:rFonts w:eastAsiaTheme="minorHAnsi"/>
          <w:lang w:eastAsia="en-US"/>
        </w:rPr>
        <w:t xml:space="preserve">This study by </w:t>
      </w:r>
      <w:proofErr w:type="spellStart"/>
      <w:r w:rsidRPr="00C90AC9">
        <w:rPr>
          <w:rFonts w:eastAsiaTheme="minorHAnsi"/>
          <w:lang w:eastAsia="en-US"/>
        </w:rPr>
        <w:t>Furbo</w:t>
      </w:r>
      <w:proofErr w:type="spellEnd"/>
      <w:r w:rsidRPr="00C90AC9">
        <w:rPr>
          <w:rFonts w:eastAsiaTheme="minorHAnsi"/>
          <w:lang w:eastAsia="en-US"/>
        </w:rPr>
        <w:t xml:space="preserve"> et al is significant for this research as they incorporated novel heating elements which are controlled so that the water in the tank is matched with the consumption of the heated water</w:t>
      </w:r>
      <w:r w:rsidR="00487717" w:rsidRPr="00C90AC9">
        <w:rPr>
          <w:rFonts w:eastAsiaTheme="minorHAnsi"/>
          <w:lang w:eastAsia="en-US"/>
        </w:rPr>
        <w:t xml:space="preserve"> </w:t>
      </w:r>
      <w:r w:rsidR="00487717" w:rsidRPr="00C90AC9">
        <w:rPr>
          <w:rFonts w:eastAsiaTheme="minorHAnsi"/>
          <w:lang w:eastAsia="en-US"/>
        </w:rPr>
        <w:fldChar w:fldCharType="begin"/>
      </w:r>
      <w:r w:rsidR="00487717" w:rsidRPr="00C90AC9">
        <w:rPr>
          <w:rFonts w:eastAsiaTheme="minorHAnsi"/>
          <w:lang w:eastAsia="en-US"/>
        </w:rPr>
        <w:instrText xml:space="preserve"> ADDIN EN.CITE &lt;EndNote&gt;&lt;Cite&gt;&lt;Author&gt;Furbo&lt;/Author&gt;&lt;Year&gt;2005&lt;/Year&gt;&lt;RecNum&gt;143&lt;/RecNum&gt;&lt;DisplayText&gt;(Furbo &amp;amp; et al., 2005)&lt;/DisplayText&gt;&lt;record&gt;&lt;rec-number&gt;143&lt;/rec-number&gt;&lt;foreign-keys&gt;&lt;key app="EN" db-id="50wxdpzd9vd5r7e9t5b595djrfpttrxw9avp" timestamp="1525076334"&gt;143&lt;/key&gt;&lt;/foreign-keys&gt;&lt;ref-type name="Journal Article"&gt;17&lt;/ref-type&gt;&lt;contributors&gt;&lt;authors&gt;&lt;author&gt;Furbo, S., .&lt;/author&gt;&lt;author&gt;et al.,&lt;/author&gt;&lt;/authors&gt;&lt;/contributors&gt;&lt;titles&gt;&lt;title&gt;Smart solar tanks for small solar domestic hot water systems&lt;/title&gt;&lt;secondary-title&gt;Solar Energy&lt;/secondary-title&gt;&lt;short-title&gt;Furbo, S., et al. 2005 – Smart solar tanks for small&lt;/short-title&gt;&lt;/titles&gt;&lt;pages&gt;p. 269-279&lt;/pages&gt;&lt;volume&gt;78&lt;/volume&gt;&lt;number&gt;2&lt;/number&gt;&lt;dates&gt;&lt;year&gt;2005&lt;/year&gt;&lt;/dates&gt;&lt;urls&gt;&lt;/urls&gt;&lt;/record&gt;&lt;/Cite&gt;&lt;/EndNote&gt;</w:instrText>
      </w:r>
      <w:r w:rsidR="00487717" w:rsidRPr="00C90AC9">
        <w:rPr>
          <w:rFonts w:eastAsiaTheme="minorHAnsi"/>
          <w:lang w:eastAsia="en-US"/>
        </w:rPr>
        <w:fldChar w:fldCharType="separate"/>
      </w:r>
      <w:r w:rsidR="00487717" w:rsidRPr="00C90AC9">
        <w:rPr>
          <w:rFonts w:eastAsiaTheme="minorHAnsi"/>
          <w:lang w:eastAsia="en-US"/>
        </w:rPr>
        <w:t xml:space="preserve">(Furbo </w:t>
      </w:r>
      <w:r w:rsidR="00EE66A8" w:rsidRPr="00C90AC9">
        <w:rPr>
          <w:rFonts w:eastAsiaTheme="minorHAnsi"/>
          <w:lang w:eastAsia="en-US"/>
        </w:rPr>
        <w:t>et al</w:t>
      </w:r>
      <w:r w:rsidR="00487717" w:rsidRPr="00C90AC9">
        <w:rPr>
          <w:rFonts w:eastAsiaTheme="minorHAnsi"/>
          <w:lang w:eastAsia="en-US"/>
        </w:rPr>
        <w:t>., 2005)</w:t>
      </w:r>
      <w:r w:rsidR="00487717" w:rsidRPr="00C90AC9">
        <w:rPr>
          <w:rFonts w:eastAsiaTheme="minorHAnsi"/>
          <w:lang w:eastAsia="en-US"/>
        </w:rPr>
        <w:fldChar w:fldCharType="end"/>
      </w:r>
      <w:r w:rsidRPr="00C90AC9">
        <w:rPr>
          <w:rFonts w:eastAsiaTheme="minorHAnsi"/>
          <w:lang w:eastAsia="en-US"/>
        </w:rPr>
        <w:t>. They report</w:t>
      </w:r>
      <w:r w:rsidR="00487717" w:rsidRPr="00C90AC9">
        <w:rPr>
          <w:rFonts w:eastAsiaTheme="minorHAnsi"/>
          <w:lang w:eastAsia="en-US"/>
        </w:rPr>
        <w:t>ed</w:t>
      </w:r>
      <w:r w:rsidRPr="00C90AC9">
        <w:rPr>
          <w:rFonts w:eastAsiaTheme="minorHAnsi"/>
          <w:lang w:eastAsia="en-US"/>
        </w:rPr>
        <w:t xml:space="preserve"> that the annual performance of the smart SDHW</w:t>
      </w:r>
      <w:r w:rsidR="002C4A30" w:rsidRPr="00C90AC9">
        <w:rPr>
          <w:rFonts w:eastAsiaTheme="minorHAnsi"/>
          <w:lang w:eastAsia="en-US"/>
        </w:rPr>
        <w:t>S</w:t>
      </w:r>
      <w:r w:rsidRPr="00C90AC9">
        <w:rPr>
          <w:rFonts w:eastAsiaTheme="minorHAnsi"/>
          <w:lang w:eastAsia="en-US"/>
        </w:rPr>
        <w:t xml:space="preserve"> if between 5-35% higher than the traditional tank design. They also report that the smart solar tanks are suitable for “unknown, variable, large or small hot-water consumption”</w:t>
      </w:r>
      <w:r w:rsidR="00487717" w:rsidRPr="00C90AC9">
        <w:rPr>
          <w:rFonts w:eastAsiaTheme="minorHAnsi"/>
          <w:lang w:eastAsia="en-US"/>
        </w:rPr>
        <w:t xml:space="preserve"> </w:t>
      </w:r>
      <w:r w:rsidR="00487717" w:rsidRPr="00C90AC9">
        <w:rPr>
          <w:rFonts w:eastAsiaTheme="minorHAnsi"/>
          <w:lang w:eastAsia="en-US"/>
        </w:rPr>
        <w:fldChar w:fldCharType="begin"/>
      </w:r>
      <w:r w:rsidR="00487717" w:rsidRPr="00C90AC9">
        <w:rPr>
          <w:rFonts w:eastAsiaTheme="minorHAnsi"/>
          <w:lang w:eastAsia="en-US"/>
        </w:rPr>
        <w:instrText xml:space="preserve"> ADDIN EN.CITE &lt;EndNote&gt;&lt;Cite&gt;&lt;Author&gt;Furbo&lt;/Author&gt;&lt;Year&gt;2005&lt;/Year&gt;&lt;RecNum&gt;143&lt;/RecNum&gt;&lt;DisplayText&gt;(Furbo &amp;amp; et al., 2005)&lt;/DisplayText&gt;&lt;record&gt;&lt;rec-number&gt;143&lt;/rec-number&gt;&lt;foreign-keys&gt;&lt;key app="EN" db-id="50wxdpzd9vd5r7e9t5b595djrfpttrxw9avp" timestamp="1525076334"&gt;143&lt;/key&gt;&lt;/foreign-keys&gt;&lt;ref-type name="Journal Article"&gt;17&lt;/ref-type&gt;&lt;contributors&gt;&lt;authors&gt;&lt;author&gt;Furbo, S., .&lt;/author&gt;&lt;author&gt;et al.,&lt;/author&gt;&lt;/authors&gt;&lt;/contributors&gt;&lt;titles&gt;&lt;title&gt;Smart solar tanks for small solar domestic hot water systems&lt;/title&gt;&lt;secondary-title&gt;Solar Energy&lt;/secondary-title&gt;&lt;short-title&gt;Furbo, S., et al. 2005 – Smart solar tanks for small&lt;/short-title&gt;&lt;/titles&gt;&lt;pages&gt;p. 269-279&lt;/pages&gt;&lt;volume&gt;78&lt;/volume&gt;&lt;number&gt;2&lt;/number&gt;&lt;dates&gt;&lt;year&gt;2005&lt;/year&gt;&lt;/dates&gt;&lt;urls&gt;&lt;/urls&gt;&lt;/record&gt;&lt;/Cite&gt;&lt;/EndNote&gt;</w:instrText>
      </w:r>
      <w:r w:rsidR="00487717" w:rsidRPr="00C90AC9">
        <w:rPr>
          <w:rFonts w:eastAsiaTheme="minorHAnsi"/>
          <w:lang w:eastAsia="en-US"/>
        </w:rPr>
        <w:fldChar w:fldCharType="separate"/>
      </w:r>
      <w:r w:rsidR="00487717" w:rsidRPr="00C90AC9">
        <w:rPr>
          <w:rFonts w:eastAsiaTheme="minorHAnsi"/>
          <w:lang w:eastAsia="en-US"/>
        </w:rPr>
        <w:t xml:space="preserve">(Furbo </w:t>
      </w:r>
      <w:r w:rsidR="00EE66A8" w:rsidRPr="00C90AC9">
        <w:rPr>
          <w:rFonts w:eastAsiaTheme="minorHAnsi"/>
          <w:lang w:eastAsia="en-US"/>
        </w:rPr>
        <w:t>et al</w:t>
      </w:r>
      <w:r w:rsidR="00487717" w:rsidRPr="00C90AC9">
        <w:rPr>
          <w:rFonts w:eastAsiaTheme="minorHAnsi"/>
          <w:lang w:eastAsia="en-US"/>
        </w:rPr>
        <w:t>., 2005)</w:t>
      </w:r>
      <w:r w:rsidR="00487717" w:rsidRPr="00C90AC9">
        <w:rPr>
          <w:rFonts w:eastAsiaTheme="minorHAnsi"/>
          <w:lang w:eastAsia="en-US"/>
        </w:rPr>
        <w:fldChar w:fldCharType="end"/>
      </w:r>
      <w:r w:rsidRPr="00C90AC9">
        <w:rPr>
          <w:rFonts w:eastAsiaTheme="minorHAnsi"/>
          <w:lang w:eastAsia="en-US"/>
        </w:rPr>
        <w:t>. Estimates put the performance/cost ratio as improving by 25% with the capital costs of SDHW</w:t>
      </w:r>
      <w:r w:rsidR="002C4A30" w:rsidRPr="00C90AC9">
        <w:rPr>
          <w:rFonts w:eastAsiaTheme="minorHAnsi"/>
          <w:lang w:eastAsia="en-US"/>
        </w:rPr>
        <w:t>S</w:t>
      </w:r>
      <w:r w:rsidRPr="00C90AC9">
        <w:rPr>
          <w:rFonts w:eastAsiaTheme="minorHAnsi"/>
          <w:lang w:eastAsia="en-US"/>
        </w:rPr>
        <w:t xml:space="preserve"> systems employing smart solar tanks are approximately 10% more than if a traditional small SDHW</w:t>
      </w:r>
      <w:r w:rsidR="002C4A30" w:rsidRPr="00C90AC9">
        <w:rPr>
          <w:rFonts w:eastAsiaTheme="minorHAnsi"/>
          <w:lang w:eastAsia="en-US"/>
        </w:rPr>
        <w:t>S</w:t>
      </w:r>
      <w:r w:rsidRPr="00C90AC9">
        <w:rPr>
          <w:rFonts w:eastAsiaTheme="minorHAnsi"/>
          <w:lang w:eastAsia="en-US"/>
        </w:rPr>
        <w:t xml:space="preserve"> system is used</w:t>
      </w:r>
      <w:r w:rsidR="00487717" w:rsidRPr="00C90AC9">
        <w:rPr>
          <w:rFonts w:eastAsiaTheme="minorHAnsi"/>
          <w:lang w:eastAsia="en-US"/>
        </w:rPr>
        <w:t xml:space="preserve">  </w:t>
      </w:r>
      <w:r w:rsidR="00487717" w:rsidRPr="00C90AC9">
        <w:rPr>
          <w:rFonts w:eastAsiaTheme="minorHAnsi"/>
          <w:lang w:eastAsia="en-US"/>
        </w:rPr>
        <w:fldChar w:fldCharType="begin"/>
      </w:r>
      <w:r w:rsidR="00487717" w:rsidRPr="00C90AC9">
        <w:rPr>
          <w:rFonts w:eastAsiaTheme="minorHAnsi"/>
          <w:lang w:eastAsia="en-US"/>
        </w:rPr>
        <w:instrText xml:space="preserve"> ADDIN EN.CITE &lt;EndNote&gt;&lt;Cite&gt;&lt;Author&gt;Furbo&lt;/Author&gt;&lt;Year&gt;2005&lt;/Year&gt;&lt;RecNum&gt;143&lt;/RecNum&gt;&lt;DisplayText&gt;(Furbo &amp;amp; et al., 2005)&lt;/DisplayText&gt;&lt;record&gt;&lt;rec-number&gt;143&lt;/rec-number&gt;&lt;foreign-keys&gt;&lt;key app="EN" db-id="50wxdpzd9vd5r7e9t5b595djrfpttrxw9avp" timestamp="1525076334"&gt;143&lt;/key&gt;&lt;/foreign-keys&gt;&lt;ref-type name="Journal Article"&gt;17&lt;/ref-type&gt;&lt;contributors&gt;&lt;authors&gt;&lt;author&gt;Furbo, S., .&lt;/author&gt;&lt;author&gt;et al.,&lt;/author&gt;&lt;/authors&gt;&lt;/contributors&gt;&lt;titles&gt;&lt;title&gt;Smart solar tanks for small solar domestic hot water systems&lt;/title&gt;&lt;secondary-title&gt;Solar Energy&lt;/secondary-title&gt;&lt;short-title&gt;Furbo, S., et al. 2005 – Smart solar tanks for small&lt;/short-title&gt;&lt;/titles&gt;&lt;pages&gt;p. 269-279&lt;/pages&gt;&lt;volume&gt;78&lt;/volume&gt;&lt;number&gt;2&lt;/number&gt;&lt;dates&gt;&lt;year&gt;2005&lt;/year&gt;&lt;/dates&gt;&lt;urls&gt;&lt;/urls&gt;&lt;/record&gt;&lt;/Cite&gt;&lt;/EndNote&gt;</w:instrText>
      </w:r>
      <w:r w:rsidR="00487717" w:rsidRPr="00C90AC9">
        <w:rPr>
          <w:rFonts w:eastAsiaTheme="minorHAnsi"/>
          <w:lang w:eastAsia="en-US"/>
        </w:rPr>
        <w:fldChar w:fldCharType="separate"/>
      </w:r>
      <w:r w:rsidR="00487717" w:rsidRPr="00C90AC9">
        <w:rPr>
          <w:rFonts w:eastAsiaTheme="minorHAnsi"/>
          <w:lang w:eastAsia="en-US"/>
        </w:rPr>
        <w:t xml:space="preserve">(Furbo </w:t>
      </w:r>
      <w:r w:rsidR="00EE66A8" w:rsidRPr="00C90AC9">
        <w:rPr>
          <w:rFonts w:eastAsiaTheme="minorHAnsi"/>
          <w:lang w:eastAsia="en-US"/>
        </w:rPr>
        <w:t>et al</w:t>
      </w:r>
      <w:r w:rsidR="00487717" w:rsidRPr="00C90AC9">
        <w:rPr>
          <w:rFonts w:eastAsiaTheme="minorHAnsi"/>
          <w:lang w:eastAsia="en-US"/>
        </w:rPr>
        <w:t>., 2005)</w:t>
      </w:r>
      <w:r w:rsidR="00487717" w:rsidRPr="00C90AC9">
        <w:rPr>
          <w:rFonts w:eastAsiaTheme="minorHAnsi"/>
          <w:lang w:eastAsia="en-US"/>
        </w:rPr>
        <w:fldChar w:fldCharType="end"/>
      </w:r>
      <w:r w:rsidR="00487717" w:rsidRPr="00C90AC9">
        <w:rPr>
          <w:rFonts w:eastAsiaTheme="minorHAnsi"/>
          <w:lang w:eastAsia="en-US"/>
        </w:rPr>
        <w:t>.</w:t>
      </w:r>
      <w:r w:rsidRPr="00C90AC9">
        <w:rPr>
          <w:rFonts w:eastAsiaTheme="minorHAnsi"/>
          <w:lang w:eastAsia="en-US"/>
        </w:rPr>
        <w:t xml:space="preserve"> </w:t>
      </w:r>
      <w:r w:rsidR="00487717" w:rsidRPr="00C90AC9">
        <w:rPr>
          <w:rFonts w:eastAsiaTheme="minorHAnsi"/>
          <w:lang w:eastAsia="en-US"/>
        </w:rPr>
        <w:t xml:space="preserve">This is </w:t>
      </w:r>
      <w:r w:rsidR="00487717" w:rsidRPr="00C90AC9">
        <w:rPr>
          <w:rFonts w:eastAsiaTheme="minorHAnsi"/>
          <w:lang w:eastAsia="en-US"/>
        </w:rPr>
        <w:lastRenderedPageBreak/>
        <w:t>dependent on</w:t>
      </w:r>
      <w:r w:rsidRPr="00C90AC9">
        <w:rPr>
          <w:rFonts w:eastAsiaTheme="minorHAnsi"/>
          <w:lang w:eastAsia="en-US"/>
        </w:rPr>
        <w:t xml:space="preserve"> the auxiliary heater uses electric heating elements </w:t>
      </w:r>
      <w:r w:rsidR="00487717" w:rsidRPr="00C90AC9">
        <w:rPr>
          <w:rFonts w:eastAsiaTheme="minorHAnsi"/>
          <w:lang w:eastAsia="en-US"/>
        </w:rPr>
        <w:t xml:space="preserve">rather than natural gas which are commonly used today in combi-boilers </w:t>
      </w:r>
      <w:r w:rsidR="00487717" w:rsidRPr="00C90AC9">
        <w:rPr>
          <w:rFonts w:eastAsiaTheme="minorHAnsi"/>
          <w:lang w:eastAsia="en-US"/>
        </w:rPr>
        <w:fldChar w:fldCharType="begin"/>
      </w:r>
      <w:r w:rsidR="00487717" w:rsidRPr="00C90AC9">
        <w:rPr>
          <w:rFonts w:eastAsiaTheme="minorHAnsi"/>
          <w:lang w:eastAsia="en-US"/>
        </w:rPr>
        <w:instrText xml:space="preserve"> ADDIN EN.CITE &lt;EndNote&gt;&lt;Cite&gt;&lt;Author&gt;Furbo&lt;/Author&gt;&lt;Year&gt;2005&lt;/Year&gt;&lt;RecNum&gt;143&lt;/RecNum&gt;&lt;DisplayText&gt;(Furbo &amp;amp; et al., 2005)&lt;/DisplayText&gt;&lt;record&gt;&lt;rec-number&gt;143&lt;/rec-number&gt;&lt;foreign-keys&gt;&lt;key app="EN" db-id="50wxdpzd9vd5r7e9t5b595djrfpttrxw9avp" timestamp="1525076334"&gt;143&lt;/key&gt;&lt;/foreign-keys&gt;&lt;ref-type name="Journal Article"&gt;17&lt;/ref-type&gt;&lt;contributors&gt;&lt;authors&gt;&lt;author&gt;Furbo, S., .&lt;/author&gt;&lt;author&gt;et al.,&lt;/author&gt;&lt;/authors&gt;&lt;/contributors&gt;&lt;titles&gt;&lt;title&gt;Smart solar tanks for small solar domestic hot water systems&lt;/title&gt;&lt;secondary-title&gt;Solar Energy&lt;/secondary-title&gt;&lt;short-title&gt;Furbo, S., et al. 2005 – Smart solar tanks for small&lt;/short-title&gt;&lt;/titles&gt;&lt;pages&gt;p. 269-279&lt;/pages&gt;&lt;volume&gt;78&lt;/volume&gt;&lt;number&gt;2&lt;/number&gt;&lt;dates&gt;&lt;year&gt;2005&lt;/year&gt;&lt;/dates&gt;&lt;urls&gt;&lt;/urls&gt;&lt;/record&gt;&lt;/Cite&gt;&lt;/EndNote&gt;</w:instrText>
      </w:r>
      <w:r w:rsidR="00487717" w:rsidRPr="00C90AC9">
        <w:rPr>
          <w:rFonts w:eastAsiaTheme="minorHAnsi"/>
          <w:lang w:eastAsia="en-US"/>
        </w:rPr>
        <w:fldChar w:fldCharType="separate"/>
      </w:r>
      <w:r w:rsidR="00487717" w:rsidRPr="00C90AC9">
        <w:rPr>
          <w:rFonts w:eastAsiaTheme="minorHAnsi"/>
          <w:lang w:eastAsia="en-US"/>
        </w:rPr>
        <w:t xml:space="preserve">(Furbo </w:t>
      </w:r>
      <w:r w:rsidR="00EE66A8" w:rsidRPr="00C90AC9">
        <w:rPr>
          <w:rFonts w:eastAsiaTheme="minorHAnsi"/>
          <w:lang w:eastAsia="en-US"/>
        </w:rPr>
        <w:t>et al</w:t>
      </w:r>
      <w:r w:rsidR="00487717" w:rsidRPr="00C90AC9">
        <w:rPr>
          <w:rFonts w:eastAsiaTheme="minorHAnsi"/>
          <w:lang w:eastAsia="en-US"/>
        </w:rPr>
        <w:t>., 2005)</w:t>
      </w:r>
      <w:r w:rsidR="00487717" w:rsidRPr="00C90AC9">
        <w:rPr>
          <w:rFonts w:eastAsiaTheme="minorHAnsi"/>
          <w:lang w:eastAsia="en-US"/>
        </w:rPr>
        <w:fldChar w:fldCharType="end"/>
      </w:r>
      <w:r w:rsidRPr="00C90AC9">
        <w:rPr>
          <w:rFonts w:eastAsiaTheme="minorHAnsi"/>
          <w:lang w:eastAsia="en-US"/>
        </w:rPr>
        <w:t xml:space="preserve">. The study by </w:t>
      </w:r>
      <w:proofErr w:type="spellStart"/>
      <w:r w:rsidRPr="00C90AC9">
        <w:rPr>
          <w:rFonts w:eastAsiaTheme="minorHAnsi"/>
          <w:lang w:eastAsia="en-US"/>
        </w:rPr>
        <w:t>Furbo</w:t>
      </w:r>
      <w:proofErr w:type="spellEnd"/>
      <w:r w:rsidRPr="00C90AC9">
        <w:rPr>
          <w:rFonts w:eastAsiaTheme="minorHAnsi"/>
          <w:lang w:eastAsia="en-US"/>
        </w:rPr>
        <w:t xml:space="preserve"> stated that because hot water consumption is not known before the system is installed in the property larger hot-water tanks are used to be on the ‘safe’ side to ensure that the residents have sufficient hot water for use in the property </w:t>
      </w:r>
      <w:r w:rsidR="00487717" w:rsidRPr="00C90AC9">
        <w:rPr>
          <w:rFonts w:eastAsiaTheme="minorHAnsi"/>
          <w:lang w:eastAsia="en-US"/>
        </w:rPr>
        <w:fldChar w:fldCharType="begin"/>
      </w:r>
      <w:r w:rsidR="00487717" w:rsidRPr="00C90AC9">
        <w:rPr>
          <w:rFonts w:eastAsiaTheme="minorHAnsi"/>
          <w:lang w:eastAsia="en-US"/>
        </w:rPr>
        <w:instrText xml:space="preserve"> ADDIN EN.CITE &lt;EndNote&gt;&lt;Cite&gt;&lt;Author&gt;Furbo&lt;/Author&gt;&lt;Year&gt;2005&lt;/Year&gt;&lt;RecNum&gt;143&lt;/RecNum&gt;&lt;DisplayText&gt;(Furbo &amp;amp; et al., 2005)&lt;/DisplayText&gt;&lt;record&gt;&lt;rec-number&gt;143&lt;/rec-number&gt;&lt;foreign-keys&gt;&lt;key app="EN" db-id="50wxdpzd9vd5r7e9t5b595djrfpttrxw9avp" timestamp="1525076334"&gt;143&lt;/key&gt;&lt;/foreign-keys&gt;&lt;ref-type name="Journal Article"&gt;17&lt;/ref-type&gt;&lt;contributors&gt;&lt;authors&gt;&lt;author&gt;Furbo, S., .&lt;/author&gt;&lt;author&gt;et al.,&lt;/author&gt;&lt;/authors&gt;&lt;/contributors&gt;&lt;titles&gt;&lt;title&gt;Smart solar tanks for small solar domestic hot water systems&lt;/title&gt;&lt;secondary-title&gt;Solar Energy&lt;/secondary-title&gt;&lt;short-title&gt;Furbo, S., et al. 2005 – Smart solar tanks for small&lt;/short-title&gt;&lt;/titles&gt;&lt;pages&gt;p. 269-279&lt;/pages&gt;&lt;volume&gt;78&lt;/volume&gt;&lt;number&gt;2&lt;/number&gt;&lt;dates&gt;&lt;year&gt;2005&lt;/year&gt;&lt;/dates&gt;&lt;urls&gt;&lt;/urls&gt;&lt;/record&gt;&lt;/Cite&gt;&lt;/EndNote&gt;</w:instrText>
      </w:r>
      <w:r w:rsidR="00487717" w:rsidRPr="00C90AC9">
        <w:rPr>
          <w:rFonts w:eastAsiaTheme="minorHAnsi"/>
          <w:lang w:eastAsia="en-US"/>
        </w:rPr>
        <w:fldChar w:fldCharType="separate"/>
      </w:r>
      <w:r w:rsidR="00487717" w:rsidRPr="00C90AC9">
        <w:rPr>
          <w:rFonts w:eastAsiaTheme="minorHAnsi"/>
          <w:lang w:eastAsia="en-US"/>
        </w:rPr>
        <w:t xml:space="preserve">(Furbo </w:t>
      </w:r>
      <w:r w:rsidR="00EE66A8" w:rsidRPr="00C90AC9">
        <w:rPr>
          <w:rFonts w:eastAsiaTheme="minorHAnsi"/>
          <w:lang w:eastAsia="en-US"/>
        </w:rPr>
        <w:t>et al</w:t>
      </w:r>
      <w:r w:rsidR="00487717" w:rsidRPr="00C90AC9">
        <w:rPr>
          <w:rFonts w:eastAsiaTheme="minorHAnsi"/>
          <w:lang w:eastAsia="en-US"/>
        </w:rPr>
        <w:t>., 2005)</w:t>
      </w:r>
      <w:r w:rsidR="00487717" w:rsidRPr="00C90AC9">
        <w:rPr>
          <w:rFonts w:eastAsiaTheme="minorHAnsi"/>
          <w:lang w:eastAsia="en-US"/>
        </w:rPr>
        <w:fldChar w:fldCharType="end"/>
      </w:r>
      <w:r w:rsidRPr="00C90AC9">
        <w:rPr>
          <w:rFonts w:eastAsiaTheme="minorHAnsi"/>
          <w:lang w:eastAsia="en-US"/>
        </w:rPr>
        <w:t>.</w:t>
      </w:r>
    </w:p>
    <w:p w:rsidR="00A16B8C" w:rsidRPr="00C90AC9" w:rsidRDefault="00A16B8C" w:rsidP="003014B5">
      <w:pPr>
        <w:pStyle w:val="BodyText"/>
        <w:spacing w:line="360" w:lineRule="auto"/>
        <w:rPr>
          <w:rFonts w:eastAsiaTheme="minorHAnsi"/>
          <w:lang w:eastAsia="en-US"/>
        </w:rPr>
      </w:pPr>
      <w:r w:rsidRPr="00C90AC9">
        <w:rPr>
          <w:rFonts w:eastAsiaTheme="minorHAnsi"/>
          <w:lang w:eastAsia="en-US"/>
        </w:rPr>
        <w:t>The heat storage of a SDHW</w:t>
      </w:r>
      <w:r w:rsidR="002C4A30" w:rsidRPr="00C90AC9">
        <w:rPr>
          <w:rFonts w:eastAsiaTheme="minorHAnsi"/>
          <w:lang w:eastAsia="en-US"/>
        </w:rPr>
        <w:t>S</w:t>
      </w:r>
      <w:r w:rsidRPr="00C90AC9">
        <w:rPr>
          <w:rFonts w:eastAsiaTheme="minorHAnsi"/>
          <w:lang w:eastAsia="en-US"/>
        </w:rPr>
        <w:t xml:space="preserve"> system is a hot-water tank that has an integrated heat exchanger that is positioned at the bottom of the tank in a spiral configuration. The top part of the tank is heated by the auxiliary energy supply system. They recognise that for larger hot-water systems the net utilised solar energy will be reduced as it is the ratio of the ‘tapped’ energy from the solar tank minus the amount of energy that is needed from the auxiliary energy source. This fact is compounded by the increased capital cost that larger systems naturally have. Put succinctly the larger the storage system is the less profitable the entire ho</w:t>
      </w:r>
      <w:r w:rsidR="00DC2348" w:rsidRPr="00C90AC9">
        <w:rPr>
          <w:rFonts w:eastAsiaTheme="minorHAnsi"/>
          <w:lang w:eastAsia="en-US"/>
        </w:rPr>
        <w:t xml:space="preserve">t water system will be. </w:t>
      </w:r>
      <w:proofErr w:type="spellStart"/>
      <w:r w:rsidR="00DC2348" w:rsidRPr="00C90AC9">
        <w:rPr>
          <w:rFonts w:eastAsiaTheme="minorHAnsi"/>
          <w:lang w:eastAsia="en-US"/>
        </w:rPr>
        <w:t>Furbo</w:t>
      </w:r>
      <w:proofErr w:type="spellEnd"/>
      <w:r w:rsidR="00DC2348" w:rsidRPr="00C90AC9">
        <w:rPr>
          <w:rFonts w:eastAsiaTheme="minorHAnsi"/>
          <w:lang w:eastAsia="en-US"/>
        </w:rPr>
        <w:t xml:space="preserve"> et al (2005) determined that it </w:t>
      </w:r>
      <w:r w:rsidRPr="00C90AC9">
        <w:rPr>
          <w:rFonts w:eastAsiaTheme="minorHAnsi"/>
          <w:lang w:eastAsia="en-US"/>
        </w:rPr>
        <w:t>is more advantageous to have the tank volume matched to the hot-water consumption</w:t>
      </w:r>
      <w:r w:rsidR="00DC2348" w:rsidRPr="00C90AC9">
        <w:rPr>
          <w:rFonts w:eastAsiaTheme="minorHAnsi"/>
          <w:lang w:eastAsia="en-US"/>
        </w:rPr>
        <w:t xml:space="preserve"> </w:t>
      </w:r>
      <w:r w:rsidR="00FF46F5" w:rsidRPr="00C90AC9">
        <w:rPr>
          <w:rFonts w:eastAsiaTheme="minorHAnsi"/>
          <w:lang w:eastAsia="en-US"/>
        </w:rPr>
        <w:fldChar w:fldCharType="begin"/>
      </w:r>
      <w:r w:rsidR="00FF46F5" w:rsidRPr="00C90AC9">
        <w:rPr>
          <w:rFonts w:eastAsiaTheme="minorHAnsi"/>
          <w:lang w:eastAsia="en-US"/>
        </w:rPr>
        <w:instrText xml:space="preserve"> ADDIN EN.CITE &lt;EndNote&gt;&lt;Cite&gt;&lt;Author&gt;Furbo&lt;/Author&gt;&lt;Year&gt;2005&lt;/Year&gt;&lt;RecNum&gt;143&lt;/RecNum&gt;&lt;DisplayText&gt;(Furbo &amp;amp; et al., 2005)&lt;/DisplayText&gt;&lt;record&gt;&lt;rec-number&gt;143&lt;/rec-number&gt;&lt;foreign-keys&gt;&lt;key app="EN" db-id="50wxdpzd9vd5r7e9t5b595djrfpttrxw9avp" timestamp="1525076334"&gt;143&lt;/key&gt;&lt;/foreign-keys&gt;&lt;ref-type name="Journal Article"&gt;17&lt;/ref-type&gt;&lt;contributors&gt;&lt;authors&gt;&lt;author&gt;Furbo, S., .&lt;/author&gt;&lt;author&gt;et al.,&lt;/author&gt;&lt;/authors&gt;&lt;/contributors&gt;&lt;titles&gt;&lt;title&gt;Smart solar tanks for small solar domestic hot water systems&lt;/title&gt;&lt;secondary-title&gt;Solar Energy&lt;/secondary-title&gt;&lt;short-title&gt;Furbo, S., et al. 2005 – Smart solar tanks for small&lt;/short-title&gt;&lt;/titles&gt;&lt;pages&gt;p. 269-279&lt;/pages&gt;&lt;volume&gt;78&lt;/volume&gt;&lt;number&gt;2&lt;/number&gt;&lt;dates&gt;&lt;year&gt;2005&lt;/year&gt;&lt;/dates&gt;&lt;urls&gt;&lt;/urls&gt;&lt;/record&gt;&lt;/Cite&gt;&lt;/EndNote&gt;</w:instrText>
      </w:r>
      <w:r w:rsidR="00FF46F5" w:rsidRPr="00C90AC9">
        <w:rPr>
          <w:rFonts w:eastAsiaTheme="minorHAnsi"/>
          <w:lang w:eastAsia="en-US"/>
        </w:rPr>
        <w:fldChar w:fldCharType="separate"/>
      </w:r>
      <w:r w:rsidR="00FF46F5" w:rsidRPr="00C90AC9">
        <w:rPr>
          <w:rFonts w:eastAsiaTheme="minorHAnsi"/>
          <w:lang w:eastAsia="en-US"/>
        </w:rPr>
        <w:t xml:space="preserve">(Furbo </w:t>
      </w:r>
      <w:r w:rsidR="00EE66A8" w:rsidRPr="00C90AC9">
        <w:rPr>
          <w:rFonts w:eastAsiaTheme="minorHAnsi"/>
          <w:lang w:eastAsia="en-US"/>
        </w:rPr>
        <w:t>et al</w:t>
      </w:r>
      <w:r w:rsidR="00FF46F5" w:rsidRPr="00C90AC9">
        <w:rPr>
          <w:rFonts w:eastAsiaTheme="minorHAnsi"/>
          <w:lang w:eastAsia="en-US"/>
        </w:rPr>
        <w:t>., 2005)</w:t>
      </w:r>
      <w:r w:rsidR="00FF46F5" w:rsidRPr="00C90AC9">
        <w:rPr>
          <w:rFonts w:eastAsiaTheme="minorHAnsi"/>
          <w:lang w:eastAsia="en-US"/>
        </w:rPr>
        <w:fldChar w:fldCharType="end"/>
      </w:r>
      <w:r w:rsidRPr="00C90AC9">
        <w:rPr>
          <w:rFonts w:eastAsiaTheme="minorHAnsi"/>
          <w:lang w:eastAsia="en-US"/>
        </w:rPr>
        <w:t xml:space="preserve">. </w:t>
      </w:r>
      <w:r w:rsidR="00DC2348" w:rsidRPr="00C90AC9">
        <w:rPr>
          <w:rFonts w:eastAsiaTheme="minorHAnsi"/>
          <w:lang w:eastAsia="en-US"/>
        </w:rPr>
        <w:t xml:space="preserve">The study analysed a range </w:t>
      </w:r>
      <w:r w:rsidR="002365AE" w:rsidRPr="00C90AC9">
        <w:rPr>
          <w:rFonts w:eastAsiaTheme="minorHAnsi"/>
          <w:lang w:eastAsia="en-US"/>
        </w:rPr>
        <w:t>of hot water tanks with differing volumes</w:t>
      </w:r>
      <w:r w:rsidR="00DC2348" w:rsidRPr="00C90AC9">
        <w:rPr>
          <w:rFonts w:eastAsiaTheme="minorHAnsi"/>
          <w:lang w:eastAsia="en-US"/>
        </w:rPr>
        <w:t xml:space="preserve"> ranging from 50-350 litres</w:t>
      </w:r>
      <w:r w:rsidR="002365AE" w:rsidRPr="00C90AC9">
        <w:rPr>
          <w:rFonts w:eastAsiaTheme="minorHAnsi"/>
          <w:lang w:eastAsia="en-US"/>
        </w:rPr>
        <w:t>. The performance of these hot water tanks were</w:t>
      </w:r>
      <w:r w:rsidR="00DC2348" w:rsidRPr="00C90AC9">
        <w:rPr>
          <w:rFonts w:eastAsiaTheme="minorHAnsi"/>
          <w:lang w:eastAsia="en-US"/>
        </w:rPr>
        <w:t xml:space="preserve"> tested </w:t>
      </w:r>
      <w:r w:rsidR="002365AE" w:rsidRPr="00C90AC9">
        <w:rPr>
          <w:rFonts w:eastAsiaTheme="minorHAnsi"/>
          <w:lang w:eastAsia="en-US"/>
        </w:rPr>
        <w:t xml:space="preserve">with their </w:t>
      </w:r>
      <w:r w:rsidR="00DC2348" w:rsidRPr="00C90AC9">
        <w:rPr>
          <w:rFonts w:eastAsiaTheme="minorHAnsi"/>
          <w:lang w:eastAsia="en-US"/>
        </w:rPr>
        <w:t>utilized solar energy</w:t>
      </w:r>
      <w:r w:rsidR="002365AE" w:rsidRPr="00C90AC9">
        <w:rPr>
          <w:rFonts w:eastAsiaTheme="minorHAnsi"/>
          <w:lang w:eastAsia="en-US"/>
        </w:rPr>
        <w:t xml:space="preserve"> measured as </w:t>
      </w:r>
      <w:r w:rsidR="00DC2348" w:rsidRPr="00C90AC9">
        <w:rPr>
          <w:rFonts w:eastAsiaTheme="minorHAnsi"/>
          <w:lang w:eastAsia="en-US"/>
        </w:rPr>
        <w:t xml:space="preserve">a function of the volume of the hot water tank and the daily hot water consumption </w:t>
      </w:r>
      <w:r w:rsidR="00FF46F5" w:rsidRPr="00C90AC9">
        <w:rPr>
          <w:rFonts w:eastAsiaTheme="minorHAnsi"/>
          <w:lang w:eastAsia="en-US"/>
        </w:rPr>
        <w:fldChar w:fldCharType="begin"/>
      </w:r>
      <w:r w:rsidR="00FF46F5" w:rsidRPr="00C90AC9">
        <w:rPr>
          <w:rFonts w:eastAsiaTheme="minorHAnsi"/>
          <w:lang w:eastAsia="en-US"/>
        </w:rPr>
        <w:instrText xml:space="preserve"> ADDIN EN.CITE &lt;EndNote&gt;&lt;Cite&gt;&lt;Author&gt;Furbo&lt;/Author&gt;&lt;Year&gt;2005&lt;/Year&gt;&lt;RecNum&gt;143&lt;/RecNum&gt;&lt;DisplayText&gt;(Furbo &amp;amp; et al., 2005)&lt;/DisplayText&gt;&lt;record&gt;&lt;rec-number&gt;143&lt;/rec-number&gt;&lt;foreign-keys&gt;&lt;key app="EN" db-id="50wxdpzd9vd5r7e9t5b595djrfpttrxw9avp" timestamp="1525076334"&gt;143&lt;/key&gt;&lt;/foreign-keys&gt;&lt;ref-type name="Journal Article"&gt;17&lt;/ref-type&gt;&lt;contributors&gt;&lt;authors&gt;&lt;author&gt;Furbo, S., .&lt;/author&gt;&lt;author&gt;et al.,&lt;/author&gt;&lt;/authors&gt;&lt;/contributors&gt;&lt;titles&gt;&lt;title&gt;Smart solar tanks for small solar domestic hot water systems&lt;/title&gt;&lt;secondary-title&gt;Solar Energy&lt;/secondary-title&gt;&lt;short-title&gt;Furbo, S., et al. 2005 – Smart solar tanks for small&lt;/short-title&gt;&lt;/titles&gt;&lt;pages&gt;p. 269-279&lt;/pages&gt;&lt;volume&gt;78&lt;/volume&gt;&lt;number&gt;2&lt;/number&gt;&lt;dates&gt;&lt;year&gt;2005&lt;/year&gt;&lt;/dates&gt;&lt;urls&gt;&lt;/urls&gt;&lt;/record&gt;&lt;/Cite&gt;&lt;/EndNote&gt;</w:instrText>
      </w:r>
      <w:r w:rsidR="00FF46F5" w:rsidRPr="00C90AC9">
        <w:rPr>
          <w:rFonts w:eastAsiaTheme="minorHAnsi"/>
          <w:lang w:eastAsia="en-US"/>
        </w:rPr>
        <w:fldChar w:fldCharType="separate"/>
      </w:r>
      <w:r w:rsidR="00FF46F5" w:rsidRPr="00C90AC9">
        <w:rPr>
          <w:rFonts w:eastAsiaTheme="minorHAnsi"/>
          <w:lang w:eastAsia="en-US"/>
        </w:rPr>
        <w:t xml:space="preserve">(Furbo </w:t>
      </w:r>
      <w:r w:rsidR="00EE66A8" w:rsidRPr="00C90AC9">
        <w:rPr>
          <w:rFonts w:eastAsiaTheme="minorHAnsi"/>
          <w:lang w:eastAsia="en-US"/>
        </w:rPr>
        <w:t>et al</w:t>
      </w:r>
      <w:r w:rsidR="00FF46F5" w:rsidRPr="00C90AC9">
        <w:rPr>
          <w:rFonts w:eastAsiaTheme="minorHAnsi"/>
          <w:lang w:eastAsia="en-US"/>
        </w:rPr>
        <w:t>., 2005)</w:t>
      </w:r>
      <w:r w:rsidR="00FF46F5" w:rsidRPr="00C90AC9">
        <w:rPr>
          <w:rFonts w:eastAsiaTheme="minorHAnsi"/>
          <w:lang w:eastAsia="en-US"/>
        </w:rPr>
        <w:fldChar w:fldCharType="end"/>
      </w:r>
      <w:r w:rsidR="00DC2348" w:rsidRPr="00C90AC9">
        <w:rPr>
          <w:rFonts w:eastAsiaTheme="minorHAnsi"/>
          <w:lang w:eastAsia="en-US"/>
        </w:rPr>
        <w:t>. Th</w:t>
      </w:r>
      <w:r w:rsidR="00784616" w:rsidRPr="00C90AC9">
        <w:rPr>
          <w:rFonts w:eastAsiaTheme="minorHAnsi"/>
          <w:lang w:eastAsia="en-US"/>
        </w:rPr>
        <w:t>e results are shown in Figure 2.</w:t>
      </w:r>
      <w:r w:rsidR="00F17541" w:rsidRPr="00C90AC9">
        <w:rPr>
          <w:rFonts w:eastAsiaTheme="minorHAnsi"/>
          <w:lang w:eastAsia="en-US"/>
        </w:rPr>
        <w:t>5</w:t>
      </w:r>
      <w:r w:rsidR="00DC2348" w:rsidRPr="00C90AC9">
        <w:rPr>
          <w:rFonts w:eastAsiaTheme="minorHAnsi"/>
          <w:lang w:eastAsia="en-US"/>
        </w:rPr>
        <w:t>. The conclusions of the study ca</w:t>
      </w:r>
      <w:r w:rsidR="00784616" w:rsidRPr="00C90AC9">
        <w:rPr>
          <w:rFonts w:eastAsiaTheme="minorHAnsi"/>
          <w:lang w:eastAsia="en-US"/>
        </w:rPr>
        <w:t>n</w:t>
      </w:r>
      <w:r w:rsidR="00DC2348" w:rsidRPr="00C90AC9">
        <w:rPr>
          <w:rFonts w:eastAsiaTheme="minorHAnsi"/>
          <w:lang w:eastAsia="en-US"/>
        </w:rPr>
        <w:t xml:space="preserve"> be </w:t>
      </w:r>
      <w:r w:rsidR="001546F2" w:rsidRPr="00C90AC9">
        <w:rPr>
          <w:rFonts w:eastAsiaTheme="minorHAnsi"/>
          <w:lang w:eastAsia="en-US"/>
        </w:rPr>
        <w:t>s</w:t>
      </w:r>
      <w:r w:rsidR="00DC2348" w:rsidRPr="00C90AC9">
        <w:rPr>
          <w:rFonts w:eastAsiaTheme="minorHAnsi"/>
          <w:lang w:eastAsia="en-US"/>
        </w:rPr>
        <w:t>ummarised</w:t>
      </w:r>
      <w:r w:rsidR="001546F2" w:rsidRPr="00C90AC9">
        <w:rPr>
          <w:rFonts w:eastAsiaTheme="minorHAnsi"/>
          <w:lang w:eastAsia="en-US"/>
        </w:rPr>
        <w:t xml:space="preserve"> as:</w:t>
      </w:r>
    </w:p>
    <w:p w:rsidR="00A16B8C" w:rsidRPr="00C90AC9" w:rsidRDefault="00A16B8C" w:rsidP="00CA6E35">
      <w:pPr>
        <w:pStyle w:val="ListBullet2"/>
        <w:numPr>
          <w:ilvl w:val="0"/>
          <w:numId w:val="4"/>
        </w:numPr>
        <w:spacing w:line="360" w:lineRule="auto"/>
        <w:rPr>
          <w:rFonts w:eastAsiaTheme="minorHAnsi"/>
          <w:lang w:eastAsia="en-US"/>
        </w:rPr>
      </w:pPr>
      <w:r w:rsidRPr="00C90AC9">
        <w:rPr>
          <w:rFonts w:eastAsiaTheme="minorHAnsi"/>
          <w:lang w:eastAsia="en-US"/>
        </w:rPr>
        <w:t xml:space="preserve">Smaller water consumptions should have a smaller hot-water tank; and </w:t>
      </w:r>
    </w:p>
    <w:p w:rsidR="00A16B8C" w:rsidRPr="00C90AC9" w:rsidRDefault="00A16B8C" w:rsidP="00CA6E35">
      <w:pPr>
        <w:pStyle w:val="ListBullet2"/>
        <w:numPr>
          <w:ilvl w:val="0"/>
          <w:numId w:val="4"/>
        </w:numPr>
        <w:spacing w:line="360" w:lineRule="auto"/>
        <w:rPr>
          <w:rFonts w:eastAsiaTheme="minorHAnsi"/>
          <w:lang w:eastAsia="en-US"/>
        </w:rPr>
      </w:pPr>
      <w:r w:rsidRPr="00C90AC9">
        <w:rPr>
          <w:rFonts w:eastAsiaTheme="minorHAnsi"/>
          <w:lang w:eastAsia="en-US"/>
        </w:rPr>
        <w:t>Larger hot-water consumptions should have a medium volume hot-water tank.</w:t>
      </w:r>
      <w:r w:rsidR="00C80892" w:rsidRPr="00C90AC9">
        <w:rPr>
          <w:rFonts w:eastAsiaTheme="minorHAnsi"/>
          <w:lang w:eastAsia="en-US"/>
        </w:rPr>
        <w:t xml:space="preserve"> </w:t>
      </w:r>
      <w:r w:rsidR="002C646F" w:rsidRPr="00C90AC9">
        <w:rPr>
          <w:rFonts w:eastAsiaTheme="minorHAnsi"/>
          <w:lang w:eastAsia="en-US"/>
        </w:rPr>
        <w:tab/>
      </w:r>
      <w:r w:rsidR="002C646F" w:rsidRPr="00C90AC9">
        <w:rPr>
          <w:rFonts w:eastAsiaTheme="minorHAnsi"/>
          <w:lang w:eastAsia="en-US"/>
        </w:rPr>
        <w:tab/>
      </w:r>
      <w:r w:rsidR="002C646F" w:rsidRPr="00C90AC9">
        <w:rPr>
          <w:rFonts w:eastAsiaTheme="minorHAnsi"/>
          <w:lang w:eastAsia="en-US"/>
        </w:rPr>
        <w:tab/>
      </w:r>
      <w:r w:rsidR="002C646F" w:rsidRPr="00C90AC9">
        <w:rPr>
          <w:rFonts w:eastAsiaTheme="minorHAnsi"/>
          <w:lang w:eastAsia="en-US"/>
        </w:rPr>
        <w:tab/>
      </w:r>
      <w:r w:rsidR="002C646F" w:rsidRPr="00C90AC9">
        <w:rPr>
          <w:rFonts w:eastAsiaTheme="minorHAnsi"/>
          <w:lang w:eastAsia="en-US"/>
        </w:rPr>
        <w:tab/>
      </w:r>
      <w:r w:rsidR="002C646F" w:rsidRPr="00C90AC9">
        <w:rPr>
          <w:rFonts w:eastAsiaTheme="minorHAnsi"/>
          <w:lang w:eastAsia="en-US"/>
        </w:rPr>
        <w:tab/>
      </w:r>
      <w:r w:rsidR="002C646F" w:rsidRPr="00C90AC9">
        <w:rPr>
          <w:rFonts w:eastAsiaTheme="minorHAnsi"/>
          <w:lang w:eastAsia="en-US"/>
        </w:rPr>
        <w:tab/>
      </w:r>
      <w:r w:rsidR="002C646F" w:rsidRPr="00C90AC9">
        <w:rPr>
          <w:rFonts w:eastAsiaTheme="minorHAnsi"/>
          <w:lang w:eastAsia="en-US"/>
        </w:rPr>
        <w:tab/>
      </w:r>
      <w:r w:rsidR="002C646F" w:rsidRPr="00C90AC9">
        <w:rPr>
          <w:rFonts w:eastAsiaTheme="minorHAnsi"/>
          <w:lang w:eastAsia="en-US"/>
        </w:rPr>
        <w:tab/>
      </w:r>
      <w:r w:rsidR="00487717" w:rsidRPr="00C90AC9">
        <w:rPr>
          <w:rFonts w:eastAsiaTheme="minorHAnsi"/>
          <w:lang w:eastAsia="en-US"/>
        </w:rPr>
        <w:fldChar w:fldCharType="begin"/>
      </w:r>
      <w:r w:rsidR="00487717" w:rsidRPr="00C90AC9">
        <w:rPr>
          <w:rFonts w:eastAsiaTheme="minorHAnsi"/>
          <w:lang w:eastAsia="en-US"/>
        </w:rPr>
        <w:instrText xml:space="preserve"> ADDIN EN.CITE &lt;EndNote&gt;&lt;Cite&gt;&lt;Author&gt;Furbo&lt;/Author&gt;&lt;Year&gt;2005&lt;/Year&gt;&lt;RecNum&gt;143&lt;/RecNum&gt;&lt;DisplayText&gt;(Furbo &amp;amp; et al., 2005)&lt;/DisplayText&gt;&lt;record&gt;&lt;rec-number&gt;143&lt;/rec-number&gt;&lt;foreign-keys&gt;&lt;key app="EN" db-id="50wxdpzd9vd5r7e9t5b595djrfpttrxw9avp" timestamp="1525076334"&gt;143&lt;/key&gt;&lt;/foreign-keys&gt;&lt;ref-type name="Journal Article"&gt;17&lt;/ref-type&gt;&lt;contributors&gt;&lt;authors&gt;&lt;author&gt;Furbo, S., .&lt;/author&gt;&lt;author&gt;et al.,&lt;/author&gt;&lt;/authors&gt;&lt;/contributors&gt;&lt;titles&gt;&lt;title&gt;Smart solar tanks for small solar domestic hot water systems&lt;/title&gt;&lt;secondary-title&gt;Solar Energy&lt;/secondary-title&gt;&lt;short-title&gt;Furbo, S., et al. 2005 – Smart solar tanks for small&lt;/short-title&gt;&lt;/titles&gt;&lt;pages&gt;p. 269-279&lt;/pages&gt;&lt;volume&gt;78&lt;/volume&gt;&lt;number&gt;2&lt;/number&gt;&lt;dates&gt;&lt;year&gt;2005&lt;/year&gt;&lt;/dates&gt;&lt;urls&gt;&lt;/urls&gt;&lt;/record&gt;&lt;/Cite&gt;&lt;/EndNote&gt;</w:instrText>
      </w:r>
      <w:r w:rsidR="00487717" w:rsidRPr="00C90AC9">
        <w:rPr>
          <w:rFonts w:eastAsiaTheme="minorHAnsi"/>
          <w:lang w:eastAsia="en-US"/>
        </w:rPr>
        <w:fldChar w:fldCharType="separate"/>
      </w:r>
      <w:r w:rsidR="00487717" w:rsidRPr="00C90AC9">
        <w:rPr>
          <w:rFonts w:eastAsiaTheme="minorHAnsi"/>
          <w:lang w:eastAsia="en-US"/>
        </w:rPr>
        <w:t xml:space="preserve">(Furbo </w:t>
      </w:r>
      <w:r w:rsidR="00EE66A8" w:rsidRPr="00C90AC9">
        <w:rPr>
          <w:rFonts w:eastAsiaTheme="minorHAnsi"/>
          <w:lang w:eastAsia="en-US"/>
        </w:rPr>
        <w:t>et al</w:t>
      </w:r>
      <w:r w:rsidR="00487717" w:rsidRPr="00C90AC9">
        <w:rPr>
          <w:rFonts w:eastAsiaTheme="minorHAnsi"/>
          <w:lang w:eastAsia="en-US"/>
        </w:rPr>
        <w:t>., 2005)</w:t>
      </w:r>
      <w:r w:rsidR="00487717" w:rsidRPr="00C90AC9">
        <w:rPr>
          <w:rFonts w:eastAsiaTheme="minorHAnsi"/>
          <w:lang w:eastAsia="en-US"/>
        </w:rPr>
        <w:fldChar w:fldCharType="end"/>
      </w:r>
    </w:p>
    <w:p w:rsidR="001546F2" w:rsidRPr="00C90AC9" w:rsidRDefault="001546F2" w:rsidP="001546F2">
      <w:pPr>
        <w:pStyle w:val="ListBullet2"/>
        <w:numPr>
          <w:ilvl w:val="0"/>
          <w:numId w:val="0"/>
        </w:numPr>
        <w:spacing w:line="360" w:lineRule="auto"/>
        <w:ind w:left="643" w:hanging="360"/>
        <w:rPr>
          <w:rFonts w:eastAsiaTheme="minorHAnsi"/>
          <w:lang w:eastAsia="en-US"/>
        </w:rPr>
      </w:pPr>
    </w:p>
    <w:p w:rsidR="001546F2" w:rsidRPr="00C90AC9" w:rsidRDefault="001546F2" w:rsidP="001546F2">
      <w:pPr>
        <w:pStyle w:val="ListBullet2"/>
        <w:numPr>
          <w:ilvl w:val="0"/>
          <w:numId w:val="0"/>
        </w:numPr>
        <w:spacing w:line="360" w:lineRule="auto"/>
        <w:ind w:left="643" w:hanging="360"/>
        <w:rPr>
          <w:rFonts w:eastAsiaTheme="minorHAnsi"/>
          <w:lang w:eastAsia="en-US"/>
        </w:rPr>
      </w:pPr>
    </w:p>
    <w:p w:rsidR="007A3242" w:rsidRPr="00C90AC9" w:rsidRDefault="007A3242">
      <w:pPr>
        <w:rPr>
          <w:rFonts w:eastAsiaTheme="minorHAnsi"/>
          <w:lang w:eastAsia="en-US"/>
        </w:rPr>
      </w:pPr>
      <w:r w:rsidRPr="00C90AC9">
        <w:rPr>
          <w:rFonts w:eastAsiaTheme="minorHAnsi"/>
          <w:lang w:eastAsia="en-US"/>
        </w:rPr>
        <w:br w:type="page"/>
      </w:r>
    </w:p>
    <w:p w:rsidR="001546F2" w:rsidRPr="00C90AC9" w:rsidRDefault="00D62B11" w:rsidP="003014B5">
      <w:pPr>
        <w:pStyle w:val="BodyText"/>
        <w:spacing w:line="360" w:lineRule="auto"/>
        <w:rPr>
          <w:rFonts w:eastAsiaTheme="minorHAnsi"/>
          <w:lang w:eastAsia="en-US"/>
        </w:rPr>
      </w:pPr>
      <w:r w:rsidRPr="00C90AC9">
        <w:rPr>
          <w:rFonts w:eastAsiaTheme="minorHAnsi"/>
          <w:lang w:eastAsia="en-US"/>
        </w:rPr>
        <w:lastRenderedPageBreak/>
        <w:t>Figure 2.5</w:t>
      </w:r>
      <w:r w:rsidR="001546F2" w:rsidRPr="00C90AC9">
        <w:rPr>
          <w:rFonts w:eastAsiaTheme="minorHAnsi"/>
          <w:lang w:eastAsia="en-US"/>
        </w:rPr>
        <w:t xml:space="preserve">. Results from </w:t>
      </w:r>
      <w:proofErr w:type="spellStart"/>
      <w:r w:rsidR="001546F2" w:rsidRPr="00C90AC9">
        <w:rPr>
          <w:rFonts w:eastAsiaTheme="minorHAnsi"/>
          <w:lang w:eastAsia="en-US"/>
        </w:rPr>
        <w:t>Furbo</w:t>
      </w:r>
      <w:proofErr w:type="spellEnd"/>
      <w:r w:rsidR="001546F2" w:rsidRPr="00C90AC9">
        <w:rPr>
          <w:rFonts w:eastAsiaTheme="minorHAnsi"/>
          <w:lang w:eastAsia="en-US"/>
        </w:rPr>
        <w:t xml:space="preserve"> et al testing how various volumes of hot water tank affect efficiency of a STP system </w:t>
      </w:r>
      <w:r w:rsidR="00FF46F5" w:rsidRPr="00C90AC9">
        <w:rPr>
          <w:rFonts w:eastAsiaTheme="minorHAnsi"/>
          <w:lang w:eastAsia="en-US"/>
        </w:rPr>
        <w:fldChar w:fldCharType="begin"/>
      </w:r>
      <w:r w:rsidR="00FF46F5" w:rsidRPr="00C90AC9">
        <w:rPr>
          <w:rFonts w:eastAsiaTheme="minorHAnsi"/>
          <w:lang w:eastAsia="en-US"/>
        </w:rPr>
        <w:instrText xml:space="preserve"> ADDIN EN.CITE &lt;EndNote&gt;&lt;Cite&gt;&lt;Author&gt;Furbo&lt;/Author&gt;&lt;Year&gt;2005&lt;/Year&gt;&lt;RecNum&gt;143&lt;/RecNum&gt;&lt;DisplayText&gt;(Furbo &amp;amp; et al., 2005)&lt;/DisplayText&gt;&lt;record&gt;&lt;rec-number&gt;143&lt;/rec-number&gt;&lt;foreign-keys&gt;&lt;key app="EN" db-id="50wxdpzd9vd5r7e9t5b595djrfpttrxw9avp" timestamp="1525076334"&gt;143&lt;/key&gt;&lt;/foreign-keys&gt;&lt;ref-type name="Journal Article"&gt;17&lt;/ref-type&gt;&lt;contributors&gt;&lt;authors&gt;&lt;author&gt;Furbo, S., .&lt;/author&gt;&lt;author&gt;et al.,&lt;/author&gt;&lt;/authors&gt;&lt;/contributors&gt;&lt;titles&gt;&lt;title&gt;Smart solar tanks for small solar domestic hot water systems&lt;/title&gt;&lt;secondary-title&gt;Solar Energy&lt;/secondary-title&gt;&lt;short-title&gt;Furbo, S., et al. 2005 – Smart solar tanks for small&lt;/short-title&gt;&lt;/titles&gt;&lt;pages&gt;p. 269-279&lt;/pages&gt;&lt;volume&gt;78&lt;/volume&gt;&lt;number&gt;2&lt;/number&gt;&lt;dates&gt;&lt;year&gt;2005&lt;/year&gt;&lt;/dates&gt;&lt;urls&gt;&lt;/urls&gt;&lt;/record&gt;&lt;/Cite&gt;&lt;/EndNote&gt;</w:instrText>
      </w:r>
      <w:r w:rsidR="00FF46F5" w:rsidRPr="00C90AC9">
        <w:rPr>
          <w:rFonts w:eastAsiaTheme="minorHAnsi"/>
          <w:lang w:eastAsia="en-US"/>
        </w:rPr>
        <w:fldChar w:fldCharType="separate"/>
      </w:r>
      <w:r w:rsidR="00FF46F5" w:rsidRPr="00C90AC9">
        <w:rPr>
          <w:rFonts w:eastAsiaTheme="minorHAnsi"/>
          <w:lang w:eastAsia="en-US"/>
        </w:rPr>
        <w:t xml:space="preserve">(Furbo </w:t>
      </w:r>
      <w:r w:rsidR="00EE66A8" w:rsidRPr="00C90AC9">
        <w:rPr>
          <w:rFonts w:eastAsiaTheme="minorHAnsi"/>
          <w:lang w:eastAsia="en-US"/>
        </w:rPr>
        <w:t>et al</w:t>
      </w:r>
      <w:r w:rsidR="00FF46F5" w:rsidRPr="00C90AC9">
        <w:rPr>
          <w:rFonts w:eastAsiaTheme="minorHAnsi"/>
          <w:lang w:eastAsia="en-US"/>
        </w:rPr>
        <w:t>., 2005)</w:t>
      </w:r>
      <w:r w:rsidR="00FF46F5" w:rsidRPr="00C90AC9">
        <w:rPr>
          <w:rFonts w:eastAsiaTheme="minorHAnsi"/>
          <w:lang w:eastAsia="en-US"/>
        </w:rPr>
        <w:fldChar w:fldCharType="end"/>
      </w:r>
    </w:p>
    <w:p w:rsidR="001546F2" w:rsidRPr="00C90AC9" w:rsidRDefault="001546F2" w:rsidP="001546F2">
      <w:pPr>
        <w:pStyle w:val="BodyText"/>
        <w:spacing w:line="360" w:lineRule="auto"/>
        <w:jc w:val="center"/>
        <w:rPr>
          <w:rFonts w:eastAsiaTheme="minorHAnsi"/>
          <w:lang w:eastAsia="en-US"/>
        </w:rPr>
      </w:pPr>
      <w:r w:rsidRPr="00C90AC9">
        <w:rPr>
          <w:noProof/>
        </w:rPr>
        <w:drawing>
          <wp:inline distT="0" distB="0" distL="0" distR="0" wp14:anchorId="13C9EA4B" wp14:editId="442E0109">
            <wp:extent cx="4582633" cy="5454503"/>
            <wp:effectExtent l="0" t="0" r="889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60389" t="16388" r="13085" b="14046"/>
                    <a:stretch/>
                  </pic:blipFill>
                  <pic:spPr bwMode="auto">
                    <a:xfrm>
                      <a:off x="0" y="0"/>
                      <a:ext cx="4589746" cy="5462969"/>
                    </a:xfrm>
                    <a:prstGeom prst="rect">
                      <a:avLst/>
                    </a:prstGeom>
                    <a:ln>
                      <a:noFill/>
                    </a:ln>
                    <a:extLst>
                      <a:ext uri="{53640926-AAD7-44D8-BBD7-CCE9431645EC}">
                        <a14:shadowObscured xmlns:a14="http://schemas.microsoft.com/office/drawing/2010/main"/>
                      </a:ext>
                    </a:extLst>
                  </pic:spPr>
                </pic:pic>
              </a:graphicData>
            </a:graphic>
          </wp:inline>
        </w:drawing>
      </w:r>
    </w:p>
    <w:p w:rsidR="00A16B8C" w:rsidRPr="00C90AC9" w:rsidRDefault="00784616" w:rsidP="003014B5">
      <w:pPr>
        <w:pStyle w:val="BodyText"/>
        <w:spacing w:line="360" w:lineRule="auto"/>
        <w:rPr>
          <w:rFonts w:eastAsiaTheme="minorHAnsi"/>
          <w:lang w:eastAsia="en-US"/>
        </w:rPr>
      </w:pPr>
      <w:r w:rsidRPr="00C90AC9">
        <w:rPr>
          <w:rFonts w:eastAsiaTheme="minorHAnsi"/>
          <w:lang w:eastAsia="en-US"/>
        </w:rPr>
        <w:t xml:space="preserve">In the paper by </w:t>
      </w:r>
      <w:proofErr w:type="spellStart"/>
      <w:r w:rsidRPr="00C90AC9">
        <w:rPr>
          <w:rFonts w:eastAsiaTheme="minorHAnsi"/>
          <w:lang w:eastAsia="en-US"/>
        </w:rPr>
        <w:t>Furbo</w:t>
      </w:r>
      <w:proofErr w:type="spellEnd"/>
      <w:r w:rsidRPr="00C90AC9">
        <w:rPr>
          <w:rFonts w:eastAsiaTheme="minorHAnsi"/>
          <w:lang w:eastAsia="en-US"/>
        </w:rPr>
        <w:t xml:space="preserve"> et al 2005</w:t>
      </w:r>
      <w:r w:rsidR="00A16B8C" w:rsidRPr="00C90AC9">
        <w:rPr>
          <w:rFonts w:eastAsiaTheme="minorHAnsi"/>
          <w:lang w:eastAsia="en-US"/>
        </w:rPr>
        <w:t xml:space="preserve"> states that a ‘smart’ solar tank is one that can be heated by two systems, one which is by solar energy and the other is from the conventional energy supply system (generally speaking electric heating elements). They explain that a few temperature sensors to measure the water temperature at the top of the tank is almost as good as an advanced control system that regulates the energy content in the top of the tank</w:t>
      </w:r>
      <w:r w:rsidR="00487717" w:rsidRPr="00C90AC9">
        <w:rPr>
          <w:rFonts w:eastAsiaTheme="minorHAnsi"/>
          <w:lang w:eastAsia="en-US"/>
        </w:rPr>
        <w:t xml:space="preserve"> </w:t>
      </w:r>
      <w:r w:rsidR="00CD6CED" w:rsidRPr="00C90AC9">
        <w:rPr>
          <w:rFonts w:eastAsiaTheme="minorHAnsi"/>
          <w:lang w:eastAsia="en-US"/>
        </w:rPr>
        <w:fldChar w:fldCharType="begin"/>
      </w:r>
      <w:r w:rsidR="00CD6CED" w:rsidRPr="00C90AC9">
        <w:rPr>
          <w:rFonts w:eastAsiaTheme="minorHAnsi"/>
          <w:lang w:eastAsia="en-US"/>
        </w:rPr>
        <w:instrText xml:space="preserve"> ADDIN EN.CITE &lt;EndNote&gt;&lt;Cite&gt;&lt;Author&gt;Furbo&lt;/Author&gt;&lt;Year&gt;2005&lt;/Year&gt;&lt;RecNum&gt;143&lt;/RecNum&gt;&lt;DisplayText&gt;(Furbo &amp;amp; et al., 2005)&lt;/DisplayText&gt;&lt;record&gt;&lt;rec-number&gt;143&lt;/rec-number&gt;&lt;foreign-keys&gt;&lt;key app="EN" db-id="50wxdpzd9vd5r7e9t5b595djrfpttrxw9avp" timestamp="1525076334"&gt;143&lt;/key&gt;&lt;/foreign-keys&gt;&lt;ref-type name="Journal Article"&gt;17&lt;/ref-type&gt;&lt;contributors&gt;&lt;authors&gt;&lt;author&gt;Furbo, S., .&lt;/author&gt;&lt;author&gt;et al.,&lt;/author&gt;&lt;/authors&gt;&lt;/contributors&gt;&lt;titles&gt;&lt;title&gt;Smart solar tanks for small solar domestic hot water systems&lt;/title&gt;&lt;secondary-title&gt;Solar Energy&lt;/secondary-title&gt;&lt;short-title&gt;Furbo, S., et al. 2005 – Smart solar tanks for small&lt;/short-title&gt;&lt;/titles&gt;&lt;pages&gt;p. 269-279&lt;/pages&gt;&lt;volume&gt;78&lt;/volume&gt;&lt;number&gt;2&lt;/number&gt;&lt;dates&gt;&lt;year&gt;2005&lt;/year&gt;&lt;/dates&gt;&lt;urls&gt;&lt;/urls&gt;&lt;/record&gt;&lt;/Cite&gt;&lt;/EndNote&gt;</w:instrText>
      </w:r>
      <w:r w:rsidR="00CD6CED" w:rsidRPr="00C90AC9">
        <w:rPr>
          <w:rFonts w:eastAsiaTheme="minorHAnsi"/>
          <w:lang w:eastAsia="en-US"/>
        </w:rPr>
        <w:fldChar w:fldCharType="separate"/>
      </w:r>
      <w:r w:rsidR="00CD6CED" w:rsidRPr="00C90AC9">
        <w:rPr>
          <w:rFonts w:eastAsiaTheme="minorHAnsi"/>
          <w:lang w:eastAsia="en-US"/>
        </w:rPr>
        <w:t xml:space="preserve">(Furbo </w:t>
      </w:r>
      <w:r w:rsidR="00EE66A8" w:rsidRPr="00C90AC9">
        <w:rPr>
          <w:rFonts w:eastAsiaTheme="minorHAnsi"/>
          <w:lang w:eastAsia="en-US"/>
        </w:rPr>
        <w:t>et al</w:t>
      </w:r>
      <w:r w:rsidR="00CD6CED" w:rsidRPr="00C90AC9">
        <w:rPr>
          <w:rFonts w:eastAsiaTheme="minorHAnsi"/>
          <w:lang w:eastAsia="en-US"/>
        </w:rPr>
        <w:t>., 2005)</w:t>
      </w:r>
      <w:r w:rsidR="00CD6CED" w:rsidRPr="00C90AC9">
        <w:rPr>
          <w:rFonts w:eastAsiaTheme="minorHAnsi"/>
          <w:lang w:eastAsia="en-US"/>
        </w:rPr>
        <w:fldChar w:fldCharType="end"/>
      </w:r>
      <w:r w:rsidR="00A16B8C" w:rsidRPr="00C90AC9">
        <w:rPr>
          <w:rFonts w:eastAsiaTheme="minorHAnsi"/>
          <w:lang w:eastAsia="en-US"/>
        </w:rPr>
        <w:t>. This statement is not quantified which makes it difficult to ascertain the precise benefits of having just a few temperature sensors in the tank as compared to having an advanced control system controlling the energy delivered to the water at the top of the tank.</w:t>
      </w:r>
    </w:p>
    <w:p w:rsidR="00DC2348" w:rsidRPr="00C90AC9" w:rsidRDefault="00A16B8C" w:rsidP="003014B5">
      <w:pPr>
        <w:pStyle w:val="BodyText"/>
        <w:spacing w:line="360" w:lineRule="auto"/>
        <w:rPr>
          <w:rFonts w:eastAsiaTheme="minorHAnsi"/>
          <w:lang w:eastAsia="en-US"/>
        </w:rPr>
      </w:pPr>
      <w:r w:rsidRPr="00C90AC9">
        <w:rPr>
          <w:rFonts w:eastAsiaTheme="minorHAnsi"/>
          <w:lang w:eastAsia="en-US"/>
        </w:rPr>
        <w:t>In Figure 2.</w:t>
      </w:r>
      <w:r w:rsidR="00D62B11" w:rsidRPr="00C90AC9">
        <w:rPr>
          <w:rFonts w:eastAsiaTheme="minorHAnsi"/>
          <w:lang w:eastAsia="en-US"/>
        </w:rPr>
        <w:t>6.</w:t>
      </w:r>
      <w:r w:rsidRPr="00C90AC9">
        <w:rPr>
          <w:rFonts w:eastAsiaTheme="minorHAnsi"/>
          <w:lang w:eastAsia="en-US"/>
        </w:rPr>
        <w:t xml:space="preserve"> the investigated hot water tanks used in the study by </w:t>
      </w:r>
      <w:proofErr w:type="spellStart"/>
      <w:r w:rsidR="00CD6CED" w:rsidRPr="00C90AC9">
        <w:rPr>
          <w:rFonts w:eastAsiaTheme="minorHAnsi"/>
          <w:lang w:eastAsia="en-US"/>
        </w:rPr>
        <w:t>Furbo</w:t>
      </w:r>
      <w:proofErr w:type="spellEnd"/>
      <w:r w:rsidRPr="00C90AC9">
        <w:rPr>
          <w:rFonts w:eastAsiaTheme="minorHAnsi"/>
          <w:lang w:eastAsia="en-US"/>
        </w:rPr>
        <w:t xml:space="preserve"> </w:t>
      </w:r>
      <w:r w:rsidR="00487717" w:rsidRPr="00C90AC9">
        <w:rPr>
          <w:rFonts w:eastAsiaTheme="minorHAnsi"/>
          <w:lang w:eastAsia="en-US"/>
        </w:rPr>
        <w:t>are</w:t>
      </w:r>
      <w:r w:rsidR="00CD6CED" w:rsidRPr="00C90AC9">
        <w:rPr>
          <w:rFonts w:eastAsiaTheme="minorHAnsi"/>
          <w:lang w:eastAsia="en-US"/>
        </w:rPr>
        <w:t xml:space="preserve"> </w:t>
      </w:r>
      <w:r w:rsidRPr="00C90AC9">
        <w:rPr>
          <w:rFonts w:eastAsiaTheme="minorHAnsi"/>
          <w:lang w:eastAsia="en-US"/>
        </w:rPr>
        <w:t>shown with the traditional tank also shown</w:t>
      </w:r>
      <w:r w:rsidR="00DC2348" w:rsidRPr="00C90AC9">
        <w:rPr>
          <w:rFonts w:eastAsiaTheme="minorHAnsi"/>
          <w:lang w:eastAsia="en-US"/>
        </w:rPr>
        <w:t xml:space="preserve"> </w:t>
      </w:r>
      <w:r w:rsidR="00CD6CED" w:rsidRPr="00C90AC9">
        <w:rPr>
          <w:rFonts w:eastAsiaTheme="minorHAnsi"/>
          <w:lang w:eastAsia="en-US"/>
        </w:rPr>
        <w:fldChar w:fldCharType="begin"/>
      </w:r>
      <w:r w:rsidR="00CD6CED" w:rsidRPr="00C90AC9">
        <w:rPr>
          <w:rFonts w:eastAsiaTheme="minorHAnsi"/>
          <w:lang w:eastAsia="en-US"/>
        </w:rPr>
        <w:instrText xml:space="preserve"> ADDIN EN.CITE &lt;EndNote&gt;&lt;Cite&gt;&lt;Author&gt;Furbo&lt;/Author&gt;&lt;Year&gt;2005&lt;/Year&gt;&lt;RecNum&gt;143&lt;/RecNum&gt;&lt;DisplayText&gt;(Furbo &amp;amp; et al., 2005)&lt;/DisplayText&gt;&lt;record&gt;&lt;rec-number&gt;143&lt;/rec-number&gt;&lt;foreign-keys&gt;&lt;key app="EN" db-id="50wxdpzd9vd5r7e9t5b595djrfpttrxw9avp" timestamp="1525076334"&gt;143&lt;/key&gt;&lt;/foreign-keys&gt;&lt;ref-type name="Journal Article"&gt;17&lt;/ref-type&gt;&lt;contributors&gt;&lt;authors&gt;&lt;author&gt;Furbo, S., .&lt;/author&gt;&lt;author&gt;et al.,&lt;/author&gt;&lt;/authors&gt;&lt;/contributors&gt;&lt;titles&gt;&lt;title&gt;Smart solar tanks for small solar domestic hot water systems&lt;/title&gt;&lt;secondary-title&gt;Solar Energy&lt;/secondary-title&gt;&lt;short-title&gt;Furbo, S., et al. 2005 – Smart solar tanks for small&lt;/short-title&gt;&lt;/titles&gt;&lt;pages&gt;p. 269-279&lt;/pages&gt;&lt;volume&gt;78&lt;/volume&gt;&lt;number&gt;2&lt;/number&gt;&lt;dates&gt;&lt;year&gt;2005&lt;/year&gt;&lt;/dates&gt;&lt;urls&gt;&lt;/urls&gt;&lt;/record&gt;&lt;/Cite&gt;&lt;/EndNote&gt;</w:instrText>
      </w:r>
      <w:r w:rsidR="00CD6CED" w:rsidRPr="00C90AC9">
        <w:rPr>
          <w:rFonts w:eastAsiaTheme="minorHAnsi"/>
          <w:lang w:eastAsia="en-US"/>
        </w:rPr>
        <w:fldChar w:fldCharType="separate"/>
      </w:r>
      <w:r w:rsidR="00CD6CED" w:rsidRPr="00C90AC9">
        <w:rPr>
          <w:rFonts w:eastAsiaTheme="minorHAnsi"/>
          <w:lang w:eastAsia="en-US"/>
        </w:rPr>
        <w:t xml:space="preserve">(Furbo </w:t>
      </w:r>
      <w:r w:rsidR="00EE66A8" w:rsidRPr="00C90AC9">
        <w:rPr>
          <w:rFonts w:eastAsiaTheme="minorHAnsi"/>
          <w:lang w:eastAsia="en-US"/>
        </w:rPr>
        <w:t>et al</w:t>
      </w:r>
      <w:r w:rsidR="00CD6CED" w:rsidRPr="00C90AC9">
        <w:rPr>
          <w:rFonts w:eastAsiaTheme="minorHAnsi"/>
          <w:lang w:eastAsia="en-US"/>
        </w:rPr>
        <w:t>., 2005)</w:t>
      </w:r>
      <w:r w:rsidR="00CD6CED" w:rsidRPr="00C90AC9">
        <w:rPr>
          <w:rFonts w:eastAsiaTheme="minorHAnsi"/>
          <w:lang w:eastAsia="en-US"/>
        </w:rPr>
        <w:fldChar w:fldCharType="end"/>
      </w:r>
      <w:r w:rsidRPr="00C90AC9">
        <w:rPr>
          <w:rFonts w:eastAsiaTheme="minorHAnsi"/>
          <w:lang w:eastAsia="en-US"/>
        </w:rPr>
        <w:t xml:space="preserve">. </w:t>
      </w:r>
    </w:p>
    <w:p w:rsidR="00A16B8C" w:rsidRPr="00C90AC9" w:rsidRDefault="00A16B8C" w:rsidP="003014B5">
      <w:pPr>
        <w:pStyle w:val="BodyText"/>
        <w:spacing w:line="360" w:lineRule="auto"/>
        <w:rPr>
          <w:rFonts w:eastAsiaTheme="minorHAnsi"/>
          <w:lang w:eastAsia="en-US"/>
        </w:rPr>
      </w:pPr>
      <w:proofErr w:type="spellStart"/>
      <w:r w:rsidRPr="00C90AC9">
        <w:rPr>
          <w:rFonts w:eastAsiaTheme="minorHAnsi"/>
          <w:lang w:eastAsia="en-US"/>
        </w:rPr>
        <w:lastRenderedPageBreak/>
        <w:t>Furbo</w:t>
      </w:r>
      <w:proofErr w:type="spellEnd"/>
      <w:r w:rsidRPr="00C90AC9">
        <w:rPr>
          <w:rFonts w:eastAsiaTheme="minorHAnsi"/>
          <w:lang w:eastAsia="en-US"/>
        </w:rPr>
        <w:t xml:space="preserve"> et al recommend that there should be further investigations into smart solar tanks that utilise, as their auxiliary heat system either oil or gas-fired boilers as additional energy savings could potentially be made here.</w:t>
      </w:r>
    </w:p>
    <w:p w:rsidR="00A16B8C" w:rsidRPr="00C90AC9" w:rsidRDefault="00394A1F" w:rsidP="00B06779">
      <w:pPr>
        <w:pStyle w:val="BodyText"/>
      </w:pPr>
      <w:r w:rsidRPr="00C90AC9">
        <w:rPr>
          <w:noProof/>
        </w:rPr>
        <w:drawing>
          <wp:anchor distT="0" distB="0" distL="114300" distR="114300" simplePos="0" relativeHeight="251672576" behindDoc="0" locked="0" layoutInCell="1" allowOverlap="1" wp14:anchorId="33EA7C2E" wp14:editId="45AAB63F">
            <wp:simplePos x="0" y="0"/>
            <wp:positionH relativeFrom="column">
              <wp:posOffset>0</wp:posOffset>
            </wp:positionH>
            <wp:positionV relativeFrom="paragraph">
              <wp:posOffset>393700</wp:posOffset>
            </wp:positionV>
            <wp:extent cx="5619750" cy="3645535"/>
            <wp:effectExtent l="19050" t="19050" r="19050" b="12065"/>
            <wp:wrapSquare wrapText="bothSides"/>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8209" t="18649" r="6972" b="38108"/>
                    <a:stretch/>
                  </pic:blipFill>
                  <pic:spPr bwMode="auto">
                    <a:xfrm>
                      <a:off x="0" y="0"/>
                      <a:ext cx="5619750" cy="364553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anchor>
        </w:drawing>
      </w:r>
      <w:r w:rsidR="00A16B8C" w:rsidRPr="00C90AC9">
        <w:t>Figure 2.</w:t>
      </w:r>
      <w:r w:rsidR="00D62B11" w:rsidRPr="00C90AC9">
        <w:t>6</w:t>
      </w:r>
      <w:r w:rsidR="00A16B8C" w:rsidRPr="00C90AC9">
        <w:t xml:space="preserve">. </w:t>
      </w:r>
      <w:r w:rsidR="00A44788" w:rsidRPr="00C90AC9">
        <w:t>T</w:t>
      </w:r>
      <w:r w:rsidR="00A16B8C" w:rsidRPr="00C90AC9">
        <w:rPr>
          <w:lang w:eastAsia="en-US"/>
        </w:rPr>
        <w:t xml:space="preserve">he investigated hot water tanks </w:t>
      </w:r>
      <w:r w:rsidR="00CD6CED" w:rsidRPr="00C90AC9">
        <w:rPr>
          <w:lang w:eastAsia="en-US"/>
        </w:rPr>
        <w:t xml:space="preserve">by </w:t>
      </w:r>
      <w:proofErr w:type="spellStart"/>
      <w:r w:rsidR="00CD6CED" w:rsidRPr="00C90AC9">
        <w:rPr>
          <w:lang w:eastAsia="en-US"/>
        </w:rPr>
        <w:t>Furbo</w:t>
      </w:r>
      <w:proofErr w:type="spellEnd"/>
      <w:r w:rsidR="00CD6CED" w:rsidRPr="00C90AC9">
        <w:rPr>
          <w:lang w:eastAsia="en-US"/>
        </w:rPr>
        <w:t xml:space="preserve"> in 2005</w:t>
      </w:r>
      <w:r w:rsidR="00A16B8C" w:rsidRPr="00C90AC9">
        <w:rPr>
          <w:lang w:eastAsia="en-US"/>
        </w:rPr>
        <w:t xml:space="preserve"> </w:t>
      </w:r>
      <w:r w:rsidR="00CD6CED" w:rsidRPr="00C90AC9">
        <w:rPr>
          <w:lang w:eastAsia="en-US"/>
        </w:rPr>
        <w:fldChar w:fldCharType="begin"/>
      </w:r>
      <w:r w:rsidR="00CD6CED" w:rsidRPr="00C90AC9">
        <w:rPr>
          <w:lang w:eastAsia="en-US"/>
        </w:rPr>
        <w:instrText xml:space="preserve"> ADDIN EN.CITE &lt;EndNote&gt;&lt;Cite&gt;&lt;Author&gt;Furbo&lt;/Author&gt;&lt;Year&gt;2005&lt;/Year&gt;&lt;RecNum&gt;143&lt;/RecNum&gt;&lt;DisplayText&gt;(Furbo &amp;amp; et al., 2005)&lt;/DisplayText&gt;&lt;record&gt;&lt;rec-number&gt;143&lt;/rec-number&gt;&lt;foreign-keys&gt;&lt;key app="EN" db-id="50wxdpzd9vd5r7e9t5b595djrfpttrxw9avp" timestamp="1525076334"&gt;143&lt;/key&gt;&lt;/foreign-keys&gt;&lt;ref-type name="Journal Article"&gt;17&lt;/ref-type&gt;&lt;contributors&gt;&lt;authors&gt;&lt;author&gt;Furbo, S., .&lt;/author&gt;&lt;author&gt;et al.,&lt;/author&gt;&lt;/authors&gt;&lt;/contributors&gt;&lt;titles&gt;&lt;title&gt;Smart solar tanks for small solar domestic hot water systems&lt;/title&gt;&lt;secondary-title&gt;Solar Energy&lt;/secondary-title&gt;&lt;short-title&gt;Furbo, S., et al. 2005 – Smart solar tanks for small&lt;/short-title&gt;&lt;/titles&gt;&lt;pages&gt;p. 269-279&lt;/pages&gt;&lt;volume&gt;78&lt;/volume&gt;&lt;number&gt;2&lt;/number&gt;&lt;dates&gt;&lt;year&gt;2005&lt;/year&gt;&lt;/dates&gt;&lt;urls&gt;&lt;/urls&gt;&lt;/record&gt;&lt;/Cite&gt;&lt;/EndNote&gt;</w:instrText>
      </w:r>
      <w:r w:rsidR="00CD6CED" w:rsidRPr="00C90AC9">
        <w:rPr>
          <w:lang w:eastAsia="en-US"/>
        </w:rPr>
        <w:fldChar w:fldCharType="separate"/>
      </w:r>
      <w:r w:rsidR="00CD6CED" w:rsidRPr="00C90AC9">
        <w:rPr>
          <w:lang w:eastAsia="en-US"/>
        </w:rPr>
        <w:t>(</w:t>
      </w:r>
      <w:proofErr w:type="spellStart"/>
      <w:r w:rsidR="00CD6CED" w:rsidRPr="00C90AC9">
        <w:rPr>
          <w:lang w:eastAsia="en-US"/>
        </w:rPr>
        <w:t>Furbo</w:t>
      </w:r>
      <w:proofErr w:type="spellEnd"/>
      <w:r w:rsidR="00CD6CED" w:rsidRPr="00C90AC9">
        <w:rPr>
          <w:lang w:eastAsia="en-US"/>
        </w:rPr>
        <w:t xml:space="preserve"> </w:t>
      </w:r>
      <w:r w:rsidR="00EE66A8" w:rsidRPr="00C90AC9">
        <w:rPr>
          <w:lang w:eastAsia="en-US"/>
        </w:rPr>
        <w:t>et al</w:t>
      </w:r>
      <w:r w:rsidR="00CD6CED" w:rsidRPr="00C90AC9">
        <w:rPr>
          <w:lang w:eastAsia="en-US"/>
        </w:rPr>
        <w:t>., 2005)</w:t>
      </w:r>
      <w:r w:rsidR="00CD6CED" w:rsidRPr="00C90AC9">
        <w:rPr>
          <w:lang w:eastAsia="en-US"/>
        </w:rPr>
        <w:fldChar w:fldCharType="end"/>
      </w:r>
    </w:p>
    <w:p w:rsidR="00CD6CED" w:rsidRPr="00C90AC9" w:rsidRDefault="00CD6CED" w:rsidP="003014B5">
      <w:pPr>
        <w:pStyle w:val="BodyText"/>
        <w:spacing w:line="360" w:lineRule="auto"/>
        <w:rPr>
          <w:rFonts w:eastAsiaTheme="minorHAnsi"/>
          <w:lang w:eastAsia="en-US"/>
        </w:rPr>
      </w:pPr>
    </w:p>
    <w:p w:rsidR="00A16B8C" w:rsidRPr="00C90AC9" w:rsidRDefault="00A16B8C" w:rsidP="003014B5">
      <w:pPr>
        <w:pStyle w:val="BodyText"/>
        <w:spacing w:line="360" w:lineRule="auto"/>
        <w:rPr>
          <w:rFonts w:eastAsiaTheme="minorHAnsi"/>
          <w:lang w:eastAsia="en-US"/>
        </w:rPr>
      </w:pPr>
      <w:r w:rsidRPr="00C90AC9">
        <w:rPr>
          <w:rFonts w:eastAsiaTheme="minorHAnsi"/>
          <w:lang w:eastAsia="en-US"/>
        </w:rPr>
        <w:t xml:space="preserve">To address the difference in the heating from the </w:t>
      </w:r>
      <w:r w:rsidR="000450FC" w:rsidRPr="00C90AC9">
        <w:rPr>
          <w:rFonts w:eastAsiaTheme="minorHAnsi"/>
          <w:lang w:eastAsia="en-US"/>
        </w:rPr>
        <w:t>sun</w:t>
      </w:r>
      <w:r w:rsidRPr="00C90AC9">
        <w:rPr>
          <w:rFonts w:eastAsiaTheme="minorHAnsi"/>
          <w:lang w:eastAsia="en-US"/>
        </w:rPr>
        <w:t xml:space="preserve"> and the consumption patterns used in homes </w:t>
      </w:r>
      <w:r w:rsidR="00CD6CED" w:rsidRPr="00C90AC9">
        <w:rPr>
          <w:rFonts w:eastAsiaTheme="minorHAnsi"/>
          <w:lang w:eastAsia="en-US"/>
        </w:rPr>
        <w:t xml:space="preserve">Rodriguez et al 2012 </w:t>
      </w:r>
      <w:r w:rsidRPr="00C90AC9">
        <w:rPr>
          <w:rFonts w:eastAsiaTheme="minorHAnsi"/>
          <w:lang w:eastAsia="en-US"/>
        </w:rPr>
        <w:t>looked at determining the optimum size of the storage tank</w:t>
      </w:r>
      <w:r w:rsidR="00DC2348" w:rsidRPr="00C90AC9">
        <w:rPr>
          <w:rFonts w:eastAsiaTheme="minorHAnsi"/>
          <w:lang w:eastAsia="en-US"/>
        </w:rPr>
        <w:t xml:space="preserve"> </w:t>
      </w:r>
      <w:r w:rsidR="00CD6CED" w:rsidRPr="00C90AC9">
        <w:rPr>
          <w:rFonts w:eastAsiaTheme="minorHAnsi"/>
          <w:lang w:eastAsia="en-US"/>
        </w:rPr>
        <w:fldChar w:fldCharType="begin"/>
      </w:r>
      <w:r w:rsidR="00CD6CED" w:rsidRPr="00C90AC9">
        <w:rPr>
          <w:rFonts w:eastAsiaTheme="minorHAnsi"/>
          <w:lang w:eastAsia="en-US"/>
        </w:rPr>
        <w:instrText xml:space="preserve"> ADDIN EN.CITE &lt;EndNote&gt;&lt;Cite&gt;&lt;Author&gt;Rodríguez-Hidalgo&lt;/Author&gt;&lt;Year&gt;2012&lt;/Year&gt;&lt;RecNum&gt;185&lt;/RecNum&gt;&lt;DisplayText&gt;(Rodríguez-Hidalgo &amp;amp; et al., 2012)&lt;/DisplayText&gt;&lt;record&gt;&lt;rec-number&gt;185&lt;/rec-number&gt;&lt;foreign-keys&gt;&lt;key app="EN" db-id="50wxdpzd9vd5r7e9t5b595djrfpttrxw9avp" timestamp="1525076335"&gt;185&lt;/key&gt;&lt;/foreign-keys&gt;&lt;ref-type name="Journal Article"&gt;17&lt;/ref-type&gt;&lt;contributors&gt;&lt;authors&gt;&lt;author&gt;Rodríguez-Hidalgo, M.C., .&lt;/author&gt;&lt;author&gt;et al.,&lt;/author&gt;&lt;/authors&gt;&lt;/contributors&gt;&lt;titles&gt;&lt;title&gt;Domestic hot water consumption vs. solar thermal energy storage: The optimum size of the storage tank&lt;/title&gt;&lt;secondary-title&gt;Solar Energy&lt;/secondary-title&gt;&lt;short-title&gt;Rodríguez-Hidalgo, M.C., et al. 2012 – Domestic hot water consumption vs&lt;/short-title&gt;&lt;/titles&gt;&lt;pages&gt;p. 897-906&lt;/pages&gt;&lt;volume&gt;97&lt;/volume&gt;&lt;number&gt;0&lt;/number&gt;&lt;dates&gt;&lt;year&gt;2012&lt;/year&gt;&lt;/dates&gt;&lt;urls&gt;&lt;/urls&gt;&lt;/record&gt;&lt;/Cite&gt;&lt;/EndNote&gt;</w:instrText>
      </w:r>
      <w:r w:rsidR="00CD6CED" w:rsidRPr="00C90AC9">
        <w:rPr>
          <w:rFonts w:eastAsiaTheme="minorHAnsi"/>
          <w:lang w:eastAsia="en-US"/>
        </w:rPr>
        <w:fldChar w:fldCharType="separate"/>
      </w:r>
      <w:r w:rsidR="00CD6CED" w:rsidRPr="00C90AC9">
        <w:rPr>
          <w:rFonts w:eastAsiaTheme="minorHAnsi"/>
          <w:lang w:eastAsia="en-US"/>
        </w:rPr>
        <w:t xml:space="preserve">(Rodríguez-Hidalgo </w:t>
      </w:r>
      <w:r w:rsidR="00EE66A8" w:rsidRPr="00C90AC9">
        <w:rPr>
          <w:rFonts w:eastAsiaTheme="minorHAnsi"/>
          <w:lang w:eastAsia="en-US"/>
        </w:rPr>
        <w:t>et al</w:t>
      </w:r>
      <w:r w:rsidR="00CD6CED" w:rsidRPr="00C90AC9">
        <w:rPr>
          <w:rFonts w:eastAsiaTheme="minorHAnsi"/>
          <w:lang w:eastAsia="en-US"/>
        </w:rPr>
        <w:t>., 2012)</w:t>
      </w:r>
      <w:r w:rsidR="00CD6CED" w:rsidRPr="00C90AC9">
        <w:rPr>
          <w:rFonts w:eastAsiaTheme="minorHAnsi"/>
          <w:lang w:eastAsia="en-US"/>
        </w:rPr>
        <w:fldChar w:fldCharType="end"/>
      </w:r>
      <w:r w:rsidRPr="00C90AC9">
        <w:rPr>
          <w:rFonts w:eastAsiaTheme="minorHAnsi"/>
          <w:lang w:eastAsia="en-US"/>
        </w:rPr>
        <w:t xml:space="preserve">. The study looked at addressing oversized storage tanks which have inherent inefficiencies due to their size. The hot water storage tanks are often oversized to ensure that there is sufficient hot water for the inhabitants who have variable lifestyles and will therefore consume water at different times </w:t>
      </w:r>
      <w:r w:rsidR="00CD6CED" w:rsidRPr="00C90AC9">
        <w:rPr>
          <w:rFonts w:eastAsiaTheme="minorHAnsi"/>
          <w:lang w:eastAsia="en-US"/>
        </w:rPr>
        <w:fldChar w:fldCharType="begin"/>
      </w:r>
      <w:r w:rsidR="00CD6CED" w:rsidRPr="00C90AC9">
        <w:rPr>
          <w:rFonts w:eastAsiaTheme="minorHAnsi"/>
          <w:lang w:eastAsia="en-US"/>
        </w:rPr>
        <w:instrText xml:space="preserve"> ADDIN EN.CITE &lt;EndNote&gt;&lt;Cite&gt;&lt;Author&gt;Rodríguez-Hidalgo&lt;/Author&gt;&lt;Year&gt;2012&lt;/Year&gt;&lt;RecNum&gt;185&lt;/RecNum&gt;&lt;DisplayText&gt;(Rodríguez-Hidalgo &amp;amp; et al., 2012)&lt;/DisplayText&gt;&lt;record&gt;&lt;rec-number&gt;185&lt;/rec-number&gt;&lt;foreign-keys&gt;&lt;key app="EN" db-id="50wxdpzd9vd5r7e9t5b595djrfpttrxw9avp" timestamp="1525076335"&gt;185&lt;/key&gt;&lt;/foreign-keys&gt;&lt;ref-type name="Journal Article"&gt;17&lt;/ref-type&gt;&lt;contributors&gt;&lt;authors&gt;&lt;author&gt;Rodríguez-Hidalgo, M.C., .&lt;/author&gt;&lt;author&gt;et al.,&lt;/author&gt;&lt;/authors&gt;&lt;/contributors&gt;&lt;titles&gt;&lt;title&gt;Domestic hot water consumption vs. solar thermal energy storage: The optimum size of the storage tank&lt;/title&gt;&lt;secondary-title&gt;Solar Energy&lt;/secondary-title&gt;&lt;short-title&gt;Rodríguez-Hidalgo, M.C., et al. 2012 – Domestic hot water consumption vs&lt;/short-title&gt;&lt;/titles&gt;&lt;pages&gt;p. 897-906&lt;/pages&gt;&lt;volume&gt;97&lt;/volume&gt;&lt;number&gt;0&lt;/number&gt;&lt;dates&gt;&lt;year&gt;2012&lt;/year&gt;&lt;/dates&gt;&lt;urls&gt;&lt;/urls&gt;&lt;/record&gt;&lt;/Cite&gt;&lt;/EndNote&gt;</w:instrText>
      </w:r>
      <w:r w:rsidR="00CD6CED" w:rsidRPr="00C90AC9">
        <w:rPr>
          <w:rFonts w:eastAsiaTheme="minorHAnsi"/>
          <w:lang w:eastAsia="en-US"/>
        </w:rPr>
        <w:fldChar w:fldCharType="separate"/>
      </w:r>
      <w:r w:rsidR="00CD6CED" w:rsidRPr="00C90AC9">
        <w:rPr>
          <w:rFonts w:eastAsiaTheme="minorHAnsi"/>
          <w:lang w:eastAsia="en-US"/>
        </w:rPr>
        <w:t xml:space="preserve">(Rodríguez-Hidalgo </w:t>
      </w:r>
      <w:r w:rsidR="00EE66A8" w:rsidRPr="00C90AC9">
        <w:rPr>
          <w:rFonts w:eastAsiaTheme="minorHAnsi"/>
          <w:lang w:eastAsia="en-US"/>
        </w:rPr>
        <w:t>et al</w:t>
      </w:r>
      <w:r w:rsidR="00CD6CED" w:rsidRPr="00C90AC9">
        <w:rPr>
          <w:rFonts w:eastAsiaTheme="minorHAnsi"/>
          <w:lang w:eastAsia="en-US"/>
        </w:rPr>
        <w:t>., 2012)</w:t>
      </w:r>
      <w:r w:rsidR="00CD6CED" w:rsidRPr="00C90AC9">
        <w:rPr>
          <w:rFonts w:eastAsiaTheme="minorHAnsi"/>
          <w:lang w:eastAsia="en-US"/>
        </w:rPr>
        <w:fldChar w:fldCharType="end"/>
      </w:r>
      <w:r w:rsidR="00CD6CED" w:rsidRPr="00C90AC9">
        <w:rPr>
          <w:rFonts w:eastAsiaTheme="minorHAnsi"/>
          <w:lang w:eastAsia="en-US"/>
        </w:rPr>
        <w:t xml:space="preserve">. </w:t>
      </w:r>
      <w:r w:rsidRPr="00C90AC9">
        <w:rPr>
          <w:rFonts w:eastAsiaTheme="minorHAnsi"/>
          <w:lang w:eastAsia="en-US"/>
        </w:rPr>
        <w:t>The study notes that specific lifestyles of the inhabitants of the property will vary greatly which will mean than hot water consumption for DHW systems is very variable and any analysis of solar thermal panel systems should take this into account.</w:t>
      </w:r>
    </w:p>
    <w:p w:rsidR="00784616" w:rsidRPr="00C90AC9" w:rsidRDefault="00784616" w:rsidP="003014B5">
      <w:pPr>
        <w:pStyle w:val="BodyText"/>
        <w:spacing w:line="360" w:lineRule="auto"/>
        <w:rPr>
          <w:rFonts w:eastAsiaTheme="minorHAnsi"/>
          <w:lang w:eastAsia="en-US"/>
        </w:rPr>
      </w:pPr>
    </w:p>
    <w:p w:rsidR="007A3242" w:rsidRPr="00C90AC9" w:rsidRDefault="007A3242">
      <w:pPr>
        <w:rPr>
          <w:rStyle w:val="SubtleEmphasis"/>
          <w:rFonts w:cs="Times New Roman"/>
          <w:iCs/>
          <w:color w:val="000000" w:themeColor="text1"/>
          <w:szCs w:val="24"/>
        </w:rPr>
      </w:pPr>
      <w:bookmarkStart w:id="21" w:name="_Toc447173048"/>
      <w:bookmarkStart w:id="22" w:name="_Toc447173054"/>
      <w:r w:rsidRPr="00C90AC9">
        <w:rPr>
          <w:rStyle w:val="SubtleEmphasis"/>
        </w:rPr>
        <w:br w:type="page"/>
      </w:r>
    </w:p>
    <w:p w:rsidR="00C0462B" w:rsidRPr="00C90AC9" w:rsidRDefault="00C0462B" w:rsidP="00C0462B">
      <w:pPr>
        <w:pStyle w:val="Heading1"/>
        <w:rPr>
          <w:rStyle w:val="SubtleEmphasis"/>
        </w:rPr>
      </w:pPr>
      <w:r w:rsidRPr="00C90AC9">
        <w:rPr>
          <w:rStyle w:val="SubtleEmphasis"/>
        </w:rPr>
        <w:lastRenderedPageBreak/>
        <w:t>Stratification</w:t>
      </w:r>
      <w:bookmarkEnd w:id="21"/>
    </w:p>
    <w:p w:rsidR="00C0462B" w:rsidRPr="00C90AC9" w:rsidRDefault="00C0462B" w:rsidP="00C0462B">
      <w:pPr>
        <w:pStyle w:val="BodyTextFirstIndent"/>
        <w:spacing w:line="360" w:lineRule="auto"/>
        <w:rPr>
          <w:rFonts w:eastAsiaTheme="majorEastAsia"/>
          <w:lang w:eastAsia="en-US"/>
        </w:rPr>
      </w:pPr>
      <w:bookmarkStart w:id="23" w:name="_Toc447173049"/>
      <w:r w:rsidRPr="00C90AC9">
        <w:rPr>
          <w:rFonts w:eastAsiaTheme="majorEastAsia"/>
          <w:lang w:eastAsia="en-US"/>
        </w:rPr>
        <w:t xml:space="preserve">The need to store heated water within a solar heated boiler is complicated by the inconsistent heating profile of the </w:t>
      </w:r>
      <w:r w:rsidR="000450FC" w:rsidRPr="00C90AC9">
        <w:rPr>
          <w:rFonts w:eastAsiaTheme="majorEastAsia"/>
          <w:lang w:eastAsia="en-US"/>
        </w:rPr>
        <w:t>sun</w:t>
      </w:r>
      <w:r w:rsidRPr="00C90AC9">
        <w:rPr>
          <w:rFonts w:eastAsiaTheme="majorEastAsia"/>
          <w:lang w:eastAsia="en-US"/>
        </w:rPr>
        <w:t xml:space="preserve"> and the lack of a matchup between when the </w:t>
      </w:r>
      <w:r w:rsidR="000450FC" w:rsidRPr="00C90AC9">
        <w:rPr>
          <w:rFonts w:eastAsiaTheme="majorEastAsia"/>
          <w:lang w:eastAsia="en-US"/>
        </w:rPr>
        <w:t>sun</w:t>
      </w:r>
      <w:r w:rsidRPr="00C90AC9">
        <w:rPr>
          <w:rFonts w:eastAsiaTheme="majorEastAsia"/>
          <w:lang w:eastAsia="en-US"/>
        </w:rPr>
        <w:t xml:space="preserve"> is available and when the heated water is required</w:t>
      </w:r>
      <w:r w:rsidR="00E82D6C" w:rsidRPr="00C90AC9">
        <w:rPr>
          <w:rFonts w:eastAsiaTheme="majorEastAsia"/>
          <w:lang w:eastAsia="en-US"/>
        </w:rPr>
        <w:t xml:space="preserve"> </w:t>
      </w:r>
      <w:r w:rsidR="00E82D6C" w:rsidRPr="00C90AC9">
        <w:rPr>
          <w:rFonts w:eastAsiaTheme="majorEastAsia"/>
          <w:lang w:eastAsia="en-US"/>
        </w:rPr>
        <w:fldChar w:fldCharType="begin"/>
      </w:r>
      <w:r w:rsidR="00E82D6C" w:rsidRPr="00C90AC9">
        <w:rPr>
          <w:rFonts w:eastAsiaTheme="majorEastAsia"/>
          <w:lang w:eastAsia="en-US"/>
        </w:rPr>
        <w:instrText xml:space="preserve"> ADDIN EN.CITE &lt;EndNote&gt;&lt;Cite&gt;&lt;Author&gt;Furbo&lt;/Author&gt;&lt;Year&gt;2005&lt;/Year&gt;&lt;RecNum&gt;143&lt;/RecNum&gt;&lt;DisplayText&gt;(Furbo &amp;amp; et al., 2005)&lt;/DisplayText&gt;&lt;record&gt;&lt;rec-number&gt;143&lt;/rec-number&gt;&lt;foreign-keys&gt;&lt;key app="EN" db-id="50wxdpzd9vd5r7e9t5b595djrfpttrxw9avp" timestamp="1525076334"&gt;143&lt;/key&gt;&lt;/foreign-keys&gt;&lt;ref-type name="Journal Article"&gt;17&lt;/ref-type&gt;&lt;contributors&gt;&lt;authors&gt;&lt;author&gt;Furbo, S., .&lt;/author&gt;&lt;author&gt;et al.,&lt;/author&gt;&lt;/authors&gt;&lt;/contributors&gt;&lt;titles&gt;&lt;title&gt;Smart solar tanks for small solar domestic hot water systems&lt;/title&gt;&lt;secondary-title&gt;Solar Energy&lt;/secondary-title&gt;&lt;short-title&gt;Furbo, S., et al. 2005 – Smart solar tanks for small&lt;/short-title&gt;&lt;/titles&gt;&lt;pages&gt;p. 269-279&lt;/pages&gt;&lt;volume&gt;78&lt;/volume&gt;&lt;number&gt;2&lt;/number&gt;&lt;dates&gt;&lt;year&gt;2005&lt;/year&gt;&lt;/dates&gt;&lt;urls&gt;&lt;/urls&gt;&lt;/record&gt;&lt;/Cite&gt;&lt;/EndNote&gt;</w:instrText>
      </w:r>
      <w:r w:rsidR="00E82D6C" w:rsidRPr="00C90AC9">
        <w:rPr>
          <w:rFonts w:eastAsiaTheme="majorEastAsia"/>
          <w:lang w:eastAsia="en-US"/>
        </w:rPr>
        <w:fldChar w:fldCharType="separate"/>
      </w:r>
      <w:r w:rsidR="00E82D6C" w:rsidRPr="00C90AC9">
        <w:rPr>
          <w:rFonts w:eastAsiaTheme="majorEastAsia"/>
          <w:lang w:eastAsia="en-US"/>
        </w:rPr>
        <w:t xml:space="preserve">(Furbo </w:t>
      </w:r>
      <w:r w:rsidR="00EE66A8" w:rsidRPr="00C90AC9">
        <w:rPr>
          <w:rFonts w:eastAsiaTheme="majorEastAsia"/>
          <w:lang w:eastAsia="en-US"/>
        </w:rPr>
        <w:t>et al</w:t>
      </w:r>
      <w:r w:rsidR="00E82D6C" w:rsidRPr="00C90AC9">
        <w:rPr>
          <w:rFonts w:eastAsiaTheme="majorEastAsia"/>
          <w:lang w:eastAsia="en-US"/>
        </w:rPr>
        <w:t>., 2005)</w:t>
      </w:r>
      <w:r w:rsidR="00E82D6C" w:rsidRPr="00C90AC9">
        <w:rPr>
          <w:rFonts w:eastAsiaTheme="majorEastAsia"/>
          <w:lang w:eastAsia="en-US"/>
        </w:rPr>
        <w:fldChar w:fldCharType="end"/>
      </w:r>
      <w:r w:rsidRPr="00C90AC9">
        <w:rPr>
          <w:rFonts w:eastAsiaTheme="majorEastAsia"/>
          <w:lang w:eastAsia="en-US"/>
        </w:rPr>
        <w:t xml:space="preserve">. Ensuring heat losses from the heated water are kept to a minimum, whilst the heated water is stored, guarantees that a maximum efficiency of the entire system can be obtained. An effective and efficient way of achieving this is through the employment of stratification in the tank with as little mixing of water with varying temperatures. As water at varying temperatures has differing volumes and therefore differing buoyancy’s, water at varying temperatures tends to settle out into layers which have differing temperatures </w:t>
      </w:r>
      <w:r w:rsidRPr="00C90AC9">
        <w:rPr>
          <w:rFonts w:eastAsiaTheme="majorEastAsia"/>
          <w:lang w:eastAsia="en-US"/>
        </w:rPr>
        <w:fldChar w:fldCharType="begin"/>
      </w:r>
      <w:r w:rsidRPr="00C90AC9">
        <w:rPr>
          <w:rFonts w:eastAsiaTheme="majorEastAsia"/>
          <w:lang w:eastAsia="en-US"/>
        </w:rPr>
        <w:instrText xml:space="preserve"> ADDIN EN.CITE &lt;EndNote&gt;&lt;Cite&gt;&lt;Author&gt;Han&lt;/Author&gt;&lt;Year&gt;2009&lt;/Year&gt;&lt;RecNum&gt;147&lt;/RecNum&gt;&lt;DisplayText&gt;(Han &amp;amp; Dai, 2009)&lt;/DisplayText&gt;&lt;record&gt;&lt;rec-number&gt;147&lt;/rec-number&gt;&lt;foreign-keys&gt;&lt;key app="EN" db-id="50wxdpzd9vd5r7e9t5b595djrfpttrxw9avp" timestamp="1525076334"&gt;147&lt;/key&gt;&lt;/foreign-keys&gt;&lt;ref-type name="Journal Article"&gt;17&lt;/ref-type&gt;&lt;contributors&gt;&lt;authors&gt;&lt;author&gt;Han, Y.M., R.Z. Wang,&lt;/author&gt;&lt;author&gt;Y.J. Dai&lt;/author&gt;&lt;/authors&gt;&lt;/contributors&gt;&lt;titles&gt;&lt;title&gt;Thermal stratification within the water tank&lt;/title&gt;&lt;secondary-title&gt;Renewable &amp;amp; Sustainable Energy Reviews&lt;/secondary-title&gt;&lt;short-title&gt;Han, Y.M., R.Z. Wang, and Y.J. Dai 2009 – Thermal stratification within the water&lt;/short-title&gt;&lt;/titles&gt;&lt;pages&gt;p. 1014-1026&lt;/pages&gt;&lt;volume&gt;13&lt;/volume&gt;&lt;number&gt;5&lt;/number&gt;&lt;dates&gt;&lt;year&gt;2009&lt;/year&gt;&lt;/dates&gt;&lt;urls&gt;&lt;/urls&gt;&lt;/record&gt;&lt;/Cite&gt;&lt;/EndNote&gt;</w:instrText>
      </w:r>
      <w:r w:rsidRPr="00C90AC9">
        <w:rPr>
          <w:rFonts w:eastAsiaTheme="majorEastAsia"/>
          <w:lang w:eastAsia="en-US"/>
        </w:rPr>
        <w:fldChar w:fldCharType="separate"/>
      </w:r>
      <w:r w:rsidRPr="00C90AC9">
        <w:rPr>
          <w:rFonts w:eastAsiaTheme="majorEastAsia"/>
          <w:lang w:eastAsia="en-US"/>
        </w:rPr>
        <w:t>(Han &amp; Dai, 2009)</w:t>
      </w:r>
      <w:r w:rsidRPr="00C90AC9">
        <w:rPr>
          <w:rFonts w:eastAsiaTheme="majorEastAsia"/>
          <w:lang w:eastAsia="en-US"/>
        </w:rPr>
        <w:fldChar w:fldCharType="end"/>
      </w:r>
      <w:r w:rsidRPr="00C90AC9">
        <w:rPr>
          <w:rFonts w:eastAsiaTheme="majorEastAsia"/>
          <w:lang w:eastAsia="en-US"/>
        </w:rPr>
        <w:t xml:space="preserve">. Ensuring that these layers do not mix ensures that the heat within the tank is stored in an efficient way </w:t>
      </w:r>
      <w:r w:rsidRPr="00C90AC9">
        <w:rPr>
          <w:rFonts w:eastAsiaTheme="majorEastAsia"/>
          <w:lang w:eastAsia="en-US"/>
        </w:rPr>
        <w:fldChar w:fldCharType="begin"/>
      </w:r>
      <w:r w:rsidRPr="00C90AC9">
        <w:rPr>
          <w:rFonts w:eastAsiaTheme="majorEastAsia"/>
          <w:lang w:eastAsia="en-US"/>
        </w:rPr>
        <w:instrText xml:space="preserve"> ADDIN EN.CITE &lt;EndNote&gt;&lt;Cite&gt;&lt;Author&gt;Han&lt;/Author&gt;&lt;Year&gt;2009&lt;/Year&gt;&lt;RecNum&gt;147&lt;/RecNum&gt;&lt;DisplayText&gt;(Han &amp;amp; Dai, 2009; Zambolin &amp;amp; Col, 2010)&lt;/DisplayText&gt;&lt;record&gt;&lt;rec-number&gt;147&lt;/rec-number&gt;&lt;foreign-keys&gt;&lt;key app="EN" db-id="50wxdpzd9vd5r7e9t5b595djrfpttrxw9avp" timestamp="1525076334"&gt;147&lt;/key&gt;&lt;/foreign-keys&gt;&lt;ref-type name="Journal Article"&gt;17&lt;/ref-type&gt;&lt;contributors&gt;&lt;authors&gt;&lt;author&gt;Han, Y.M., R.Z. Wang,&lt;/author&gt;&lt;author&gt;Y.J. Dai&lt;/author&gt;&lt;/authors&gt;&lt;/contributors&gt;&lt;titles&gt;&lt;title&gt;Thermal stratification within the water tank&lt;/title&gt;&lt;secondary-title&gt;Renewable &amp;amp; Sustainable Energy Reviews&lt;/secondary-title&gt;&lt;short-title&gt;Han, Y.M., R.Z. Wang, and Y.J. Dai 2009 – Thermal stratification within the water&lt;/short-title&gt;&lt;/titles&gt;&lt;pages&gt;p. 1014-1026&lt;/pages&gt;&lt;volume&gt;13&lt;/volume&gt;&lt;number&gt;5&lt;/number&gt;&lt;dates&gt;&lt;year&gt;2009&lt;/year&gt;&lt;/dates&gt;&lt;urls&gt;&lt;/urls&gt;&lt;/record&gt;&lt;/Cite&gt;&lt;Cite&gt;&lt;Author&gt;Zambolin&lt;/Author&gt;&lt;Year&gt;2010&lt;/Year&gt;&lt;RecNum&gt;207&lt;/RecNum&gt;&lt;record&gt;&lt;rec-number&gt;207&lt;/rec-number&gt;&lt;foreign-keys&gt;&lt;key app="EN" db-id="50wxdpzd9vd5r7e9t5b595djrfpttrxw9avp" timestamp="1525076335"&gt;207&lt;/key&gt;&lt;/foreign-keys&gt;&lt;ref-type name="Journal Article"&gt;17&lt;/ref-type&gt;&lt;contributors&gt;&lt;authors&gt;&lt;author&gt;Zambolin, E.&lt;/author&gt;&lt;author&gt;D. Del Col&lt;/author&gt;&lt;/authors&gt;&lt;/contributors&gt;&lt;titles&gt;&lt;title&gt;Experimental analysis of thermal performance of flat plate and evacuated tube solar collectors in stationary standard and daily conditions&lt;/title&gt;&lt;secondary-title&gt;Solar Energy&lt;/secondary-title&gt;&lt;short-title&gt;Zambolin, E. and D. Del Col 2010 – Experimental analysis of thermal performance&lt;/short-title&gt;&lt;/titles&gt;&lt;pages&gt;p. 1382-1396&lt;/pages&gt;&lt;volume&gt;84&lt;/volume&gt;&lt;number&gt;8&lt;/number&gt;&lt;dates&gt;&lt;year&gt;2010&lt;/year&gt;&lt;/dates&gt;&lt;urls&gt;&lt;/urls&gt;&lt;/record&gt;&lt;/Cite&gt;&lt;/EndNote&gt;</w:instrText>
      </w:r>
      <w:r w:rsidRPr="00C90AC9">
        <w:rPr>
          <w:rFonts w:eastAsiaTheme="majorEastAsia"/>
          <w:lang w:eastAsia="en-US"/>
        </w:rPr>
        <w:fldChar w:fldCharType="separate"/>
      </w:r>
      <w:r w:rsidRPr="00C90AC9">
        <w:rPr>
          <w:rFonts w:eastAsiaTheme="majorEastAsia"/>
          <w:lang w:eastAsia="en-US"/>
        </w:rPr>
        <w:t>(Han &amp; Dai, 2009; Zambolin &amp; Col, 2010)</w:t>
      </w:r>
      <w:r w:rsidRPr="00C90AC9">
        <w:rPr>
          <w:rFonts w:eastAsiaTheme="majorEastAsia"/>
          <w:lang w:eastAsia="en-US"/>
        </w:rPr>
        <w:fldChar w:fldCharType="end"/>
      </w:r>
      <w:r w:rsidRPr="00C90AC9">
        <w:rPr>
          <w:rFonts w:eastAsiaTheme="majorEastAsia"/>
          <w:lang w:eastAsia="en-US"/>
        </w:rPr>
        <w:t>. Heated water stored in this way will allow the uppermost layer, which is the layer that is drawn off and used first, to re</w:t>
      </w:r>
      <w:r w:rsidR="00E82522" w:rsidRPr="00C90AC9">
        <w:rPr>
          <w:rFonts w:eastAsiaTheme="majorEastAsia"/>
          <w:lang w:eastAsia="en-US"/>
        </w:rPr>
        <w:t>main</w:t>
      </w:r>
      <w:r w:rsidRPr="00C90AC9">
        <w:rPr>
          <w:rFonts w:eastAsiaTheme="majorEastAsia"/>
          <w:lang w:eastAsia="en-US"/>
        </w:rPr>
        <w:t xml:space="preserve"> at the greatest temperature, not being mixed with layers at a lower temperature </w:t>
      </w:r>
      <w:r w:rsidRPr="00C90AC9">
        <w:rPr>
          <w:rFonts w:eastAsiaTheme="majorEastAsia"/>
          <w:lang w:eastAsia="en-US"/>
        </w:rPr>
        <w:fldChar w:fldCharType="begin"/>
      </w:r>
      <w:r w:rsidRPr="00C90AC9">
        <w:rPr>
          <w:rFonts w:eastAsiaTheme="majorEastAsia"/>
          <w:lang w:eastAsia="en-US"/>
        </w:rPr>
        <w:instrText xml:space="preserve"> ADDIN EN.CITE &lt;EndNote&gt;&lt;Cite&gt;&lt;Author&gt;Zambolin&lt;/Author&gt;&lt;Year&gt;2010&lt;/Year&gt;&lt;RecNum&gt;207&lt;/RecNum&gt;&lt;DisplayText&gt;(Han &amp;amp; Dai, 2009; Zambolin &amp;amp; Col, 2010)&lt;/DisplayText&gt;&lt;record&gt;&lt;rec-number&gt;207&lt;/rec-number&gt;&lt;foreign-keys&gt;&lt;key app="EN" db-id="50wxdpzd9vd5r7e9t5b595djrfpttrxw9avp" timestamp="1525076335"&gt;207&lt;/key&gt;&lt;/foreign-keys&gt;&lt;ref-type name="Journal Article"&gt;17&lt;/ref-type&gt;&lt;contributors&gt;&lt;authors&gt;&lt;author&gt;Zambolin, E.&lt;/author&gt;&lt;author&gt;D. Del Col&lt;/author&gt;&lt;/authors&gt;&lt;/contributors&gt;&lt;titles&gt;&lt;title&gt;Experimental analysis of thermal performance of flat plate and evacuated tube solar collectors in stationary standard and daily conditions&lt;/title&gt;&lt;secondary-title&gt;Solar Energy&lt;/secondary-title&gt;&lt;short-title&gt;Zambolin, E. and D. Del Col 2010 – Experimental analysis of thermal performance&lt;/short-title&gt;&lt;/titles&gt;&lt;pages&gt;p. 1382-1396&lt;/pages&gt;&lt;volume&gt;84&lt;/volume&gt;&lt;number&gt;8&lt;/number&gt;&lt;dates&gt;&lt;year&gt;2010&lt;/year&gt;&lt;/dates&gt;&lt;urls&gt;&lt;/urls&gt;&lt;/record&gt;&lt;/Cite&gt;&lt;Cite&gt;&lt;Author&gt;Han&lt;/Author&gt;&lt;Year&gt;2009&lt;/Year&gt;&lt;RecNum&gt;147&lt;/RecNum&gt;&lt;record&gt;&lt;rec-number&gt;147&lt;/rec-number&gt;&lt;foreign-keys&gt;&lt;key app="EN" db-id="50wxdpzd9vd5r7e9t5b595djrfpttrxw9avp" timestamp="1525076334"&gt;147&lt;/key&gt;&lt;/foreign-keys&gt;&lt;ref-type name="Journal Article"&gt;17&lt;/ref-type&gt;&lt;contributors&gt;&lt;authors&gt;&lt;author&gt;Han, Y.M., R.Z. Wang,&lt;/author&gt;&lt;author&gt;Y.J. Dai&lt;/author&gt;&lt;/authors&gt;&lt;/contributors&gt;&lt;titles&gt;&lt;title&gt;Thermal stratification within the water tank&lt;/title&gt;&lt;secondary-title&gt;Renewable &amp;amp; Sustainable Energy Reviews&lt;/secondary-title&gt;&lt;short-title&gt;Han, Y.M., R.Z. Wang, and Y.J. Dai 2009 – Thermal stratification within the water&lt;/short-title&gt;&lt;/titles&gt;&lt;pages&gt;p. 1014-1026&lt;/pages&gt;&lt;volume&gt;13&lt;/volume&gt;&lt;number&gt;5&lt;/number&gt;&lt;dates&gt;&lt;year&gt;2009&lt;/year&gt;&lt;/dates&gt;&lt;urls&gt;&lt;/urls&gt;&lt;/record&gt;&lt;/Cite&gt;&lt;/EndNote&gt;</w:instrText>
      </w:r>
      <w:r w:rsidRPr="00C90AC9">
        <w:rPr>
          <w:rFonts w:eastAsiaTheme="majorEastAsia"/>
          <w:lang w:eastAsia="en-US"/>
        </w:rPr>
        <w:fldChar w:fldCharType="separate"/>
      </w:r>
      <w:r w:rsidRPr="00C90AC9">
        <w:rPr>
          <w:rFonts w:eastAsiaTheme="majorEastAsia"/>
          <w:lang w:eastAsia="en-US"/>
        </w:rPr>
        <w:t>(Han &amp; Dai, 2009; Zambolin &amp; Col, 2010)</w:t>
      </w:r>
      <w:r w:rsidRPr="00C90AC9">
        <w:rPr>
          <w:rFonts w:eastAsiaTheme="majorEastAsia"/>
          <w:lang w:eastAsia="en-US"/>
        </w:rPr>
        <w:fldChar w:fldCharType="end"/>
      </w:r>
      <w:r w:rsidRPr="00C90AC9">
        <w:rPr>
          <w:rFonts w:eastAsiaTheme="majorEastAsia"/>
          <w:lang w:eastAsia="en-US"/>
        </w:rPr>
        <w:t xml:space="preserve">. When comparing a fully mixed tank and a tank that has stable stratified layers when used with solar systems shows that the efficiency of the entire energy storage system can be increased by 10-20% </w:t>
      </w:r>
      <w:r w:rsidRPr="00C90AC9">
        <w:rPr>
          <w:rFonts w:eastAsiaTheme="majorEastAsia"/>
          <w:lang w:eastAsia="en-US"/>
        </w:rPr>
        <w:fldChar w:fldCharType="begin"/>
      </w:r>
      <w:r w:rsidRPr="00C90AC9">
        <w:rPr>
          <w:rFonts w:eastAsiaTheme="majorEastAsia"/>
          <w:lang w:eastAsia="en-US"/>
        </w:rPr>
        <w:instrText xml:space="preserve"> ADDIN EN.CITE &lt;EndNote&gt;&lt;Cite&gt;&lt;Author&gt;Han&lt;/Author&gt;&lt;Year&gt;2009&lt;/Year&gt;&lt;RecNum&gt;147&lt;/RecNum&gt;&lt;DisplayText&gt;(Han &amp;amp; Dai, 2009)&lt;/DisplayText&gt;&lt;record&gt;&lt;rec-number&gt;147&lt;/rec-number&gt;&lt;foreign-keys&gt;&lt;key app="EN" db-id="50wxdpzd9vd5r7e9t5b595djrfpttrxw9avp" timestamp="1525076334"&gt;147&lt;/key&gt;&lt;/foreign-keys&gt;&lt;ref-type name="Journal Article"&gt;17&lt;/ref-type&gt;&lt;contributors&gt;&lt;authors&gt;&lt;author&gt;Han, Y.M., R.Z. Wang,&lt;/author&gt;&lt;author&gt;Y.J. Dai&lt;/author&gt;&lt;/authors&gt;&lt;/contributors&gt;&lt;titles&gt;&lt;title&gt;Thermal stratification within the water tank&lt;/title&gt;&lt;secondary-title&gt;Renewable &amp;amp; Sustainable Energy Reviews&lt;/secondary-title&gt;&lt;short-title&gt;Han, Y.M., R.Z. Wang, and Y.J. Dai 2009 – Thermal stratification within the water&lt;/short-title&gt;&lt;/titles&gt;&lt;pages&gt;p. 1014-1026&lt;/pages&gt;&lt;volume&gt;13&lt;/volume&gt;&lt;number&gt;5&lt;/number&gt;&lt;dates&gt;&lt;year&gt;2009&lt;/year&gt;&lt;/dates&gt;&lt;urls&gt;&lt;/urls&gt;&lt;/record&gt;&lt;/Cite&gt;&lt;/EndNote&gt;</w:instrText>
      </w:r>
      <w:r w:rsidRPr="00C90AC9">
        <w:rPr>
          <w:rFonts w:eastAsiaTheme="majorEastAsia"/>
          <w:lang w:eastAsia="en-US"/>
        </w:rPr>
        <w:fldChar w:fldCharType="separate"/>
      </w:r>
      <w:r w:rsidRPr="00C90AC9">
        <w:rPr>
          <w:rFonts w:eastAsiaTheme="majorEastAsia"/>
          <w:lang w:eastAsia="en-US"/>
        </w:rPr>
        <w:t>(Han &amp; Dai, 2009)</w:t>
      </w:r>
      <w:r w:rsidRPr="00C90AC9">
        <w:rPr>
          <w:rFonts w:eastAsiaTheme="majorEastAsia"/>
          <w:lang w:eastAsia="en-US"/>
        </w:rPr>
        <w:fldChar w:fldCharType="end"/>
      </w:r>
      <w:r w:rsidRPr="00C90AC9">
        <w:rPr>
          <w:rFonts w:eastAsiaTheme="majorEastAsia"/>
          <w:lang w:eastAsia="en-US"/>
        </w:rPr>
        <w:t xml:space="preserve">. An increase of 60% in average net energy and exergy efficiency can be achieved for seasonal thermal energy storage </w:t>
      </w:r>
      <w:r w:rsidRPr="00C90AC9">
        <w:rPr>
          <w:rFonts w:eastAsiaTheme="majorEastAsia"/>
          <w:lang w:eastAsia="en-US"/>
        </w:rPr>
        <w:fldChar w:fldCharType="begin"/>
      </w:r>
      <w:r w:rsidRPr="00C90AC9">
        <w:rPr>
          <w:rFonts w:eastAsiaTheme="majorEastAsia"/>
          <w:lang w:eastAsia="en-US"/>
        </w:rPr>
        <w:instrText xml:space="preserve"> ADDIN EN.CITE &lt;EndNote&gt;&lt;Cite&gt;&lt;Author&gt;Han&lt;/Author&gt;&lt;Year&gt;2009&lt;/Year&gt;&lt;RecNum&gt;147&lt;/RecNum&gt;&lt;DisplayText&gt;(Han &amp;amp; Dai, 2009)&lt;/DisplayText&gt;&lt;record&gt;&lt;rec-number&gt;147&lt;/rec-number&gt;&lt;foreign-keys&gt;&lt;key app="EN" db-id="50wxdpzd9vd5r7e9t5b595djrfpttrxw9avp" timestamp="1525076334"&gt;147&lt;/key&gt;&lt;/foreign-keys&gt;&lt;ref-type name="Journal Article"&gt;17&lt;/ref-type&gt;&lt;contributors&gt;&lt;authors&gt;&lt;author&gt;Han, Y.M., R.Z. Wang,&lt;/author&gt;&lt;author&gt;Y.J. Dai&lt;/author&gt;&lt;/authors&gt;&lt;/contributors&gt;&lt;titles&gt;&lt;title&gt;Thermal stratification within the water tank&lt;/title&gt;&lt;secondary-title&gt;Renewable &amp;amp; Sustainable Energy Reviews&lt;/secondary-title&gt;&lt;short-title&gt;Han, Y.M., R.Z. Wang, and Y.J. Dai 2009 – Thermal stratification within the water&lt;/short-title&gt;&lt;/titles&gt;&lt;pages&gt;p. 1014-1026&lt;/pages&gt;&lt;volume&gt;13&lt;/volume&gt;&lt;number&gt;5&lt;/number&gt;&lt;dates&gt;&lt;year&gt;2009&lt;/year&gt;&lt;/dates&gt;&lt;urls&gt;&lt;/urls&gt;&lt;/record&gt;&lt;/Cite&gt;&lt;/EndNote&gt;</w:instrText>
      </w:r>
      <w:r w:rsidRPr="00C90AC9">
        <w:rPr>
          <w:rFonts w:eastAsiaTheme="majorEastAsia"/>
          <w:lang w:eastAsia="en-US"/>
        </w:rPr>
        <w:fldChar w:fldCharType="separate"/>
      </w:r>
      <w:r w:rsidRPr="00C90AC9">
        <w:rPr>
          <w:rFonts w:eastAsiaTheme="majorEastAsia"/>
          <w:lang w:eastAsia="en-US"/>
        </w:rPr>
        <w:t>(Han &amp; Dai, 2009)</w:t>
      </w:r>
      <w:r w:rsidRPr="00C90AC9">
        <w:rPr>
          <w:rFonts w:eastAsiaTheme="majorEastAsia"/>
          <w:lang w:eastAsia="en-US"/>
        </w:rPr>
        <w:fldChar w:fldCharType="end"/>
      </w:r>
      <w:r w:rsidRPr="00C90AC9">
        <w:rPr>
          <w:rFonts w:eastAsiaTheme="majorEastAsia"/>
          <w:lang w:eastAsia="en-US"/>
        </w:rPr>
        <w:t xml:space="preserve">. This high increase in efficiency is achieved via two </w:t>
      </w:r>
      <w:r w:rsidR="00E82522" w:rsidRPr="00C90AC9">
        <w:rPr>
          <w:rFonts w:eastAsiaTheme="majorEastAsia"/>
          <w:lang w:eastAsia="en-US"/>
        </w:rPr>
        <w:t>main</w:t>
      </w:r>
      <w:r w:rsidRPr="00C90AC9">
        <w:rPr>
          <w:rFonts w:eastAsiaTheme="majorEastAsia"/>
          <w:lang w:eastAsia="en-US"/>
        </w:rPr>
        <w:t xml:space="preserve"> methods. First, the first is due to the fact that stratification causes the water to decrease in temperature of the water in the collector which increases the efficiency of the system </w:t>
      </w:r>
      <w:r w:rsidRPr="00C90AC9">
        <w:rPr>
          <w:rFonts w:eastAsiaTheme="majorEastAsia"/>
          <w:lang w:eastAsia="en-US"/>
        </w:rPr>
        <w:fldChar w:fldCharType="begin"/>
      </w:r>
      <w:r w:rsidRPr="00C90AC9">
        <w:rPr>
          <w:rFonts w:eastAsiaTheme="majorEastAsia"/>
          <w:lang w:eastAsia="en-US"/>
        </w:rPr>
        <w:instrText xml:space="preserve"> ADDIN EN.CITE &lt;EndNote&gt;&lt;Cite&gt;&lt;Author&gt;Han&lt;/Author&gt;&lt;Year&gt;2009&lt;/Year&gt;&lt;RecNum&gt;147&lt;/RecNum&gt;&lt;DisplayText&gt;(Han &amp;amp; Dai, 2009)&lt;/DisplayText&gt;&lt;record&gt;&lt;rec-number&gt;147&lt;/rec-number&gt;&lt;foreign-keys&gt;&lt;key app="EN" db-id="50wxdpzd9vd5r7e9t5b595djrfpttrxw9avp" timestamp="1525076334"&gt;147&lt;/key&gt;&lt;/foreign-keys&gt;&lt;ref-type name="Journal Article"&gt;17&lt;/ref-type&gt;&lt;contributors&gt;&lt;authors&gt;&lt;author&gt;Han, Y.M., R.Z. Wang,&lt;/author&gt;&lt;author&gt;Y.J. Dai&lt;/author&gt;&lt;/authors&gt;&lt;/contributors&gt;&lt;titles&gt;&lt;title&gt;Thermal stratification within the water tank&lt;/title&gt;&lt;secondary-title&gt;Renewable &amp;amp; Sustainable Energy Reviews&lt;/secondary-title&gt;&lt;short-title&gt;Han, Y.M., R.Z. Wang, and Y.J. Dai 2009 – Thermal stratification within the water&lt;/short-title&gt;&lt;/titles&gt;&lt;pages&gt;p. 1014-1026&lt;/pages&gt;&lt;volume&gt;13&lt;/volume&gt;&lt;number&gt;5&lt;/number&gt;&lt;dates&gt;&lt;year&gt;2009&lt;/year&gt;&lt;/dates&gt;&lt;urls&gt;&lt;/urls&gt;&lt;/record&gt;&lt;/Cite&gt;&lt;/EndNote&gt;</w:instrText>
      </w:r>
      <w:r w:rsidRPr="00C90AC9">
        <w:rPr>
          <w:rFonts w:eastAsiaTheme="majorEastAsia"/>
          <w:lang w:eastAsia="en-US"/>
        </w:rPr>
        <w:fldChar w:fldCharType="separate"/>
      </w:r>
      <w:r w:rsidRPr="00C90AC9">
        <w:rPr>
          <w:rFonts w:eastAsiaTheme="majorEastAsia"/>
          <w:lang w:eastAsia="en-US"/>
        </w:rPr>
        <w:t>(Han &amp; Dai, 2009)</w:t>
      </w:r>
      <w:r w:rsidRPr="00C90AC9">
        <w:rPr>
          <w:rFonts w:eastAsiaTheme="majorEastAsia"/>
          <w:lang w:eastAsia="en-US"/>
        </w:rPr>
        <w:fldChar w:fldCharType="end"/>
      </w:r>
      <w:r w:rsidRPr="00C90AC9">
        <w:rPr>
          <w:rFonts w:eastAsiaTheme="majorEastAsia"/>
          <w:lang w:eastAsia="en-US"/>
        </w:rPr>
        <w:t>. Secondly, hot water tanks can benefit from stratification due to a stratified hot water tank requires less heating from an auxiliary heat source which will increase the overall system efficiency</w:t>
      </w:r>
      <w:r w:rsidRPr="00C90AC9">
        <w:rPr>
          <w:rFonts w:eastAsiaTheme="majorEastAsia"/>
          <w:vertAlign w:val="subscript"/>
          <w:lang w:eastAsia="en-US"/>
        </w:rPr>
        <w:t xml:space="preserve"> </w:t>
      </w:r>
      <w:r w:rsidRPr="00C90AC9">
        <w:rPr>
          <w:rFonts w:eastAsiaTheme="majorEastAsia"/>
          <w:lang w:eastAsia="en-US"/>
        </w:rPr>
        <w:fldChar w:fldCharType="begin"/>
      </w:r>
      <w:r w:rsidRPr="00C90AC9">
        <w:rPr>
          <w:rFonts w:eastAsiaTheme="majorEastAsia"/>
          <w:lang w:eastAsia="en-US"/>
        </w:rPr>
        <w:instrText xml:space="preserve"> ADDIN EN.CITE &lt;EndNote&gt;&lt;Cite&gt;&lt;Author&gt;Han&lt;/Author&gt;&lt;Year&gt;2009&lt;/Year&gt;&lt;RecNum&gt;147&lt;/RecNum&gt;&lt;DisplayText&gt;(Han &amp;amp; Dai, 2009)&lt;/DisplayText&gt;&lt;record&gt;&lt;rec-number&gt;147&lt;/rec-number&gt;&lt;foreign-keys&gt;&lt;key app="EN" db-id="50wxdpzd9vd5r7e9t5b595djrfpttrxw9avp" timestamp="1525076334"&gt;147&lt;/key&gt;&lt;/foreign-keys&gt;&lt;ref-type name="Journal Article"&gt;17&lt;/ref-type&gt;&lt;contributors&gt;&lt;authors&gt;&lt;author&gt;Han, Y.M., R.Z. Wang,&lt;/author&gt;&lt;author&gt;Y.J. Dai&lt;/author&gt;&lt;/authors&gt;&lt;/contributors&gt;&lt;titles&gt;&lt;title&gt;Thermal stratification within the water tank&lt;/title&gt;&lt;secondary-title&gt;Renewable &amp;amp; Sustainable Energy Reviews&lt;/secondary-title&gt;&lt;short-title&gt;Han, Y.M., R.Z. Wang, and Y.J. Dai 2009 – Thermal stratification within the water&lt;/short-title&gt;&lt;/titles&gt;&lt;pages&gt;p. 1014-1026&lt;/pages&gt;&lt;volume&gt;13&lt;/volume&gt;&lt;number&gt;5&lt;/number&gt;&lt;dates&gt;&lt;year&gt;2009&lt;/year&gt;&lt;/dates&gt;&lt;urls&gt;&lt;/urls&gt;&lt;/record&gt;&lt;/Cite&gt;&lt;/EndNote&gt;</w:instrText>
      </w:r>
      <w:r w:rsidRPr="00C90AC9">
        <w:rPr>
          <w:rFonts w:eastAsiaTheme="majorEastAsia"/>
          <w:lang w:eastAsia="en-US"/>
        </w:rPr>
        <w:fldChar w:fldCharType="separate"/>
      </w:r>
      <w:r w:rsidRPr="00C90AC9">
        <w:rPr>
          <w:rFonts w:eastAsiaTheme="majorEastAsia"/>
          <w:lang w:eastAsia="en-US"/>
        </w:rPr>
        <w:t>(Han &amp; Dai, 2009)</w:t>
      </w:r>
      <w:r w:rsidRPr="00C90AC9">
        <w:rPr>
          <w:rFonts w:eastAsiaTheme="majorEastAsia"/>
          <w:lang w:eastAsia="en-US"/>
        </w:rPr>
        <w:fldChar w:fldCharType="end"/>
      </w:r>
      <w:r w:rsidRPr="00C90AC9">
        <w:rPr>
          <w:rFonts w:eastAsiaTheme="majorEastAsia"/>
          <w:lang w:eastAsia="en-US"/>
        </w:rPr>
        <w:t>.</w:t>
      </w:r>
      <w:bookmarkEnd w:id="23"/>
    </w:p>
    <w:p w:rsidR="00C0462B" w:rsidRPr="00C90AC9" w:rsidRDefault="00C0462B" w:rsidP="00C0462B">
      <w:pPr>
        <w:pStyle w:val="BodyText"/>
        <w:spacing w:line="360" w:lineRule="auto"/>
        <w:rPr>
          <w:rFonts w:eastAsiaTheme="majorEastAsia"/>
          <w:lang w:eastAsia="en-US"/>
        </w:rPr>
      </w:pPr>
      <w:bookmarkStart w:id="24" w:name="_Toc447173050"/>
      <w:r w:rsidRPr="00C90AC9">
        <w:rPr>
          <w:rFonts w:eastAsiaTheme="majorEastAsia"/>
          <w:lang w:eastAsia="en-US"/>
        </w:rPr>
        <w:t xml:space="preserve">Stratification reduces the amount of mixing of water at two different temperatures within the tank </w:t>
      </w:r>
      <w:r w:rsidRPr="00C90AC9">
        <w:rPr>
          <w:rFonts w:eastAsiaTheme="majorEastAsia"/>
          <w:lang w:eastAsia="en-US"/>
        </w:rPr>
        <w:fldChar w:fldCharType="begin"/>
      </w:r>
      <w:r w:rsidRPr="00C90AC9">
        <w:rPr>
          <w:rFonts w:eastAsiaTheme="majorEastAsia"/>
          <w:lang w:eastAsia="en-US"/>
        </w:rPr>
        <w:instrText xml:space="preserve"> ADDIN EN.CITE &lt;EndNote&gt;&lt;Cite&gt;&lt;Author&gt;Lavan&lt;/Author&gt;&lt;Year&gt;1977&lt;/Year&gt;&lt;RecNum&gt;169&lt;/RecNum&gt;&lt;DisplayText&gt;(Lavan &amp;amp; Thompson, 1977)&lt;/DisplayText&gt;&lt;record&gt;&lt;rec-number&gt;169&lt;/rec-number&gt;&lt;foreign-keys&gt;&lt;key app="EN" db-id="50wxdpzd9vd5r7e9t5b595djrfpttrxw9avp" timestamp="1525076335"&gt;169&lt;/key&gt;&lt;/foreign-keys&gt;&lt;ref-type name="Journal Article"&gt;17&lt;/ref-type&gt;&lt;contributors&gt;&lt;authors&gt;&lt;author&gt;Lavan, Z.&lt;/author&gt;&lt;author&gt;J. Thompson&lt;/author&gt;&lt;/authors&gt;&lt;/contributors&gt;&lt;titles&gt;&lt;title&gt;Experimental study of thermally stratified hot water storage tanks&lt;/title&gt;&lt;secondary-title&gt;Solar Energy&lt;/secondary-title&gt;&lt;short-title&gt;Lavan, Z. and J. Thompson 1977 – Experimental study of thermally stratified&lt;/short-title&gt;&lt;/titles&gt;&lt;pages&gt;p. 519-524&lt;/pages&gt;&lt;volume&gt;19&lt;/volume&gt;&lt;number&gt;19&lt;/number&gt;&lt;dates&gt;&lt;year&gt;1977&lt;/year&gt;&lt;/dates&gt;&lt;urls&gt;&lt;/urls&gt;&lt;/record&gt;&lt;/Cite&gt;&lt;/EndNote&gt;</w:instrText>
      </w:r>
      <w:r w:rsidRPr="00C90AC9">
        <w:rPr>
          <w:rFonts w:eastAsiaTheme="majorEastAsia"/>
          <w:lang w:eastAsia="en-US"/>
        </w:rPr>
        <w:fldChar w:fldCharType="separate"/>
      </w:r>
      <w:r w:rsidRPr="00C90AC9">
        <w:rPr>
          <w:rFonts w:eastAsiaTheme="majorEastAsia"/>
          <w:lang w:eastAsia="en-US"/>
        </w:rPr>
        <w:t>(Lavan &amp; Thompson, 1977)</w:t>
      </w:r>
      <w:r w:rsidRPr="00C90AC9">
        <w:rPr>
          <w:rFonts w:eastAsiaTheme="majorEastAsia"/>
          <w:lang w:eastAsia="en-US"/>
        </w:rPr>
        <w:fldChar w:fldCharType="end"/>
      </w:r>
      <w:r w:rsidRPr="00C90AC9">
        <w:rPr>
          <w:rFonts w:eastAsiaTheme="majorEastAsia"/>
          <w:lang w:eastAsia="en-US"/>
        </w:rPr>
        <w:t xml:space="preserve">. Thermal stratification can be achieved via three </w:t>
      </w:r>
      <w:r w:rsidR="00E82522" w:rsidRPr="00C90AC9">
        <w:rPr>
          <w:rFonts w:eastAsiaTheme="majorEastAsia"/>
          <w:lang w:eastAsia="en-US"/>
        </w:rPr>
        <w:t>main</w:t>
      </w:r>
      <w:r w:rsidRPr="00C90AC9">
        <w:rPr>
          <w:rFonts w:eastAsiaTheme="majorEastAsia"/>
          <w:lang w:eastAsia="en-US"/>
        </w:rPr>
        <w:t xml:space="preserve"> methods:</w:t>
      </w:r>
      <w:bookmarkEnd w:id="24"/>
    </w:p>
    <w:p w:rsidR="00C0462B" w:rsidRPr="00C90AC9" w:rsidRDefault="00C0462B" w:rsidP="00CA6E35">
      <w:pPr>
        <w:pStyle w:val="List2"/>
        <w:numPr>
          <w:ilvl w:val="0"/>
          <w:numId w:val="3"/>
        </w:numPr>
        <w:spacing w:line="360" w:lineRule="auto"/>
        <w:rPr>
          <w:rFonts w:eastAsiaTheme="minorHAnsi"/>
          <w:lang w:eastAsia="en-US"/>
        </w:rPr>
      </w:pPr>
      <w:r w:rsidRPr="00C90AC9">
        <w:rPr>
          <w:rFonts w:eastAsiaTheme="minorHAnsi"/>
          <w:lang w:eastAsia="en-US"/>
        </w:rPr>
        <w:t>Utilisation of vertically heated walls which, once a hot thermal boundary layer is formed draws hot water into the upper volume of the tank;</w:t>
      </w:r>
    </w:p>
    <w:p w:rsidR="00C0462B" w:rsidRPr="00C90AC9" w:rsidRDefault="00C0462B" w:rsidP="00CA6E35">
      <w:pPr>
        <w:pStyle w:val="List2"/>
        <w:numPr>
          <w:ilvl w:val="0"/>
          <w:numId w:val="3"/>
        </w:numPr>
        <w:spacing w:line="360" w:lineRule="auto"/>
        <w:rPr>
          <w:rFonts w:eastAsiaTheme="minorHAnsi"/>
          <w:lang w:eastAsia="en-US"/>
        </w:rPr>
      </w:pPr>
      <w:r w:rsidRPr="00C90AC9">
        <w:rPr>
          <w:rFonts w:eastAsiaTheme="minorHAnsi"/>
          <w:lang w:eastAsia="en-US"/>
        </w:rPr>
        <w:t>A transfer of heat from a carefully placed heat exchanger either inside or outside the tank;</w:t>
      </w:r>
    </w:p>
    <w:p w:rsidR="00C0462B" w:rsidRPr="00C90AC9" w:rsidRDefault="00C0462B" w:rsidP="00CA6E35">
      <w:pPr>
        <w:pStyle w:val="List2"/>
        <w:numPr>
          <w:ilvl w:val="0"/>
          <w:numId w:val="3"/>
        </w:numPr>
        <w:spacing w:line="360" w:lineRule="auto"/>
        <w:rPr>
          <w:rFonts w:eastAsiaTheme="minorHAnsi"/>
          <w:lang w:eastAsia="en-US"/>
        </w:rPr>
      </w:pPr>
      <w:r w:rsidRPr="00C90AC9">
        <w:rPr>
          <w:rFonts w:eastAsiaTheme="minorHAnsi"/>
          <w:lang w:eastAsia="en-US"/>
        </w:rPr>
        <w:t xml:space="preserve">Heated water introduced directly into the tank at appropriate heights. </w:t>
      </w:r>
      <w:r w:rsidRPr="00C90AC9">
        <w:rPr>
          <w:rFonts w:eastAsiaTheme="minorHAnsi"/>
          <w:lang w:eastAsia="en-US"/>
        </w:rPr>
        <w:fldChar w:fldCharType="begin">
          <w:fldData xml:space="preserve">PEVuZE5vdGU+PENpdGU+PEF1dGhvcj5MYXZhbjwvQXV0aG9yPjxZZWFyPjE5Nzc8L1llYXI+PFJl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</w:fldData>
        </w:fldChar>
      </w:r>
      <w:r w:rsidRPr="00C90AC9">
        <w:rPr>
          <w:rFonts w:eastAsiaTheme="minorHAnsi"/>
          <w:lang w:eastAsia="en-US"/>
        </w:rPr>
        <w:instrText xml:space="preserve"> ADDIN EN.CITE </w:instrText>
      </w:r>
      <w:r w:rsidRPr="00C90AC9">
        <w:rPr>
          <w:rFonts w:eastAsiaTheme="minorHAnsi"/>
          <w:lang w:eastAsia="en-US"/>
        </w:rPr>
        <w:fldChar w:fldCharType="begin">
          <w:fldData xml:space="preserve">PEVuZE5vdGU+PENpdGU+PEF1dGhvcj5MYXZhbjwvQXV0aG9yPjxZZWFyPjE5Nzc8L1llYXI+PFJl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</w:fldData>
        </w:fldChar>
      </w:r>
      <w:r w:rsidRPr="00C90AC9">
        <w:rPr>
          <w:rFonts w:eastAsiaTheme="minorHAnsi"/>
          <w:lang w:eastAsia="en-US"/>
        </w:rPr>
        <w:instrText xml:space="preserve"> ADDIN EN.CITE.DATA </w:instrText>
      </w:r>
      <w:r w:rsidRPr="00C90AC9">
        <w:rPr>
          <w:rFonts w:eastAsiaTheme="minorHAnsi"/>
          <w:lang w:eastAsia="en-US"/>
        </w:rPr>
      </w:r>
      <w:r w:rsidRPr="00C90AC9">
        <w:rPr>
          <w:rFonts w:eastAsiaTheme="minorHAnsi"/>
          <w:lang w:eastAsia="en-US"/>
        </w:rPr>
        <w:fldChar w:fldCharType="end"/>
      </w:r>
      <w:r w:rsidRPr="00C90AC9">
        <w:rPr>
          <w:rFonts w:eastAsiaTheme="minorHAnsi"/>
          <w:lang w:eastAsia="en-US"/>
        </w:rPr>
      </w:r>
      <w:r w:rsidRPr="00C90AC9">
        <w:rPr>
          <w:rFonts w:eastAsiaTheme="minorHAnsi"/>
          <w:lang w:eastAsia="en-US"/>
        </w:rPr>
        <w:fldChar w:fldCharType="separate"/>
      </w:r>
      <w:r w:rsidRPr="00C90AC9">
        <w:rPr>
          <w:rFonts w:eastAsiaTheme="minorHAnsi"/>
          <w:lang w:eastAsia="en-US"/>
        </w:rPr>
        <w:t>(Dongellini &amp; Morini, 2015; Han &amp; Dai, 2009; Lavan &amp; Thompson, 1977)</w:t>
      </w:r>
      <w:r w:rsidRPr="00C90AC9">
        <w:rPr>
          <w:rFonts w:eastAsiaTheme="minorHAnsi"/>
          <w:lang w:eastAsia="en-US"/>
        </w:rPr>
        <w:fldChar w:fldCharType="end"/>
      </w:r>
    </w:p>
    <w:p w:rsidR="00C0462B" w:rsidRPr="00C90AC9" w:rsidRDefault="00C0462B" w:rsidP="00C0462B">
      <w:pPr>
        <w:pStyle w:val="List2"/>
        <w:spacing w:line="360" w:lineRule="auto"/>
        <w:ind w:left="720" w:firstLine="0"/>
        <w:rPr>
          <w:rFonts w:eastAsiaTheme="minorHAnsi"/>
          <w:lang w:eastAsia="en-US"/>
        </w:rPr>
      </w:pPr>
    </w:p>
    <w:p w:rsidR="00C0462B" w:rsidRPr="00C90AC9" w:rsidRDefault="00C0462B" w:rsidP="00C0462B">
      <w:pPr>
        <w:pStyle w:val="BodyText"/>
        <w:spacing w:line="360" w:lineRule="auto"/>
        <w:rPr>
          <w:rFonts w:eastAsiaTheme="minorHAnsi"/>
          <w:lang w:eastAsia="en-US"/>
        </w:rPr>
      </w:pPr>
      <w:r w:rsidRPr="00C90AC9">
        <w:rPr>
          <w:rFonts w:eastAsiaTheme="minorHAnsi"/>
          <w:lang w:eastAsia="en-US"/>
        </w:rPr>
        <w:lastRenderedPageBreak/>
        <w:t xml:space="preserve">Thus, thermal stratification within a hot water tank is desirable, but stratification can is dependent on a number of factors. There have been investigations into the </w:t>
      </w:r>
      <w:proofErr w:type="gramStart"/>
      <w:r w:rsidRPr="00C90AC9">
        <w:rPr>
          <w:rFonts w:eastAsiaTheme="minorHAnsi"/>
          <w:lang w:eastAsia="en-US"/>
        </w:rPr>
        <w:t>cold water</w:t>
      </w:r>
      <w:proofErr w:type="gramEnd"/>
      <w:r w:rsidRPr="00C90AC9">
        <w:rPr>
          <w:rFonts w:eastAsiaTheme="minorHAnsi"/>
          <w:lang w:eastAsia="en-US"/>
        </w:rPr>
        <w:t xml:space="preserve"> inlet geometry to ascertain the impact the device has on the thermal stratification of the tank </w:t>
      </w:r>
      <w:r w:rsidRPr="00C90AC9">
        <w:rPr>
          <w:rFonts w:eastAsiaTheme="minorHAnsi"/>
          <w:lang w:eastAsia="en-US"/>
        </w:rPr>
        <w:fldChar w:fldCharType="begin">
          <w:fldData xml:space="preserve">PEVuZE5vdGU+PENpdGU+PEF1dGhvcj5Ccm93bjwvQXV0aG9yPjxZZWFyPjIwMTE8L1llYXI+PFJl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</w:fldData>
        </w:fldChar>
      </w:r>
      <w:r w:rsidRPr="00C90AC9">
        <w:rPr>
          <w:rFonts w:eastAsiaTheme="minorHAnsi"/>
          <w:lang w:eastAsia="en-US"/>
        </w:rPr>
        <w:instrText xml:space="preserve"> ADDIN EN.CITE </w:instrText>
      </w:r>
      <w:r w:rsidRPr="00C90AC9">
        <w:rPr>
          <w:rFonts w:eastAsiaTheme="minorHAnsi"/>
          <w:lang w:eastAsia="en-US"/>
        </w:rPr>
        <w:fldChar w:fldCharType="begin">
          <w:fldData xml:space="preserve">PEVuZE5vdGU+PENpdGU+PEF1dGhvcj5Ccm93bjwvQXV0aG9yPjxZZWFyPjIwMTE8L1llYXI+PFJl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</w:fldData>
        </w:fldChar>
      </w:r>
      <w:r w:rsidRPr="00C90AC9">
        <w:rPr>
          <w:rFonts w:eastAsiaTheme="minorHAnsi"/>
          <w:lang w:eastAsia="en-US"/>
        </w:rPr>
        <w:instrText xml:space="preserve"> ADDIN EN.CITE.DATA </w:instrText>
      </w:r>
      <w:r w:rsidRPr="00C90AC9">
        <w:rPr>
          <w:rFonts w:eastAsiaTheme="minorHAnsi"/>
          <w:lang w:eastAsia="en-US"/>
        </w:rPr>
      </w:r>
      <w:r w:rsidRPr="00C90AC9">
        <w:rPr>
          <w:rFonts w:eastAsiaTheme="minorHAnsi"/>
          <w:lang w:eastAsia="en-US"/>
        </w:rPr>
        <w:fldChar w:fldCharType="end"/>
      </w:r>
      <w:r w:rsidRPr="00C90AC9">
        <w:rPr>
          <w:rFonts w:eastAsiaTheme="minorHAnsi"/>
          <w:lang w:eastAsia="en-US"/>
        </w:rPr>
      </w:r>
      <w:r w:rsidRPr="00C90AC9">
        <w:rPr>
          <w:rFonts w:eastAsiaTheme="minorHAnsi"/>
          <w:lang w:eastAsia="en-US"/>
        </w:rPr>
        <w:fldChar w:fldCharType="separate"/>
      </w:r>
      <w:r w:rsidRPr="00C90AC9">
        <w:rPr>
          <w:rFonts w:eastAsiaTheme="minorHAnsi"/>
          <w:lang w:eastAsia="en-US"/>
        </w:rPr>
        <w:t>(N. M. Brown &amp; Lai, 2011; Gari &amp; Loehrke, 1982; Han &amp; Dai, 2009; Kenjo &amp; Caccavelli, 2007)</w:t>
      </w:r>
      <w:r w:rsidRPr="00C90AC9">
        <w:rPr>
          <w:rFonts w:eastAsiaTheme="minorHAnsi"/>
          <w:lang w:eastAsia="en-US"/>
        </w:rPr>
        <w:fldChar w:fldCharType="end"/>
      </w:r>
      <w:r w:rsidRPr="00C90AC9">
        <w:rPr>
          <w:rFonts w:eastAsiaTheme="minorHAnsi"/>
          <w:lang w:eastAsia="en-US"/>
        </w:rPr>
        <w:t xml:space="preserve">. Whilst it has been determined that the Richardson and the inverse Peclet numbers are the two most important factors for establishing and </w:t>
      </w:r>
      <w:r w:rsidR="00E82522" w:rsidRPr="00C90AC9">
        <w:rPr>
          <w:rFonts w:eastAsiaTheme="minorHAnsi"/>
          <w:lang w:eastAsia="en-US"/>
        </w:rPr>
        <w:t>main</w:t>
      </w:r>
      <w:r w:rsidRPr="00C90AC9">
        <w:rPr>
          <w:rFonts w:eastAsiaTheme="minorHAnsi"/>
          <w:lang w:eastAsia="en-US"/>
        </w:rPr>
        <w:t xml:space="preserve">taining stratification within thermal storage tank for some </w:t>
      </w:r>
      <w:proofErr w:type="gramStart"/>
      <w:r w:rsidRPr="00C90AC9">
        <w:rPr>
          <w:rFonts w:eastAsiaTheme="minorHAnsi"/>
          <w:lang w:eastAsia="en-US"/>
        </w:rPr>
        <w:t>time .the</w:t>
      </w:r>
      <w:proofErr w:type="gramEnd"/>
      <w:r w:rsidRPr="00C90AC9">
        <w:rPr>
          <w:rFonts w:eastAsiaTheme="minorHAnsi"/>
          <w:lang w:eastAsia="en-US"/>
        </w:rPr>
        <w:t xml:space="preserve"> more recent study observed that stable stratification is established for higher inlet Reynolds numbers at earlier times (t=0.2s). There has been extensive research into the effects various parameters have on thermal stratification. The findings from research conducted concerning stratification are summarised in Table 2.3.</w:t>
      </w:r>
    </w:p>
    <w:p w:rsidR="00C0462B" w:rsidRPr="00C90AC9" w:rsidRDefault="00C0462B" w:rsidP="00C0462B">
      <w:pPr>
        <w:pStyle w:val="BodyText"/>
        <w:spacing w:line="240" w:lineRule="auto"/>
        <w:rPr>
          <w:rFonts w:eastAsiaTheme="minorHAnsi"/>
          <w:lang w:eastAsia="en-US"/>
        </w:rPr>
      </w:pPr>
    </w:p>
    <w:p w:rsidR="00C0462B" w:rsidRPr="00C90AC9" w:rsidRDefault="00C0462B" w:rsidP="00C0462B">
      <w:pPr>
        <w:pStyle w:val="BodyText"/>
        <w:spacing w:line="240" w:lineRule="auto"/>
        <w:rPr>
          <w:rFonts w:eastAsiaTheme="minorHAnsi"/>
          <w:lang w:eastAsia="en-US"/>
        </w:rPr>
      </w:pPr>
    </w:p>
    <w:p w:rsidR="00984852" w:rsidRPr="00C90AC9" w:rsidRDefault="00984852" w:rsidP="00E82D6C">
      <w:pPr>
        <w:spacing w:line="360" w:lineRule="auto"/>
        <w:rPr>
          <w:rStyle w:val="SubtleEmphasis"/>
          <w:rFonts w:cs="Times New Roman"/>
          <w:iCs/>
          <w:sz w:val="24"/>
          <w:szCs w:val="24"/>
        </w:rPr>
      </w:pPr>
      <w:r w:rsidRPr="00C90AC9">
        <w:rPr>
          <w:rStyle w:val="SubtleEmphasis"/>
          <w:rFonts w:cs="Times New Roman"/>
          <w:iCs/>
          <w:sz w:val="24"/>
          <w:szCs w:val="24"/>
        </w:rPr>
        <w:t xml:space="preserve">As Table 2.3. details, stratification has been extensively researched for the previous 40 years about how various parameters impact stratification within the hot water tank. All of the studies note the benefits of achieving stratification within the tank for improving the efficiency of hot water heating. Studies have determined various ways in which stratification can be achieved and </w:t>
      </w:r>
      <w:r w:rsidR="00E82522" w:rsidRPr="00C90AC9">
        <w:rPr>
          <w:rStyle w:val="SubtleEmphasis"/>
          <w:rFonts w:cs="Times New Roman"/>
          <w:iCs/>
          <w:sz w:val="24"/>
          <w:szCs w:val="24"/>
        </w:rPr>
        <w:t>main</w:t>
      </w:r>
      <w:r w:rsidRPr="00C90AC9">
        <w:rPr>
          <w:rStyle w:val="SubtleEmphasis"/>
          <w:rFonts w:cs="Times New Roman"/>
          <w:iCs/>
          <w:sz w:val="24"/>
          <w:szCs w:val="24"/>
        </w:rPr>
        <w:t xml:space="preserve">tained within the hot water tank so as to improve the overall efficiency of heating water by preserving layers of water within the hot water tank which are at different temperatures. </w:t>
      </w:r>
    </w:p>
    <w:p w:rsidR="00784616" w:rsidRPr="00C90AC9" w:rsidRDefault="00984852" w:rsidP="00E82D6C">
      <w:pPr>
        <w:spacing w:line="360" w:lineRule="auto"/>
        <w:rPr>
          <w:rFonts w:eastAsiaTheme="minorHAnsi"/>
          <w:lang w:eastAsia="en-US"/>
        </w:rPr>
      </w:pPr>
      <w:r w:rsidRPr="00C90AC9">
        <w:rPr>
          <w:rStyle w:val="SubtleEmphasis"/>
          <w:rFonts w:cs="Times New Roman"/>
          <w:iCs/>
          <w:sz w:val="24"/>
          <w:szCs w:val="24"/>
        </w:rPr>
        <w:t xml:space="preserve">These measures listed in Table 2.3. are both technical and thus complicated, and simple design adjustments which can have significant improvements to the overall efficiency of heating water. </w:t>
      </w:r>
      <w:r w:rsidR="00784616" w:rsidRPr="00C90AC9">
        <w:rPr>
          <w:rFonts w:eastAsiaTheme="minorHAnsi"/>
          <w:lang w:eastAsia="en-US"/>
        </w:rPr>
        <w:br w:type="page"/>
      </w:r>
    </w:p>
    <w:p w:rsidR="00C0462B" w:rsidRPr="00C90AC9" w:rsidRDefault="00C0462B" w:rsidP="00C0462B">
      <w:pPr>
        <w:pStyle w:val="BodyText"/>
        <w:spacing w:line="240" w:lineRule="auto"/>
        <w:rPr>
          <w:rFonts w:eastAsiaTheme="minorHAnsi"/>
          <w:lang w:eastAsia="en-US"/>
        </w:rPr>
      </w:pPr>
      <w:r w:rsidRPr="00C90AC9">
        <w:rPr>
          <w:rFonts w:eastAsiaTheme="minorHAnsi"/>
          <w:lang w:eastAsia="en-US"/>
        </w:rPr>
        <w:lastRenderedPageBreak/>
        <w:t xml:space="preserve">Table 2.3. Stratification findings from various studies </w:t>
      </w:r>
      <w:r w:rsidRPr="00C90AC9">
        <w:rPr>
          <w:rFonts w:eastAsiaTheme="minorHAnsi"/>
          <w:lang w:eastAsia="en-US"/>
        </w:rPr>
        <w:fldChar w:fldCharType="begin">
          <w:fldData xml:space="preserve">PEVuZE5vdGU+PENpdGU+PEF1dGhvcj5LZW5qbzwvQXV0aG9yPjxZZWFyPjIwMDc8L1llYXI+PFJl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</w:fldData>
        </w:fldChar>
      </w:r>
      <w:r w:rsidRPr="00C90AC9">
        <w:rPr>
          <w:rFonts w:eastAsiaTheme="minorHAnsi"/>
          <w:lang w:eastAsia="en-US"/>
        </w:rPr>
        <w:instrText xml:space="preserve"> ADDIN EN.CITE </w:instrText>
      </w:r>
      <w:r w:rsidRPr="00C90AC9">
        <w:rPr>
          <w:rFonts w:eastAsiaTheme="minorHAnsi"/>
          <w:lang w:eastAsia="en-US"/>
        </w:rPr>
        <w:fldChar w:fldCharType="begin">
          <w:fldData xml:space="preserve">PEVuZE5vdGU+PENpdGU+PEF1dGhvcj5LZW5qbzwvQXV0aG9yPjxZZWFyPjIwMDc8L1llYXI+PFJl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</w:fldData>
        </w:fldChar>
      </w:r>
      <w:r w:rsidRPr="00C90AC9">
        <w:rPr>
          <w:rFonts w:eastAsiaTheme="minorHAnsi"/>
          <w:lang w:eastAsia="en-US"/>
        </w:rPr>
        <w:instrText xml:space="preserve"> ADDIN EN.CITE.DATA </w:instrText>
      </w:r>
      <w:r w:rsidRPr="00C90AC9">
        <w:rPr>
          <w:rFonts w:eastAsiaTheme="minorHAnsi"/>
          <w:lang w:eastAsia="en-US"/>
        </w:rPr>
      </w:r>
      <w:r w:rsidRPr="00C90AC9">
        <w:rPr>
          <w:rFonts w:eastAsiaTheme="minorHAnsi"/>
          <w:lang w:eastAsia="en-US"/>
        </w:rPr>
        <w:fldChar w:fldCharType="end"/>
      </w:r>
      <w:r w:rsidRPr="00C90AC9">
        <w:rPr>
          <w:rFonts w:eastAsiaTheme="minorHAnsi"/>
          <w:lang w:eastAsia="en-US"/>
        </w:rPr>
      </w:r>
      <w:r w:rsidRPr="00C90AC9">
        <w:rPr>
          <w:rFonts w:eastAsiaTheme="minorHAnsi"/>
          <w:lang w:eastAsia="en-US"/>
        </w:rPr>
        <w:fldChar w:fldCharType="separate"/>
      </w:r>
      <w:r w:rsidRPr="00C90AC9">
        <w:rPr>
          <w:rFonts w:eastAsiaTheme="minorHAnsi"/>
          <w:lang w:eastAsia="en-US"/>
        </w:rPr>
        <w:t>(Ammar &amp; Ghoneim, 1989; N. M. Brown &amp; Lai, 2011; Courtney, 1977; Gari &amp; Loehrke, 1982; Han &amp; Dai, 2009; K. Vejen, 2004; Kenjo &amp; Caccavelli, 2007; L. Cai, 1993; van Berkel &amp; Steenhoven, 1999; Zambolin &amp; Col, 2010)</w:t>
      </w:r>
      <w:r w:rsidRPr="00C90AC9">
        <w:rPr>
          <w:rFonts w:eastAsiaTheme="minorHAnsi"/>
          <w:lang w:eastAsia="en-US"/>
        </w:rPr>
        <w:fldChar w:fldCharType="end"/>
      </w:r>
    </w:p>
    <w:tbl>
      <w:tblPr>
        <w:tblW w:w="89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9"/>
        <w:gridCol w:w="1522"/>
        <w:gridCol w:w="1966"/>
        <w:gridCol w:w="1603"/>
        <w:gridCol w:w="1745"/>
      </w:tblGrid>
      <w:tr w:rsidR="00C0462B" w:rsidRPr="00C90AC9" w:rsidTr="00F9457E">
        <w:trPr>
          <w:jc w:val="center"/>
        </w:trPr>
        <w:tc>
          <w:tcPr>
            <w:tcW w:w="2069" w:type="dxa"/>
            <w:tcBorders>
              <w:bottom w:val="double" w:sz="4" w:space="0" w:color="auto"/>
            </w:tcBorders>
            <w:shd w:val="clear" w:color="auto" w:fill="auto"/>
            <w:vAlign w:val="center"/>
          </w:tcPr>
          <w:p w:rsidR="00C0462B" w:rsidRPr="00C90AC9" w:rsidRDefault="00C0462B" w:rsidP="00F9457E">
            <w:pPr>
              <w:jc w:val="center"/>
              <w:rPr>
                <w:rFonts w:eastAsiaTheme="minorHAnsi"/>
                <w:lang w:eastAsia="en-US"/>
              </w:rPr>
            </w:pPr>
            <w:r w:rsidRPr="00C90AC9">
              <w:rPr>
                <w:rFonts w:eastAsiaTheme="minorHAnsi"/>
                <w:lang w:eastAsia="en-US"/>
              </w:rPr>
              <w:t>Author(s)</w:t>
            </w:r>
          </w:p>
        </w:tc>
        <w:tc>
          <w:tcPr>
            <w:tcW w:w="1522" w:type="dxa"/>
            <w:tcBorders>
              <w:bottom w:val="double" w:sz="4" w:space="0" w:color="auto"/>
            </w:tcBorders>
            <w:shd w:val="clear" w:color="auto" w:fill="auto"/>
            <w:vAlign w:val="center"/>
          </w:tcPr>
          <w:p w:rsidR="00C0462B" w:rsidRPr="00C90AC9" w:rsidRDefault="00C0462B" w:rsidP="00F9457E">
            <w:pPr>
              <w:jc w:val="center"/>
              <w:rPr>
                <w:rFonts w:eastAsiaTheme="minorHAnsi"/>
                <w:lang w:eastAsia="en-US"/>
              </w:rPr>
            </w:pPr>
            <w:r w:rsidRPr="00C90AC9">
              <w:rPr>
                <w:rFonts w:eastAsiaTheme="minorHAnsi"/>
                <w:lang w:eastAsia="en-US"/>
              </w:rPr>
              <w:t>Year</w:t>
            </w:r>
          </w:p>
        </w:tc>
        <w:tc>
          <w:tcPr>
            <w:tcW w:w="1966" w:type="dxa"/>
            <w:tcBorders>
              <w:bottom w:val="double" w:sz="4" w:space="0" w:color="auto"/>
            </w:tcBorders>
            <w:shd w:val="clear" w:color="auto" w:fill="auto"/>
            <w:vAlign w:val="center"/>
          </w:tcPr>
          <w:p w:rsidR="00C0462B" w:rsidRPr="00C90AC9" w:rsidRDefault="00C0462B" w:rsidP="00F9457E">
            <w:pPr>
              <w:jc w:val="center"/>
              <w:rPr>
                <w:rFonts w:eastAsiaTheme="minorHAnsi"/>
                <w:lang w:eastAsia="en-US"/>
              </w:rPr>
            </w:pPr>
            <w:r w:rsidRPr="00C90AC9">
              <w:rPr>
                <w:rFonts w:eastAsiaTheme="minorHAnsi"/>
                <w:lang w:eastAsia="en-US"/>
              </w:rPr>
              <w:t>Parameter</w:t>
            </w:r>
          </w:p>
        </w:tc>
        <w:tc>
          <w:tcPr>
            <w:tcW w:w="1603" w:type="dxa"/>
            <w:tcBorders>
              <w:bottom w:val="double" w:sz="4" w:space="0" w:color="auto"/>
            </w:tcBorders>
            <w:shd w:val="clear" w:color="auto" w:fill="auto"/>
            <w:vAlign w:val="center"/>
          </w:tcPr>
          <w:p w:rsidR="00C0462B" w:rsidRPr="00C90AC9" w:rsidRDefault="00C0462B" w:rsidP="00F9457E">
            <w:pPr>
              <w:jc w:val="center"/>
              <w:rPr>
                <w:rFonts w:eastAsiaTheme="minorHAnsi"/>
                <w:lang w:eastAsia="en-US"/>
              </w:rPr>
            </w:pPr>
            <w:r w:rsidRPr="00C90AC9">
              <w:rPr>
                <w:rFonts w:eastAsiaTheme="minorHAnsi"/>
                <w:lang w:eastAsia="en-US"/>
              </w:rPr>
              <w:t>Conclusions</w:t>
            </w:r>
          </w:p>
        </w:tc>
        <w:tc>
          <w:tcPr>
            <w:tcW w:w="1745" w:type="dxa"/>
            <w:tcBorders>
              <w:bottom w:val="double" w:sz="4" w:space="0" w:color="auto"/>
            </w:tcBorders>
            <w:shd w:val="clear" w:color="auto" w:fill="auto"/>
            <w:vAlign w:val="center"/>
          </w:tcPr>
          <w:p w:rsidR="00C0462B" w:rsidRPr="00C90AC9" w:rsidRDefault="00C0462B" w:rsidP="00F9457E">
            <w:pPr>
              <w:jc w:val="center"/>
              <w:rPr>
                <w:rFonts w:eastAsiaTheme="minorHAnsi"/>
                <w:lang w:eastAsia="en-US"/>
              </w:rPr>
            </w:pPr>
            <w:r w:rsidRPr="00C90AC9">
              <w:rPr>
                <w:rFonts w:eastAsiaTheme="minorHAnsi"/>
                <w:lang w:eastAsia="en-US"/>
              </w:rPr>
              <w:t>Stratification</w:t>
            </w:r>
          </w:p>
        </w:tc>
      </w:tr>
      <w:tr w:rsidR="00C0462B" w:rsidRPr="00C90AC9" w:rsidTr="00784616">
        <w:trPr>
          <w:trHeight w:val="2269"/>
          <w:jc w:val="center"/>
        </w:trPr>
        <w:tc>
          <w:tcPr>
            <w:tcW w:w="2069" w:type="dxa"/>
            <w:tcBorders>
              <w:top w:val="double" w:sz="4" w:space="0" w:color="auto"/>
            </w:tcBorders>
            <w:vAlign w:val="center"/>
          </w:tcPr>
          <w:p w:rsidR="00C0462B" w:rsidRPr="00C90AC9" w:rsidRDefault="00C0462B" w:rsidP="00F9457E">
            <w:pPr>
              <w:jc w:val="center"/>
              <w:rPr>
                <w:rFonts w:eastAsiaTheme="minorHAnsi"/>
                <w:lang w:eastAsia="en-US"/>
              </w:rPr>
            </w:pPr>
            <w:r w:rsidRPr="00C90AC9">
              <w:rPr>
                <w:rFonts w:eastAsiaTheme="minorHAnsi"/>
                <w:lang w:eastAsia="en-US"/>
              </w:rPr>
              <w:t>Levan et al</w:t>
            </w:r>
          </w:p>
          <w:p w:rsidR="00C0462B" w:rsidRPr="00C90AC9" w:rsidRDefault="00C0462B" w:rsidP="00F9457E">
            <w:pPr>
              <w:jc w:val="center"/>
              <w:rPr>
                <w:rFonts w:eastAsiaTheme="minorHAnsi"/>
                <w:lang w:eastAsia="en-US"/>
              </w:rPr>
            </w:pPr>
            <w:r w:rsidRPr="00C90AC9">
              <w:rPr>
                <w:rFonts w:eastAsiaTheme="minorHAnsi"/>
                <w:lang w:eastAsia="en-US"/>
              </w:rPr>
              <w:t>R. G. Courtney</w:t>
            </w:r>
          </w:p>
        </w:tc>
        <w:tc>
          <w:tcPr>
            <w:tcW w:w="1522" w:type="dxa"/>
            <w:tcBorders>
              <w:top w:val="double" w:sz="4" w:space="0" w:color="auto"/>
            </w:tcBorders>
            <w:vAlign w:val="center"/>
          </w:tcPr>
          <w:p w:rsidR="00C0462B" w:rsidRPr="00C90AC9" w:rsidRDefault="00C0462B" w:rsidP="00F9457E">
            <w:pPr>
              <w:jc w:val="center"/>
              <w:rPr>
                <w:rFonts w:eastAsiaTheme="minorHAnsi"/>
                <w:lang w:eastAsia="en-US"/>
              </w:rPr>
            </w:pPr>
            <w:r w:rsidRPr="00C90AC9">
              <w:rPr>
                <w:rFonts w:eastAsiaTheme="minorHAnsi"/>
                <w:lang w:eastAsia="en-US"/>
              </w:rPr>
              <w:t>1977</w:t>
            </w:r>
          </w:p>
        </w:tc>
        <w:tc>
          <w:tcPr>
            <w:tcW w:w="1966" w:type="dxa"/>
            <w:tcBorders>
              <w:top w:val="double" w:sz="4" w:space="0" w:color="auto"/>
            </w:tcBorders>
            <w:vAlign w:val="center"/>
          </w:tcPr>
          <w:p w:rsidR="00C0462B" w:rsidRPr="00C90AC9" w:rsidRDefault="00C0462B" w:rsidP="00F9457E">
            <w:pPr>
              <w:jc w:val="center"/>
              <w:rPr>
                <w:rFonts w:eastAsiaTheme="minorHAnsi"/>
                <w:lang w:eastAsia="en-US"/>
              </w:rPr>
            </w:pPr>
            <w:r w:rsidRPr="00C90AC9">
              <w:rPr>
                <w:rFonts w:eastAsiaTheme="minorHAnsi"/>
                <w:lang w:eastAsia="en-US"/>
              </w:rPr>
              <w:t xml:space="preserve">Flow factor (based on Reynolds number, </w:t>
            </w:r>
            <w:proofErr w:type="spellStart"/>
            <w:r w:rsidRPr="00C90AC9">
              <w:rPr>
                <w:rFonts w:eastAsiaTheme="minorHAnsi"/>
                <w:lang w:eastAsia="en-US"/>
              </w:rPr>
              <w:t>Grashof</w:t>
            </w:r>
            <w:proofErr w:type="spellEnd"/>
            <w:r w:rsidRPr="00C90AC9">
              <w:rPr>
                <w:rFonts w:eastAsiaTheme="minorHAnsi"/>
                <w:lang w:eastAsia="en-US"/>
              </w:rPr>
              <w:t xml:space="preserve"> number, tank height diameter ratio)</w:t>
            </w:r>
          </w:p>
        </w:tc>
        <w:tc>
          <w:tcPr>
            <w:tcW w:w="1603" w:type="dxa"/>
            <w:tcBorders>
              <w:top w:val="double" w:sz="4" w:space="0" w:color="auto"/>
            </w:tcBorders>
            <w:vAlign w:val="center"/>
          </w:tcPr>
          <w:p w:rsidR="00C0462B" w:rsidRPr="00C90AC9" w:rsidRDefault="00C0462B" w:rsidP="00F9457E">
            <w:pPr>
              <w:jc w:val="center"/>
              <w:rPr>
                <w:rFonts w:eastAsiaTheme="minorHAnsi"/>
                <w:lang w:eastAsia="en-US"/>
              </w:rPr>
            </w:pPr>
            <w:r w:rsidRPr="00C90AC9">
              <w:rPr>
                <w:rFonts w:eastAsiaTheme="minorHAnsi"/>
                <w:lang w:eastAsia="en-US"/>
              </w:rPr>
              <w:t>Above 40-50</w:t>
            </w:r>
          </w:p>
        </w:tc>
        <w:tc>
          <w:tcPr>
            <w:tcW w:w="1745" w:type="dxa"/>
            <w:tcBorders>
              <w:top w:val="double" w:sz="4" w:space="0" w:color="auto"/>
            </w:tcBorders>
            <w:vAlign w:val="center"/>
          </w:tcPr>
          <w:p w:rsidR="00C0462B" w:rsidRPr="00C90AC9" w:rsidRDefault="00C0462B" w:rsidP="00F9457E">
            <w:pPr>
              <w:jc w:val="center"/>
              <w:rPr>
                <w:rFonts w:eastAsiaTheme="minorHAnsi"/>
                <w:lang w:eastAsia="en-US"/>
              </w:rPr>
            </w:pPr>
            <w:r w:rsidRPr="00C90AC9">
              <w:rPr>
                <w:rFonts w:eastAsiaTheme="minorHAnsi"/>
                <w:lang w:eastAsia="en-US"/>
              </w:rPr>
              <w:t>Almost no mixing occurred</w:t>
            </w:r>
          </w:p>
        </w:tc>
      </w:tr>
      <w:tr w:rsidR="00C0462B" w:rsidRPr="00C90AC9" w:rsidTr="00784616">
        <w:trPr>
          <w:trHeight w:hRule="exact" w:val="2060"/>
          <w:jc w:val="center"/>
        </w:trPr>
        <w:tc>
          <w:tcPr>
            <w:tcW w:w="2069" w:type="dxa"/>
            <w:vAlign w:val="center"/>
          </w:tcPr>
          <w:p w:rsidR="00C0462B" w:rsidRPr="00C90AC9" w:rsidRDefault="00C0462B" w:rsidP="00F9457E">
            <w:pPr>
              <w:jc w:val="center"/>
              <w:rPr>
                <w:rFonts w:eastAsiaTheme="minorHAnsi"/>
                <w:lang w:eastAsia="en-US"/>
              </w:rPr>
            </w:pPr>
            <w:proofErr w:type="spellStart"/>
            <w:r w:rsidRPr="00C90AC9">
              <w:rPr>
                <w:rFonts w:eastAsiaTheme="minorHAnsi"/>
                <w:lang w:eastAsia="en-US"/>
              </w:rPr>
              <w:t>Gari</w:t>
            </w:r>
            <w:proofErr w:type="spellEnd"/>
            <w:r w:rsidRPr="00C90AC9">
              <w:rPr>
                <w:rFonts w:eastAsiaTheme="minorHAnsi"/>
                <w:lang w:eastAsia="en-US"/>
              </w:rPr>
              <w:t xml:space="preserve"> et al</w:t>
            </w:r>
          </w:p>
        </w:tc>
        <w:tc>
          <w:tcPr>
            <w:tcW w:w="1522"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1982</w:t>
            </w:r>
          </w:p>
        </w:tc>
        <w:tc>
          <w:tcPr>
            <w:tcW w:w="1966"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Inclusion of manifold and adjustment of flow speed of inlet fluid into tank</w:t>
            </w:r>
          </w:p>
        </w:tc>
        <w:tc>
          <w:tcPr>
            <w:tcW w:w="1603"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Low collector flow rates are preferable to preserve stratification</w:t>
            </w:r>
          </w:p>
        </w:tc>
        <w:tc>
          <w:tcPr>
            <w:tcW w:w="1745"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The use of a manifold and/or baffles to reduce flow rate desirable</w:t>
            </w:r>
          </w:p>
        </w:tc>
      </w:tr>
      <w:tr w:rsidR="00C0462B" w:rsidRPr="00C90AC9" w:rsidTr="00784616">
        <w:trPr>
          <w:trHeight w:hRule="exact" w:val="1411"/>
          <w:jc w:val="center"/>
        </w:trPr>
        <w:tc>
          <w:tcPr>
            <w:tcW w:w="2069" w:type="dxa"/>
            <w:vAlign w:val="center"/>
          </w:tcPr>
          <w:p w:rsidR="00C0462B" w:rsidRPr="00C90AC9" w:rsidRDefault="00C0462B" w:rsidP="00F9457E">
            <w:pPr>
              <w:autoSpaceDE w:val="0"/>
              <w:autoSpaceDN w:val="0"/>
              <w:adjustRightInd w:val="0"/>
              <w:spacing w:after="0" w:line="240" w:lineRule="auto"/>
              <w:jc w:val="left"/>
              <w:rPr>
                <w:rFonts w:eastAsiaTheme="minorHAnsi"/>
                <w:lang w:eastAsia="en-US"/>
              </w:rPr>
            </w:pPr>
            <w:proofErr w:type="spellStart"/>
            <w:r w:rsidRPr="00C90AC9">
              <w:rPr>
                <w:rFonts w:eastAsiaTheme="minorHAnsi" w:cs="Times New Roman"/>
                <w:szCs w:val="18"/>
                <w:lang w:eastAsia="en-US"/>
              </w:rPr>
              <w:t>Zurigat</w:t>
            </w:r>
            <w:proofErr w:type="spellEnd"/>
            <w:r w:rsidRPr="00C90AC9">
              <w:rPr>
                <w:rFonts w:eastAsiaTheme="minorHAnsi" w:cs="Times New Roman"/>
                <w:szCs w:val="18"/>
                <w:lang w:eastAsia="en-US"/>
              </w:rPr>
              <w:t xml:space="preserve">, Y.H., P.R. </w:t>
            </w:r>
            <w:proofErr w:type="spellStart"/>
            <w:r w:rsidRPr="00C90AC9">
              <w:rPr>
                <w:rFonts w:eastAsiaTheme="minorHAnsi" w:cs="Times New Roman"/>
                <w:szCs w:val="18"/>
                <w:lang w:eastAsia="en-US"/>
              </w:rPr>
              <w:t>Liche</w:t>
            </w:r>
            <w:proofErr w:type="spellEnd"/>
            <w:r w:rsidRPr="00C90AC9">
              <w:rPr>
                <w:rFonts w:eastAsiaTheme="minorHAnsi" w:cs="Times New Roman"/>
                <w:szCs w:val="18"/>
                <w:lang w:eastAsia="en-US"/>
              </w:rPr>
              <w:t xml:space="preserve">, A.J. </w:t>
            </w:r>
            <w:proofErr w:type="spellStart"/>
            <w:r w:rsidRPr="00C90AC9">
              <w:rPr>
                <w:rFonts w:eastAsiaTheme="minorHAnsi" w:cs="Times New Roman"/>
                <w:szCs w:val="18"/>
                <w:lang w:eastAsia="en-US"/>
              </w:rPr>
              <w:t>Ghajar</w:t>
            </w:r>
            <w:proofErr w:type="spellEnd"/>
          </w:p>
        </w:tc>
        <w:tc>
          <w:tcPr>
            <w:tcW w:w="1522"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1991</w:t>
            </w:r>
          </w:p>
        </w:tc>
        <w:tc>
          <w:tcPr>
            <w:tcW w:w="1966"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Richardson number</w:t>
            </w:r>
          </w:p>
        </w:tc>
        <w:tc>
          <w:tcPr>
            <w:tcW w:w="1603"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Ri &lt; 3.6</w:t>
            </w:r>
          </w:p>
        </w:tc>
        <w:tc>
          <w:tcPr>
            <w:tcW w:w="1745"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Inlet geometry has great influence on stratification</w:t>
            </w:r>
          </w:p>
        </w:tc>
      </w:tr>
      <w:tr w:rsidR="00C0462B" w:rsidRPr="00C90AC9" w:rsidTr="00784616">
        <w:trPr>
          <w:trHeight w:hRule="exact" w:val="1287"/>
          <w:jc w:val="center"/>
        </w:trPr>
        <w:tc>
          <w:tcPr>
            <w:tcW w:w="2069" w:type="dxa"/>
            <w:vAlign w:val="center"/>
          </w:tcPr>
          <w:p w:rsidR="00C0462B" w:rsidRPr="00C90AC9" w:rsidRDefault="00C0462B" w:rsidP="00F9457E">
            <w:pPr>
              <w:jc w:val="center"/>
              <w:rPr>
                <w:rFonts w:eastAsiaTheme="minorHAnsi"/>
                <w:lang w:eastAsia="en-US"/>
              </w:rPr>
            </w:pPr>
            <w:proofErr w:type="spellStart"/>
            <w:r w:rsidRPr="00C90AC9">
              <w:rPr>
                <w:rFonts w:eastAsiaTheme="minorHAnsi" w:cs="Times New Roman"/>
                <w:szCs w:val="18"/>
                <w:lang w:eastAsia="en-US"/>
              </w:rPr>
              <w:t>Zurigat</w:t>
            </w:r>
            <w:proofErr w:type="spellEnd"/>
            <w:r w:rsidRPr="00C90AC9">
              <w:rPr>
                <w:rFonts w:eastAsiaTheme="minorHAnsi" w:cs="Times New Roman"/>
                <w:szCs w:val="18"/>
                <w:lang w:eastAsia="en-US"/>
              </w:rPr>
              <w:t xml:space="preserve">, Y.H., P.R. </w:t>
            </w:r>
            <w:proofErr w:type="spellStart"/>
            <w:r w:rsidRPr="00C90AC9">
              <w:rPr>
                <w:rFonts w:eastAsiaTheme="minorHAnsi" w:cs="Times New Roman"/>
                <w:szCs w:val="18"/>
                <w:lang w:eastAsia="en-US"/>
              </w:rPr>
              <w:t>Liche</w:t>
            </w:r>
            <w:proofErr w:type="spellEnd"/>
            <w:r w:rsidRPr="00C90AC9">
              <w:rPr>
                <w:rFonts w:eastAsiaTheme="minorHAnsi" w:cs="Times New Roman"/>
                <w:szCs w:val="18"/>
                <w:lang w:eastAsia="en-US"/>
              </w:rPr>
              <w:t xml:space="preserve">, A.J. </w:t>
            </w:r>
            <w:proofErr w:type="spellStart"/>
            <w:r w:rsidRPr="00C90AC9">
              <w:rPr>
                <w:rFonts w:eastAsiaTheme="minorHAnsi" w:cs="Times New Roman"/>
                <w:szCs w:val="18"/>
                <w:lang w:eastAsia="en-US"/>
              </w:rPr>
              <w:t>Ghajar</w:t>
            </w:r>
            <w:proofErr w:type="spellEnd"/>
          </w:p>
        </w:tc>
        <w:tc>
          <w:tcPr>
            <w:tcW w:w="1522"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1991</w:t>
            </w:r>
          </w:p>
        </w:tc>
        <w:tc>
          <w:tcPr>
            <w:tcW w:w="1966"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Richardson number</w:t>
            </w:r>
          </w:p>
        </w:tc>
        <w:tc>
          <w:tcPr>
            <w:tcW w:w="1603" w:type="dxa"/>
            <w:vAlign w:val="center"/>
          </w:tcPr>
          <w:p w:rsidR="00C0462B" w:rsidRPr="00C90AC9" w:rsidRDefault="00C0462B" w:rsidP="00F9457E">
            <w:pPr>
              <w:jc w:val="center"/>
              <w:rPr>
                <w:rFonts w:eastAsiaTheme="minorHAnsi"/>
                <w:lang w:eastAsia="en-US"/>
              </w:rPr>
            </w:pPr>
            <w:r w:rsidRPr="00C90AC9">
              <w:rPr>
                <w:rFonts w:eastAsiaTheme="minorHAnsi"/>
                <w:i/>
                <w:lang w:eastAsia="en-US"/>
              </w:rPr>
              <w:t>Ri</w:t>
            </w:r>
            <w:r w:rsidRPr="00C90AC9">
              <w:rPr>
                <w:rFonts w:eastAsiaTheme="minorHAnsi"/>
                <w:lang w:eastAsia="en-US"/>
              </w:rPr>
              <w:t xml:space="preserve"> &gt; 10</w:t>
            </w:r>
          </w:p>
        </w:tc>
        <w:tc>
          <w:tcPr>
            <w:tcW w:w="1745"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Inlet effect can be neglected</w:t>
            </w:r>
          </w:p>
        </w:tc>
      </w:tr>
      <w:tr w:rsidR="00C0462B" w:rsidRPr="00C90AC9" w:rsidTr="00784616">
        <w:trPr>
          <w:trHeight w:hRule="exact" w:val="994"/>
          <w:jc w:val="center"/>
        </w:trPr>
        <w:tc>
          <w:tcPr>
            <w:tcW w:w="2069" w:type="dxa"/>
            <w:vAlign w:val="center"/>
          </w:tcPr>
          <w:p w:rsidR="00C0462B" w:rsidRPr="00C90AC9" w:rsidRDefault="006F0C85" w:rsidP="00F9457E">
            <w:pPr>
              <w:jc w:val="center"/>
              <w:rPr>
                <w:rFonts w:eastAsiaTheme="minorHAnsi"/>
                <w:lang w:eastAsia="en-US"/>
              </w:rPr>
            </w:pPr>
            <w:sdt>
              <w:sdtPr>
                <w:rPr>
                  <w:rFonts w:eastAsiaTheme="minorHAnsi"/>
                  <w:lang w:eastAsia="en-US"/>
                </w:rPr>
                <w:alias w:val="Don't edit this field"/>
                <w:tag w:val="CitaviPlaceholder#ad465783-853c-4850-9ec5-e137ece86013"/>
                <w:id w:val="-1439668227"/>
              </w:sdtPr>
              <w:sdtEndPr/>
              <w:sdtContent>
                <w:r w:rsidR="00C0462B" w:rsidRPr="00C90AC9">
                  <w:rPr>
                    <w:rFonts w:eastAsiaTheme="minorHAnsi"/>
                    <w:lang w:eastAsia="en-US"/>
                  </w:rPr>
                  <w:fldChar w:fldCharType="begin"/>
                </w:r>
                <w:r w:rsidR="00C0462B" w:rsidRPr="00C90AC9">
                  <w:rPr>
                    <w:rFonts w:eastAsiaTheme="minorHAnsi"/>
                    <w:lang w:eastAsia="en-US"/>
                  </w:rPr>
                  <w:instrText>ADDIN CitaviPlaceholder{eyIkaWQiOiIxIiwiRW50cmllcyI6W3siJGlkIjoiMiIsIkhhc1RlbXBvcmFyeVJlZmVyZW5jZSI6dHJ1ZSwiSWQiOiI0MmEwOGVmZC1jY2Q1LTQwNmEtOTJiZC1lNTZlODUyOTI0NGMiLCJSYW5nZUxlbmd0aCI6MTAwLCJSZWZlcmVuY2VJZCI6ImJjODFiYWVmLTgyNWItNGFiNS04ZjgwLTM1MDYzMTAyOGY5YiIsIlJlZmVyZW5jZSI6eyIkaWQiOiIzIiwiQWJzdHJhY3RDb21wbGV4aXR5IjowLCJBYnN0cmFjdFNvdXJjZVRleHRGb3JtYXQiOjAsIkF1dGhvcnMiOlt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}</w:instrText>
                </w:r>
                <w:r w:rsidR="00C0462B" w:rsidRPr="00C90AC9">
                  <w:rPr>
                    <w:rFonts w:eastAsiaTheme="minorHAnsi"/>
                    <w:lang w:eastAsia="en-US"/>
                  </w:rPr>
                  <w:fldChar w:fldCharType="end"/>
                </w:r>
              </w:sdtContent>
            </w:sdt>
            <w:r w:rsidR="00C0462B" w:rsidRPr="00C90AC9">
              <w:rPr>
                <w:rFonts w:ascii="Segoe UI" w:eastAsiaTheme="minorHAnsi" w:hAnsi="Segoe UI" w:cs="Segoe UI"/>
                <w:sz w:val="18"/>
                <w:szCs w:val="18"/>
                <w:lang w:eastAsia="en-US"/>
              </w:rPr>
              <w:t xml:space="preserve"> </w:t>
            </w:r>
            <w:r w:rsidR="00C0462B" w:rsidRPr="00C90AC9">
              <w:rPr>
                <w:rFonts w:eastAsiaTheme="minorHAnsi"/>
                <w:lang w:eastAsia="en-US"/>
              </w:rPr>
              <w:t>Al-</w:t>
            </w:r>
            <w:proofErr w:type="spellStart"/>
            <w:r w:rsidR="00C0462B" w:rsidRPr="00C90AC9">
              <w:rPr>
                <w:rFonts w:eastAsiaTheme="minorHAnsi"/>
                <w:lang w:eastAsia="en-US"/>
              </w:rPr>
              <w:t>Nimr</w:t>
            </w:r>
            <w:proofErr w:type="spellEnd"/>
            <w:r w:rsidR="00C0462B" w:rsidRPr="00C90AC9">
              <w:rPr>
                <w:rFonts w:eastAsiaTheme="minorHAnsi"/>
                <w:lang w:eastAsia="en-US"/>
              </w:rPr>
              <w:t>, M. A.</w:t>
            </w:r>
          </w:p>
        </w:tc>
        <w:tc>
          <w:tcPr>
            <w:tcW w:w="1522"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1993</w:t>
            </w:r>
          </w:p>
        </w:tc>
        <w:tc>
          <w:tcPr>
            <w:tcW w:w="1966"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Peclet Number</w:t>
            </w:r>
          </w:p>
        </w:tc>
        <w:tc>
          <w:tcPr>
            <w:tcW w:w="1603"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At high Peclet</w:t>
            </w:r>
          </w:p>
        </w:tc>
        <w:tc>
          <w:tcPr>
            <w:tcW w:w="1745"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Stratification less apparent</w:t>
            </w:r>
          </w:p>
        </w:tc>
      </w:tr>
      <w:tr w:rsidR="00C0462B" w:rsidRPr="00C90AC9" w:rsidTr="00784616">
        <w:trPr>
          <w:trHeight w:hRule="exact" w:val="1830"/>
          <w:jc w:val="center"/>
        </w:trPr>
        <w:tc>
          <w:tcPr>
            <w:tcW w:w="2069"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L. Cai, W.E.S.</w:t>
            </w:r>
          </w:p>
        </w:tc>
        <w:tc>
          <w:tcPr>
            <w:tcW w:w="1522" w:type="dxa"/>
            <w:vAlign w:val="center"/>
          </w:tcPr>
          <w:p w:rsidR="00C0462B" w:rsidRPr="00C90AC9" w:rsidRDefault="006F0C85" w:rsidP="00F9457E">
            <w:pPr>
              <w:jc w:val="center"/>
              <w:rPr>
                <w:rFonts w:eastAsiaTheme="minorHAnsi"/>
                <w:lang w:eastAsia="en-US"/>
              </w:rPr>
            </w:pPr>
            <w:sdt>
              <w:sdtPr>
                <w:rPr>
                  <w:rFonts w:eastAsiaTheme="minorHAnsi"/>
                  <w:lang w:eastAsia="en-US"/>
                </w:rPr>
                <w:alias w:val="Don't edit this field"/>
                <w:tag w:val="CitaviPlaceholder#7a7abece-db2f-43a2-8993-c78fbeff489e"/>
                <w:id w:val="1706300280"/>
              </w:sdtPr>
              <w:sdtEndPr/>
              <w:sdtContent>
                <w:r w:rsidR="00C0462B" w:rsidRPr="00C90AC9">
                  <w:rPr>
                    <w:rFonts w:eastAsiaTheme="minorHAnsi"/>
                    <w:lang w:eastAsia="en-US"/>
                  </w:rPr>
                  <w:fldChar w:fldCharType="begin"/>
                </w:r>
                <w:r w:rsidR="00C0462B" w:rsidRPr="00C90AC9">
                  <w:rPr>
                    <w:rFonts w:eastAsiaTheme="minorHAnsi"/>
                    <w:lang w:eastAsia="en-US"/>
                  </w:rPr>
                  <w:instrText>ADDIN CitaviPlaceholder{eyIkaWQiOiIxIiwiRW50cmllcyI6W3siJGlkIjoiMiIsIkhhc1RlbXBvcmFyeVJlZmVyZW5jZSI6dHJ1ZSwiSWQiOiIyYTVjY2ZiZi1lMDUwLTRlYjgtOGU2Yy1lNzY3ODI4ZmM2ZDIiLCJSYW5nZUxlbmd0aCI6NTgsIlJlZmVyZW5jZUlkIjoiNmMzM2ZlNGEtODA0OS00MTYyLTg5ODgtZjg2MGUyMGUyZmY3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}</w:instrText>
                </w:r>
                <w:r w:rsidR="00C0462B" w:rsidRPr="00C90AC9">
                  <w:rPr>
                    <w:rFonts w:eastAsiaTheme="minorHAnsi"/>
                    <w:lang w:eastAsia="en-US"/>
                  </w:rPr>
                  <w:fldChar w:fldCharType="end"/>
                </w:r>
              </w:sdtContent>
            </w:sdt>
            <w:r w:rsidR="00C0462B" w:rsidRPr="00C90AC9">
              <w:rPr>
                <w:rFonts w:eastAsiaTheme="minorHAnsi"/>
                <w:lang w:eastAsia="en-US"/>
              </w:rPr>
              <w:t>1993</w:t>
            </w:r>
          </w:p>
        </w:tc>
        <w:tc>
          <w:tcPr>
            <w:tcW w:w="1966"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Archimedean number and Reynolds number</w:t>
            </w:r>
          </w:p>
        </w:tc>
        <w:tc>
          <w:tcPr>
            <w:tcW w:w="1603" w:type="dxa"/>
            <w:vAlign w:val="center"/>
          </w:tcPr>
          <w:p w:rsidR="00C0462B" w:rsidRPr="00C90AC9" w:rsidRDefault="00C0462B" w:rsidP="00F9457E">
            <w:pPr>
              <w:jc w:val="center"/>
              <w:rPr>
                <w:rFonts w:eastAsiaTheme="minorHAnsi"/>
                <w:lang w:eastAsia="en-US"/>
              </w:rPr>
            </w:pPr>
            <w:proofErr w:type="spellStart"/>
            <w:r w:rsidRPr="00C90AC9">
              <w:rPr>
                <w:rFonts w:eastAsiaTheme="minorHAnsi"/>
                <w:i/>
                <w:lang w:eastAsia="en-US"/>
              </w:rPr>
              <w:t>Ar</w:t>
            </w:r>
            <w:proofErr w:type="spellEnd"/>
            <w:r w:rsidRPr="00C90AC9">
              <w:rPr>
                <w:rFonts w:eastAsiaTheme="minorHAnsi"/>
                <w:lang w:eastAsia="en-US"/>
              </w:rPr>
              <w:t xml:space="preserve"> &gt; 5 and </w:t>
            </w:r>
            <w:r w:rsidRPr="00C90AC9">
              <w:rPr>
                <w:rFonts w:eastAsiaTheme="minorHAnsi"/>
                <w:i/>
                <w:lang w:eastAsia="en-US"/>
              </w:rPr>
              <w:t>Re</w:t>
            </w:r>
            <w:r w:rsidRPr="00C90AC9">
              <w:rPr>
                <w:rFonts w:eastAsiaTheme="minorHAnsi"/>
                <w:lang w:eastAsia="en-US"/>
              </w:rPr>
              <w:t xml:space="preserve"> &lt; 1000</w:t>
            </w:r>
          </w:p>
        </w:tc>
        <w:tc>
          <w:tcPr>
            <w:tcW w:w="1745"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The cold fluid will not extensively mix with the warmer fluid</w:t>
            </w:r>
          </w:p>
        </w:tc>
      </w:tr>
      <w:tr w:rsidR="00C0462B" w:rsidRPr="00C90AC9" w:rsidTr="00784616">
        <w:trPr>
          <w:trHeight w:hRule="exact" w:val="1559"/>
          <w:jc w:val="center"/>
        </w:trPr>
        <w:tc>
          <w:tcPr>
            <w:tcW w:w="2069"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 xml:space="preserve">van </w:t>
            </w:r>
            <w:proofErr w:type="spellStart"/>
            <w:r w:rsidRPr="00C90AC9">
              <w:rPr>
                <w:rFonts w:eastAsiaTheme="minorHAnsi"/>
                <w:lang w:eastAsia="en-US"/>
              </w:rPr>
              <w:t>Berkel</w:t>
            </w:r>
            <w:proofErr w:type="spellEnd"/>
            <w:r w:rsidRPr="00C90AC9">
              <w:rPr>
                <w:rFonts w:eastAsiaTheme="minorHAnsi"/>
                <w:lang w:eastAsia="en-US"/>
              </w:rPr>
              <w:t xml:space="preserve">, J., C.C.M. </w:t>
            </w:r>
            <w:proofErr w:type="spellStart"/>
            <w:r w:rsidRPr="00C90AC9">
              <w:rPr>
                <w:rFonts w:eastAsiaTheme="minorHAnsi"/>
                <w:lang w:eastAsia="en-US"/>
              </w:rPr>
              <w:t>Rindt</w:t>
            </w:r>
            <w:proofErr w:type="spellEnd"/>
            <w:r w:rsidRPr="00C90AC9">
              <w:rPr>
                <w:rFonts w:eastAsiaTheme="minorHAnsi"/>
                <w:lang w:eastAsia="en-US"/>
              </w:rPr>
              <w:t>,</w:t>
            </w:r>
          </w:p>
          <w:p w:rsidR="00C0462B" w:rsidRPr="00C90AC9" w:rsidRDefault="00C0462B" w:rsidP="00F9457E">
            <w:pPr>
              <w:jc w:val="center"/>
              <w:rPr>
                <w:rFonts w:eastAsiaTheme="minorHAnsi"/>
                <w:lang w:eastAsia="en-US"/>
              </w:rPr>
            </w:pPr>
            <w:r w:rsidRPr="00C90AC9">
              <w:rPr>
                <w:rFonts w:eastAsiaTheme="minorHAnsi"/>
                <w:lang w:eastAsia="en-US"/>
              </w:rPr>
              <w:t xml:space="preserve">A.A. van </w:t>
            </w:r>
            <w:proofErr w:type="spellStart"/>
            <w:r w:rsidRPr="00C90AC9">
              <w:rPr>
                <w:rFonts w:eastAsiaTheme="minorHAnsi"/>
                <w:lang w:eastAsia="en-US"/>
              </w:rPr>
              <w:t>Steenhoven</w:t>
            </w:r>
            <w:proofErr w:type="spellEnd"/>
          </w:p>
        </w:tc>
        <w:tc>
          <w:tcPr>
            <w:tcW w:w="1522"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1999</w:t>
            </w:r>
          </w:p>
        </w:tc>
        <w:tc>
          <w:tcPr>
            <w:tcW w:w="1966"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Richardson number</w:t>
            </w:r>
          </w:p>
        </w:tc>
        <w:tc>
          <w:tcPr>
            <w:tcW w:w="1603" w:type="dxa"/>
            <w:vAlign w:val="center"/>
          </w:tcPr>
          <w:p w:rsidR="00C0462B" w:rsidRPr="00C90AC9" w:rsidRDefault="00C0462B" w:rsidP="00F9457E">
            <w:pPr>
              <w:jc w:val="center"/>
              <w:rPr>
                <w:rFonts w:eastAsiaTheme="minorHAnsi"/>
                <w:lang w:eastAsia="en-US"/>
              </w:rPr>
            </w:pPr>
            <w:r w:rsidRPr="00C90AC9">
              <w:rPr>
                <w:rFonts w:eastAsiaTheme="minorHAnsi"/>
                <w:i/>
                <w:lang w:eastAsia="en-US"/>
              </w:rPr>
              <w:t>Ri</w:t>
            </w:r>
            <w:r w:rsidRPr="00C90AC9">
              <w:rPr>
                <w:rFonts w:eastAsiaTheme="minorHAnsi"/>
                <w:lang w:eastAsia="en-US"/>
              </w:rPr>
              <w:t xml:space="preserve"> 10-20</w:t>
            </w:r>
          </w:p>
        </w:tc>
        <w:tc>
          <w:tcPr>
            <w:tcW w:w="1745"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Clear mixing appearing</w:t>
            </w:r>
          </w:p>
        </w:tc>
      </w:tr>
      <w:tr w:rsidR="00C0462B" w:rsidRPr="00C90AC9" w:rsidTr="00784616">
        <w:trPr>
          <w:trHeight w:hRule="exact" w:val="1422"/>
          <w:jc w:val="center"/>
        </w:trPr>
        <w:tc>
          <w:tcPr>
            <w:tcW w:w="2069" w:type="dxa"/>
            <w:vAlign w:val="center"/>
          </w:tcPr>
          <w:p w:rsidR="00C0462B" w:rsidRPr="00C90AC9" w:rsidRDefault="00C0462B" w:rsidP="00F9457E">
            <w:pPr>
              <w:jc w:val="center"/>
              <w:rPr>
                <w:rFonts w:eastAsiaTheme="minorHAnsi"/>
                <w:lang w:eastAsia="en-US"/>
              </w:rPr>
            </w:pPr>
            <w:r w:rsidRPr="00C90AC9">
              <w:rPr>
                <w:rFonts w:eastAsiaTheme="minorHAnsi"/>
                <w:lang w:eastAsia="en-US"/>
              </w:rPr>
              <w:lastRenderedPageBreak/>
              <w:t xml:space="preserve">K. </w:t>
            </w:r>
            <w:proofErr w:type="spellStart"/>
            <w:r w:rsidRPr="00C90AC9">
              <w:rPr>
                <w:rFonts w:eastAsiaTheme="minorHAnsi"/>
                <w:lang w:eastAsia="en-US"/>
              </w:rPr>
              <w:t>Vejen</w:t>
            </w:r>
            <w:proofErr w:type="spellEnd"/>
            <w:r w:rsidRPr="00C90AC9">
              <w:rPr>
                <w:rFonts w:eastAsiaTheme="minorHAnsi"/>
                <w:lang w:eastAsia="en-US"/>
              </w:rPr>
              <w:t>, S.F., L.J. Shah</w:t>
            </w:r>
          </w:p>
        </w:tc>
        <w:tc>
          <w:tcPr>
            <w:tcW w:w="1522"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2001</w:t>
            </w:r>
          </w:p>
        </w:tc>
        <w:tc>
          <w:tcPr>
            <w:tcW w:w="1966"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Froude number and Reynolds number</w:t>
            </w:r>
          </w:p>
        </w:tc>
        <w:tc>
          <w:tcPr>
            <w:tcW w:w="1603"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Re = 6000</w:t>
            </w:r>
          </w:p>
        </w:tc>
        <w:tc>
          <w:tcPr>
            <w:tcW w:w="1745"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Does not result in a significantly thermo-dine</w:t>
            </w:r>
          </w:p>
        </w:tc>
      </w:tr>
      <w:tr w:rsidR="00C0462B" w:rsidRPr="00C90AC9" w:rsidTr="00784616">
        <w:trPr>
          <w:trHeight w:hRule="exact" w:val="1573"/>
          <w:jc w:val="center"/>
        </w:trPr>
        <w:tc>
          <w:tcPr>
            <w:tcW w:w="2069" w:type="dxa"/>
            <w:vAlign w:val="center"/>
          </w:tcPr>
          <w:p w:rsidR="00C0462B" w:rsidRPr="00C90AC9" w:rsidRDefault="00C0462B" w:rsidP="00F9457E">
            <w:pPr>
              <w:jc w:val="center"/>
              <w:rPr>
                <w:rFonts w:eastAsiaTheme="minorHAnsi"/>
                <w:lang w:eastAsia="en-US"/>
              </w:rPr>
            </w:pPr>
            <w:r w:rsidRPr="00C90AC9">
              <w:t>Stewart</w:t>
            </w:r>
          </w:p>
        </w:tc>
        <w:tc>
          <w:tcPr>
            <w:tcW w:w="1522"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2001</w:t>
            </w:r>
          </w:p>
        </w:tc>
        <w:tc>
          <w:tcPr>
            <w:tcW w:w="1966" w:type="dxa"/>
            <w:vAlign w:val="center"/>
          </w:tcPr>
          <w:p w:rsidR="00C0462B" w:rsidRPr="00C90AC9" w:rsidRDefault="00C0462B" w:rsidP="00F9457E">
            <w:pPr>
              <w:jc w:val="center"/>
              <w:rPr>
                <w:rFonts w:eastAsiaTheme="minorHAnsi"/>
                <w:lang w:eastAsia="en-US"/>
              </w:rPr>
            </w:pPr>
            <w:proofErr w:type="spellStart"/>
            <w:r w:rsidRPr="00C90AC9">
              <w:t>Foude</w:t>
            </w:r>
            <w:proofErr w:type="spellEnd"/>
            <w:r w:rsidRPr="00C90AC9">
              <w:t xml:space="preserve"> number and Reynolds number</w:t>
            </w:r>
          </w:p>
        </w:tc>
        <w:tc>
          <w:tcPr>
            <w:tcW w:w="1603" w:type="dxa"/>
            <w:vAlign w:val="center"/>
          </w:tcPr>
          <w:p w:rsidR="00C0462B" w:rsidRPr="00C90AC9" w:rsidRDefault="00C0462B" w:rsidP="00F9457E">
            <w:pPr>
              <w:jc w:val="center"/>
              <w:rPr>
                <w:rFonts w:eastAsiaTheme="minorHAnsi"/>
                <w:lang w:eastAsia="en-US"/>
              </w:rPr>
            </w:pPr>
            <w:r w:rsidRPr="00C90AC9">
              <w:t>Re = 6000</w:t>
            </w:r>
          </w:p>
        </w:tc>
        <w:tc>
          <w:tcPr>
            <w:tcW w:w="1745" w:type="dxa"/>
            <w:vAlign w:val="center"/>
          </w:tcPr>
          <w:p w:rsidR="00C0462B" w:rsidRPr="00C90AC9" w:rsidRDefault="00C0462B" w:rsidP="00F9457E">
            <w:pPr>
              <w:jc w:val="center"/>
              <w:rPr>
                <w:rFonts w:eastAsiaTheme="minorHAnsi"/>
                <w:lang w:eastAsia="en-US"/>
              </w:rPr>
            </w:pPr>
            <w:r w:rsidRPr="00C90AC9">
              <w:t xml:space="preserve">Does not result in a significantly thermo-dine </w:t>
            </w:r>
          </w:p>
        </w:tc>
      </w:tr>
      <w:tr w:rsidR="00C0462B" w:rsidRPr="00C90AC9" w:rsidTr="00784616">
        <w:trPr>
          <w:trHeight w:hRule="exact" w:val="1130"/>
          <w:jc w:val="center"/>
        </w:trPr>
        <w:tc>
          <w:tcPr>
            <w:tcW w:w="2069"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 xml:space="preserve">K. </w:t>
            </w:r>
            <w:proofErr w:type="spellStart"/>
            <w:r w:rsidRPr="00C90AC9">
              <w:rPr>
                <w:rFonts w:eastAsiaTheme="minorHAnsi"/>
                <w:lang w:eastAsia="en-US"/>
              </w:rPr>
              <w:t>Vejen</w:t>
            </w:r>
            <w:proofErr w:type="spellEnd"/>
          </w:p>
        </w:tc>
        <w:tc>
          <w:tcPr>
            <w:tcW w:w="1522"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2004</w:t>
            </w:r>
          </w:p>
        </w:tc>
        <w:tc>
          <w:tcPr>
            <w:tcW w:w="1966"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Richardson number</w:t>
            </w:r>
          </w:p>
        </w:tc>
        <w:tc>
          <w:tcPr>
            <w:tcW w:w="1603" w:type="dxa"/>
            <w:vAlign w:val="center"/>
          </w:tcPr>
          <w:p w:rsidR="00C0462B" w:rsidRPr="00C90AC9" w:rsidRDefault="00C0462B" w:rsidP="00F9457E">
            <w:pPr>
              <w:jc w:val="center"/>
              <w:rPr>
                <w:rFonts w:eastAsiaTheme="minorHAnsi"/>
                <w:lang w:eastAsia="en-US"/>
              </w:rPr>
            </w:pPr>
            <w:r w:rsidRPr="00C90AC9">
              <w:rPr>
                <w:rFonts w:eastAsiaTheme="minorHAnsi"/>
                <w:i/>
                <w:lang w:eastAsia="en-US"/>
              </w:rPr>
              <w:t>Ri</w:t>
            </w:r>
            <w:r w:rsidRPr="00C90AC9">
              <w:rPr>
                <w:rFonts w:eastAsiaTheme="minorHAnsi"/>
                <w:lang w:eastAsia="en-US"/>
              </w:rPr>
              <w:t xml:space="preserve"> = 0.615</w:t>
            </w:r>
          </w:p>
        </w:tc>
        <w:tc>
          <w:tcPr>
            <w:tcW w:w="1745"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Stratification is observed</w:t>
            </w:r>
          </w:p>
        </w:tc>
      </w:tr>
      <w:tr w:rsidR="00C0462B" w:rsidRPr="00C90AC9" w:rsidTr="00784616">
        <w:trPr>
          <w:trHeight w:hRule="exact" w:val="3096"/>
          <w:jc w:val="center"/>
        </w:trPr>
        <w:tc>
          <w:tcPr>
            <w:tcW w:w="2069" w:type="dxa"/>
            <w:vAlign w:val="center"/>
          </w:tcPr>
          <w:p w:rsidR="00C0462B" w:rsidRPr="00C90AC9" w:rsidRDefault="00C0462B" w:rsidP="00F9457E">
            <w:pPr>
              <w:jc w:val="center"/>
              <w:rPr>
                <w:rFonts w:eastAsiaTheme="minorHAnsi"/>
                <w:lang w:eastAsia="en-US"/>
              </w:rPr>
            </w:pPr>
            <w:proofErr w:type="spellStart"/>
            <w:r w:rsidRPr="00C90AC9">
              <w:rPr>
                <w:rFonts w:eastAsiaTheme="minorHAnsi"/>
                <w:lang w:eastAsia="en-US"/>
              </w:rPr>
              <w:t>Kenjo</w:t>
            </w:r>
            <w:proofErr w:type="spellEnd"/>
            <w:r w:rsidRPr="00C90AC9">
              <w:rPr>
                <w:rFonts w:eastAsiaTheme="minorHAnsi"/>
                <w:lang w:eastAsia="en-US"/>
              </w:rPr>
              <w:t xml:space="preserve"> &amp; </w:t>
            </w:r>
            <w:proofErr w:type="spellStart"/>
            <w:r w:rsidRPr="00C90AC9">
              <w:rPr>
                <w:rFonts w:eastAsiaTheme="minorHAnsi"/>
                <w:lang w:eastAsia="en-US"/>
              </w:rPr>
              <w:t>Caccavelli</w:t>
            </w:r>
            <w:proofErr w:type="spellEnd"/>
          </w:p>
        </w:tc>
        <w:tc>
          <w:tcPr>
            <w:tcW w:w="1522"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2007</w:t>
            </w:r>
          </w:p>
        </w:tc>
        <w:tc>
          <w:tcPr>
            <w:tcW w:w="1966"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Water introduced to tank at different heights</w:t>
            </w:r>
          </w:p>
        </w:tc>
        <w:tc>
          <w:tcPr>
            <w:tcW w:w="1603"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Improvements to stratification can be made with significant modifications to designer of hot water tank</w:t>
            </w:r>
          </w:p>
        </w:tc>
        <w:tc>
          <w:tcPr>
            <w:tcW w:w="1745"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Stratification is observed and preserved</w:t>
            </w:r>
          </w:p>
        </w:tc>
      </w:tr>
      <w:tr w:rsidR="00C0462B" w:rsidRPr="00C90AC9" w:rsidTr="00784616">
        <w:trPr>
          <w:trHeight w:hRule="exact" w:val="2657"/>
          <w:jc w:val="center"/>
        </w:trPr>
        <w:tc>
          <w:tcPr>
            <w:tcW w:w="2069"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Y. M. Han et al</w:t>
            </w:r>
          </w:p>
        </w:tc>
        <w:tc>
          <w:tcPr>
            <w:tcW w:w="1522"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2009</w:t>
            </w:r>
          </w:p>
        </w:tc>
        <w:tc>
          <w:tcPr>
            <w:tcW w:w="1966"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Height of tank, coil position</w:t>
            </w:r>
          </w:p>
        </w:tc>
        <w:tc>
          <w:tcPr>
            <w:tcW w:w="1603"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Heat exchanger position should be located in the upper part of the tank</w:t>
            </w:r>
          </w:p>
        </w:tc>
        <w:tc>
          <w:tcPr>
            <w:tcW w:w="1745"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Stratification influenced predominantly by inlet and outlet conditions</w:t>
            </w:r>
          </w:p>
        </w:tc>
      </w:tr>
      <w:tr w:rsidR="00C0462B" w:rsidRPr="00C90AC9" w:rsidTr="00784616">
        <w:trPr>
          <w:trHeight w:hRule="exact" w:val="3655"/>
          <w:jc w:val="center"/>
        </w:trPr>
        <w:tc>
          <w:tcPr>
            <w:tcW w:w="2069"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Brown &amp; Lai</w:t>
            </w:r>
          </w:p>
        </w:tc>
        <w:tc>
          <w:tcPr>
            <w:tcW w:w="1522"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2011</w:t>
            </w:r>
          </w:p>
        </w:tc>
        <w:tc>
          <w:tcPr>
            <w:tcW w:w="1966" w:type="dxa"/>
            <w:vAlign w:val="center"/>
          </w:tcPr>
          <w:p w:rsidR="00C0462B" w:rsidRPr="00C90AC9" w:rsidRDefault="00C0462B" w:rsidP="00F9457E">
            <w:pPr>
              <w:jc w:val="center"/>
              <w:rPr>
                <w:rFonts w:eastAsiaTheme="minorHAnsi"/>
                <w:lang w:eastAsia="en-US"/>
              </w:rPr>
            </w:pPr>
            <w:r w:rsidRPr="00C90AC9">
              <w:rPr>
                <w:i/>
              </w:rPr>
              <w:t>Ri</w:t>
            </w:r>
            <w:r w:rsidRPr="00C90AC9">
              <w:t xml:space="preserve"> = 0.615</w:t>
            </w:r>
          </w:p>
        </w:tc>
        <w:tc>
          <w:tcPr>
            <w:tcW w:w="1603" w:type="dxa"/>
            <w:vAlign w:val="center"/>
          </w:tcPr>
          <w:p w:rsidR="00C0462B" w:rsidRPr="00C90AC9" w:rsidRDefault="00C0462B" w:rsidP="00F9457E">
            <w:pPr>
              <w:jc w:val="center"/>
              <w:rPr>
                <w:rFonts w:eastAsiaTheme="minorHAnsi"/>
                <w:lang w:eastAsia="en-US"/>
              </w:rPr>
            </w:pPr>
            <w:r w:rsidRPr="00C90AC9">
              <w:rPr>
                <w:rFonts w:eastAsiaTheme="minorHAnsi"/>
                <w:lang w:eastAsia="en-US"/>
              </w:rPr>
              <w:t xml:space="preserve">A porous manifold was successfully used to reduce shear-induced mixing of fluids at different temperatures </w:t>
            </w:r>
          </w:p>
        </w:tc>
        <w:tc>
          <w:tcPr>
            <w:tcW w:w="1745" w:type="dxa"/>
            <w:vAlign w:val="center"/>
          </w:tcPr>
          <w:p w:rsidR="00C0462B" w:rsidRPr="00C90AC9" w:rsidRDefault="00C0462B" w:rsidP="00F9457E">
            <w:pPr>
              <w:jc w:val="center"/>
              <w:rPr>
                <w:rFonts w:eastAsiaTheme="minorHAnsi"/>
                <w:lang w:eastAsia="en-US"/>
              </w:rPr>
            </w:pPr>
            <w:r w:rsidRPr="00C90AC9">
              <w:t>Stratification is observed at a Richardson value as low as 0.615</w:t>
            </w:r>
          </w:p>
        </w:tc>
      </w:tr>
    </w:tbl>
    <w:p w:rsidR="00C0462B" w:rsidRPr="00C90AC9" w:rsidRDefault="00C0462B" w:rsidP="00C0462B">
      <w:pPr>
        <w:rPr>
          <w:rStyle w:val="SubtleEmphasis"/>
          <w:rFonts w:eastAsiaTheme="minorHAnsi" w:cs="Times New Roman"/>
          <w:i/>
          <w:iCs/>
          <w:sz w:val="24"/>
          <w:szCs w:val="24"/>
          <w:lang w:eastAsia="en-US"/>
        </w:rPr>
      </w:pPr>
    </w:p>
    <w:p w:rsidR="00C0462B" w:rsidRPr="00C90AC9" w:rsidRDefault="00C0462B" w:rsidP="00C0462B">
      <w:pPr>
        <w:pStyle w:val="Heading1"/>
      </w:pPr>
      <w:r w:rsidRPr="00C90AC9">
        <w:rPr>
          <w:rStyle w:val="SubtleEmphasis"/>
        </w:rPr>
        <w:lastRenderedPageBreak/>
        <w:t>The use of weather data in previous studies</w:t>
      </w:r>
    </w:p>
    <w:p w:rsidR="00C0462B" w:rsidRPr="00C90AC9" w:rsidRDefault="00C0462B" w:rsidP="00C0462B">
      <w:pPr>
        <w:pStyle w:val="BodyTextFirstIndent"/>
        <w:spacing w:line="360" w:lineRule="auto"/>
        <w:ind w:firstLine="357"/>
        <w:rPr>
          <w:rFonts w:eastAsiaTheme="majorEastAsia"/>
          <w:lang w:eastAsia="en-US"/>
        </w:rPr>
      </w:pPr>
      <w:r w:rsidRPr="00C90AC9">
        <w:rPr>
          <w:rFonts w:eastAsiaTheme="majorEastAsia"/>
          <w:lang w:eastAsia="en-US"/>
        </w:rPr>
        <w:t xml:space="preserve">A number of previous studies have utilised weather data in the testing of computer models of STPs to better improve the performance of the systems  </w:t>
      </w:r>
      <w:r w:rsidRPr="00C90AC9">
        <w:rPr>
          <w:rFonts w:eastAsiaTheme="majorEastAsia"/>
          <w:lang w:eastAsia="en-US"/>
        </w:rPr>
        <w:fldChar w:fldCharType="begin">
          <w:fldData xml:space="preserve">PEVuZE5vdGU+PENpdGU+PEF1dGhvcj5QcnVk4oCZaG9tbWU8L0F1dGhvcj48WWVhcj4yMDAxPC9Z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</w:fldData>
        </w:fldChar>
      </w:r>
      <w:r w:rsidRPr="00C90AC9">
        <w:rPr>
          <w:rFonts w:eastAsiaTheme="majorEastAsia"/>
          <w:lang w:eastAsia="en-US"/>
        </w:rPr>
        <w:instrText xml:space="preserve"> ADDIN EN.CITE </w:instrText>
      </w:r>
      <w:r w:rsidRPr="00C90AC9">
        <w:rPr>
          <w:rFonts w:eastAsiaTheme="majorEastAsia"/>
          <w:lang w:eastAsia="en-US"/>
        </w:rPr>
        <w:fldChar w:fldCharType="begin">
          <w:fldData xml:space="preserve">PEVuZE5vdGU+PENpdGU+PEF1dGhvcj5QcnVk4oCZaG9tbWU8L0F1dGhvcj48WWVhcj4yMDAxPC9Z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</w:fldData>
        </w:fldChar>
      </w:r>
      <w:r w:rsidRPr="00C90AC9">
        <w:rPr>
          <w:rFonts w:eastAsiaTheme="majorEastAsia"/>
          <w:lang w:eastAsia="en-US"/>
        </w:rPr>
        <w:instrText xml:space="preserve"> ADDIN EN.CITE.DATA </w:instrText>
      </w:r>
      <w:r w:rsidRPr="00C90AC9">
        <w:rPr>
          <w:rFonts w:eastAsiaTheme="majorEastAsia"/>
          <w:lang w:eastAsia="en-US"/>
        </w:rPr>
      </w:r>
      <w:r w:rsidRPr="00C90AC9">
        <w:rPr>
          <w:rFonts w:eastAsiaTheme="majorEastAsia"/>
          <w:lang w:eastAsia="en-US"/>
        </w:rPr>
        <w:fldChar w:fldCharType="end"/>
      </w:r>
      <w:r w:rsidRPr="00C90AC9">
        <w:rPr>
          <w:rFonts w:eastAsiaTheme="majorEastAsia"/>
          <w:lang w:eastAsia="en-US"/>
        </w:rPr>
      </w:r>
      <w:r w:rsidRPr="00C90AC9">
        <w:rPr>
          <w:rFonts w:eastAsiaTheme="majorEastAsia"/>
          <w:lang w:eastAsia="en-US"/>
        </w:rPr>
        <w:fldChar w:fldCharType="separate"/>
      </w:r>
      <w:r w:rsidRPr="00C90AC9">
        <w:rPr>
          <w:rFonts w:eastAsiaTheme="majorEastAsia"/>
          <w:lang w:eastAsia="en-US"/>
        </w:rPr>
        <w:t>(Bornatico, Pfeiffer, Witzig, &amp; Guzzella, 2012; Prud’homme &amp; Gillet, 2001)</w:t>
      </w:r>
      <w:r w:rsidRPr="00C90AC9">
        <w:rPr>
          <w:rFonts w:eastAsiaTheme="majorEastAsia"/>
          <w:lang w:eastAsia="en-US"/>
        </w:rPr>
        <w:fldChar w:fldCharType="end"/>
      </w:r>
      <w:r w:rsidRPr="00C90AC9">
        <w:rPr>
          <w:rFonts w:eastAsiaTheme="majorEastAsia"/>
          <w:lang w:eastAsia="en-US"/>
        </w:rPr>
        <w:t xml:space="preserve">. </w:t>
      </w:r>
      <w:proofErr w:type="spellStart"/>
      <w:r w:rsidRPr="00C90AC9">
        <w:rPr>
          <w:rFonts w:eastAsiaTheme="majorEastAsia"/>
          <w:lang w:eastAsia="en-US"/>
        </w:rPr>
        <w:t>Bornatico</w:t>
      </w:r>
      <w:proofErr w:type="spellEnd"/>
      <w:r w:rsidRPr="00C90AC9">
        <w:rPr>
          <w:rFonts w:eastAsiaTheme="majorEastAsia"/>
          <w:lang w:eastAsia="en-US"/>
        </w:rPr>
        <w:t xml:space="preserve"> et al, 2012, recognised that the accuracy of solar thermal systems modelling is largely dependent on the availability of realistic data for such parameters as the solar irradiation, humidity etc .</w:t>
      </w:r>
      <w:r w:rsidRPr="00C90AC9">
        <w:rPr>
          <w:rFonts w:eastAsiaTheme="majorEastAsia"/>
          <w:lang w:eastAsia="en-US"/>
        </w:rPr>
        <w:fldChar w:fldCharType="begin"/>
      </w:r>
      <w:r w:rsidRPr="00C90AC9">
        <w:rPr>
          <w:rFonts w:eastAsiaTheme="majorEastAsia"/>
          <w:lang w:eastAsia="en-US"/>
        </w:rPr>
        <w:instrText xml:space="preserve"> ADDIN EN.CITE &lt;EndNote&gt;&lt;Cite&gt;&lt;Author&gt;Bornatico&lt;/Author&gt;&lt;Year&gt;2012&lt;/Year&gt;&lt;RecNum&gt;214&lt;/RecNum&gt;&lt;DisplayText&gt;(Bornatico et al., 2012)&lt;/DisplayText&gt;&lt;record&gt;&lt;rec-number&gt;214&lt;/rec-number&gt;&lt;foreign-keys&gt;&lt;key app="EN" db-id="50wxdpzd9vd5r7e9t5b595djrfpttrxw9avp" timestamp="1525540415"&gt;214&lt;/key&gt;&lt;/foreign-keys&gt;&lt;ref-type name="Journal Article"&gt;17&lt;/ref-type&gt;&lt;contributors&gt;&lt;authors&gt;&lt;author&gt;Bornatico, Raffaele&lt;/author&gt;&lt;author&gt;Pfeiffer, Michael&lt;/author&gt;&lt;author&gt;Witzig, Andreas&lt;/author&gt;&lt;author&gt;Guzzella, Lino&lt;/author&gt;&lt;/authors&gt;&lt;/contributors&gt;&lt;titles&gt;&lt;title&gt;Optimal sizing of a solar thermal building installation using particle swarm optimization&lt;/title&gt;&lt;secondary-title&gt;Energy&lt;/secondary-title&gt;&lt;/titles&gt;&lt;pages&gt;31-37&lt;/pages&gt;&lt;volume&gt;41&lt;/volume&gt;&lt;number&gt;1&lt;/number&gt;&lt;keywords&gt;&lt;keyword&gt;Particle swarm optimization&lt;/keyword&gt;&lt;keyword&gt;Multi-objective optimization&lt;/keyword&gt;&lt;keyword&gt;Polysun&lt;/keyword&gt;&lt;keyword&gt;Solar combisystem&lt;/keyword&gt;&lt;keyword&gt;Solar energy&lt;/keyword&gt;&lt;keyword&gt;Smart building&lt;/keyword&gt;&lt;/keywords&gt;&lt;dates&gt;&lt;year&gt;2012&lt;/year&gt;&lt;pub-dates&gt;&lt;date&gt;2012/05/01/&lt;/date&gt;&lt;/pub-dates&gt;&lt;/dates&gt;&lt;isbn&gt;0360-5442&lt;/isbn&gt;&lt;urls&gt;&lt;related-urls&gt;&lt;url&gt;http://www.sciencedirect.com/science/article/pii/S0360544211003513&lt;/url&gt;&lt;/related-urls&gt;&lt;/urls&gt;&lt;electronic-resource-num&gt;https://doi.org/10.1016/j.energy.2011.05.026&lt;/electronic-resource-num&gt;&lt;/record&gt;&lt;/Cite&gt;&lt;/EndNote&gt;</w:instrText>
      </w:r>
      <w:r w:rsidRPr="00C90AC9">
        <w:rPr>
          <w:rFonts w:eastAsiaTheme="majorEastAsia"/>
          <w:lang w:eastAsia="en-US"/>
        </w:rPr>
        <w:fldChar w:fldCharType="separate"/>
      </w:r>
      <w:r w:rsidRPr="00C90AC9">
        <w:rPr>
          <w:rFonts w:eastAsiaTheme="majorEastAsia"/>
          <w:lang w:eastAsia="en-US"/>
        </w:rPr>
        <w:t>(Bornatico et al., 2012)</w:t>
      </w:r>
      <w:r w:rsidRPr="00C90AC9">
        <w:rPr>
          <w:rFonts w:eastAsiaTheme="majorEastAsia"/>
          <w:lang w:eastAsia="en-US"/>
        </w:rPr>
        <w:fldChar w:fldCharType="end"/>
      </w:r>
      <w:r w:rsidR="007A3242" w:rsidRPr="00C90AC9">
        <w:rPr>
          <w:rFonts w:eastAsiaTheme="majorEastAsia"/>
          <w:lang w:eastAsia="en-US"/>
        </w:rPr>
        <w:t xml:space="preserve">. </w:t>
      </w:r>
      <w:r w:rsidRPr="00C90AC9">
        <w:rPr>
          <w:rFonts w:eastAsiaTheme="majorEastAsia"/>
          <w:lang w:eastAsia="en-US"/>
        </w:rPr>
        <w:t>To determine the optimal size of some components of a solar thermal system they utilised a Particle Swarm Optimisation (PSO) and the wea</w:t>
      </w:r>
      <w:r w:rsidR="007A3242" w:rsidRPr="00C90AC9">
        <w:rPr>
          <w:rFonts w:eastAsiaTheme="majorEastAsia"/>
          <w:lang w:eastAsia="en-US"/>
        </w:rPr>
        <w:t>ther data as shown in Figure 2.</w:t>
      </w:r>
      <w:r w:rsidR="003369B2" w:rsidRPr="00C90AC9">
        <w:rPr>
          <w:rFonts w:eastAsiaTheme="majorEastAsia"/>
          <w:lang w:eastAsia="en-US"/>
        </w:rPr>
        <w:t>7</w:t>
      </w:r>
      <w:r w:rsidRPr="00C90AC9">
        <w:rPr>
          <w:rFonts w:eastAsiaTheme="majorEastAsia"/>
          <w:lang w:eastAsia="en-US"/>
        </w:rPr>
        <w:t xml:space="preserve">. for a mid-sized family home in Swiss city of Zurich. The results of the PSO were compared with the </w:t>
      </w:r>
      <w:proofErr w:type="gramStart"/>
      <w:r w:rsidRPr="00C90AC9">
        <w:rPr>
          <w:rFonts w:eastAsiaTheme="majorEastAsia"/>
          <w:lang w:eastAsia="en-US"/>
        </w:rPr>
        <w:t>general  Genetic</w:t>
      </w:r>
      <w:proofErr w:type="gramEnd"/>
      <w:r w:rsidRPr="00C90AC9">
        <w:rPr>
          <w:rFonts w:eastAsiaTheme="majorEastAsia"/>
          <w:lang w:eastAsia="en-US"/>
        </w:rPr>
        <w:t xml:space="preserve"> Algorithm (GA). The </w:t>
      </w:r>
      <w:proofErr w:type="spellStart"/>
      <w:r w:rsidRPr="00C90AC9">
        <w:rPr>
          <w:rFonts w:eastAsiaTheme="majorEastAsia"/>
          <w:lang w:eastAsia="en-US"/>
        </w:rPr>
        <w:t>Meteonorm</w:t>
      </w:r>
      <w:proofErr w:type="spellEnd"/>
      <w:r w:rsidRPr="00C90AC9">
        <w:rPr>
          <w:rFonts w:eastAsiaTheme="majorEastAsia"/>
          <w:lang w:eastAsia="en-US"/>
        </w:rPr>
        <w:t xml:space="preserve"> database containing a combination of 8055 worldwide weather stations was utilised, and for any specific location. The closest weather station data was interpolated utilised. Weather data spanning a year, was generated using </w:t>
      </w:r>
      <w:proofErr w:type="spellStart"/>
      <w:r w:rsidRPr="00C90AC9">
        <w:rPr>
          <w:rFonts w:eastAsiaTheme="majorEastAsia"/>
          <w:lang w:eastAsia="en-US"/>
        </w:rPr>
        <w:t>stocastic</w:t>
      </w:r>
      <w:proofErr w:type="spellEnd"/>
      <w:r w:rsidRPr="00C90AC9">
        <w:rPr>
          <w:rFonts w:eastAsiaTheme="majorEastAsia"/>
          <w:lang w:eastAsia="en-US"/>
        </w:rPr>
        <w:t xml:space="preserve"> models utilising monthly mean values for weather data and Markov Transition Matrices (MTM). The generated weather data was checked with recorded whether for various statistical properties (average value, variance, autocorrelation) is deemed to have the same statistical properties, and was therefore representative has an accurate approximation </w:t>
      </w:r>
      <w:r w:rsidRPr="00C90AC9">
        <w:rPr>
          <w:rFonts w:eastAsiaTheme="majorEastAsia"/>
          <w:lang w:eastAsia="en-US"/>
        </w:rPr>
        <w:fldChar w:fldCharType="begin"/>
      </w:r>
      <w:r w:rsidRPr="00C90AC9">
        <w:rPr>
          <w:rFonts w:eastAsiaTheme="majorEastAsia"/>
          <w:lang w:eastAsia="en-US"/>
        </w:rPr>
        <w:instrText xml:space="preserve"> ADDIN EN.CITE &lt;EndNote&gt;&lt;Cite&gt;&lt;Author&gt;Bornatico&lt;/Author&gt;&lt;Year&gt;2012&lt;/Year&gt;&lt;RecNum&gt;214&lt;/RecNum&gt;&lt;DisplayText&gt;(Bornatico et al., 2012)&lt;/DisplayText&gt;&lt;record&gt;&lt;rec-number&gt;214&lt;/rec-number&gt;&lt;foreign-keys&gt;&lt;key app="EN" db-id="50wxdpzd9vd5r7e9t5b595djrfpttrxw9avp" timestamp="1525540415"&gt;214&lt;/key&gt;&lt;/foreign-keys&gt;&lt;ref-type name="Journal Article"&gt;17&lt;/ref-type&gt;&lt;contributors&gt;&lt;authors&gt;&lt;author&gt;Bornatico, Raffaele&lt;/author&gt;&lt;author&gt;Pfeiffer, Michael&lt;/author&gt;&lt;author&gt;Witzig, Andreas&lt;/author&gt;&lt;author&gt;Guzzella, Lino&lt;/author&gt;&lt;/authors&gt;&lt;/contributors&gt;&lt;titles&gt;&lt;title&gt;Optimal sizing of a solar thermal building installation using particle swarm optimization&lt;/title&gt;&lt;secondary-title&gt;Energy&lt;/secondary-title&gt;&lt;/titles&gt;&lt;pages&gt;31-37&lt;/pages&gt;&lt;volume&gt;41&lt;/volume&gt;&lt;number&gt;1&lt;/number&gt;&lt;keywords&gt;&lt;keyword&gt;Particle swarm optimization&lt;/keyword&gt;&lt;keyword&gt;Multi-objective optimization&lt;/keyword&gt;&lt;keyword&gt;Polysun&lt;/keyword&gt;&lt;keyword&gt;Solar combisystem&lt;/keyword&gt;&lt;keyword&gt;Solar energy&lt;/keyword&gt;&lt;keyword&gt;Smart building&lt;/keyword&gt;&lt;/keywords&gt;&lt;dates&gt;&lt;year&gt;2012&lt;/year&gt;&lt;pub-dates&gt;&lt;date&gt;2012/05/01/&lt;/date&gt;&lt;/pub-dates&gt;&lt;/dates&gt;&lt;isbn&gt;0360-5442&lt;/isbn&gt;&lt;urls&gt;&lt;related-urls&gt;&lt;url&gt;http://www.sciencedirect.com/science/article/pii/S0360544211003513&lt;/url&gt;&lt;/related-urls&gt;&lt;/urls&gt;&lt;electronic-resource-num&gt;https://doi.org/10.1016/j.energy.2011.05.026&lt;/electronic-resource-num&gt;&lt;/record&gt;&lt;/Cite&gt;&lt;/EndNote&gt;</w:instrText>
      </w:r>
      <w:r w:rsidRPr="00C90AC9">
        <w:rPr>
          <w:rFonts w:eastAsiaTheme="majorEastAsia"/>
          <w:lang w:eastAsia="en-US"/>
        </w:rPr>
        <w:fldChar w:fldCharType="separate"/>
      </w:r>
      <w:r w:rsidRPr="00C90AC9">
        <w:rPr>
          <w:rFonts w:eastAsiaTheme="majorEastAsia"/>
          <w:lang w:eastAsia="en-US"/>
        </w:rPr>
        <w:t>(Bornatico et al., 2012)</w:t>
      </w:r>
      <w:r w:rsidRPr="00C90AC9">
        <w:rPr>
          <w:rFonts w:eastAsiaTheme="majorEastAsia"/>
          <w:lang w:eastAsia="en-US"/>
        </w:rPr>
        <w:fldChar w:fldCharType="end"/>
      </w:r>
      <w:r w:rsidRPr="00C90AC9">
        <w:rPr>
          <w:rFonts w:eastAsiaTheme="majorEastAsia"/>
          <w:lang w:eastAsia="en-US"/>
        </w:rPr>
        <w:t>.</w:t>
      </w:r>
    </w:p>
    <w:p w:rsidR="00C0462B" w:rsidRPr="00C90AC9" w:rsidRDefault="00C0462B" w:rsidP="00C0462B">
      <w:pPr>
        <w:pStyle w:val="BodyText"/>
        <w:rPr>
          <w:rFonts w:eastAsiaTheme="majorEastAsia"/>
          <w:lang w:eastAsia="en-US"/>
        </w:rPr>
      </w:pPr>
      <w:r w:rsidRPr="00C90AC9">
        <w:rPr>
          <w:rFonts w:eastAsiaTheme="majorEastAsia"/>
          <w:noProof/>
        </w:rPr>
        <w:drawing>
          <wp:anchor distT="0" distB="0" distL="114300" distR="114300" simplePos="0" relativeHeight="251962368" behindDoc="0" locked="0" layoutInCell="1" allowOverlap="1" wp14:anchorId="411E57F1" wp14:editId="44209636">
            <wp:simplePos x="0" y="0"/>
            <wp:positionH relativeFrom="column">
              <wp:posOffset>9525</wp:posOffset>
            </wp:positionH>
            <wp:positionV relativeFrom="paragraph">
              <wp:posOffset>411480</wp:posOffset>
            </wp:positionV>
            <wp:extent cx="5676900" cy="3933825"/>
            <wp:effectExtent l="19050" t="19050" r="19050" b="28575"/>
            <wp:wrapNone/>
            <wp:docPr id="332" name="Picture 0" descr="New Pictu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Picture.bmp"/>
                    <pic:cNvPicPr/>
                  </pic:nvPicPr>
                  <pic:blipFill>
                    <a:blip r:embed="rId27" cstate="print"/>
                    <a:stretch>
                      <a:fillRect/>
                    </a:stretch>
                  </pic:blipFill>
                  <pic:spPr>
                    <a:xfrm>
                      <a:off x="0" y="0"/>
                      <a:ext cx="5706771" cy="3954524"/>
                    </a:xfrm>
                    <a:prstGeom prst="rect">
                      <a:avLst/>
                    </a:prstGeom>
                    <a:ln w="6350">
                      <a:solidFill>
                        <a:sysClr val="windowText" lastClr="000000"/>
                      </a:solidFill>
                    </a:ln>
                  </pic:spPr>
                </pic:pic>
              </a:graphicData>
            </a:graphic>
            <wp14:sizeRelH relativeFrom="margin">
              <wp14:pctWidth>0</wp14:pctWidth>
            </wp14:sizeRelH>
            <wp14:sizeRelV relativeFrom="margin">
              <wp14:pctHeight>0</wp14:pctHeight>
            </wp14:sizeRelV>
          </wp:anchor>
        </w:drawing>
      </w:r>
      <w:r w:rsidRPr="00C90AC9">
        <w:rPr>
          <w:rFonts w:eastAsiaTheme="majorEastAsia"/>
          <w:lang w:eastAsia="en-US"/>
        </w:rPr>
        <w:t>Figure 2.</w:t>
      </w:r>
      <w:r w:rsidR="00D62B11" w:rsidRPr="00C90AC9">
        <w:rPr>
          <w:rFonts w:eastAsiaTheme="majorEastAsia"/>
          <w:lang w:eastAsia="en-US"/>
        </w:rPr>
        <w:t>7</w:t>
      </w:r>
      <w:r w:rsidRPr="00C90AC9">
        <w:rPr>
          <w:rFonts w:eastAsiaTheme="majorEastAsia"/>
          <w:lang w:eastAsia="en-US"/>
        </w:rPr>
        <w:t>. The meteorological data for Zurich, Switzerland used in the work</w:t>
      </w:r>
      <w:r w:rsidR="00E75D3F">
        <w:rPr>
          <w:rFonts w:eastAsiaTheme="majorEastAsia"/>
          <w:lang w:eastAsia="en-US"/>
        </w:rPr>
        <w:t xml:space="preserve"> by </w:t>
      </w:r>
      <w:proofErr w:type="spellStart"/>
      <w:r w:rsidR="00E75D3F">
        <w:rPr>
          <w:rFonts w:eastAsiaTheme="majorEastAsia"/>
          <w:lang w:eastAsia="en-US"/>
        </w:rPr>
        <w:t>Bornatico</w:t>
      </w:r>
      <w:proofErr w:type="spellEnd"/>
      <w:r w:rsidR="00E75D3F">
        <w:rPr>
          <w:rFonts w:eastAsiaTheme="majorEastAsia"/>
          <w:lang w:eastAsia="en-US"/>
        </w:rPr>
        <w:t xml:space="preserve"> et al 2012</w:t>
      </w:r>
      <w:r w:rsidRPr="00C90AC9">
        <w:rPr>
          <w:rFonts w:eastAsiaTheme="majorEastAsia"/>
          <w:lang w:eastAsia="en-US"/>
        </w:rPr>
        <w:t xml:space="preserve"> </w:t>
      </w:r>
      <w:r w:rsidRPr="00C90AC9">
        <w:rPr>
          <w:rFonts w:eastAsiaTheme="majorEastAsia"/>
          <w:lang w:eastAsia="en-US"/>
        </w:rPr>
        <w:fldChar w:fldCharType="begin"/>
      </w:r>
      <w:r w:rsidRPr="00C90AC9">
        <w:rPr>
          <w:rFonts w:eastAsiaTheme="majorEastAsia"/>
          <w:lang w:eastAsia="en-US"/>
        </w:rPr>
        <w:instrText xml:space="preserve"> ADDIN EN.CITE &lt;EndNote&gt;&lt;Cite&gt;&lt;Author&gt;Bornatico&lt;/Author&gt;&lt;Year&gt;2012&lt;/Year&gt;&lt;RecNum&gt;214&lt;/RecNum&gt;&lt;DisplayText&gt;(Bornatico et al., 2012)&lt;/DisplayText&gt;&lt;record&gt;&lt;rec-number&gt;214&lt;/rec-number&gt;&lt;foreign-keys&gt;&lt;key app="EN" db-id="50wxdpzd9vd5r7e9t5b595djrfpttrxw9avp" timestamp="1525540415"&gt;214&lt;/key&gt;&lt;/foreign-keys&gt;&lt;ref-type name="Journal Article"&gt;17&lt;/ref-type&gt;&lt;contributors&gt;&lt;authors&gt;&lt;author&gt;Bornatico, Raffaele&lt;/author&gt;&lt;author&gt;Pfeiffer, Michael&lt;/author&gt;&lt;author&gt;Witzig, Andreas&lt;/author&gt;&lt;author&gt;Guzzella, Lino&lt;/author&gt;&lt;/authors&gt;&lt;/contributors&gt;&lt;titles&gt;&lt;title&gt;Optimal sizing of a solar thermal building installation using particle swarm optimization&lt;/title&gt;&lt;secondary-title&gt;Energy&lt;/secondary-title&gt;&lt;/titles&gt;&lt;pages&gt;31-37&lt;/pages&gt;&lt;volume&gt;41&lt;/volume&gt;&lt;number&gt;1&lt;/number&gt;&lt;keywords&gt;&lt;keyword&gt;Particle swarm optimization&lt;/keyword&gt;&lt;keyword&gt;Multi-objective optimization&lt;/keyword&gt;&lt;keyword&gt;Polysun&lt;/keyword&gt;&lt;keyword&gt;Solar combisystem&lt;/keyword&gt;&lt;keyword&gt;Solar energy&lt;/keyword&gt;&lt;keyword&gt;Smart building&lt;/keyword&gt;&lt;/keywords&gt;&lt;dates&gt;&lt;year&gt;2012&lt;/year&gt;&lt;pub-dates&gt;&lt;date&gt;2012/05/01/&lt;/date&gt;&lt;/pub-dates&gt;&lt;/dates&gt;&lt;isbn&gt;0360-5442&lt;/isbn&gt;&lt;urls&gt;&lt;related-urls&gt;&lt;url&gt;http://www.sciencedirect.com/science/article/pii/S0360544211003513&lt;/url&gt;&lt;/related-urls&gt;&lt;/urls&gt;&lt;electronic-resource-num&gt;https://doi.org/10.1016/j.energy.2011.05.026&lt;/electronic-resource-num&gt;&lt;/record&gt;&lt;/Cite&gt;&lt;/EndNote&gt;</w:instrText>
      </w:r>
      <w:r w:rsidRPr="00C90AC9">
        <w:rPr>
          <w:rFonts w:eastAsiaTheme="majorEastAsia"/>
          <w:lang w:eastAsia="en-US"/>
        </w:rPr>
        <w:fldChar w:fldCharType="separate"/>
      </w:r>
      <w:r w:rsidRPr="00C90AC9">
        <w:rPr>
          <w:rFonts w:eastAsiaTheme="majorEastAsia"/>
          <w:lang w:eastAsia="en-US"/>
        </w:rPr>
        <w:t>(Bornatico et al., 2012)</w:t>
      </w:r>
      <w:r w:rsidRPr="00C90AC9">
        <w:rPr>
          <w:rFonts w:eastAsiaTheme="majorEastAsia"/>
          <w:lang w:eastAsia="en-US"/>
        </w:rPr>
        <w:fldChar w:fldCharType="end"/>
      </w:r>
    </w:p>
    <w:sdt>
      <w:sdtPr>
        <w:rPr>
          <w:rFonts w:eastAsiaTheme="majorEastAsia"/>
          <w:lang w:eastAsia="en-US"/>
        </w:rPr>
        <w:alias w:val="Don't edit this field"/>
        <w:tag w:val="CitaviPlaceholder#e884e378-068a-4c00-9a85-8cc2c55feded"/>
        <w:id w:val="513811577"/>
      </w:sdtPr>
      <w:sdtEndPr/>
      <w:sdtContent>
        <w:p w:rsidR="00C0462B" w:rsidRPr="00C90AC9" w:rsidRDefault="00C0462B" w:rsidP="00C0462B">
          <w:pPr>
            <w:rPr>
              <w:rFonts w:eastAsiaTheme="majorEastAsia"/>
              <w:lang w:eastAsia="en-US"/>
            </w:rPr>
          </w:pPr>
          <w:r w:rsidRPr="00C90AC9">
            <w:rPr>
              <w:rFonts w:eastAsiaTheme="majorEastAsia"/>
              <w:lang w:eastAsia="en-US"/>
            </w:rPr>
            <w:fldChar w:fldCharType="begin"/>
          </w:r>
          <w:r w:rsidRPr="00C90AC9">
            <w:rPr>
              <w:rFonts w:eastAsiaTheme="majorEastAsia"/>
              <w:lang w:eastAsia="en-US"/>
            </w:rPr>
            <w:instrText>ADDIN CitaviPlaceholder{eyIkaWQiOiIxIiwiRW50cmllcyI6W3siJGlkIjoiMiIsIkhhc1RlbXBvcmFyeVJlZmVyZW5jZSI6dHJ1ZSwiSWQiOiIyYzIxYzlkNS0xMzg3LTQ0MTEtOTI3MC0zYTRkNzUwOWUwOGYiLCJSYW5nZUxlbmd0aCI6OTEsIlJlZmVyZW5jZUlkIjoiYWE3OWZjM2ItODRjMS00NmFiLThjYjUtNjljNjJjOGI4ZWEx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}</w:instrText>
          </w:r>
          <w:r w:rsidRPr="00C90AC9">
            <w:rPr>
              <w:rFonts w:eastAsiaTheme="majorEastAsia"/>
              <w:lang w:eastAsia="en-US"/>
            </w:rPr>
            <w:fldChar w:fldCharType="separate"/>
          </w:r>
          <w:r w:rsidRPr="00C90AC9">
            <w:rPr>
              <w:rFonts w:eastAsiaTheme="majorEastAsia"/>
              <w:lang w:eastAsia="en-US"/>
            </w:rPr>
            <w:t>(Optimal sizing of a solar thermal building installation using particle swarm optimization)</w:t>
          </w:r>
          <w:r w:rsidRPr="00C90AC9">
            <w:rPr>
              <w:rFonts w:eastAsiaTheme="majorEastAsia"/>
              <w:lang w:eastAsia="en-US"/>
            </w:rPr>
            <w:fldChar w:fldCharType="end"/>
          </w:r>
        </w:p>
      </w:sdtContent>
    </w:sdt>
    <w:p w:rsidR="00C0462B" w:rsidRPr="00C90AC9" w:rsidRDefault="00C0462B" w:rsidP="00C0462B">
      <w:pPr>
        <w:rPr>
          <w:rFonts w:eastAsiaTheme="majorEastAsia"/>
          <w:lang w:eastAsia="en-US"/>
        </w:rPr>
      </w:pPr>
    </w:p>
    <w:p w:rsidR="00C0462B" w:rsidRPr="00C90AC9" w:rsidRDefault="00C0462B" w:rsidP="00C0462B">
      <w:pPr>
        <w:rPr>
          <w:rFonts w:eastAsiaTheme="majorEastAsia"/>
          <w:lang w:eastAsia="en-US"/>
        </w:rPr>
      </w:pPr>
    </w:p>
    <w:p w:rsidR="00C0462B" w:rsidRPr="00C90AC9" w:rsidRDefault="00C0462B" w:rsidP="00C0462B">
      <w:pPr>
        <w:rPr>
          <w:rFonts w:eastAsiaTheme="majorEastAsia"/>
          <w:lang w:eastAsia="en-US"/>
        </w:rPr>
      </w:pPr>
      <w:r w:rsidRPr="00C90AC9">
        <w:rPr>
          <w:rFonts w:eastAsiaTheme="majorEastAsia"/>
          <w:lang w:eastAsia="en-US"/>
        </w:rPr>
        <w:t xml:space="preserve"> </w:t>
      </w:r>
    </w:p>
    <w:p w:rsidR="00C0462B" w:rsidRPr="00C90AC9" w:rsidRDefault="00C0462B" w:rsidP="00C0462B">
      <w:pPr>
        <w:rPr>
          <w:rFonts w:eastAsiaTheme="majorEastAsia"/>
          <w:lang w:eastAsia="en-US"/>
        </w:rPr>
      </w:pPr>
    </w:p>
    <w:p w:rsidR="00C0462B" w:rsidRPr="00C90AC9" w:rsidRDefault="00C0462B" w:rsidP="00C0462B">
      <w:pPr>
        <w:rPr>
          <w:rFonts w:eastAsiaTheme="majorEastAsia"/>
          <w:lang w:eastAsia="en-US"/>
        </w:rPr>
      </w:pPr>
    </w:p>
    <w:p w:rsidR="00C0462B" w:rsidRPr="00C90AC9" w:rsidRDefault="00C0462B" w:rsidP="00C0462B">
      <w:pPr>
        <w:rPr>
          <w:rFonts w:eastAsiaTheme="majorEastAsia"/>
          <w:lang w:eastAsia="en-US"/>
        </w:rPr>
      </w:pPr>
    </w:p>
    <w:p w:rsidR="00C0462B" w:rsidRPr="00C90AC9" w:rsidRDefault="00C0462B" w:rsidP="00C0462B">
      <w:pPr>
        <w:rPr>
          <w:rFonts w:eastAsiaTheme="majorEastAsia"/>
          <w:lang w:eastAsia="en-US"/>
        </w:rPr>
      </w:pPr>
    </w:p>
    <w:p w:rsidR="00C0462B" w:rsidRPr="00C90AC9" w:rsidRDefault="00C0462B" w:rsidP="00C0462B">
      <w:pPr>
        <w:rPr>
          <w:rFonts w:eastAsiaTheme="majorEastAsia"/>
          <w:lang w:eastAsia="en-US"/>
        </w:rPr>
      </w:pPr>
    </w:p>
    <w:p w:rsidR="00C0462B" w:rsidRPr="00C90AC9" w:rsidRDefault="00C0462B" w:rsidP="00C0462B">
      <w:pPr>
        <w:rPr>
          <w:rFonts w:eastAsiaTheme="majorEastAsia"/>
          <w:lang w:eastAsia="en-US"/>
        </w:rPr>
      </w:pPr>
    </w:p>
    <w:p w:rsidR="00C0462B" w:rsidRPr="00C90AC9" w:rsidRDefault="00C0462B" w:rsidP="00C0462B">
      <w:pPr>
        <w:rPr>
          <w:rFonts w:eastAsiaTheme="majorEastAsia"/>
          <w:lang w:eastAsia="en-US"/>
        </w:rPr>
      </w:pPr>
    </w:p>
    <w:p w:rsidR="00C0462B" w:rsidRPr="00C90AC9" w:rsidRDefault="00C0462B" w:rsidP="00C0462B">
      <w:pPr>
        <w:rPr>
          <w:rFonts w:eastAsiaTheme="majorEastAsia"/>
          <w:lang w:eastAsia="en-US"/>
        </w:rPr>
      </w:pPr>
    </w:p>
    <w:p w:rsidR="00C0462B" w:rsidRPr="00C90AC9" w:rsidRDefault="00C0462B" w:rsidP="00C0462B">
      <w:pPr>
        <w:rPr>
          <w:rFonts w:eastAsiaTheme="majorEastAsia"/>
          <w:lang w:eastAsia="en-US"/>
        </w:rPr>
      </w:pPr>
    </w:p>
    <w:p w:rsidR="00C0462B" w:rsidRPr="00C90AC9" w:rsidRDefault="00C0462B" w:rsidP="00C0462B">
      <w:pPr>
        <w:rPr>
          <w:rFonts w:eastAsiaTheme="majorEastAsia"/>
          <w:lang w:eastAsia="en-US"/>
        </w:rPr>
      </w:pPr>
    </w:p>
    <w:p w:rsidR="00C0462B" w:rsidRPr="00C90AC9" w:rsidRDefault="00C0462B" w:rsidP="00C0462B">
      <w:pPr>
        <w:pStyle w:val="BodyText"/>
        <w:spacing w:line="360" w:lineRule="auto"/>
        <w:rPr>
          <w:rFonts w:eastAsiaTheme="majorEastAsia"/>
          <w:lang w:eastAsia="en-US"/>
        </w:rPr>
      </w:pPr>
      <w:r w:rsidRPr="00C90AC9">
        <w:rPr>
          <w:rFonts w:eastAsiaTheme="majorEastAsia"/>
          <w:lang w:eastAsia="en-US"/>
        </w:rPr>
        <w:lastRenderedPageBreak/>
        <w:t xml:space="preserve">The results of the study by </w:t>
      </w:r>
      <w:proofErr w:type="spellStart"/>
      <w:r w:rsidR="00314031" w:rsidRPr="00C90AC9">
        <w:rPr>
          <w:rFonts w:eastAsiaTheme="majorEastAsia"/>
          <w:lang w:eastAsia="en-US"/>
        </w:rPr>
        <w:t>Bornatico</w:t>
      </w:r>
      <w:proofErr w:type="spellEnd"/>
      <w:r w:rsidR="00314031" w:rsidRPr="00C90AC9">
        <w:rPr>
          <w:rFonts w:eastAsiaTheme="majorEastAsia"/>
          <w:lang w:eastAsia="en-US"/>
        </w:rPr>
        <w:t xml:space="preserve"> et al 2012</w:t>
      </w:r>
      <w:r w:rsidRPr="00C90AC9">
        <w:rPr>
          <w:rFonts w:eastAsiaTheme="majorEastAsia"/>
          <w:lang w:eastAsia="en-US"/>
        </w:rPr>
        <w:t xml:space="preserve"> determined that the PSO algorithm was marginally better than the compared GA with an optimal collector area determined as being 14.5 m² with the tank volume of 498.98 m</w:t>
      </w:r>
      <w:r w:rsidR="00314031" w:rsidRPr="00C90AC9">
        <w:rPr>
          <w:rFonts w:eastAsiaTheme="majorEastAsia"/>
          <w:lang w:eastAsia="en-US"/>
        </w:rPr>
        <w:t xml:space="preserve"> </w:t>
      </w:r>
      <w:r w:rsidR="00314031" w:rsidRPr="00C90AC9">
        <w:rPr>
          <w:rFonts w:eastAsiaTheme="majorEastAsia"/>
          <w:lang w:eastAsia="en-US"/>
        </w:rPr>
        <w:fldChar w:fldCharType="begin"/>
      </w:r>
      <w:r w:rsidR="00314031" w:rsidRPr="00C90AC9">
        <w:rPr>
          <w:rFonts w:eastAsiaTheme="majorEastAsia"/>
          <w:lang w:eastAsia="en-US"/>
        </w:rPr>
        <w:instrText xml:space="preserve"> ADDIN EN.CITE &lt;EndNote&gt;&lt;Cite&gt;&lt;Author&gt;Bornatico&lt;/Author&gt;&lt;Year&gt;2012&lt;/Year&gt;&lt;RecNum&gt;214&lt;/RecNum&gt;&lt;DisplayText&gt;(Bornatico et al., 2012)&lt;/DisplayText&gt;&lt;record&gt;&lt;rec-number&gt;214&lt;/rec-number&gt;&lt;foreign-keys&gt;&lt;key app="EN" db-id="50wxdpzd9vd5r7e9t5b595djrfpttrxw9avp" timestamp="1525540415"&gt;214&lt;/key&gt;&lt;/foreign-keys&gt;&lt;ref-type name="Journal Article"&gt;17&lt;/ref-type&gt;&lt;contributors&gt;&lt;authors&gt;&lt;author&gt;Bornatico, Raffaele&lt;/author&gt;&lt;author&gt;Pfeiffer, Michael&lt;/author&gt;&lt;author&gt;Witzig, Andreas&lt;/author&gt;&lt;author&gt;Guzzella, Lino&lt;/author&gt;&lt;/authors&gt;&lt;/contributors&gt;&lt;titles&gt;&lt;title&gt;Optimal sizing of a solar thermal building installation using particle swarm optimization&lt;/title&gt;&lt;secondary-title&gt;Energy&lt;/secondary-title&gt;&lt;/titles&gt;&lt;pages&gt;31-37&lt;/pages&gt;&lt;volume&gt;41&lt;/volume&gt;&lt;number&gt;1&lt;/number&gt;&lt;keywords&gt;&lt;keyword&gt;Particle swarm optimization&lt;/keyword&gt;&lt;keyword&gt;Multi-objective optimization&lt;/keyword&gt;&lt;keyword&gt;Polysun&lt;/keyword&gt;&lt;keyword&gt;Solar combisystem&lt;/keyword&gt;&lt;keyword&gt;Solar energy&lt;/keyword&gt;&lt;keyword&gt;Smart building&lt;/keyword&gt;&lt;/keywords&gt;&lt;dates&gt;&lt;year&gt;2012&lt;/year&gt;&lt;pub-dates&gt;&lt;date&gt;2012/05/01/&lt;/date&gt;&lt;/pub-dates&gt;&lt;/dates&gt;&lt;isbn&gt;0360-5442&lt;/isbn&gt;&lt;urls&gt;&lt;related-urls&gt;&lt;url&gt;http://www.sciencedirect.com/science/article/pii/S0360544211003513&lt;/url&gt;&lt;/related-urls&gt;&lt;/urls&gt;&lt;electronic-resource-num&gt;https://doi.org/10.1016/j.energy.2011.05.026&lt;/electronic-resource-num&gt;&lt;/record&gt;&lt;/Cite&gt;&lt;/EndNote&gt;</w:instrText>
      </w:r>
      <w:r w:rsidR="00314031" w:rsidRPr="00C90AC9">
        <w:rPr>
          <w:rFonts w:eastAsiaTheme="majorEastAsia"/>
          <w:lang w:eastAsia="en-US"/>
        </w:rPr>
        <w:fldChar w:fldCharType="separate"/>
      </w:r>
      <w:r w:rsidR="00314031" w:rsidRPr="00C90AC9">
        <w:rPr>
          <w:rFonts w:eastAsiaTheme="majorEastAsia"/>
          <w:lang w:eastAsia="en-US"/>
        </w:rPr>
        <w:t>(Bornatico et al., 2012)</w:t>
      </w:r>
      <w:r w:rsidR="00314031" w:rsidRPr="00C90AC9">
        <w:rPr>
          <w:rFonts w:eastAsiaTheme="majorEastAsia"/>
          <w:lang w:eastAsia="en-US"/>
        </w:rPr>
        <w:fldChar w:fldCharType="end"/>
      </w:r>
      <w:r w:rsidRPr="00C90AC9">
        <w:rPr>
          <w:rFonts w:eastAsiaTheme="majorEastAsia"/>
          <w:lang w:eastAsia="en-US"/>
        </w:rPr>
        <w:t>.</w:t>
      </w:r>
    </w:p>
    <w:p w:rsidR="00C0462B" w:rsidRPr="00C90AC9" w:rsidRDefault="00C0462B" w:rsidP="00C0462B">
      <w:pPr>
        <w:pStyle w:val="BodyText"/>
        <w:spacing w:line="360" w:lineRule="auto"/>
        <w:rPr>
          <w:rFonts w:eastAsiaTheme="majorEastAsia"/>
          <w:lang w:eastAsia="en-US"/>
        </w:rPr>
      </w:pPr>
      <w:proofErr w:type="spellStart"/>
      <w:r w:rsidRPr="00C90AC9">
        <w:rPr>
          <w:rFonts w:eastAsiaTheme="majorEastAsia"/>
          <w:lang w:eastAsia="en-US"/>
        </w:rPr>
        <w:t>Bornatico</w:t>
      </w:r>
      <w:proofErr w:type="spellEnd"/>
      <w:r w:rsidRPr="00C90AC9">
        <w:rPr>
          <w:rFonts w:eastAsiaTheme="majorEastAsia"/>
          <w:lang w:eastAsia="en-US"/>
        </w:rPr>
        <w:t xml:space="preserve"> used weather predictions obtained from the Swiss Meteorological Institute (SMI) to show how improvements to the structural as well as the control of a solar thermal panel system can improve its efficiency </w:t>
      </w:r>
      <w:r w:rsidRPr="00C90AC9">
        <w:rPr>
          <w:rFonts w:eastAsiaTheme="majorEastAsia"/>
          <w:lang w:eastAsia="en-US"/>
        </w:rPr>
        <w:fldChar w:fldCharType="begin"/>
      </w:r>
      <w:r w:rsidRPr="00C90AC9">
        <w:rPr>
          <w:rFonts w:eastAsiaTheme="majorEastAsia"/>
          <w:lang w:eastAsia="en-US"/>
        </w:rPr>
        <w:instrText xml:space="preserve"> ADDIN EN.CITE &lt;EndNote&gt;&lt;Cite&gt;&lt;Author&gt;Bornatico&lt;/Author&gt;&lt;Year&gt;2012&lt;/Year&gt;&lt;RecNum&gt;214&lt;/RecNum&gt;&lt;DisplayText&gt;(Bornatico et al., 2012)&lt;/DisplayText&gt;&lt;record&gt;&lt;rec-number&gt;214&lt;/rec-number&gt;&lt;foreign-keys&gt;&lt;key app="EN" db-id="50wxdpzd9vd5r7e9t5b595djrfpttrxw9avp" timestamp="1525540415"&gt;214&lt;/key&gt;&lt;/foreign-keys&gt;&lt;ref-type name="Journal Article"&gt;17&lt;/ref-type&gt;&lt;contributors&gt;&lt;authors&gt;&lt;author&gt;Bornatico, Raffaele&lt;/author&gt;&lt;author&gt;Pfeiffer, Michael&lt;/author&gt;&lt;author&gt;Witzig, Andreas&lt;/author&gt;&lt;author&gt;Guzzella, Lino&lt;/author&gt;&lt;/authors&gt;&lt;/contributors&gt;&lt;titles&gt;&lt;title&gt;Optimal sizing of a solar thermal building installation using particle swarm optimization&lt;/title&gt;&lt;secondary-title&gt;Energy&lt;/secondary-title&gt;&lt;/titles&gt;&lt;pages&gt;31-37&lt;/pages&gt;&lt;volume&gt;41&lt;/volume&gt;&lt;number&gt;1&lt;/number&gt;&lt;keywords&gt;&lt;keyword&gt;Particle swarm optimization&lt;/keyword&gt;&lt;keyword&gt;Multi-objective optimization&lt;/keyword&gt;&lt;keyword&gt;Polysun&lt;/keyword&gt;&lt;keyword&gt;Solar combisystem&lt;/keyword&gt;&lt;keyword&gt;Solar energy&lt;/keyword&gt;&lt;keyword&gt;Smart building&lt;/keyword&gt;&lt;/keywords&gt;&lt;dates&gt;&lt;year&gt;2012&lt;/year&gt;&lt;pub-dates&gt;&lt;date&gt;2012/05/01/&lt;/date&gt;&lt;/pub-dates&gt;&lt;/dates&gt;&lt;isbn&gt;0360-5442&lt;/isbn&gt;&lt;urls&gt;&lt;related-urls&gt;&lt;url&gt;http://www.sciencedirect.com/science/article/pii/S0360544211003513&lt;/url&gt;&lt;/related-urls&gt;&lt;/urls&gt;&lt;electronic-resource-num&gt;https://doi.org/10.1016/j.energy.2011.05.026&lt;/electronic-resource-num&gt;&lt;/record&gt;&lt;/Cite&gt;&lt;/EndNote&gt;</w:instrText>
      </w:r>
      <w:r w:rsidRPr="00C90AC9">
        <w:rPr>
          <w:rFonts w:eastAsiaTheme="majorEastAsia"/>
          <w:lang w:eastAsia="en-US"/>
        </w:rPr>
        <w:fldChar w:fldCharType="separate"/>
      </w:r>
      <w:r w:rsidRPr="00C90AC9">
        <w:rPr>
          <w:rFonts w:eastAsiaTheme="majorEastAsia"/>
          <w:lang w:eastAsia="en-US"/>
        </w:rPr>
        <w:t>(Bornatico et al., 2012)</w:t>
      </w:r>
      <w:r w:rsidRPr="00C90AC9">
        <w:rPr>
          <w:rFonts w:eastAsiaTheme="majorEastAsia"/>
          <w:lang w:eastAsia="en-US"/>
        </w:rPr>
        <w:fldChar w:fldCharType="end"/>
      </w:r>
      <w:r w:rsidRPr="00C90AC9">
        <w:rPr>
          <w:rFonts w:eastAsiaTheme="majorEastAsia"/>
          <w:lang w:eastAsia="en-US"/>
        </w:rPr>
        <w:t xml:space="preserve">. The researchers acknowledged that often, with regard to Solar Domestic Hot Water Systems the manufacturers know-how is often used in the design of the systems’ control strategies rather than being aware of changes to the demand profile of the hot water all the weather conditions </w:t>
      </w:r>
      <w:r w:rsidRPr="00C90AC9">
        <w:rPr>
          <w:rFonts w:eastAsiaTheme="majorEastAsia"/>
          <w:lang w:eastAsia="en-US"/>
        </w:rPr>
        <w:fldChar w:fldCharType="begin"/>
      </w:r>
      <w:r w:rsidRPr="00C90AC9">
        <w:rPr>
          <w:rFonts w:eastAsiaTheme="majorEastAsia"/>
          <w:lang w:eastAsia="en-US"/>
        </w:rPr>
        <w:instrText xml:space="preserve"> ADDIN EN.CITE &lt;EndNote&gt;&lt;Cite&gt;&lt;Author&gt;Prud’homme&lt;/Author&gt;&lt;Year&gt;2001&lt;/Year&gt;&lt;RecNum&gt;184&lt;/RecNum&gt;&lt;DisplayText&gt;(Prud’homme &amp;amp; Gillet, 2001)&lt;/DisplayText&gt;&lt;record&gt;&lt;rec-number&gt;184&lt;/rec-number&gt;&lt;foreign-keys&gt;&lt;key app="EN" db-id="50wxdpzd9vd5r7e9t5b595djrfpttrxw9avp" timestamp="1525076335"&gt;184&lt;/key&gt;&lt;/foreign-keys&gt;&lt;ref-type name="Journal Article"&gt;17&lt;/ref-type&gt;&lt;contributors&gt;&lt;authors&gt;&lt;author&gt;Prud’homme, T.&lt;/author&gt;&lt;author&gt;D. Gillet&lt;/author&gt;&lt;/authors&gt;&lt;/contributors&gt;&lt;titles&gt;&lt;title&gt;Advanced control strategy of a solar domestic hot water system with a segmented auxiliary heater&lt;/title&gt;&lt;secondary-title&gt;Energy and Buildings&lt;/secondary-title&gt;&lt;short-title&gt;Prud’homme, T. and D. Gillet 2001 – Advanced control strategy&lt;/short-title&gt;&lt;/titles&gt;&lt;volume&gt;33&lt;/volume&gt;&lt;number&gt;5&lt;/number&gt;&lt;dates&gt;&lt;year&gt;2001&lt;/year&gt;&lt;/dates&gt;&lt;urls&gt;&lt;/urls&gt;&lt;/record&gt;&lt;/Cite&gt;&lt;/EndNote&gt;</w:instrText>
      </w:r>
      <w:r w:rsidRPr="00C90AC9">
        <w:rPr>
          <w:rFonts w:eastAsiaTheme="majorEastAsia"/>
          <w:lang w:eastAsia="en-US"/>
        </w:rPr>
        <w:fldChar w:fldCharType="separate"/>
      </w:r>
      <w:r w:rsidRPr="00C90AC9">
        <w:rPr>
          <w:rFonts w:eastAsiaTheme="majorEastAsia"/>
          <w:lang w:eastAsia="en-US"/>
        </w:rPr>
        <w:t>(Prud’homme &amp; Gillet, 2001)</w:t>
      </w:r>
      <w:r w:rsidRPr="00C90AC9">
        <w:rPr>
          <w:rFonts w:eastAsiaTheme="majorEastAsia"/>
          <w:lang w:eastAsia="en-US"/>
        </w:rPr>
        <w:fldChar w:fldCharType="end"/>
      </w:r>
      <w:r w:rsidRPr="00C90AC9">
        <w:rPr>
          <w:rFonts w:eastAsiaTheme="majorEastAsia"/>
          <w:lang w:eastAsia="en-US"/>
        </w:rPr>
        <w:t>. Instead of generating weather data, weather forecasts for solar radiation and ambient temperature were used in combination with users hot water demand profiles as inputs for a model based opt</w:t>
      </w:r>
      <w:r w:rsidR="00D62B11" w:rsidRPr="00C90AC9">
        <w:rPr>
          <w:rFonts w:eastAsiaTheme="majorEastAsia"/>
          <w:lang w:eastAsia="en-US"/>
        </w:rPr>
        <w:t>imiser as shown in Figure 2.8</w:t>
      </w:r>
      <w:r w:rsidRPr="00C90AC9">
        <w:rPr>
          <w:rFonts w:eastAsiaTheme="majorEastAsia"/>
          <w:lang w:eastAsia="en-US"/>
        </w:rPr>
        <w:t xml:space="preserve">. </w:t>
      </w:r>
      <w:r w:rsidRPr="00C90AC9">
        <w:rPr>
          <w:rFonts w:eastAsiaTheme="majorEastAsia"/>
          <w:lang w:eastAsia="en-US"/>
        </w:rPr>
        <w:fldChar w:fldCharType="begin"/>
      </w:r>
      <w:r w:rsidRPr="00C90AC9">
        <w:rPr>
          <w:rFonts w:eastAsiaTheme="majorEastAsia"/>
          <w:lang w:eastAsia="en-US"/>
        </w:rPr>
        <w:instrText xml:space="preserve"> ADDIN EN.CITE &lt;EndNote&gt;&lt;Cite&gt;&lt;Author&gt;Prud’homme&lt;/Author&gt;&lt;Year&gt;2001&lt;/Year&gt;&lt;RecNum&gt;184&lt;/RecNum&gt;&lt;DisplayText&gt;(Prud’homme &amp;amp; Gillet, 2001)&lt;/DisplayText&gt;&lt;record&gt;&lt;rec-number&gt;184&lt;/rec-number&gt;&lt;foreign-keys&gt;&lt;key app="EN" db-id="50wxdpzd9vd5r7e9t5b595djrfpttrxw9avp" timestamp="1525076335"&gt;184&lt;/key&gt;&lt;/foreign-keys&gt;&lt;ref-type name="Journal Article"&gt;17&lt;/ref-type&gt;&lt;contributors&gt;&lt;authors&gt;&lt;author&gt;Prud’homme, T.&lt;/author&gt;&lt;author&gt;D. Gillet&lt;/author&gt;&lt;/authors&gt;&lt;/contributors&gt;&lt;titles&gt;&lt;title&gt;Advanced control strategy of a solar domestic hot water system with a segmented auxiliary heater&lt;/title&gt;&lt;secondary-title&gt;Energy and Buildings&lt;/secondary-title&gt;&lt;short-title&gt;Prud’homme, T. and D. Gillet 2001 – Advanced control strategy&lt;/short-title&gt;&lt;/titles&gt;&lt;volume&gt;33&lt;/volume&gt;&lt;number&gt;5&lt;/number&gt;&lt;dates&gt;&lt;year&gt;2001&lt;/year&gt;&lt;/dates&gt;&lt;urls&gt;&lt;/urls&gt;&lt;/record&gt;&lt;/Cite&gt;&lt;/EndNote&gt;</w:instrText>
      </w:r>
      <w:r w:rsidRPr="00C90AC9">
        <w:rPr>
          <w:rFonts w:eastAsiaTheme="majorEastAsia"/>
          <w:lang w:eastAsia="en-US"/>
        </w:rPr>
        <w:fldChar w:fldCharType="separate"/>
      </w:r>
      <w:r w:rsidRPr="00C90AC9">
        <w:rPr>
          <w:rFonts w:eastAsiaTheme="majorEastAsia"/>
          <w:lang w:eastAsia="en-US"/>
        </w:rPr>
        <w:t>(Prud’homme &amp; Gillet, 2001)</w:t>
      </w:r>
      <w:r w:rsidRPr="00C90AC9">
        <w:rPr>
          <w:rFonts w:eastAsiaTheme="majorEastAsia"/>
          <w:lang w:eastAsia="en-US"/>
        </w:rPr>
        <w:fldChar w:fldCharType="end"/>
      </w:r>
      <w:r w:rsidRPr="00C90AC9">
        <w:rPr>
          <w:rFonts w:eastAsiaTheme="majorEastAsia"/>
          <w:lang w:eastAsia="en-US"/>
        </w:rPr>
        <w:t>.</w:t>
      </w:r>
    </w:p>
    <w:p w:rsidR="00C0462B" w:rsidRPr="00C90AC9" w:rsidRDefault="00C0462B" w:rsidP="00C0462B">
      <w:pPr>
        <w:pStyle w:val="BodyText"/>
        <w:spacing w:line="360" w:lineRule="auto"/>
        <w:rPr>
          <w:rFonts w:eastAsiaTheme="majorEastAsia"/>
          <w:lang w:eastAsia="en-US"/>
        </w:rPr>
      </w:pPr>
      <w:r w:rsidRPr="00C90AC9">
        <w:rPr>
          <w:rFonts w:eastAsiaTheme="majorEastAsia"/>
          <w:lang w:eastAsia="en-US"/>
        </w:rPr>
        <w:t>The heat exchanger utilised in this study was a mantle and as such it surrounded the entire storage tank with four valves at different heights being controlled by an autonomous switching law which only allowed one switch to be opened at any one time .</w:t>
      </w:r>
      <w:r w:rsidRPr="00C90AC9">
        <w:rPr>
          <w:rFonts w:eastAsiaTheme="majorEastAsia"/>
          <w:lang w:eastAsia="en-US"/>
        </w:rPr>
        <w:fldChar w:fldCharType="begin"/>
      </w:r>
      <w:r w:rsidRPr="00C90AC9">
        <w:rPr>
          <w:rFonts w:eastAsiaTheme="majorEastAsia"/>
          <w:lang w:eastAsia="en-US"/>
        </w:rPr>
        <w:instrText xml:space="preserve"> ADDIN EN.CITE &lt;EndNote&gt;&lt;Cite&gt;&lt;Author&gt;Prud’homme&lt;/Author&gt;&lt;Year&gt;2001&lt;/Year&gt;&lt;RecNum&gt;184&lt;/RecNum&gt;&lt;DisplayText&gt;(Prud’homme &amp;amp; Gillet, 2001)&lt;/DisplayText&gt;&lt;record&gt;&lt;rec-number&gt;184&lt;/rec-number&gt;&lt;foreign-keys&gt;&lt;key app="EN" db-id="50wxdpzd9vd5r7e9t5b595djrfpttrxw9avp" timestamp="1525076335"&gt;184&lt;/key&gt;&lt;/foreign-keys&gt;&lt;ref-type name="Journal Article"&gt;17&lt;/ref-type&gt;&lt;contributors&gt;&lt;authors&gt;&lt;author&gt;Prud’homme, T.&lt;/author&gt;&lt;author&gt;D. Gillet&lt;/author&gt;&lt;/authors&gt;&lt;/contributors&gt;&lt;titles&gt;&lt;title&gt;Advanced control strategy of a solar domestic hot water system with a segmented auxiliary heater&lt;/title&gt;&lt;secondary-title&gt;Energy and Buildings&lt;/secondary-title&gt;&lt;short-title&gt;Prud’homme, T. and D. Gillet 2001 – Advanced control strategy&lt;/short-title&gt;&lt;/titles&gt;&lt;volume&gt;33&lt;/volume&gt;&lt;number&gt;5&lt;/number&gt;&lt;dates&gt;&lt;year&gt;2001&lt;/year&gt;&lt;/dates&gt;&lt;urls&gt;&lt;/urls&gt;&lt;/record&gt;&lt;/Cite&gt;&lt;/EndNote&gt;</w:instrText>
      </w:r>
      <w:r w:rsidRPr="00C90AC9">
        <w:rPr>
          <w:rFonts w:eastAsiaTheme="majorEastAsia"/>
          <w:lang w:eastAsia="en-US"/>
        </w:rPr>
        <w:fldChar w:fldCharType="separate"/>
      </w:r>
      <w:r w:rsidRPr="00C90AC9">
        <w:rPr>
          <w:rFonts w:eastAsiaTheme="majorEastAsia"/>
          <w:lang w:eastAsia="en-US"/>
        </w:rPr>
        <w:t>(Prud’homme &amp; Gillet, 2001)</w:t>
      </w:r>
      <w:r w:rsidRPr="00C90AC9">
        <w:rPr>
          <w:rFonts w:eastAsiaTheme="majorEastAsia"/>
          <w:lang w:eastAsia="en-US"/>
        </w:rPr>
        <w:fldChar w:fldCharType="end"/>
      </w:r>
      <w:r w:rsidRPr="00C90AC9">
        <w:rPr>
          <w:rFonts w:eastAsiaTheme="majorEastAsia"/>
          <w:lang w:eastAsia="en-US"/>
        </w:rPr>
        <w:t>.</w:t>
      </w:r>
    </w:p>
    <w:p w:rsidR="00C0462B" w:rsidRPr="00C90AC9" w:rsidRDefault="00C0462B" w:rsidP="00C0462B">
      <w:pPr>
        <w:pStyle w:val="BodyText"/>
        <w:rPr>
          <w:rFonts w:eastAsiaTheme="majorEastAsia"/>
          <w:lang w:eastAsia="en-US"/>
        </w:rPr>
      </w:pPr>
      <w:r w:rsidRPr="00C90AC9">
        <w:rPr>
          <w:rFonts w:eastAsiaTheme="majorEastAsia"/>
          <w:noProof/>
        </w:rPr>
        <w:drawing>
          <wp:anchor distT="0" distB="0" distL="114300" distR="114300" simplePos="0" relativeHeight="251964416" behindDoc="0" locked="0" layoutInCell="1" allowOverlap="1" wp14:anchorId="312F7168" wp14:editId="041E69D1">
            <wp:simplePos x="0" y="0"/>
            <wp:positionH relativeFrom="margin">
              <wp:posOffset>44450</wp:posOffset>
            </wp:positionH>
            <wp:positionV relativeFrom="paragraph">
              <wp:posOffset>504825</wp:posOffset>
            </wp:positionV>
            <wp:extent cx="5737860" cy="3795395"/>
            <wp:effectExtent l="19050" t="19050" r="15240" b="14605"/>
            <wp:wrapSquare wrapText="bothSides"/>
            <wp:docPr id="333" name="Picture 6" descr="New Picture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Picture (2).bmp"/>
                    <pic:cNvPicPr/>
                  </pic:nvPicPr>
                  <pic:blipFill rotWithShape="1">
                    <a:blip r:embed="rId28" cstate="print">
                      <a:extLst>
                        <a:ext uri="{28A0092B-C50C-407E-A947-70E740481C1C}">
                          <a14:useLocalDpi xmlns:a14="http://schemas.microsoft.com/office/drawing/2010/main" val="0"/>
                        </a:ext>
                      </a:extLst>
                    </a:blip>
                    <a:srcRect l="10613" r="8623"/>
                    <a:stretch/>
                  </pic:blipFill>
                  <pic:spPr bwMode="auto">
                    <a:xfrm>
                      <a:off x="0" y="0"/>
                      <a:ext cx="5737860" cy="379539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2B11" w:rsidRPr="00C90AC9">
        <w:rPr>
          <w:rFonts w:eastAsiaTheme="majorEastAsia"/>
        </w:rPr>
        <w:t>Figure 2.8</w:t>
      </w:r>
      <w:r w:rsidRPr="00C90AC9">
        <w:rPr>
          <w:rFonts w:eastAsiaTheme="majorEastAsia"/>
          <w:lang w:eastAsia="en-US"/>
        </w:rPr>
        <w:t xml:space="preserve">. the hot water system considered </w:t>
      </w:r>
      <w:r w:rsidR="006E778D" w:rsidRPr="00C90AC9">
        <w:rPr>
          <w:rFonts w:eastAsiaTheme="majorEastAsia"/>
          <w:lang w:eastAsia="en-US"/>
        </w:rPr>
        <w:t>by</w:t>
      </w:r>
      <w:r w:rsidRPr="00C90AC9">
        <w:rPr>
          <w:rFonts w:eastAsiaTheme="majorEastAsia"/>
          <w:lang w:eastAsia="en-US"/>
        </w:rPr>
        <w:t xml:space="preserve"> </w:t>
      </w:r>
      <w:proofErr w:type="spellStart"/>
      <w:r w:rsidRPr="00C90AC9">
        <w:rPr>
          <w:rFonts w:eastAsiaTheme="majorEastAsia"/>
          <w:lang w:eastAsia="en-US"/>
        </w:rPr>
        <w:t>Prud’homme</w:t>
      </w:r>
      <w:proofErr w:type="spellEnd"/>
      <w:r w:rsidR="00E75D3F">
        <w:rPr>
          <w:rFonts w:eastAsiaTheme="majorEastAsia"/>
          <w:lang w:eastAsia="en-US"/>
        </w:rPr>
        <w:t xml:space="preserve"> &amp; Gillet</w:t>
      </w:r>
      <w:r w:rsidRPr="00C90AC9">
        <w:rPr>
          <w:rFonts w:eastAsiaTheme="majorEastAsia"/>
          <w:lang w:eastAsia="en-US"/>
        </w:rPr>
        <w:t xml:space="preserve">, </w:t>
      </w:r>
      <w:r w:rsidR="006E778D" w:rsidRPr="00C90AC9">
        <w:rPr>
          <w:rFonts w:eastAsiaTheme="majorEastAsia"/>
          <w:lang w:eastAsia="en-US"/>
        </w:rPr>
        <w:t xml:space="preserve">in </w:t>
      </w:r>
      <w:r w:rsidRPr="00C90AC9">
        <w:rPr>
          <w:rFonts w:eastAsiaTheme="majorEastAsia"/>
          <w:lang w:eastAsia="en-US"/>
        </w:rPr>
        <w:t xml:space="preserve">2001 </w:t>
      </w:r>
      <w:r w:rsidRPr="00C90AC9">
        <w:rPr>
          <w:rFonts w:eastAsiaTheme="majorEastAsia"/>
          <w:lang w:eastAsia="en-US"/>
        </w:rPr>
        <w:fldChar w:fldCharType="begin"/>
      </w:r>
      <w:r w:rsidRPr="00C90AC9">
        <w:rPr>
          <w:rFonts w:eastAsiaTheme="majorEastAsia"/>
          <w:lang w:eastAsia="en-US"/>
        </w:rPr>
        <w:instrText xml:space="preserve"> ADDIN EN.CITE &lt;EndNote&gt;&lt;Cite&gt;&lt;Author&gt;Prud’homme&lt;/Author&gt;&lt;Year&gt;2001&lt;/Year&gt;&lt;RecNum&gt;184&lt;/RecNum&gt;&lt;DisplayText&gt;(Prud’homme &amp;amp; Gillet, 2001)&lt;/DisplayText&gt;&lt;record&gt;&lt;rec-number&gt;184&lt;/rec-number&gt;&lt;foreign-keys&gt;&lt;key app="EN" db-id="50wxdpzd9vd5r7e9t5b595djrfpttrxw9avp" timestamp="1525076335"&gt;184&lt;/key&gt;&lt;/foreign-keys&gt;&lt;ref-type name="Journal Article"&gt;17&lt;/ref-type&gt;&lt;contributors&gt;&lt;authors&gt;&lt;author&gt;Prud’homme, T.&lt;/author&gt;&lt;author&gt;D. Gillet&lt;/author&gt;&lt;/authors&gt;&lt;/contributors&gt;&lt;titles&gt;&lt;title&gt;Advanced control strategy of a solar domestic hot water system with a segmented auxiliary heater&lt;/title&gt;&lt;secondary-title&gt;Energy and Buildings&lt;/secondary-title&gt;&lt;short-title&gt;Prud’homme, T. and D. Gillet 2001 – Advanced control strategy&lt;/short-title&gt;&lt;/titles&gt;&lt;volume&gt;33&lt;/volume&gt;&lt;number&gt;5&lt;/number&gt;&lt;dates&gt;&lt;year&gt;2001&lt;/year&gt;&lt;/dates&gt;&lt;urls&gt;&lt;/urls&gt;&lt;/record&gt;&lt;/Cite&gt;&lt;/EndNote&gt;</w:instrText>
      </w:r>
      <w:r w:rsidRPr="00C90AC9">
        <w:rPr>
          <w:rFonts w:eastAsiaTheme="majorEastAsia"/>
          <w:lang w:eastAsia="en-US"/>
        </w:rPr>
        <w:fldChar w:fldCharType="separate"/>
      </w:r>
      <w:r w:rsidRPr="00C90AC9">
        <w:rPr>
          <w:rFonts w:eastAsiaTheme="majorEastAsia"/>
          <w:lang w:eastAsia="en-US"/>
        </w:rPr>
        <w:t>(Prud’homme &amp; Gillet, 2001)</w:t>
      </w:r>
      <w:r w:rsidRPr="00C90AC9">
        <w:rPr>
          <w:rFonts w:eastAsiaTheme="majorEastAsia"/>
          <w:lang w:eastAsia="en-US"/>
        </w:rPr>
        <w:fldChar w:fldCharType="end"/>
      </w:r>
    </w:p>
    <w:p w:rsidR="00C0462B" w:rsidRPr="00C90AC9" w:rsidRDefault="00C0462B" w:rsidP="00984852">
      <w:pPr>
        <w:pStyle w:val="BodyText"/>
        <w:spacing w:line="360" w:lineRule="auto"/>
        <w:rPr>
          <w:rFonts w:eastAsiaTheme="majorEastAsia"/>
          <w:lang w:eastAsia="en-US"/>
        </w:rPr>
      </w:pPr>
      <w:proofErr w:type="spellStart"/>
      <w:r w:rsidRPr="00C90AC9">
        <w:rPr>
          <w:rFonts w:eastAsiaTheme="majorEastAsia"/>
          <w:lang w:eastAsia="en-US"/>
        </w:rPr>
        <w:lastRenderedPageBreak/>
        <w:t>Prud’homme</w:t>
      </w:r>
      <w:proofErr w:type="spellEnd"/>
      <w:r w:rsidRPr="00C90AC9">
        <w:rPr>
          <w:rFonts w:eastAsiaTheme="majorEastAsia"/>
          <w:lang w:eastAsia="en-US"/>
        </w:rPr>
        <w:t xml:space="preserve"> and Gillet achieved significant improvements in both the home comforts achieved by the system and also in reducing the energy consumption needed to satisfy the hot water consumption patterns </w:t>
      </w:r>
      <w:r w:rsidRPr="00C90AC9">
        <w:rPr>
          <w:rFonts w:eastAsiaTheme="majorEastAsia"/>
          <w:lang w:eastAsia="en-US"/>
        </w:rPr>
        <w:fldChar w:fldCharType="begin"/>
      </w:r>
      <w:r w:rsidRPr="00C90AC9">
        <w:rPr>
          <w:rFonts w:eastAsiaTheme="majorEastAsia"/>
          <w:lang w:eastAsia="en-US"/>
        </w:rPr>
        <w:instrText xml:space="preserve"> ADDIN EN.CITE &lt;EndNote&gt;&lt;Cite&gt;&lt;Author&gt;Prud’homme&lt;/Author&gt;&lt;Year&gt;2001&lt;/Year&gt;&lt;RecNum&gt;184&lt;/RecNum&gt;&lt;DisplayText&gt;(Prud’homme &amp;amp; Gillet, 2001)&lt;/DisplayText&gt;&lt;record&gt;&lt;rec-number&gt;184&lt;/rec-number&gt;&lt;foreign-keys&gt;&lt;key app="EN" db-id="50wxdpzd9vd5r7e9t5b595djrfpttrxw9avp" timestamp="1525076335"&gt;184&lt;/key&gt;&lt;/foreign-keys&gt;&lt;ref-type name="Journal Article"&gt;17&lt;/ref-type&gt;&lt;contributors&gt;&lt;authors&gt;&lt;author&gt;Prud’homme, T.&lt;/author&gt;&lt;author&gt;D. Gillet&lt;/author&gt;&lt;/authors&gt;&lt;/contributors&gt;&lt;titles&gt;&lt;title&gt;Advanced control strategy of a solar domestic hot water system with a segmented auxiliary heater&lt;/title&gt;&lt;secondary-title&gt;Energy and Buildings&lt;/secondary-title&gt;&lt;short-title&gt;Prud’homme, T. and D. Gillet 2001 – Advanced control strategy&lt;/short-title&gt;&lt;/titles&gt;&lt;volume&gt;33&lt;/volume&gt;&lt;number&gt;5&lt;/number&gt;&lt;dates&gt;&lt;year&gt;2001&lt;/year&gt;&lt;/dates&gt;&lt;urls&gt;&lt;/urls&gt;&lt;/record&gt;&lt;/Cite&gt;&lt;/EndNote&gt;</w:instrText>
      </w:r>
      <w:r w:rsidRPr="00C90AC9">
        <w:rPr>
          <w:rFonts w:eastAsiaTheme="majorEastAsia"/>
          <w:lang w:eastAsia="en-US"/>
        </w:rPr>
        <w:fldChar w:fldCharType="separate"/>
      </w:r>
      <w:r w:rsidRPr="00C90AC9">
        <w:rPr>
          <w:rFonts w:eastAsiaTheme="majorEastAsia"/>
          <w:lang w:eastAsia="en-US"/>
        </w:rPr>
        <w:t>(Prud’homme &amp; Gillet, 2001)</w:t>
      </w:r>
      <w:r w:rsidRPr="00C90AC9">
        <w:rPr>
          <w:rFonts w:eastAsiaTheme="majorEastAsia"/>
          <w:lang w:eastAsia="en-US"/>
        </w:rPr>
        <w:fldChar w:fldCharType="end"/>
      </w:r>
      <w:r w:rsidRPr="00C90AC9">
        <w:rPr>
          <w:rFonts w:eastAsiaTheme="majorEastAsia"/>
          <w:lang w:eastAsia="en-US"/>
        </w:rPr>
        <w:t xml:space="preserve">. The authors noted however that because these were simulations rather than real-world experiments there was a limitation to applying their results in a broader context. They also noted that there would be a difference </w:t>
      </w:r>
      <w:r w:rsidR="00E82522" w:rsidRPr="00C90AC9">
        <w:rPr>
          <w:rFonts w:eastAsiaTheme="majorEastAsia"/>
          <w:lang w:eastAsia="en-US"/>
        </w:rPr>
        <w:t>main</w:t>
      </w:r>
      <w:r w:rsidRPr="00C90AC9">
        <w:rPr>
          <w:rFonts w:eastAsiaTheme="majorEastAsia"/>
          <w:lang w:eastAsia="en-US"/>
        </w:rPr>
        <w:t xml:space="preserve">ly came from the quality of the disturbance estimates used in their simulations. </w:t>
      </w:r>
    </w:p>
    <w:p w:rsidR="00C0462B" w:rsidRPr="00C90AC9" w:rsidRDefault="00C0462B" w:rsidP="00C0462B">
      <w:pPr>
        <w:pStyle w:val="BodyText"/>
        <w:spacing w:line="360" w:lineRule="auto"/>
        <w:rPr>
          <w:rFonts w:eastAsiaTheme="majorEastAsia"/>
          <w:lang w:eastAsia="en-US"/>
        </w:rPr>
      </w:pPr>
      <w:r w:rsidRPr="00C90AC9">
        <w:rPr>
          <w:rFonts w:eastAsiaTheme="majorEastAsia"/>
          <w:lang w:eastAsia="en-US"/>
        </w:rPr>
        <w:t xml:space="preserve">The predictive control method that </w:t>
      </w:r>
      <w:proofErr w:type="spellStart"/>
      <w:r w:rsidRPr="00C90AC9">
        <w:rPr>
          <w:rFonts w:eastAsiaTheme="majorEastAsia"/>
          <w:lang w:eastAsia="en-US"/>
        </w:rPr>
        <w:t>Prud’homme</w:t>
      </w:r>
      <w:proofErr w:type="spellEnd"/>
      <w:r w:rsidRPr="00C90AC9">
        <w:rPr>
          <w:rFonts w:eastAsiaTheme="majorEastAsia"/>
          <w:lang w:eastAsia="en-US"/>
        </w:rPr>
        <w:t xml:space="preserve"> &amp; Gillet used to achieve better overall performances is shown in Figure 2.</w:t>
      </w:r>
      <w:r w:rsidR="003369B2" w:rsidRPr="00C90AC9">
        <w:rPr>
          <w:rFonts w:eastAsiaTheme="majorEastAsia"/>
          <w:lang w:eastAsia="en-US"/>
        </w:rPr>
        <w:t>9</w:t>
      </w:r>
      <w:r w:rsidRPr="00C90AC9">
        <w:rPr>
          <w:rFonts w:eastAsiaTheme="majorEastAsia"/>
          <w:lang w:eastAsia="en-US"/>
        </w:rPr>
        <w:t xml:space="preserve">. </w:t>
      </w:r>
      <w:r w:rsidRPr="00C90AC9">
        <w:rPr>
          <w:rFonts w:eastAsiaTheme="majorEastAsia"/>
          <w:lang w:eastAsia="en-US"/>
        </w:rPr>
        <w:fldChar w:fldCharType="begin"/>
      </w:r>
      <w:r w:rsidRPr="00C90AC9">
        <w:rPr>
          <w:rFonts w:eastAsiaTheme="majorEastAsia"/>
          <w:lang w:eastAsia="en-US"/>
        </w:rPr>
        <w:instrText xml:space="preserve"> ADDIN EN.CITE &lt;EndNote&gt;&lt;Cite&gt;&lt;Author&gt;Prud’homme&lt;/Author&gt;&lt;Year&gt;2001&lt;/Year&gt;&lt;RecNum&gt;184&lt;/RecNum&gt;&lt;DisplayText&gt;(Prud’homme &amp;amp; Gillet, 2001)&lt;/DisplayText&gt;&lt;record&gt;&lt;rec-number&gt;184&lt;/rec-number&gt;&lt;foreign-keys&gt;&lt;key app="EN" db-id="50wxdpzd9vd5r7e9t5b595djrfpttrxw9avp" timestamp="1525076335"&gt;184&lt;/key&gt;&lt;/foreign-keys&gt;&lt;ref-type name="Journal Article"&gt;17&lt;/ref-type&gt;&lt;contributors&gt;&lt;authors&gt;&lt;author&gt;Prud’homme, T.&lt;/author&gt;&lt;author&gt;D. Gillet&lt;/author&gt;&lt;/authors&gt;&lt;/contributors&gt;&lt;titles&gt;&lt;title&gt;Advanced control strategy of a solar domestic hot water system with a segmented auxiliary heater&lt;/title&gt;&lt;secondary-title&gt;Energy and Buildings&lt;/secondary-title&gt;&lt;short-title&gt;Prud’homme, T. and D. Gillet 2001 – Advanced control strategy&lt;/short-title&gt;&lt;/titles&gt;&lt;volume&gt;33&lt;/volume&gt;&lt;number&gt;5&lt;/number&gt;&lt;dates&gt;&lt;year&gt;2001&lt;/year&gt;&lt;/dates&gt;&lt;urls&gt;&lt;/urls&gt;&lt;/record&gt;&lt;/Cite&gt;&lt;/EndNote&gt;</w:instrText>
      </w:r>
      <w:r w:rsidRPr="00C90AC9">
        <w:rPr>
          <w:rFonts w:eastAsiaTheme="majorEastAsia"/>
          <w:lang w:eastAsia="en-US"/>
        </w:rPr>
        <w:fldChar w:fldCharType="separate"/>
      </w:r>
      <w:r w:rsidRPr="00C90AC9">
        <w:rPr>
          <w:rFonts w:eastAsiaTheme="majorEastAsia"/>
          <w:lang w:eastAsia="en-US"/>
        </w:rPr>
        <w:t>(Prud’homme &amp; Gillet, 2001)</w:t>
      </w:r>
      <w:r w:rsidRPr="00C90AC9">
        <w:rPr>
          <w:rFonts w:eastAsiaTheme="majorEastAsia"/>
          <w:lang w:eastAsia="en-US"/>
        </w:rPr>
        <w:fldChar w:fldCharType="end"/>
      </w:r>
      <w:r w:rsidRPr="00C90AC9">
        <w:rPr>
          <w:rFonts w:eastAsiaTheme="majorEastAsia"/>
          <w:lang w:eastAsia="en-US"/>
        </w:rPr>
        <w:t>.</w:t>
      </w:r>
      <w:r w:rsidR="00984852" w:rsidRPr="00C90AC9">
        <w:rPr>
          <w:rFonts w:eastAsiaTheme="majorEastAsia"/>
          <w:lang w:eastAsia="en-US"/>
        </w:rPr>
        <w:t xml:space="preserve"> </w:t>
      </w:r>
      <w:r w:rsidRPr="00C90AC9">
        <w:rPr>
          <w:rFonts w:eastAsiaTheme="majorEastAsia"/>
          <w:lang w:eastAsia="en-US"/>
        </w:rPr>
        <w:t xml:space="preserve">The predictive model used in their study and also indicates how the system takes advantage of extra information such as the dynamic model of the system and other previously known dynamics of the system. </w:t>
      </w:r>
    </w:p>
    <w:p w:rsidR="00C0462B" w:rsidRPr="00C90AC9" w:rsidRDefault="006E778D" w:rsidP="00C0462B">
      <w:pPr>
        <w:pStyle w:val="BodyText"/>
        <w:rPr>
          <w:rFonts w:eastAsiaTheme="majorEastAsia"/>
          <w:lang w:eastAsia="en-US"/>
        </w:rPr>
      </w:pPr>
      <w:r w:rsidRPr="00C90AC9">
        <w:rPr>
          <w:rFonts w:eastAsiaTheme="majorEastAsia"/>
          <w:noProof/>
        </w:rPr>
        <w:drawing>
          <wp:anchor distT="0" distB="0" distL="114300" distR="114300" simplePos="0" relativeHeight="251963392" behindDoc="0" locked="0" layoutInCell="1" allowOverlap="1" wp14:anchorId="1DCE31E6" wp14:editId="0A5CF629">
            <wp:simplePos x="0" y="0"/>
            <wp:positionH relativeFrom="margin">
              <wp:align>center</wp:align>
            </wp:positionH>
            <wp:positionV relativeFrom="paragraph">
              <wp:posOffset>412144</wp:posOffset>
            </wp:positionV>
            <wp:extent cx="5686425" cy="3550285"/>
            <wp:effectExtent l="19050" t="19050" r="28575" b="12065"/>
            <wp:wrapSquare wrapText="bothSides"/>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86425" cy="3550285"/>
                    </a:xfrm>
                    <a:prstGeom prst="rect">
                      <a:avLst/>
                    </a:prstGeom>
                    <a:noFill/>
                    <a:ln>
                      <a:solidFill>
                        <a:sysClr val="windowText" lastClr="000000">
                          <a:lumMod val="75000"/>
                          <a:lumOff val="25000"/>
                        </a:sysClr>
                      </a:solidFill>
                    </a:ln>
                  </pic:spPr>
                </pic:pic>
              </a:graphicData>
            </a:graphic>
          </wp:anchor>
        </w:drawing>
      </w:r>
      <w:r w:rsidR="00C0462B" w:rsidRPr="00C90AC9">
        <w:rPr>
          <w:rFonts w:eastAsiaTheme="majorEastAsia"/>
          <w:lang w:eastAsia="en-US"/>
        </w:rPr>
        <w:t>Figure</w:t>
      </w:r>
      <w:r w:rsidR="007A3242" w:rsidRPr="00C90AC9">
        <w:rPr>
          <w:rFonts w:eastAsiaTheme="majorEastAsia"/>
          <w:lang w:eastAsia="en-US"/>
        </w:rPr>
        <w:t xml:space="preserve"> 2.</w:t>
      </w:r>
      <w:r w:rsidRPr="00C90AC9">
        <w:rPr>
          <w:rFonts w:eastAsiaTheme="majorEastAsia"/>
          <w:lang w:eastAsia="en-US"/>
        </w:rPr>
        <w:t>9</w:t>
      </w:r>
      <w:r w:rsidR="00C0462B" w:rsidRPr="00C90AC9">
        <w:rPr>
          <w:rFonts w:eastAsiaTheme="majorEastAsia"/>
          <w:lang w:eastAsia="en-US"/>
        </w:rPr>
        <w:t xml:space="preserve">. the predictive model used by </w:t>
      </w:r>
      <w:proofErr w:type="spellStart"/>
      <w:r w:rsidR="00C0462B" w:rsidRPr="00C90AC9">
        <w:rPr>
          <w:rFonts w:eastAsiaTheme="majorEastAsia"/>
          <w:lang w:eastAsia="en-US"/>
        </w:rPr>
        <w:t>Prud’homme</w:t>
      </w:r>
      <w:proofErr w:type="spellEnd"/>
      <w:r w:rsidR="00C0462B" w:rsidRPr="00C90AC9">
        <w:rPr>
          <w:rFonts w:eastAsiaTheme="majorEastAsia"/>
          <w:lang w:eastAsia="en-US"/>
        </w:rPr>
        <w:t xml:space="preserve"> (2001) </w:t>
      </w:r>
      <w:r w:rsidR="00C0462B" w:rsidRPr="00C90AC9">
        <w:rPr>
          <w:rFonts w:eastAsiaTheme="majorEastAsia"/>
          <w:lang w:eastAsia="en-US"/>
        </w:rPr>
        <w:fldChar w:fldCharType="begin"/>
      </w:r>
      <w:r w:rsidR="00C0462B" w:rsidRPr="00C90AC9">
        <w:rPr>
          <w:rFonts w:eastAsiaTheme="majorEastAsia"/>
          <w:lang w:eastAsia="en-US"/>
        </w:rPr>
        <w:instrText xml:space="preserve"> ADDIN EN.CITE &lt;EndNote&gt;&lt;Cite&gt;&lt;Author&gt;Prud’homme&lt;/Author&gt;&lt;Year&gt;2001&lt;/Year&gt;&lt;RecNum&gt;184&lt;/RecNum&gt;&lt;DisplayText&gt;(Prud’homme &amp;amp; Gillet, 2001)&lt;/DisplayText&gt;&lt;record&gt;&lt;rec-number&gt;184&lt;/rec-number&gt;&lt;foreign-keys&gt;&lt;key app="EN" db-id="50wxdpzd9vd5r7e9t5b595djrfpttrxw9avp" timestamp="1525076335"&gt;184&lt;/key&gt;&lt;/foreign-keys&gt;&lt;ref-type name="Journal Article"&gt;17&lt;/ref-type&gt;&lt;contributors&gt;&lt;authors&gt;&lt;author&gt;Prud’homme, T.&lt;/author&gt;&lt;author&gt;D. Gillet&lt;/author&gt;&lt;/authors&gt;&lt;/contributors&gt;&lt;titles&gt;&lt;title&gt;Advanced control strategy of a solar domestic hot water system with a segmented auxiliary heater&lt;/title&gt;&lt;secondary-title&gt;Energy and Buildings&lt;/secondary-title&gt;&lt;short-title&gt;Prud’homme, T. and D. Gillet 2001 – Advanced control strategy&lt;/short-title&gt;&lt;/titles&gt;&lt;volume&gt;33&lt;/volume&gt;&lt;number&gt;5&lt;/number&gt;&lt;dates&gt;&lt;year&gt;2001&lt;/year&gt;&lt;/dates&gt;&lt;urls&gt;&lt;/urls&gt;&lt;/record&gt;&lt;/Cite&gt;&lt;/EndNote&gt;</w:instrText>
      </w:r>
      <w:r w:rsidR="00C0462B" w:rsidRPr="00C90AC9">
        <w:rPr>
          <w:rFonts w:eastAsiaTheme="majorEastAsia"/>
          <w:lang w:eastAsia="en-US"/>
        </w:rPr>
        <w:fldChar w:fldCharType="separate"/>
      </w:r>
      <w:r w:rsidR="00C0462B" w:rsidRPr="00C90AC9">
        <w:rPr>
          <w:rFonts w:eastAsiaTheme="majorEastAsia"/>
          <w:lang w:eastAsia="en-US"/>
        </w:rPr>
        <w:t>(</w:t>
      </w:r>
      <w:proofErr w:type="spellStart"/>
      <w:r w:rsidR="00C0462B" w:rsidRPr="00C90AC9">
        <w:rPr>
          <w:rFonts w:eastAsiaTheme="majorEastAsia"/>
          <w:lang w:eastAsia="en-US"/>
        </w:rPr>
        <w:t>Prud’homme</w:t>
      </w:r>
      <w:proofErr w:type="spellEnd"/>
      <w:r w:rsidR="00C0462B" w:rsidRPr="00C90AC9">
        <w:rPr>
          <w:rFonts w:eastAsiaTheme="majorEastAsia"/>
          <w:lang w:eastAsia="en-US"/>
        </w:rPr>
        <w:t xml:space="preserve"> &amp; Gillet, 2001)</w:t>
      </w:r>
      <w:r w:rsidR="00C0462B" w:rsidRPr="00C90AC9">
        <w:rPr>
          <w:rFonts w:eastAsiaTheme="majorEastAsia"/>
          <w:lang w:eastAsia="en-US"/>
        </w:rPr>
        <w:fldChar w:fldCharType="end"/>
      </w:r>
    </w:p>
    <w:p w:rsidR="00C0462B" w:rsidRPr="00C90AC9" w:rsidRDefault="00C0462B" w:rsidP="00C0462B">
      <w:pPr>
        <w:pStyle w:val="BodyText"/>
        <w:rPr>
          <w:rFonts w:eastAsiaTheme="majorEastAsia"/>
          <w:lang w:eastAsia="en-US"/>
        </w:rPr>
      </w:pPr>
    </w:p>
    <w:p w:rsidR="00C0462B" w:rsidRPr="00C90AC9" w:rsidRDefault="00C0462B" w:rsidP="00C0462B">
      <w:pPr>
        <w:pStyle w:val="BodyText"/>
        <w:spacing w:line="360" w:lineRule="auto"/>
        <w:rPr>
          <w:rFonts w:eastAsiaTheme="majorEastAsia"/>
          <w:lang w:eastAsia="en-US"/>
        </w:rPr>
      </w:pPr>
      <w:r w:rsidRPr="00C90AC9">
        <w:rPr>
          <w:rFonts w:eastAsiaTheme="majorEastAsia"/>
          <w:lang w:eastAsia="en-US"/>
        </w:rPr>
        <w:t xml:space="preserve">A short sampling time for when new calculations could be made, in part, helps to solve this problem as they recognised as a shorter sampling time means that a higher number of calculations can be performed </w:t>
      </w:r>
      <w:r w:rsidRPr="00C90AC9">
        <w:rPr>
          <w:rFonts w:eastAsiaTheme="majorEastAsia"/>
          <w:lang w:eastAsia="en-US"/>
        </w:rPr>
        <w:fldChar w:fldCharType="begin"/>
      </w:r>
      <w:r w:rsidRPr="00C90AC9">
        <w:rPr>
          <w:rFonts w:eastAsiaTheme="majorEastAsia"/>
          <w:lang w:eastAsia="en-US"/>
        </w:rPr>
        <w:instrText xml:space="preserve"> ADDIN EN.CITE &lt;EndNote&gt;&lt;Cite&gt;&lt;Author&gt;Prud’homme&lt;/Author&gt;&lt;Year&gt;2001&lt;/Year&gt;&lt;RecNum&gt;184&lt;/RecNum&gt;&lt;DisplayText&gt;(Prud’homme &amp;amp; Gillet, 2001)&lt;/DisplayText&gt;&lt;record&gt;&lt;rec-number&gt;184&lt;/rec-number&gt;&lt;foreign-keys&gt;&lt;key app="EN" db-id="50wxdpzd9vd5r7e9t5b595djrfpttrxw9avp" timestamp="1525076335"&gt;184&lt;/key&gt;&lt;/foreign-keys&gt;&lt;ref-type name="Journal Article"&gt;17&lt;/ref-type&gt;&lt;contributors&gt;&lt;authors&gt;&lt;author&gt;Prud’homme, T.&lt;/author&gt;&lt;author&gt;D. Gillet&lt;/author&gt;&lt;/authors&gt;&lt;/contributors&gt;&lt;titles&gt;&lt;title&gt;Advanced control strategy of a solar domestic hot water system with a segmented auxiliary heater&lt;/title&gt;&lt;secondary-title&gt;Energy and Buildings&lt;/secondary-title&gt;&lt;short-title&gt;Prud’homme, T. and D. Gillet 2001 – Advanced control strategy&lt;/short-title&gt;&lt;/titles&gt;&lt;volume&gt;33&lt;/volume&gt;&lt;number&gt;5&lt;/number&gt;&lt;dates&gt;&lt;year&gt;2001&lt;/year&gt;&lt;/dates&gt;&lt;urls&gt;&lt;/urls&gt;&lt;/record&gt;&lt;/Cite&gt;&lt;/EndNote&gt;</w:instrText>
      </w:r>
      <w:r w:rsidRPr="00C90AC9">
        <w:rPr>
          <w:rFonts w:eastAsiaTheme="majorEastAsia"/>
          <w:lang w:eastAsia="en-US"/>
        </w:rPr>
        <w:fldChar w:fldCharType="separate"/>
      </w:r>
      <w:r w:rsidRPr="00C90AC9">
        <w:rPr>
          <w:rFonts w:eastAsiaTheme="majorEastAsia"/>
          <w:lang w:eastAsia="en-US"/>
        </w:rPr>
        <w:t>(Prud’homme &amp; Gillet, 2001)</w:t>
      </w:r>
      <w:r w:rsidRPr="00C90AC9">
        <w:rPr>
          <w:rFonts w:eastAsiaTheme="majorEastAsia"/>
          <w:lang w:eastAsia="en-US"/>
        </w:rPr>
        <w:fldChar w:fldCharType="end"/>
      </w:r>
      <w:r w:rsidRPr="00C90AC9">
        <w:rPr>
          <w:rFonts w:eastAsiaTheme="majorEastAsia"/>
          <w:lang w:eastAsia="en-US"/>
        </w:rPr>
        <w:t>. Essentially, the program they used was implemented in a manner so as to be conservative enough to ensure that real-world draw off patterns were accounted for and yet optimised enough to ensure good comfort and energy benefits.</w:t>
      </w:r>
    </w:p>
    <w:p w:rsidR="00C0462B" w:rsidRPr="00C90AC9" w:rsidRDefault="00C0462B" w:rsidP="00C0462B">
      <w:pPr>
        <w:pStyle w:val="BodyText"/>
        <w:spacing w:line="360" w:lineRule="auto"/>
        <w:rPr>
          <w:rFonts w:eastAsiaTheme="majorEastAsia"/>
          <w:lang w:eastAsia="en-US"/>
        </w:rPr>
      </w:pPr>
      <w:proofErr w:type="spellStart"/>
      <w:r w:rsidRPr="00C90AC9">
        <w:rPr>
          <w:rFonts w:eastAsiaTheme="majorEastAsia"/>
          <w:lang w:eastAsia="en-US"/>
        </w:rPr>
        <w:lastRenderedPageBreak/>
        <w:t>Fraisse</w:t>
      </w:r>
      <w:proofErr w:type="spellEnd"/>
      <w:r w:rsidRPr="00C90AC9">
        <w:rPr>
          <w:rFonts w:eastAsiaTheme="majorEastAsia"/>
          <w:lang w:eastAsia="en-US"/>
        </w:rPr>
        <w:t xml:space="preserve"> et al looked</w:t>
      </w:r>
      <w:r w:rsidRPr="00C90AC9">
        <w:rPr>
          <w:rFonts w:eastAsiaTheme="majorEastAsia"/>
          <w:lang w:eastAsia="en-US"/>
        </w:rPr>
        <w:fldChar w:fldCharType="begin"/>
      </w:r>
      <w:r w:rsidRPr="00C90AC9">
        <w:rPr>
          <w:rFonts w:eastAsiaTheme="majorEastAsia"/>
          <w:lang w:eastAsia="en-US"/>
        </w:rPr>
        <w:instrText xml:space="preserve"> ADDIN EN.CITE &lt;EndNote&gt;&lt;Cite&gt;&lt;Author&gt;Fraisse&lt;/Author&gt;&lt;Year&gt;2009&lt;/Year&gt;&lt;RecNum&gt;215&lt;/RecNum&gt;&lt;DisplayText&gt;(Fraisse, Bai, Le Pierrès, &amp;amp; Letz, 2009)&lt;/DisplayText&gt;&lt;record&gt;&lt;rec-number&gt;215&lt;/rec-number&gt;&lt;foreign-keys&gt;&lt;key app="EN" db-id="50wxdpzd9vd5r7e9t5b595djrfpttrxw9avp" timestamp="1525590858"&gt;215&lt;/key&gt;&lt;/foreign-keys&gt;&lt;ref-type name="Journal Article"&gt;17&lt;/ref-type&gt;&lt;contributors&gt;&lt;authors&gt;&lt;author&gt;Fraisse, G.&lt;/author&gt;&lt;author&gt;Bai, Y.&lt;/author&gt;&lt;author&gt;Le Pierrès, N.&lt;/author&gt;&lt;author&gt;Letz, T.&lt;/author&gt;&lt;/authors&gt;&lt;/contributors&gt;&lt;titles&gt;&lt;title&gt;Comparative study of various optimization criteria for SDHWS and a suggestion for a new global evaluation&lt;/title&gt;&lt;secondary-title&gt;Solar Energy&lt;/secondary-title&gt;&lt;/titles&gt;&lt;pages&gt;232-245&lt;/pages&gt;&lt;volume&gt;83&lt;/volume&gt;&lt;number&gt;2&lt;/number&gt;&lt;keywords&gt;&lt;keyword&gt;Optimization&lt;/keyword&gt;&lt;keyword&gt;SDHWS&lt;/keyword&gt;&lt;keyword&gt;Simulation&lt;/keyword&gt;&lt;keyword&gt;Global evaluation&lt;/keyword&gt;&lt;keyword&gt;Mixed criteria&lt;/keyword&gt;&lt;/keywords&gt;&lt;dates&gt;&lt;year&gt;2009&lt;/year&gt;&lt;pub-dates&gt;&lt;date&gt;2009/02/01/&lt;/date&gt;&lt;/pub-dates&gt;&lt;/dates&gt;&lt;isbn&gt;0038-092X&lt;/isbn&gt;&lt;urls&gt;&lt;related-urls&gt;&lt;url&gt;http://www.sciencedirect.com/science/article/pii/S0038092X08001886&lt;/url&gt;&lt;/related-urls&gt;&lt;/urls&gt;&lt;electronic-resource-num&gt;https://doi.org/10.1016/j.solener.2008.07.021&lt;/electronic-resource-num&gt;&lt;/record&gt;&lt;/Cite&gt;&lt;/EndNote&gt;</w:instrText>
      </w:r>
      <w:r w:rsidRPr="00C90AC9">
        <w:rPr>
          <w:rFonts w:eastAsiaTheme="majorEastAsia"/>
          <w:lang w:eastAsia="en-US"/>
        </w:rPr>
        <w:fldChar w:fldCharType="separate"/>
      </w:r>
      <w:r w:rsidRPr="00C90AC9">
        <w:rPr>
          <w:rFonts w:eastAsiaTheme="majorEastAsia"/>
          <w:lang w:eastAsia="en-US"/>
        </w:rPr>
        <w:t>(</w:t>
      </w:r>
      <w:proofErr w:type="spellStart"/>
      <w:r w:rsidRPr="00C90AC9">
        <w:rPr>
          <w:rFonts w:eastAsiaTheme="majorEastAsia"/>
          <w:lang w:eastAsia="en-US"/>
        </w:rPr>
        <w:t>Fraisse</w:t>
      </w:r>
      <w:proofErr w:type="spellEnd"/>
      <w:r w:rsidRPr="00C90AC9">
        <w:rPr>
          <w:rFonts w:eastAsiaTheme="majorEastAsia"/>
          <w:lang w:eastAsia="en-US"/>
        </w:rPr>
        <w:t>, Bai, Le Pierrès, &amp; Letz, 2009)</w:t>
      </w:r>
      <w:r w:rsidRPr="00C90AC9">
        <w:rPr>
          <w:rFonts w:eastAsiaTheme="majorEastAsia"/>
          <w:lang w:eastAsia="en-US"/>
        </w:rPr>
        <w:fldChar w:fldCharType="end"/>
      </w:r>
      <w:r w:rsidRPr="00C90AC9">
        <w:rPr>
          <w:rFonts w:eastAsiaTheme="majorEastAsia"/>
          <w:lang w:eastAsia="en-US"/>
        </w:rPr>
        <w:t xml:space="preserve"> at the various optimisation criteria for Solar Domestic Hot Water Systems (SDHWS) that use an electric auxiliary heater </w:t>
      </w:r>
      <w:r w:rsidRPr="00C90AC9">
        <w:rPr>
          <w:rFonts w:eastAsiaTheme="majorEastAsia"/>
          <w:lang w:eastAsia="en-US"/>
        </w:rPr>
        <w:fldChar w:fldCharType="begin"/>
      </w:r>
      <w:r w:rsidRPr="00C90AC9">
        <w:rPr>
          <w:rFonts w:eastAsiaTheme="majorEastAsia"/>
          <w:lang w:eastAsia="en-US"/>
        </w:rPr>
        <w:instrText xml:space="preserve"> ADDIN EN.CITE &lt;EndNote&gt;&lt;Cite&gt;&lt;Author&gt;Fraisse&lt;/Author&gt;&lt;Year&gt;2009&lt;/Year&gt;&lt;RecNum&gt;215&lt;/RecNum&gt;&lt;DisplayText&gt;(Fraisse et al., 2009)&lt;/DisplayText&gt;&lt;record&gt;&lt;rec-number&gt;215&lt;/rec-number&gt;&lt;foreign-keys&gt;&lt;key app="EN" db-id="50wxdpzd9vd5r7e9t5b595djrfpttrxw9avp" timestamp="1525590858"&gt;215&lt;/key&gt;&lt;/foreign-keys&gt;&lt;ref-type name="Journal Article"&gt;17&lt;/ref-type&gt;&lt;contributors&gt;&lt;authors&gt;&lt;author&gt;Fraisse, G.&lt;/author&gt;&lt;author&gt;Bai, Y.&lt;/author&gt;&lt;author&gt;Le Pierrès, N.&lt;/author&gt;&lt;author&gt;Letz, T.&lt;/author&gt;&lt;/authors&gt;&lt;/contributors&gt;&lt;titles&gt;&lt;title&gt;Comparative study of various optimization criteria for SDHWS and a suggestion for a new global evaluation&lt;/title&gt;&lt;secondary-title&gt;Solar Energy&lt;/secondary-title&gt;&lt;/titles&gt;&lt;pages&gt;232-245&lt;/pages&gt;&lt;volume&gt;83&lt;/volume&gt;&lt;number&gt;2&lt;/number&gt;&lt;keywords&gt;&lt;keyword&gt;Optimization&lt;/keyword&gt;&lt;keyword&gt;SDHWS&lt;/keyword&gt;&lt;keyword&gt;Simulation&lt;/keyword&gt;&lt;keyword&gt;Global evaluation&lt;/keyword&gt;&lt;keyword&gt;Mixed criteria&lt;/keyword&gt;&lt;/keywords&gt;&lt;dates&gt;&lt;year&gt;2009&lt;/year&gt;&lt;pub-dates&gt;&lt;date&gt;2009/02/01/&lt;/date&gt;&lt;/pub-dates&gt;&lt;/dates&gt;&lt;isbn&gt;0038-092X&lt;/isbn&gt;&lt;urls&gt;&lt;related-urls&gt;&lt;url&gt;http://www.sciencedirect.com/science/article/pii/S0038092X08001886&lt;/url&gt;&lt;/related-urls&gt;&lt;/urls&gt;&lt;electronic-resource-num&gt;https://doi.org/10.1016/j.solener.2008.07.021&lt;/electronic-resource-num&gt;&lt;/record&gt;&lt;/Cite&gt;&lt;/EndNote&gt;</w:instrText>
      </w:r>
      <w:r w:rsidRPr="00C90AC9">
        <w:rPr>
          <w:rFonts w:eastAsiaTheme="majorEastAsia"/>
          <w:lang w:eastAsia="en-US"/>
        </w:rPr>
        <w:fldChar w:fldCharType="separate"/>
      </w:r>
      <w:r w:rsidRPr="00C90AC9">
        <w:rPr>
          <w:rFonts w:eastAsiaTheme="majorEastAsia"/>
          <w:lang w:eastAsia="en-US"/>
        </w:rPr>
        <w:t>(Fraisse et al., 2009)</w:t>
      </w:r>
      <w:r w:rsidRPr="00C90AC9">
        <w:rPr>
          <w:rFonts w:eastAsiaTheme="majorEastAsia"/>
          <w:lang w:eastAsia="en-US"/>
        </w:rPr>
        <w:fldChar w:fldCharType="end"/>
      </w:r>
      <w:r w:rsidRPr="00C90AC9">
        <w:rPr>
          <w:rFonts w:eastAsiaTheme="majorEastAsia"/>
          <w:lang w:eastAsia="en-US"/>
        </w:rPr>
        <w:t xml:space="preserve">. The work was conducted in the first instance as they note that there were a number of criteria that were evaluated when considering the most important parameter without one single parameter being adjudged to be the most important </w:t>
      </w:r>
      <w:r w:rsidRPr="00C90AC9">
        <w:rPr>
          <w:rFonts w:eastAsiaTheme="majorEastAsia"/>
          <w:lang w:eastAsia="en-US"/>
        </w:rPr>
        <w:fldChar w:fldCharType="begin"/>
      </w:r>
      <w:r w:rsidRPr="00C90AC9">
        <w:rPr>
          <w:rFonts w:eastAsiaTheme="majorEastAsia"/>
          <w:lang w:eastAsia="en-US"/>
        </w:rPr>
        <w:instrText xml:space="preserve"> ADDIN EN.CITE &lt;EndNote&gt;&lt;Cite&gt;&lt;Author&gt;Fraisse&lt;/Author&gt;&lt;Year&gt;2009&lt;/Year&gt;&lt;RecNum&gt;215&lt;/RecNum&gt;&lt;DisplayText&gt;(Fraisse et al., 2009)&lt;/DisplayText&gt;&lt;record&gt;&lt;rec-number&gt;215&lt;/rec-number&gt;&lt;foreign-keys&gt;&lt;key app="EN" db-id="50wxdpzd9vd5r7e9t5b595djrfpttrxw9avp" timestamp="1525590858"&gt;215&lt;/key&gt;&lt;/foreign-keys&gt;&lt;ref-type name="Journal Article"&gt;17&lt;/ref-type&gt;&lt;contributors&gt;&lt;authors&gt;&lt;author&gt;Fraisse, G.&lt;/author&gt;&lt;author&gt;Bai, Y.&lt;/author&gt;&lt;author&gt;Le Pierrès, N.&lt;/author&gt;&lt;author&gt;Letz, T.&lt;/author&gt;&lt;/authors&gt;&lt;/contributors&gt;&lt;titles&gt;&lt;title&gt;Comparative study of various optimization criteria for SDHWS and a suggestion for a new global evaluation&lt;/title&gt;&lt;secondary-title&gt;Solar Energy&lt;/secondary-title&gt;&lt;/titles&gt;&lt;pages&gt;232-245&lt;/pages&gt;&lt;volume&gt;83&lt;/volume&gt;&lt;number&gt;2&lt;/number&gt;&lt;keywords&gt;&lt;keyword&gt;Optimization&lt;/keyword&gt;&lt;keyword&gt;SDHWS&lt;/keyword&gt;&lt;keyword&gt;Simulation&lt;/keyword&gt;&lt;keyword&gt;Global evaluation&lt;/keyword&gt;&lt;keyword&gt;Mixed criteria&lt;/keyword&gt;&lt;/keywords&gt;&lt;dates&gt;&lt;year&gt;2009&lt;/year&gt;&lt;pub-dates&gt;&lt;date&gt;2009/02/01/&lt;/date&gt;&lt;/pub-dates&gt;&lt;/dates&gt;&lt;isbn&gt;0038-092X&lt;/isbn&gt;&lt;urls&gt;&lt;related-urls&gt;&lt;url&gt;http://www.sciencedirect.com/science/article/pii/S0038092X08001886&lt;/url&gt;&lt;/related-urls&gt;&lt;/urls&gt;&lt;electronic-resource-num&gt;https://doi.org/10.1016/j.solener.2008.07.021&lt;/electronic-resource-num&gt;&lt;/record&gt;&lt;/Cite&gt;&lt;/EndNote&gt;</w:instrText>
      </w:r>
      <w:r w:rsidRPr="00C90AC9">
        <w:rPr>
          <w:rFonts w:eastAsiaTheme="majorEastAsia"/>
          <w:lang w:eastAsia="en-US"/>
        </w:rPr>
        <w:fldChar w:fldCharType="separate"/>
      </w:r>
      <w:r w:rsidRPr="00C90AC9">
        <w:rPr>
          <w:rFonts w:eastAsiaTheme="majorEastAsia"/>
          <w:lang w:eastAsia="en-US"/>
        </w:rPr>
        <w:t>(Fraisse et al., 2009)</w:t>
      </w:r>
      <w:r w:rsidRPr="00C90AC9">
        <w:rPr>
          <w:rFonts w:eastAsiaTheme="majorEastAsia"/>
          <w:lang w:eastAsia="en-US"/>
        </w:rPr>
        <w:fldChar w:fldCharType="end"/>
      </w:r>
      <w:r w:rsidRPr="00C90AC9">
        <w:rPr>
          <w:rFonts w:eastAsiaTheme="majorEastAsia"/>
          <w:lang w:eastAsia="en-US"/>
        </w:rPr>
        <w:t xml:space="preserve">. Various optimisation parameters included in previous studies, including: the solar fraction; energetic; environmental as well as economic </w:t>
      </w:r>
      <w:r w:rsidRPr="00C90AC9">
        <w:rPr>
          <w:rFonts w:eastAsiaTheme="majorEastAsia"/>
          <w:lang w:eastAsia="en-US"/>
        </w:rPr>
        <w:fldChar w:fldCharType="begin"/>
      </w:r>
      <w:r w:rsidRPr="00C90AC9">
        <w:rPr>
          <w:rFonts w:eastAsiaTheme="majorEastAsia"/>
          <w:lang w:eastAsia="en-US"/>
        </w:rPr>
        <w:instrText xml:space="preserve"> ADDIN EN.CITE &lt;EndNote&gt;&lt;Cite&gt;&lt;Author&gt;Fraisse&lt;/Author&gt;&lt;Year&gt;2009&lt;/Year&gt;&lt;RecNum&gt;215&lt;/RecNum&gt;&lt;DisplayText&gt;(Fraisse et al., 2009)&lt;/DisplayText&gt;&lt;record&gt;&lt;rec-number&gt;215&lt;/rec-number&gt;&lt;foreign-keys&gt;&lt;key app="EN" db-id="50wxdpzd9vd5r7e9t5b595djrfpttrxw9avp" timestamp="1525590858"&gt;215&lt;/key&gt;&lt;/foreign-keys&gt;&lt;ref-type name="Journal Article"&gt;17&lt;/ref-type&gt;&lt;contributors&gt;&lt;authors&gt;&lt;author&gt;Fraisse, G.&lt;/author&gt;&lt;author&gt;Bai, Y.&lt;/author&gt;&lt;author&gt;Le Pierrès, N.&lt;/author&gt;&lt;author&gt;Letz, T.&lt;/author&gt;&lt;/authors&gt;&lt;/contributors&gt;&lt;titles&gt;&lt;title&gt;Comparative study of various optimization criteria for SDHWS and a suggestion for a new global evaluation&lt;/title&gt;&lt;secondary-title&gt;Solar Energy&lt;/secondary-title&gt;&lt;/titles&gt;&lt;pages&gt;232-245&lt;/pages&gt;&lt;volume&gt;83&lt;/volume&gt;&lt;number&gt;2&lt;/number&gt;&lt;keywords&gt;&lt;keyword&gt;Optimization&lt;/keyword&gt;&lt;keyword&gt;SDHWS&lt;/keyword&gt;&lt;keyword&gt;Simulation&lt;/keyword&gt;&lt;keyword&gt;Global evaluation&lt;/keyword&gt;&lt;keyword&gt;Mixed criteria&lt;/keyword&gt;&lt;/keywords&gt;&lt;dates&gt;&lt;year&gt;2009&lt;/year&gt;&lt;pub-dates&gt;&lt;date&gt;2009/02/01/&lt;/date&gt;&lt;/pub-dates&gt;&lt;/dates&gt;&lt;isbn&gt;0038-092X&lt;/isbn&gt;&lt;urls&gt;&lt;related-urls&gt;&lt;url&gt;http://www.sciencedirect.com/science/article/pii/S0038092X08001886&lt;/url&gt;&lt;/related-urls&gt;&lt;/urls&gt;&lt;electronic-resource-num&gt;https://doi.org/10.1016/j.solener.2008.07.021&lt;/electronic-resource-num&gt;&lt;/record&gt;&lt;/Cite&gt;&lt;/EndNote&gt;</w:instrText>
      </w:r>
      <w:r w:rsidRPr="00C90AC9">
        <w:rPr>
          <w:rFonts w:eastAsiaTheme="majorEastAsia"/>
          <w:lang w:eastAsia="en-US"/>
        </w:rPr>
        <w:fldChar w:fldCharType="separate"/>
      </w:r>
      <w:r w:rsidRPr="00C90AC9">
        <w:rPr>
          <w:rFonts w:eastAsiaTheme="majorEastAsia"/>
          <w:lang w:eastAsia="en-US"/>
        </w:rPr>
        <w:t>(Fraisse et al., 2009)</w:t>
      </w:r>
      <w:r w:rsidRPr="00C90AC9">
        <w:rPr>
          <w:rFonts w:eastAsiaTheme="majorEastAsia"/>
          <w:lang w:eastAsia="en-US"/>
        </w:rPr>
        <w:fldChar w:fldCharType="end"/>
      </w:r>
      <w:r w:rsidRPr="00C90AC9">
        <w:rPr>
          <w:rFonts w:eastAsiaTheme="majorEastAsia"/>
          <w:lang w:eastAsia="en-US"/>
        </w:rPr>
        <w:t xml:space="preserve">.  They note in their study that the energy and economic criteria are most often used to optimise solar heating systems, and the study was conducted to question whether this are the most valid and useful criteria to optimise </w:t>
      </w:r>
      <w:r w:rsidRPr="00C90AC9">
        <w:rPr>
          <w:rFonts w:eastAsiaTheme="majorEastAsia"/>
          <w:lang w:eastAsia="en-US"/>
        </w:rPr>
        <w:fldChar w:fldCharType="begin"/>
      </w:r>
      <w:r w:rsidRPr="00C90AC9">
        <w:rPr>
          <w:rFonts w:eastAsiaTheme="majorEastAsia"/>
          <w:lang w:eastAsia="en-US"/>
        </w:rPr>
        <w:instrText xml:space="preserve"> ADDIN EN.CITE &lt;EndNote&gt;&lt;Cite&gt;&lt;Author&gt;Fraisse&lt;/Author&gt;&lt;Year&gt;2009&lt;/Year&gt;&lt;RecNum&gt;215&lt;/RecNum&gt;&lt;DisplayText&gt;(Fraisse et al., 2009)&lt;/DisplayText&gt;&lt;record&gt;&lt;rec-number&gt;215&lt;/rec-number&gt;&lt;foreign-keys&gt;&lt;key app="EN" db-id="50wxdpzd9vd5r7e9t5b595djrfpttrxw9avp" timestamp="1525590858"&gt;215&lt;/key&gt;&lt;/foreign-keys&gt;&lt;ref-type name="Journal Article"&gt;17&lt;/ref-type&gt;&lt;contributors&gt;&lt;authors&gt;&lt;author&gt;Fraisse, G.&lt;/author&gt;&lt;author&gt;Bai, Y.&lt;/author&gt;&lt;author&gt;Le Pierrès, N.&lt;/author&gt;&lt;author&gt;Letz, T.&lt;/author&gt;&lt;/authors&gt;&lt;/contributors&gt;&lt;titles&gt;&lt;title&gt;Comparative study of various optimization criteria for SDHWS and a suggestion for a new global evaluation&lt;/title&gt;&lt;secondary-title&gt;Solar Energy&lt;/secondary-title&gt;&lt;/titles&gt;&lt;pages&gt;232-245&lt;/pages&gt;&lt;volume&gt;83&lt;/volume&gt;&lt;number&gt;2&lt;/number&gt;&lt;keywords&gt;&lt;keyword&gt;Optimization&lt;/keyword&gt;&lt;keyword&gt;SDHWS&lt;/keyword&gt;&lt;keyword&gt;Simulation&lt;/keyword&gt;&lt;keyword&gt;Global evaluation&lt;/keyword&gt;&lt;keyword&gt;Mixed criteria&lt;/keyword&gt;&lt;/keywords&gt;&lt;dates&gt;&lt;year&gt;2009&lt;/year&gt;&lt;pub-dates&gt;&lt;date&gt;2009/02/01/&lt;/date&gt;&lt;/pub-dates&gt;&lt;/dates&gt;&lt;isbn&gt;0038-092X&lt;/isbn&gt;&lt;urls&gt;&lt;related-urls&gt;&lt;url&gt;http://www.sciencedirect.com/science/article/pii/S0038092X08001886&lt;/url&gt;&lt;/related-urls&gt;&lt;/urls&gt;&lt;electronic-resource-num&gt;https://doi.org/10.1016/j.solener.2008.07.021&lt;/electronic-resource-num&gt;&lt;/record&gt;&lt;/Cite&gt;&lt;/EndNote&gt;</w:instrText>
      </w:r>
      <w:r w:rsidRPr="00C90AC9">
        <w:rPr>
          <w:rFonts w:eastAsiaTheme="majorEastAsia"/>
          <w:lang w:eastAsia="en-US"/>
        </w:rPr>
        <w:fldChar w:fldCharType="separate"/>
      </w:r>
      <w:r w:rsidRPr="00C90AC9">
        <w:rPr>
          <w:rFonts w:eastAsiaTheme="majorEastAsia"/>
          <w:lang w:eastAsia="en-US"/>
        </w:rPr>
        <w:t>(Fraisse et al., 2009)</w:t>
      </w:r>
      <w:r w:rsidRPr="00C90AC9">
        <w:rPr>
          <w:rFonts w:eastAsiaTheme="majorEastAsia"/>
          <w:lang w:eastAsia="en-US"/>
        </w:rPr>
        <w:fldChar w:fldCharType="end"/>
      </w:r>
      <w:r w:rsidRPr="00C90AC9">
        <w:rPr>
          <w:rFonts w:eastAsiaTheme="majorEastAsia"/>
          <w:lang w:eastAsia="en-US"/>
        </w:rPr>
        <w:t>.</w:t>
      </w:r>
    </w:p>
    <w:p w:rsidR="00C0462B" w:rsidRPr="00C90AC9" w:rsidRDefault="00C0462B" w:rsidP="00C0462B">
      <w:pPr>
        <w:pStyle w:val="BodyText"/>
        <w:spacing w:line="360" w:lineRule="auto"/>
        <w:rPr>
          <w:rFonts w:eastAsiaTheme="majorEastAsia"/>
          <w:lang w:eastAsia="en-US"/>
        </w:rPr>
      </w:pPr>
      <w:r w:rsidRPr="00C90AC9">
        <w:rPr>
          <w:rFonts w:eastAsiaTheme="majorEastAsia"/>
          <w:lang w:eastAsia="en-US"/>
        </w:rPr>
        <w:t xml:space="preserve">The Life-Cycle Cost (LCC) was judged to be the total cost of system over 20 year period with the 2009 cost being calculated using given interest rates and discount rates </w:t>
      </w:r>
      <w:r w:rsidRPr="00C90AC9">
        <w:rPr>
          <w:rFonts w:eastAsiaTheme="majorEastAsia"/>
          <w:lang w:eastAsia="en-US"/>
        </w:rPr>
        <w:fldChar w:fldCharType="begin"/>
      </w:r>
      <w:r w:rsidRPr="00C90AC9">
        <w:rPr>
          <w:rFonts w:eastAsiaTheme="majorEastAsia"/>
          <w:lang w:eastAsia="en-US"/>
        </w:rPr>
        <w:instrText xml:space="preserve"> ADDIN EN.CITE &lt;EndNote&gt;&lt;Cite&gt;&lt;Author&gt;Fraisse&lt;/Author&gt;&lt;Year&gt;2009&lt;/Year&gt;&lt;RecNum&gt;215&lt;/RecNum&gt;&lt;DisplayText&gt;(Fraisse et al., 2009)&lt;/DisplayText&gt;&lt;record&gt;&lt;rec-number&gt;215&lt;/rec-number&gt;&lt;foreign-keys&gt;&lt;key app="EN" db-id="50wxdpzd9vd5r7e9t5b595djrfpttrxw9avp" timestamp="1525590858"&gt;215&lt;/key&gt;&lt;/foreign-keys&gt;&lt;ref-type name="Journal Article"&gt;17&lt;/ref-type&gt;&lt;contributors&gt;&lt;authors&gt;&lt;author&gt;Fraisse, G.&lt;/author&gt;&lt;author&gt;Bai, Y.&lt;/author&gt;&lt;author&gt;Le Pierrès, N.&lt;/author&gt;&lt;author&gt;Letz, T.&lt;/author&gt;&lt;/authors&gt;&lt;/contributors&gt;&lt;titles&gt;&lt;title&gt;Comparative study of various optimization criteria for SDHWS and a suggestion for a new global evaluation&lt;/title&gt;&lt;secondary-title&gt;Solar Energy&lt;/secondary-title&gt;&lt;/titles&gt;&lt;pages&gt;232-245&lt;/pages&gt;&lt;volume&gt;83&lt;/volume&gt;&lt;number&gt;2&lt;/number&gt;&lt;keywords&gt;&lt;keyword&gt;Optimization&lt;/keyword&gt;&lt;keyword&gt;SDHWS&lt;/keyword&gt;&lt;keyword&gt;Simulation&lt;/keyword&gt;&lt;keyword&gt;Global evaluation&lt;/keyword&gt;&lt;keyword&gt;Mixed criteria&lt;/keyword&gt;&lt;/keywords&gt;&lt;dates&gt;&lt;year&gt;2009&lt;/year&gt;&lt;pub-dates&gt;&lt;date&gt;2009/02/01/&lt;/date&gt;&lt;/pub-dates&gt;&lt;/dates&gt;&lt;isbn&gt;0038-092X&lt;/isbn&gt;&lt;urls&gt;&lt;related-urls&gt;&lt;url&gt;http://www.sciencedirect.com/science/article/pii/S0038092X08001886&lt;/url&gt;&lt;/related-urls&gt;&lt;/urls&gt;&lt;electronic-resource-num&gt;https://doi.org/10.1016/j.solener.2008.07.021&lt;/electronic-resource-num&gt;&lt;/record&gt;&lt;/Cite&gt;&lt;/EndNote&gt;</w:instrText>
      </w:r>
      <w:r w:rsidRPr="00C90AC9">
        <w:rPr>
          <w:rFonts w:eastAsiaTheme="majorEastAsia"/>
          <w:lang w:eastAsia="en-US"/>
        </w:rPr>
        <w:fldChar w:fldCharType="separate"/>
      </w:r>
      <w:r w:rsidRPr="00C90AC9">
        <w:rPr>
          <w:rFonts w:eastAsiaTheme="majorEastAsia"/>
          <w:lang w:eastAsia="en-US"/>
        </w:rPr>
        <w:t>(Fraisse et al., 2009)</w:t>
      </w:r>
      <w:r w:rsidRPr="00C90AC9">
        <w:rPr>
          <w:rFonts w:eastAsiaTheme="majorEastAsia"/>
          <w:lang w:eastAsia="en-US"/>
        </w:rPr>
        <w:fldChar w:fldCharType="end"/>
      </w:r>
      <w:r w:rsidRPr="00C90AC9">
        <w:rPr>
          <w:rFonts w:eastAsiaTheme="majorEastAsia"/>
          <w:lang w:eastAsia="en-US"/>
        </w:rPr>
        <w:t xml:space="preserve">. </w:t>
      </w:r>
      <w:proofErr w:type="spellStart"/>
      <w:r w:rsidRPr="00C90AC9">
        <w:rPr>
          <w:rFonts w:eastAsiaTheme="majorEastAsia"/>
          <w:lang w:eastAsia="en-US"/>
        </w:rPr>
        <w:t>Fraisse</w:t>
      </w:r>
      <w:proofErr w:type="spellEnd"/>
      <w:r w:rsidRPr="00C90AC9">
        <w:rPr>
          <w:rFonts w:eastAsiaTheme="majorEastAsia"/>
          <w:lang w:eastAsia="en-US"/>
        </w:rPr>
        <w:t xml:space="preserve"> et al (2009) note that optimisation of the system. In terms of energy is usually to reduce the energy consumption needed to raise the temperature of the water up to the set point at which the hot water is used.</w:t>
      </w:r>
    </w:p>
    <w:p w:rsidR="00C0462B" w:rsidRPr="00C90AC9" w:rsidRDefault="00C0462B" w:rsidP="00C0462B">
      <w:pPr>
        <w:pStyle w:val="BodyText"/>
        <w:spacing w:line="360" w:lineRule="auto"/>
        <w:rPr>
          <w:rFonts w:eastAsiaTheme="majorEastAsia"/>
          <w:lang w:eastAsia="en-US"/>
        </w:rPr>
      </w:pPr>
      <w:r w:rsidRPr="00C90AC9">
        <w:rPr>
          <w:rFonts w:eastAsiaTheme="majorEastAsia"/>
          <w:lang w:eastAsia="en-US"/>
        </w:rPr>
        <w:t xml:space="preserve">They recognised that it is important to consider both the energy and financial aspects of SDHWS and noted that it is better to oversize the collector area rather than be more conservative in publicising the tank volume as the financial costs in doing so are prohibitive as there are thermal losses from the tank </w:t>
      </w:r>
      <w:r w:rsidRPr="00C90AC9">
        <w:rPr>
          <w:rFonts w:eastAsiaTheme="majorEastAsia"/>
          <w:lang w:eastAsia="en-US"/>
        </w:rPr>
        <w:fldChar w:fldCharType="begin"/>
      </w:r>
      <w:r w:rsidRPr="00C90AC9">
        <w:rPr>
          <w:rFonts w:eastAsiaTheme="majorEastAsia"/>
          <w:lang w:eastAsia="en-US"/>
        </w:rPr>
        <w:instrText xml:space="preserve"> ADDIN EN.CITE &lt;EndNote&gt;&lt;Cite&gt;&lt;Author&gt;Fraisse&lt;/Author&gt;&lt;Year&gt;2009&lt;/Year&gt;&lt;RecNum&gt;215&lt;/RecNum&gt;&lt;DisplayText&gt;(Fraisse et al., 2009)&lt;/DisplayText&gt;&lt;record&gt;&lt;rec-number&gt;215&lt;/rec-number&gt;&lt;foreign-keys&gt;&lt;key app="EN" db-id="50wxdpzd9vd5r7e9t5b595djrfpttrxw9avp" timestamp="1525590858"&gt;215&lt;/key&gt;&lt;/foreign-keys&gt;&lt;ref-type name="Journal Article"&gt;17&lt;/ref-type&gt;&lt;contributors&gt;&lt;authors&gt;&lt;author&gt;Fraisse, G.&lt;/author&gt;&lt;author&gt;Bai, Y.&lt;/author&gt;&lt;author&gt;Le Pierrès, N.&lt;/author&gt;&lt;author&gt;Letz, T.&lt;/author&gt;&lt;/authors&gt;&lt;/contributors&gt;&lt;titles&gt;&lt;title&gt;Comparative study of various optimization criteria for SDHWS and a suggestion for a new global evaluation&lt;/title&gt;&lt;secondary-title&gt;Solar Energy&lt;/secondary-title&gt;&lt;/titles&gt;&lt;pages&gt;232-245&lt;/pages&gt;&lt;volume&gt;83&lt;/volume&gt;&lt;number&gt;2&lt;/number&gt;&lt;keywords&gt;&lt;keyword&gt;Optimization&lt;/keyword&gt;&lt;keyword&gt;SDHWS&lt;/keyword&gt;&lt;keyword&gt;Simulation&lt;/keyword&gt;&lt;keyword&gt;Global evaluation&lt;/keyword&gt;&lt;keyword&gt;Mixed criteria&lt;/keyword&gt;&lt;/keywords&gt;&lt;dates&gt;&lt;year&gt;2009&lt;/year&gt;&lt;pub-dates&gt;&lt;date&gt;2009/02/01/&lt;/date&gt;&lt;/pub-dates&gt;&lt;/dates&gt;&lt;isbn&gt;0038-092X&lt;/isbn&gt;&lt;urls&gt;&lt;related-urls&gt;&lt;url&gt;http://www.sciencedirect.com/science/article/pii/S0038092X08001886&lt;/url&gt;&lt;/related-urls&gt;&lt;/urls&gt;&lt;electronic-resource-num&gt;https://doi.org/10.1016/j.solener.2008.07.021&lt;/electronic-resource-num&gt;&lt;/record&gt;&lt;/Cite&gt;&lt;/EndNote&gt;</w:instrText>
      </w:r>
      <w:r w:rsidRPr="00C90AC9">
        <w:rPr>
          <w:rFonts w:eastAsiaTheme="majorEastAsia"/>
          <w:lang w:eastAsia="en-US"/>
        </w:rPr>
        <w:fldChar w:fldCharType="separate"/>
      </w:r>
      <w:r w:rsidRPr="00C90AC9">
        <w:rPr>
          <w:rFonts w:eastAsiaTheme="majorEastAsia"/>
          <w:lang w:eastAsia="en-US"/>
        </w:rPr>
        <w:t>(Fraisse et al., 2009)</w:t>
      </w:r>
      <w:r w:rsidRPr="00C90AC9">
        <w:rPr>
          <w:rFonts w:eastAsiaTheme="majorEastAsia"/>
          <w:lang w:eastAsia="en-US"/>
        </w:rPr>
        <w:fldChar w:fldCharType="end"/>
      </w:r>
      <w:r w:rsidRPr="00C90AC9">
        <w:rPr>
          <w:rFonts w:eastAsiaTheme="majorEastAsia"/>
          <w:lang w:eastAsia="en-US"/>
        </w:rPr>
        <w:t xml:space="preserve">. They noted that there is significant work needed to be done to ensure that all the combinations of parameters are considered and evaluated thoroughly. They also noted that the highest performance solutions are still not realistic as the draw-off patterns on the system are only approximations of real world measurements </w:t>
      </w:r>
      <w:r w:rsidRPr="00C90AC9">
        <w:rPr>
          <w:rFonts w:eastAsiaTheme="majorEastAsia"/>
          <w:lang w:eastAsia="en-US"/>
        </w:rPr>
        <w:fldChar w:fldCharType="begin"/>
      </w:r>
      <w:r w:rsidRPr="00C90AC9">
        <w:rPr>
          <w:rFonts w:eastAsiaTheme="majorEastAsia"/>
          <w:lang w:eastAsia="en-US"/>
        </w:rPr>
        <w:instrText xml:space="preserve"> ADDIN EN.CITE &lt;EndNote&gt;&lt;Cite&gt;&lt;Author&gt;Fraisse&lt;/Author&gt;&lt;Year&gt;2009&lt;/Year&gt;&lt;RecNum&gt;215&lt;/RecNum&gt;&lt;DisplayText&gt;(Fraisse et al., 2009)&lt;/DisplayText&gt;&lt;record&gt;&lt;rec-number&gt;215&lt;/rec-number&gt;&lt;foreign-keys&gt;&lt;key app="EN" db-id="50wxdpzd9vd5r7e9t5b595djrfpttrxw9avp" timestamp="1525590858"&gt;215&lt;/key&gt;&lt;/foreign-keys&gt;&lt;ref-type name="Journal Article"&gt;17&lt;/ref-type&gt;&lt;contributors&gt;&lt;authors&gt;&lt;author&gt;Fraisse, G.&lt;/author&gt;&lt;author&gt;Bai, Y.&lt;/author&gt;&lt;author&gt;Le Pierrès, N.&lt;/author&gt;&lt;author&gt;Letz, T.&lt;/author&gt;&lt;/authors&gt;&lt;/contributors&gt;&lt;titles&gt;&lt;title&gt;Comparative study of various optimization criteria for SDHWS and a suggestion for a new global evaluation&lt;/title&gt;&lt;secondary-title&gt;Solar Energy&lt;/secondary-title&gt;&lt;/titles&gt;&lt;pages&gt;232-245&lt;/pages&gt;&lt;volume&gt;83&lt;/volume&gt;&lt;number&gt;2&lt;/number&gt;&lt;keywords&gt;&lt;keyword&gt;Optimization&lt;/keyword&gt;&lt;keyword&gt;SDHWS&lt;/keyword&gt;&lt;keyword&gt;Simulation&lt;/keyword&gt;&lt;keyword&gt;Global evaluation&lt;/keyword&gt;&lt;keyword&gt;Mixed criteria&lt;/keyword&gt;&lt;/keywords&gt;&lt;dates&gt;&lt;year&gt;2009&lt;/year&gt;&lt;pub-dates&gt;&lt;date&gt;2009/02/01/&lt;/date&gt;&lt;/pub-dates&gt;&lt;/dates&gt;&lt;isbn&gt;0038-092X&lt;/isbn&gt;&lt;urls&gt;&lt;related-urls&gt;&lt;url&gt;http://www.sciencedirect.com/science/article/pii/S0038092X08001886&lt;/url&gt;&lt;/related-urls&gt;&lt;/urls&gt;&lt;electronic-resource-num&gt;https://doi.org/10.1016/j.solener.2008.07.021&lt;/electronic-resource-num&gt;&lt;/record&gt;&lt;/Cite&gt;&lt;/EndNote&gt;</w:instrText>
      </w:r>
      <w:r w:rsidRPr="00C90AC9">
        <w:rPr>
          <w:rFonts w:eastAsiaTheme="majorEastAsia"/>
          <w:lang w:eastAsia="en-US"/>
        </w:rPr>
        <w:fldChar w:fldCharType="separate"/>
      </w:r>
      <w:r w:rsidRPr="00C90AC9">
        <w:rPr>
          <w:rFonts w:eastAsiaTheme="majorEastAsia"/>
          <w:lang w:eastAsia="en-US"/>
        </w:rPr>
        <w:t>(Fraisse et al., 2009)</w:t>
      </w:r>
      <w:r w:rsidRPr="00C90AC9">
        <w:rPr>
          <w:rFonts w:eastAsiaTheme="majorEastAsia"/>
          <w:lang w:eastAsia="en-US"/>
        </w:rPr>
        <w:fldChar w:fldCharType="end"/>
      </w:r>
      <w:r w:rsidRPr="00C90AC9">
        <w:rPr>
          <w:rFonts w:eastAsiaTheme="majorEastAsia"/>
          <w:lang w:eastAsia="en-US"/>
        </w:rPr>
        <w:t>.</w:t>
      </w:r>
    </w:p>
    <w:p w:rsidR="00C0462B" w:rsidRPr="00C90AC9" w:rsidRDefault="00C0462B" w:rsidP="00C0462B">
      <w:pPr>
        <w:pStyle w:val="BodyText"/>
        <w:spacing w:line="360" w:lineRule="auto"/>
        <w:rPr>
          <w:rFonts w:eastAsiaTheme="majorEastAsia"/>
          <w:lang w:eastAsia="en-US"/>
        </w:rPr>
      </w:pPr>
    </w:p>
    <w:p w:rsidR="009D65E9" w:rsidRPr="00C90AC9" w:rsidRDefault="009D65E9">
      <w:pPr>
        <w:rPr>
          <w:rStyle w:val="title1Char"/>
          <w:iCs/>
          <w:sz w:val="28"/>
          <w:szCs w:val="28"/>
        </w:rPr>
      </w:pPr>
      <w:r w:rsidRPr="00C90AC9">
        <w:rPr>
          <w:rStyle w:val="title1Char"/>
          <w:sz w:val="28"/>
          <w:szCs w:val="28"/>
        </w:rPr>
        <w:br w:type="page"/>
      </w:r>
    </w:p>
    <w:p w:rsidR="0057156D" w:rsidRPr="00C90AC9" w:rsidRDefault="0057156D" w:rsidP="009601D8">
      <w:pPr>
        <w:pStyle w:val="Heading1"/>
        <w:rPr>
          <w:rStyle w:val="SubtleEmphasis"/>
          <w:iCs w:val="0"/>
          <w:szCs w:val="28"/>
        </w:rPr>
      </w:pPr>
      <w:proofErr w:type="spellStart"/>
      <w:r w:rsidRPr="00C90AC9">
        <w:rPr>
          <w:rStyle w:val="title1Char"/>
          <w:sz w:val="28"/>
          <w:szCs w:val="28"/>
        </w:rPr>
        <w:lastRenderedPageBreak/>
        <w:t>Matlab</w:t>
      </w:r>
      <w:proofErr w:type="spellEnd"/>
      <w:r w:rsidRPr="00C90AC9">
        <w:rPr>
          <w:rStyle w:val="title1Char"/>
          <w:sz w:val="28"/>
          <w:szCs w:val="28"/>
        </w:rPr>
        <w:t xml:space="preserve"> as a tool for simulating a solar thermal panel and the heating of a hot water</w:t>
      </w:r>
      <w:r w:rsidRPr="00C90AC9">
        <w:rPr>
          <w:rStyle w:val="SubtleEmphasis"/>
          <w:iCs w:val="0"/>
          <w:szCs w:val="28"/>
        </w:rPr>
        <w:t xml:space="preserve"> tank</w:t>
      </w:r>
      <w:bookmarkEnd w:id="22"/>
    </w:p>
    <w:p w:rsidR="0057156D" w:rsidRPr="00C90AC9" w:rsidRDefault="0057156D" w:rsidP="003014B5">
      <w:pPr>
        <w:pStyle w:val="BodyTextFirstIndent"/>
        <w:spacing w:line="360" w:lineRule="auto"/>
        <w:rPr>
          <w:rFonts w:eastAsiaTheme="minorHAnsi"/>
          <w:lang w:eastAsia="en-US"/>
        </w:rPr>
      </w:pPr>
      <w:r w:rsidRPr="00C90AC9">
        <w:rPr>
          <w:rFonts w:eastAsiaTheme="minorHAnsi"/>
          <w:lang w:eastAsia="en-US"/>
        </w:rPr>
        <w:t xml:space="preserve">The software tool </w:t>
      </w:r>
      <w:proofErr w:type="spellStart"/>
      <w:r w:rsidRPr="00C90AC9">
        <w:rPr>
          <w:rFonts w:eastAsiaTheme="minorHAnsi"/>
          <w:lang w:eastAsia="en-US"/>
        </w:rPr>
        <w:t>Matlab</w:t>
      </w:r>
      <w:proofErr w:type="spellEnd"/>
      <w:r w:rsidRPr="00C90AC9">
        <w:rPr>
          <w:rFonts w:eastAsiaTheme="minorHAnsi"/>
          <w:lang w:eastAsia="en-US"/>
        </w:rPr>
        <w:t xml:space="preserve"> has been utilised a number of times as a tool to simulate a solar thermal panel and the resulting ho</w:t>
      </w:r>
      <w:r w:rsidR="00CD6CED" w:rsidRPr="00C90AC9">
        <w:rPr>
          <w:rFonts w:eastAsiaTheme="minorHAnsi"/>
          <w:lang w:eastAsia="en-US"/>
        </w:rPr>
        <w:t>t water that is achieved from a f</w:t>
      </w:r>
      <w:r w:rsidRPr="00C90AC9">
        <w:rPr>
          <w:rFonts w:eastAsiaTheme="minorHAnsi"/>
          <w:lang w:eastAsia="en-US"/>
        </w:rPr>
        <w:t>lat</w:t>
      </w:r>
      <w:r w:rsidR="00CD6CED" w:rsidRPr="00C90AC9">
        <w:rPr>
          <w:rFonts w:eastAsiaTheme="minorHAnsi"/>
          <w:lang w:eastAsia="en-US"/>
        </w:rPr>
        <w:t xml:space="preserve"> p</w:t>
      </w:r>
      <w:r w:rsidRPr="00C90AC9">
        <w:rPr>
          <w:rFonts w:eastAsiaTheme="minorHAnsi"/>
          <w:lang w:eastAsia="en-US"/>
        </w:rPr>
        <w:t>late panel (see</w:t>
      </w:r>
      <w:r w:rsidR="00CD6CED" w:rsidRPr="00C90AC9">
        <w:rPr>
          <w:rFonts w:eastAsiaTheme="minorHAnsi"/>
          <w:lang w:eastAsia="en-US"/>
        </w:rPr>
        <w:t xml:space="preserve"> </w:t>
      </w:r>
      <w:r w:rsidR="00CD6CED" w:rsidRPr="00C90AC9">
        <w:rPr>
          <w:rFonts w:eastAsiaTheme="minorHAnsi"/>
          <w:lang w:eastAsia="en-US"/>
        </w:rPr>
        <w:fldChar w:fldCharType="begin">
          <w:fldData xml:space="preserve">PEVuZE5vdGU+PENpdGU+PEF1dGhvcj5QZWxsaXp6b25lPC9BdXRob3I+PFllYXI+MjAxNTwvWWVh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</w:fldData>
        </w:fldChar>
      </w:r>
      <w:r w:rsidR="00B35A6E" w:rsidRPr="00C90AC9">
        <w:rPr>
          <w:rFonts w:eastAsiaTheme="minorHAnsi"/>
          <w:lang w:eastAsia="en-US"/>
        </w:rPr>
        <w:instrText xml:space="preserve"> ADDIN EN.CITE </w:instrText>
      </w:r>
      <w:r w:rsidR="00B35A6E" w:rsidRPr="00C90AC9">
        <w:rPr>
          <w:rFonts w:eastAsiaTheme="minorHAnsi"/>
          <w:lang w:eastAsia="en-US"/>
        </w:rPr>
        <w:fldChar w:fldCharType="begin">
          <w:fldData xml:space="preserve">PEVuZE5vdGU+PENpdGU+PEF1dGhvcj5QZWxsaXp6b25lPC9BdXRob3I+PFllYXI+MjAxNTwvWWVh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</w:fldData>
        </w:fldChar>
      </w:r>
      <w:r w:rsidR="00B35A6E" w:rsidRPr="00C90AC9">
        <w:rPr>
          <w:rFonts w:eastAsiaTheme="minorHAnsi"/>
          <w:lang w:eastAsia="en-US"/>
        </w:rPr>
        <w:instrText xml:space="preserve"> ADDIN EN.CITE.DATA </w:instrText>
      </w:r>
      <w:r w:rsidR="00B35A6E" w:rsidRPr="00C90AC9">
        <w:rPr>
          <w:rFonts w:eastAsiaTheme="minorHAnsi"/>
          <w:lang w:eastAsia="en-US"/>
        </w:rPr>
      </w:r>
      <w:r w:rsidR="00B35A6E" w:rsidRPr="00C90AC9">
        <w:rPr>
          <w:rFonts w:eastAsiaTheme="minorHAnsi"/>
          <w:lang w:eastAsia="en-US"/>
        </w:rPr>
        <w:fldChar w:fldCharType="end"/>
      </w:r>
      <w:r w:rsidR="00CD6CED" w:rsidRPr="00C90AC9">
        <w:rPr>
          <w:rFonts w:eastAsiaTheme="minorHAnsi"/>
          <w:lang w:eastAsia="en-US"/>
        </w:rPr>
      </w:r>
      <w:r w:rsidR="00CD6CED" w:rsidRPr="00C90AC9">
        <w:rPr>
          <w:rFonts w:eastAsiaTheme="minorHAnsi"/>
          <w:lang w:eastAsia="en-US"/>
        </w:rPr>
        <w:fldChar w:fldCharType="separate"/>
      </w:r>
      <w:r w:rsidR="00B35A6E" w:rsidRPr="00C90AC9">
        <w:rPr>
          <w:rFonts w:eastAsiaTheme="minorHAnsi"/>
          <w:lang w:eastAsia="en-US"/>
        </w:rPr>
        <w:t xml:space="preserve">(Buzás </w:t>
      </w:r>
      <w:r w:rsidR="00EE66A8" w:rsidRPr="00C90AC9">
        <w:rPr>
          <w:rFonts w:eastAsiaTheme="minorHAnsi"/>
          <w:lang w:eastAsia="en-US"/>
        </w:rPr>
        <w:t>et al</w:t>
      </w:r>
      <w:r w:rsidR="00B35A6E" w:rsidRPr="00C90AC9">
        <w:rPr>
          <w:rFonts w:eastAsiaTheme="minorHAnsi"/>
          <w:lang w:eastAsia="en-US"/>
        </w:rPr>
        <w:t xml:space="preserve">., 1998; Pellizzone </w:t>
      </w:r>
      <w:r w:rsidR="00EE66A8" w:rsidRPr="00C90AC9">
        <w:rPr>
          <w:rFonts w:eastAsiaTheme="minorHAnsi"/>
          <w:lang w:eastAsia="en-US"/>
        </w:rPr>
        <w:t>et al</w:t>
      </w:r>
      <w:r w:rsidR="00B35A6E" w:rsidRPr="00C90AC9">
        <w:rPr>
          <w:rFonts w:eastAsiaTheme="minorHAnsi"/>
          <w:lang w:eastAsia="en-US"/>
        </w:rPr>
        <w:t>., 2015; van Berkel &amp; Steenhoven, 1999)</w:t>
      </w:r>
      <w:r w:rsidR="00CD6CED" w:rsidRPr="00C90AC9">
        <w:rPr>
          <w:rFonts w:eastAsiaTheme="minorHAnsi"/>
          <w:lang w:eastAsia="en-US"/>
        </w:rPr>
        <w:fldChar w:fldCharType="end"/>
      </w:r>
      <w:r w:rsidR="00CD6CED" w:rsidRPr="00C90AC9">
        <w:rPr>
          <w:rFonts w:eastAsiaTheme="minorHAnsi"/>
          <w:lang w:eastAsia="en-US"/>
        </w:rPr>
        <w:t xml:space="preserve">. </w:t>
      </w:r>
      <w:r w:rsidRPr="00C90AC9">
        <w:rPr>
          <w:rFonts w:eastAsiaTheme="minorHAnsi"/>
          <w:lang w:eastAsia="en-US"/>
        </w:rPr>
        <w:t xml:space="preserve"> </w:t>
      </w:r>
      <w:proofErr w:type="spellStart"/>
      <w:r w:rsidRPr="00C90AC9">
        <w:rPr>
          <w:rFonts w:eastAsiaTheme="minorHAnsi"/>
          <w:lang w:eastAsia="en-US"/>
        </w:rPr>
        <w:t>Matlab</w:t>
      </w:r>
      <w:proofErr w:type="spellEnd"/>
      <w:r w:rsidRPr="00C90AC9">
        <w:rPr>
          <w:rFonts w:eastAsiaTheme="minorHAnsi"/>
          <w:lang w:eastAsia="en-US"/>
        </w:rPr>
        <w:t xml:space="preserve"> has been utilised in this research for a number of reasons, namely:</w:t>
      </w:r>
    </w:p>
    <w:p w:rsidR="0057156D" w:rsidRPr="00C90AC9" w:rsidRDefault="0057156D" w:rsidP="00CA6E35">
      <w:pPr>
        <w:pStyle w:val="ListBullet2"/>
        <w:numPr>
          <w:ilvl w:val="0"/>
          <w:numId w:val="5"/>
        </w:numPr>
        <w:spacing w:line="360" w:lineRule="auto"/>
        <w:rPr>
          <w:rFonts w:eastAsiaTheme="minorHAnsi"/>
          <w:lang w:eastAsia="en-US"/>
        </w:rPr>
      </w:pPr>
      <w:proofErr w:type="spellStart"/>
      <w:r w:rsidRPr="00C90AC9">
        <w:rPr>
          <w:rFonts w:eastAsiaTheme="minorHAnsi"/>
          <w:lang w:eastAsia="en-US"/>
        </w:rPr>
        <w:t>Matlab’s</w:t>
      </w:r>
      <w:proofErr w:type="spellEnd"/>
      <w:r w:rsidRPr="00C90AC9">
        <w:rPr>
          <w:rFonts w:eastAsiaTheme="minorHAnsi"/>
          <w:lang w:eastAsia="en-US"/>
        </w:rPr>
        <w:t xml:space="preserve"> computing speed; and</w:t>
      </w:r>
    </w:p>
    <w:p w:rsidR="0057156D" w:rsidRPr="00C90AC9" w:rsidRDefault="0057156D" w:rsidP="00CA6E35">
      <w:pPr>
        <w:pStyle w:val="ListBullet2"/>
        <w:numPr>
          <w:ilvl w:val="0"/>
          <w:numId w:val="5"/>
        </w:numPr>
        <w:spacing w:line="360" w:lineRule="auto"/>
        <w:rPr>
          <w:rFonts w:eastAsiaTheme="minorHAnsi"/>
          <w:lang w:eastAsia="en-US"/>
        </w:rPr>
      </w:pPr>
      <w:proofErr w:type="spellStart"/>
      <w:r w:rsidRPr="00C90AC9">
        <w:rPr>
          <w:rFonts w:eastAsiaTheme="minorHAnsi"/>
          <w:lang w:eastAsia="en-US"/>
        </w:rPr>
        <w:t>Matlab’s</w:t>
      </w:r>
      <w:proofErr w:type="spellEnd"/>
      <w:r w:rsidRPr="00C90AC9">
        <w:rPr>
          <w:rFonts w:eastAsiaTheme="minorHAnsi"/>
          <w:lang w:eastAsia="en-US"/>
        </w:rPr>
        <w:t xml:space="preserve"> capability at calculating large arrays of data. </w:t>
      </w:r>
      <w:r w:rsidR="00CD6CED" w:rsidRPr="00C90AC9">
        <w:rPr>
          <w:rFonts w:eastAsiaTheme="minorHAnsi"/>
          <w:lang w:eastAsia="en-US"/>
        </w:rPr>
        <w:fldChar w:fldCharType="begin"/>
      </w:r>
      <w:r w:rsidR="00CD6CED" w:rsidRPr="00C90AC9">
        <w:rPr>
          <w:rFonts w:eastAsiaTheme="minorHAnsi"/>
          <w:lang w:eastAsia="en-US"/>
        </w:rPr>
        <w:instrText xml:space="preserve"> ADDIN EN.CITE &lt;EndNote&gt;&lt;Cite&gt;&lt;Author&gt;Dongellini&lt;/Author&gt;&lt;Year&gt;2015&lt;/Year&gt;&lt;RecNum&gt;139&lt;/RecNum&gt;&lt;DisplayText&gt;(Dongellini &amp;amp; Morini, 2015)&lt;/DisplayText&gt;&lt;record&gt;&lt;rec-number&gt;139&lt;/rec-number&gt;&lt;foreign-keys&gt;&lt;key app="EN" db-id="50wxdpzd9vd5r7e9t5b595djrfpttrxw9avp" timestamp="1525076334"&gt;139&lt;/key&gt;&lt;/foreign-keys&gt;&lt;ref-type name="Journal Article"&gt;17&lt;/ref-type&gt;&lt;contributors&gt;&lt;authors&gt;&lt;author&gt;Dongellini, M., S. Falcioni,&lt;/author&gt;&lt;author&gt;G.L. Morini&lt;/author&gt;&lt;/authors&gt;&lt;/contributors&gt;&lt;titles&gt;&lt;title&gt;Dynamic Simulation of Solar Thermal Collectors for Domestic Hot Water Production&lt;/title&gt;&lt;secondary-title&gt;Energy Procedia&lt;/secondary-title&gt;&lt;short-title&gt;Dongellini, M., S. Falcioni, and G.L. Morini 2015 – Dynamic Simulation of Solar Thermal&lt;/short-title&gt;&lt;/titles&gt;&lt;pages&gt;p. 630-636&lt;/pages&gt;&lt;volume&gt;82&lt;/volume&gt;&lt;dates&gt;&lt;year&gt;2015&lt;/year&gt;&lt;/dates&gt;&lt;urls&gt;&lt;/urls&gt;&lt;/record&gt;&lt;/Cite&gt;&lt;/EndNote&gt;</w:instrText>
      </w:r>
      <w:r w:rsidR="00CD6CED" w:rsidRPr="00C90AC9">
        <w:rPr>
          <w:rFonts w:eastAsiaTheme="minorHAnsi"/>
          <w:lang w:eastAsia="en-US"/>
        </w:rPr>
        <w:fldChar w:fldCharType="separate"/>
      </w:r>
      <w:r w:rsidR="00CD6CED" w:rsidRPr="00C90AC9">
        <w:rPr>
          <w:rFonts w:eastAsiaTheme="minorHAnsi"/>
          <w:lang w:eastAsia="en-US"/>
        </w:rPr>
        <w:t>(Dongellini &amp; Morini, 2015)</w:t>
      </w:r>
      <w:r w:rsidR="00CD6CED" w:rsidRPr="00C90AC9">
        <w:rPr>
          <w:rFonts w:eastAsiaTheme="minorHAnsi"/>
          <w:lang w:eastAsia="en-US"/>
        </w:rPr>
        <w:fldChar w:fldCharType="end"/>
      </w:r>
    </w:p>
    <w:p w:rsidR="0057156D" w:rsidRPr="00C90AC9" w:rsidRDefault="006F0C85" w:rsidP="003014B5">
      <w:pPr>
        <w:pStyle w:val="BodyText"/>
        <w:spacing w:line="360" w:lineRule="auto"/>
        <w:rPr>
          <w:rFonts w:eastAsiaTheme="majorEastAsia"/>
          <w:lang w:eastAsia="en-US"/>
        </w:rPr>
      </w:pPr>
      <w:sdt>
        <w:sdtPr>
          <w:rPr>
            <w:rFonts w:eastAsiaTheme="majorEastAsia"/>
            <w:lang w:eastAsia="en-US"/>
          </w:rPr>
          <w:alias w:val="Don't edit this field"/>
          <w:tag w:val="CitaviPlaceholder#2f15d12c-2fdd-4116-a493-b3cf7142ed8a"/>
          <w:id w:val="-262149930"/>
          <w:showingPlcHdr/>
        </w:sdtPr>
        <w:sdtEndPr/>
        <w:sdtContent>
          <w:r w:rsidR="00CD6CED" w:rsidRPr="00C90AC9">
            <w:rPr>
              <w:rFonts w:eastAsiaTheme="majorEastAsia"/>
              <w:lang w:eastAsia="en-US"/>
            </w:rPr>
            <w:t xml:space="preserve">     </w:t>
          </w:r>
        </w:sdtContent>
      </w:sdt>
      <w:proofErr w:type="spellStart"/>
      <w:r w:rsidR="0057156D" w:rsidRPr="00C90AC9">
        <w:rPr>
          <w:rFonts w:eastAsiaTheme="majorEastAsia"/>
          <w:lang w:eastAsia="en-US"/>
        </w:rPr>
        <w:t>Matlab</w:t>
      </w:r>
      <w:proofErr w:type="spellEnd"/>
      <w:r w:rsidR="0057156D" w:rsidRPr="00C90AC9">
        <w:rPr>
          <w:rFonts w:eastAsiaTheme="majorEastAsia"/>
          <w:lang w:eastAsia="en-US"/>
        </w:rPr>
        <w:t xml:space="preserve"> has been used for previous studies concerned with calculating various parameters concerned with Solar Thermal Panels (see .</w:t>
      </w:r>
      <w:sdt>
        <w:sdtPr>
          <w:rPr>
            <w:rFonts w:eastAsiaTheme="majorEastAsia"/>
            <w:lang w:eastAsia="en-US"/>
          </w:rPr>
          <w:alias w:val="Don't edit this field"/>
          <w:tag w:val="CitaviPlaceholder#e4d1d514-8a26-458d-ac76-57627be0bc58"/>
          <w:id w:val="297345202"/>
        </w:sdtPr>
        <w:sdtEndPr/>
        <w:sdtContent>
          <w:r w:rsidR="00C05E2B" w:rsidRPr="00C90AC9">
            <w:rPr>
              <w:rFonts w:eastAsiaTheme="majorEastAsia"/>
              <w:lang w:eastAsia="en-US"/>
            </w:rPr>
            <w:fldChar w:fldCharType="begin"/>
          </w:r>
          <w:r w:rsidR="007835E8" w:rsidRPr="00C90AC9">
            <w:rPr>
              <w:rFonts w:eastAsiaTheme="majorEastAsia"/>
              <w:lang w:eastAsia="en-US"/>
            </w:rPr>
            <w:instrText>ADDIN CitaviPlaceholder{eyIkaWQiOiIxIiwiRW50cmllcyI6W3siJGlkIjoiMiIsIkhhc1RlbXBvcmFyeVJlZmVyZW5jZSI6dHJ1ZSwiSWQiOiIxODM1ZjBjZS1mODczLTQyYzYtODgwYi1lZTc3YzY3MmZjZjEiLCJSYW5nZUxlbmd0aCI6NDksIlJlZmVyZW5jZUlkIjoiYjliZTQ3YWItNzc5My00MTgxLWJlNWEtOTJkMjI4MTY0MmY3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}</w:instrText>
          </w:r>
          <w:r w:rsidR="00C05E2B" w:rsidRPr="00C90AC9">
            <w:rPr>
              <w:rFonts w:eastAsiaTheme="majorEastAsia"/>
              <w:lang w:eastAsia="en-US"/>
            </w:rPr>
            <w:fldChar w:fldCharType="separate"/>
          </w:r>
          <w:r w:rsidR="007835E8" w:rsidRPr="00C90AC9">
            <w:rPr>
              <w:rFonts w:eastAsiaTheme="majorEastAsia"/>
              <w:lang w:eastAsia="en-US"/>
            </w:rPr>
            <w:t>(Optimization of solar flat collector inclination; Dynamic Simulation of Solar Thermal Collectors for Domestic Hot Water Production)</w:t>
          </w:r>
          <w:r w:rsidR="00C05E2B" w:rsidRPr="00C90AC9">
            <w:rPr>
              <w:rFonts w:eastAsiaTheme="majorEastAsia"/>
              <w:lang w:eastAsia="en-US"/>
            </w:rPr>
            <w:fldChar w:fldCharType="end"/>
          </w:r>
        </w:sdtContent>
      </w:sdt>
      <w:r w:rsidR="0057156D" w:rsidRPr="00C90AC9">
        <w:rPr>
          <w:rFonts w:eastAsiaTheme="majorEastAsia"/>
          <w:lang w:eastAsia="en-US"/>
        </w:rPr>
        <w:t xml:space="preserve"> A further benefit of utilizing the software tool </w:t>
      </w:r>
      <w:proofErr w:type="spellStart"/>
      <w:r w:rsidR="0057156D" w:rsidRPr="00C90AC9">
        <w:rPr>
          <w:rFonts w:eastAsiaTheme="majorEastAsia"/>
          <w:lang w:eastAsia="en-US"/>
        </w:rPr>
        <w:t>Matlab</w:t>
      </w:r>
      <w:proofErr w:type="spellEnd"/>
      <w:r w:rsidR="0057156D" w:rsidRPr="00C90AC9">
        <w:rPr>
          <w:rFonts w:eastAsiaTheme="majorEastAsia"/>
          <w:lang w:eastAsia="en-US"/>
        </w:rPr>
        <w:t xml:space="preserve"> is that there is no need to design and construct prototypes to obtain experimental data as the physical behaviour of solar thermal systems</w:t>
      </w:r>
      <w:r w:rsidR="00CD6CED" w:rsidRPr="00C90AC9">
        <w:rPr>
          <w:rFonts w:eastAsiaTheme="majorEastAsia"/>
          <w:lang w:eastAsia="en-US"/>
        </w:rPr>
        <w:t xml:space="preserve"> can be modelled and optimized </w:t>
      </w:r>
      <w:r w:rsidR="00487C8C" w:rsidRPr="00C90AC9">
        <w:rPr>
          <w:rFonts w:eastAsiaTheme="majorEastAsia"/>
          <w:lang w:eastAsia="en-US"/>
        </w:rPr>
        <w:fldChar w:fldCharType="begin"/>
      </w:r>
      <w:r w:rsidR="00487C8C" w:rsidRPr="00C90AC9">
        <w:rPr>
          <w:rFonts w:eastAsiaTheme="majorEastAsia"/>
          <w:lang w:eastAsia="en-US"/>
        </w:rPr>
        <w:instrText xml:space="preserve"> ADDIN EN.CITE &lt;EndNote&gt;&lt;Cite ExcludeYear="1"&gt;&lt;Author&gt;Carbonell&lt;/Author&gt;&lt;RecNum&gt;128&lt;/RecNum&gt;&lt;DisplayText&gt;(Carbonell &amp;amp; Consul)&lt;/DisplayText&gt;&lt;record&gt;&lt;rec-number&gt;128&lt;/rec-number&gt;&lt;foreign-keys&gt;&lt;key app="EN" db-id="50wxdpzd9vd5r7e9t5b595djrfpttrxw9avp" timestamp="1525076334"&gt;128&lt;/key&gt;&lt;/foreign-keys&gt;&lt;ref-type name="Journal Article"&gt;17&lt;/ref-type&gt;&lt;contributors&gt;&lt;authors&gt;&lt;author&gt;Carbonell, D., J. Cadafalch,&lt;/author&gt;&lt;author&gt;R. Consul&lt;/author&gt;&lt;/authors&gt;&lt;/contributors&gt;&lt;titles&gt;&lt;title&gt;Dynamic modelling of flat plate solar collectors. Analysis and validation under thermosyphon conditions&lt;/title&gt;&lt;secondary-title&gt;Solar Energy&lt;/secondary-title&gt;&lt;short-title&gt;Carbonell, D., J. Cadafalch, and R. Consul 12013 – Dynamic modelling of flat plate&lt;/short-title&gt;&lt;/titles&gt;&lt;pages&gt;p. 100-112&lt;/pages&gt;&lt;volume&gt;13&lt;/volume&gt;&lt;dates&gt;&lt;/dates&gt;&lt;urls&gt;&lt;/urls&gt;&lt;/record&gt;&lt;/Cite&gt;&lt;/EndNote&gt;</w:instrText>
      </w:r>
      <w:r w:rsidR="00487C8C" w:rsidRPr="00C90AC9">
        <w:rPr>
          <w:rFonts w:eastAsiaTheme="majorEastAsia"/>
          <w:lang w:eastAsia="en-US"/>
        </w:rPr>
        <w:fldChar w:fldCharType="separate"/>
      </w:r>
      <w:r w:rsidR="00487C8C" w:rsidRPr="00C90AC9">
        <w:rPr>
          <w:rFonts w:eastAsiaTheme="majorEastAsia"/>
          <w:lang w:eastAsia="en-US"/>
        </w:rPr>
        <w:t>(Carbonell &amp; Consul)</w:t>
      </w:r>
      <w:r w:rsidR="00487C8C" w:rsidRPr="00C90AC9">
        <w:rPr>
          <w:rFonts w:eastAsiaTheme="majorEastAsia"/>
          <w:lang w:eastAsia="en-US"/>
        </w:rPr>
        <w:fldChar w:fldCharType="end"/>
      </w:r>
      <w:r w:rsidR="00CD6CED" w:rsidRPr="00C90AC9">
        <w:rPr>
          <w:rFonts w:eastAsiaTheme="majorEastAsia"/>
          <w:lang w:eastAsia="en-US"/>
        </w:rPr>
        <w:t>.</w:t>
      </w:r>
      <w:r w:rsidR="0057156D" w:rsidRPr="00C90AC9">
        <w:rPr>
          <w:rFonts w:eastAsiaTheme="majorEastAsia"/>
          <w:lang w:eastAsia="en-US"/>
        </w:rPr>
        <w:t xml:space="preserve">To simulate the heating of a hot water tank that is connected to a solar thermal panel the irradiance incident on the solar thermal panel needs to be </w:t>
      </w:r>
      <w:r w:rsidR="00CD6CED" w:rsidRPr="00C90AC9">
        <w:rPr>
          <w:rFonts w:eastAsiaTheme="majorEastAsia"/>
          <w:lang w:eastAsia="en-US"/>
        </w:rPr>
        <w:t xml:space="preserve">calculated </w:t>
      </w:r>
      <w:r w:rsidR="00487C8C" w:rsidRPr="00C90AC9">
        <w:rPr>
          <w:rFonts w:eastAsiaTheme="majorEastAsia"/>
          <w:lang w:eastAsia="en-US"/>
        </w:rPr>
        <w:fldChar w:fldCharType="begin"/>
      </w:r>
      <w:r w:rsidR="00487C8C" w:rsidRPr="00C90AC9">
        <w:rPr>
          <w:rFonts w:eastAsiaTheme="majorEastAsia"/>
          <w:lang w:eastAsia="en-US"/>
        </w:rPr>
        <w:instrText xml:space="preserve"> ADDIN EN.CITE &lt;EndNote&gt;&lt;Cite ExcludeYear="1"&gt;&lt;Author&gt;Carbonell&lt;/Author&gt;&lt;RecNum&gt;128&lt;/RecNum&gt;&lt;DisplayText&gt;(Carbonell &amp;amp; Consul)&lt;/DisplayText&gt;&lt;record&gt;&lt;rec-number&gt;128&lt;/rec-number&gt;&lt;foreign-keys&gt;&lt;key app="EN" db-id="50wxdpzd9vd5r7e9t5b595djrfpttrxw9avp" timestamp="1525076334"&gt;128&lt;/key&gt;&lt;/foreign-keys&gt;&lt;ref-type name="Journal Article"&gt;17&lt;/ref-type&gt;&lt;contributors&gt;&lt;authors&gt;&lt;author&gt;Carbonell, D., J. Cadafalch,&lt;/author&gt;&lt;author&gt;R. Consul&lt;/author&gt;&lt;/authors&gt;&lt;/contributors&gt;&lt;titles&gt;&lt;title&gt;Dynamic modelling of flat plate solar collectors. Analysis and validation under thermosyphon conditions&lt;/title&gt;&lt;secondary-title&gt;Solar Energy&lt;/secondary-title&gt;&lt;short-title&gt;Carbonell, D., J. Cadafalch, and R. Consul 12013 – Dynamic modelling of flat plate&lt;/short-title&gt;&lt;/titles&gt;&lt;pages&gt;p. 100-112&lt;/pages&gt;&lt;volume&gt;13&lt;/volume&gt;&lt;dates&gt;&lt;/dates&gt;&lt;urls&gt;&lt;/urls&gt;&lt;/record&gt;&lt;/Cite&gt;&lt;/EndNote&gt;</w:instrText>
      </w:r>
      <w:r w:rsidR="00487C8C" w:rsidRPr="00C90AC9">
        <w:rPr>
          <w:rFonts w:eastAsiaTheme="majorEastAsia"/>
          <w:lang w:eastAsia="en-US"/>
        </w:rPr>
        <w:fldChar w:fldCharType="separate"/>
      </w:r>
      <w:r w:rsidR="00487C8C" w:rsidRPr="00C90AC9">
        <w:rPr>
          <w:rFonts w:eastAsiaTheme="majorEastAsia"/>
          <w:lang w:eastAsia="en-US"/>
        </w:rPr>
        <w:t>(Carbonell &amp; Consul)</w:t>
      </w:r>
      <w:r w:rsidR="00487C8C" w:rsidRPr="00C90AC9">
        <w:rPr>
          <w:rFonts w:eastAsiaTheme="majorEastAsia"/>
          <w:lang w:eastAsia="en-US"/>
        </w:rPr>
        <w:fldChar w:fldCharType="end"/>
      </w:r>
      <w:r w:rsidR="0057156D" w:rsidRPr="00C90AC9">
        <w:rPr>
          <w:rFonts w:eastAsiaTheme="majorEastAsia"/>
          <w:lang w:eastAsia="en-US"/>
        </w:rPr>
        <w:t>.</w:t>
      </w:r>
      <w:r w:rsidR="00E12450" w:rsidRPr="00C90AC9">
        <w:rPr>
          <w:rFonts w:eastAsiaTheme="majorEastAsia"/>
          <w:lang w:eastAsia="en-US"/>
        </w:rPr>
        <w:t xml:space="preserve"> The software is able to analyse large arrays of data allowing both a short sampling rate of the weather data (each minute), as well as the long duration of the complete dataset (493 days).</w:t>
      </w:r>
      <w:r w:rsidR="00B94094" w:rsidRPr="00C90AC9">
        <w:rPr>
          <w:rFonts w:eastAsiaTheme="majorEastAsia"/>
          <w:lang w:eastAsia="en-US"/>
        </w:rPr>
        <w:t xml:space="preserve"> In this way, sufficient weather variations as well as draw off patterns can be analysed to determine a more efficient heating system for domestic hot water.</w:t>
      </w:r>
    </w:p>
    <w:p w:rsidR="00394A1F" w:rsidRPr="00C90AC9" w:rsidRDefault="00394A1F" w:rsidP="00B06779">
      <w:pPr>
        <w:rPr>
          <w:rStyle w:val="SubtleEmphasis"/>
          <w:rFonts w:cs="Times New Roman"/>
          <w:i/>
          <w:iCs/>
          <w:sz w:val="24"/>
          <w:szCs w:val="24"/>
        </w:rPr>
      </w:pPr>
    </w:p>
    <w:p w:rsidR="00A16B8C" w:rsidRPr="00C90AC9" w:rsidRDefault="00FF46F5" w:rsidP="009601D8">
      <w:pPr>
        <w:pStyle w:val="Heading1"/>
        <w:rPr>
          <w:rStyle w:val="SubtleEmphasis"/>
        </w:rPr>
      </w:pPr>
      <w:r w:rsidRPr="00C90AC9">
        <w:rPr>
          <w:rStyle w:val="SubtleEmphasis"/>
        </w:rPr>
        <w:t>Recent innovations with</w:t>
      </w:r>
      <w:r w:rsidR="00A16B8C" w:rsidRPr="00C90AC9">
        <w:rPr>
          <w:rStyle w:val="SubtleEmphasis"/>
        </w:rPr>
        <w:t xml:space="preserve"> solar thermal panels</w:t>
      </w:r>
    </w:p>
    <w:p w:rsidR="00984852" w:rsidRDefault="00A16B8C" w:rsidP="0089644F">
      <w:pPr>
        <w:pStyle w:val="BodyTextFirstIndent"/>
        <w:spacing w:line="360" w:lineRule="auto"/>
        <w:ind w:firstLine="357"/>
        <w:rPr>
          <w:rFonts w:eastAsiaTheme="majorEastAsia"/>
          <w:lang w:eastAsia="en-US"/>
        </w:rPr>
      </w:pPr>
      <w:r w:rsidRPr="00C90AC9">
        <w:rPr>
          <w:rFonts w:eastAsiaTheme="majorEastAsia"/>
          <w:lang w:eastAsia="en-US"/>
        </w:rPr>
        <w:t xml:space="preserve">The relative success of material or technological advances which could improve the efficiency of </w:t>
      </w:r>
      <w:r w:rsidR="0089644F" w:rsidRPr="00C90AC9">
        <w:rPr>
          <w:rFonts w:eastAsiaTheme="majorEastAsia"/>
          <w:lang w:eastAsia="en-US"/>
        </w:rPr>
        <w:t xml:space="preserve"> </w:t>
      </w:r>
      <w:r w:rsidR="00E37E65" w:rsidRPr="00C90AC9">
        <w:rPr>
          <w:rFonts w:eastAsiaTheme="majorEastAsia"/>
          <w:lang w:eastAsia="en-US"/>
        </w:rPr>
        <w:t>STP</w:t>
      </w:r>
      <w:r w:rsidR="00C82AB9" w:rsidRPr="00C90AC9">
        <w:rPr>
          <w:rFonts w:eastAsiaTheme="majorEastAsia"/>
          <w:lang w:eastAsia="en-US"/>
        </w:rPr>
        <w:t>s</w:t>
      </w:r>
      <w:r w:rsidRPr="00C90AC9">
        <w:rPr>
          <w:rFonts w:eastAsiaTheme="majorEastAsia"/>
          <w:lang w:eastAsia="en-US"/>
        </w:rPr>
        <w:t xml:space="preserve"> </w:t>
      </w:r>
      <w:r w:rsidR="0089644F" w:rsidRPr="00C90AC9">
        <w:rPr>
          <w:rFonts w:eastAsiaTheme="majorEastAsia"/>
          <w:lang w:eastAsia="en-US"/>
        </w:rPr>
        <w:t>which</w:t>
      </w:r>
      <w:r w:rsidRPr="00C90AC9">
        <w:rPr>
          <w:rFonts w:eastAsiaTheme="majorEastAsia"/>
          <w:lang w:eastAsia="en-US"/>
        </w:rPr>
        <w:t xml:space="preserve"> have occurred over the last ten years have been dependent, in part, to cost constraints placed on the innovation</w:t>
      </w:r>
      <w:r w:rsidR="00FF46F5" w:rsidRPr="00C90AC9">
        <w:rPr>
          <w:rFonts w:eastAsiaTheme="majorEastAsia"/>
          <w:lang w:eastAsia="en-US"/>
        </w:rPr>
        <w:t xml:space="preserve"> </w:t>
      </w:r>
      <w:r w:rsidR="00FF46F5" w:rsidRPr="00C90AC9">
        <w:rPr>
          <w:rFonts w:eastAsiaTheme="majorEastAsia"/>
          <w:lang w:eastAsia="en-US"/>
        </w:rPr>
        <w:fldChar w:fldCharType="begin">
          <w:fldData xml:space="preserve">PEVuZE5vdGU+PENpdGU+PEF1dGhvcj5GcmFpc3NlPC9BdXRob3I+PFllYXI+MjAwOTwvWWVhcj48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</w:fldData>
        </w:fldChar>
      </w:r>
      <w:r w:rsidR="00B35A6E" w:rsidRPr="00C90AC9">
        <w:rPr>
          <w:rFonts w:eastAsiaTheme="majorEastAsia"/>
          <w:lang w:eastAsia="en-US"/>
        </w:rPr>
        <w:instrText xml:space="preserve"> ADDIN EN.CITE </w:instrText>
      </w:r>
      <w:r w:rsidR="00B35A6E" w:rsidRPr="00C90AC9">
        <w:rPr>
          <w:rFonts w:eastAsiaTheme="majorEastAsia"/>
          <w:lang w:eastAsia="en-US"/>
        </w:rPr>
        <w:fldChar w:fldCharType="begin">
          <w:fldData xml:space="preserve">PEVuZE5vdGU+PENpdGU+PEF1dGhvcj5GcmFpc3NlPC9BdXRob3I+PFllYXI+MjAwOTwvWWVhcj48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</w:fldData>
        </w:fldChar>
      </w:r>
      <w:r w:rsidR="00B35A6E" w:rsidRPr="00C90AC9">
        <w:rPr>
          <w:rFonts w:eastAsiaTheme="majorEastAsia"/>
          <w:lang w:eastAsia="en-US"/>
        </w:rPr>
        <w:instrText xml:space="preserve"> ADDIN EN.CITE.DATA </w:instrText>
      </w:r>
      <w:r w:rsidR="00B35A6E" w:rsidRPr="00C90AC9">
        <w:rPr>
          <w:rFonts w:eastAsiaTheme="majorEastAsia"/>
          <w:lang w:eastAsia="en-US"/>
        </w:rPr>
      </w:r>
      <w:r w:rsidR="00B35A6E" w:rsidRPr="00C90AC9">
        <w:rPr>
          <w:rFonts w:eastAsiaTheme="majorEastAsia"/>
          <w:lang w:eastAsia="en-US"/>
        </w:rPr>
        <w:fldChar w:fldCharType="end"/>
      </w:r>
      <w:r w:rsidR="00FF46F5" w:rsidRPr="00C90AC9">
        <w:rPr>
          <w:rFonts w:eastAsiaTheme="majorEastAsia"/>
          <w:lang w:eastAsia="en-US"/>
        </w:rPr>
      </w:r>
      <w:r w:rsidR="00FF46F5" w:rsidRPr="00C90AC9">
        <w:rPr>
          <w:rFonts w:eastAsiaTheme="majorEastAsia"/>
          <w:lang w:eastAsia="en-US"/>
        </w:rPr>
        <w:fldChar w:fldCharType="separate"/>
      </w:r>
      <w:r w:rsidR="00B35A6E" w:rsidRPr="00C90AC9">
        <w:rPr>
          <w:rFonts w:eastAsiaTheme="majorEastAsia"/>
          <w:lang w:eastAsia="en-US"/>
        </w:rPr>
        <w:t xml:space="preserve">(Fraisse et al., 2009; Furbo </w:t>
      </w:r>
      <w:r w:rsidR="00EE66A8" w:rsidRPr="00C90AC9">
        <w:rPr>
          <w:rFonts w:eastAsiaTheme="majorEastAsia"/>
          <w:lang w:eastAsia="en-US"/>
        </w:rPr>
        <w:t>et al</w:t>
      </w:r>
      <w:r w:rsidR="00B35A6E" w:rsidRPr="00C90AC9">
        <w:rPr>
          <w:rFonts w:eastAsiaTheme="majorEastAsia"/>
          <w:lang w:eastAsia="en-US"/>
        </w:rPr>
        <w:t>., 2005; Thür &amp; Shah, 2006)</w:t>
      </w:r>
      <w:r w:rsidR="00FF46F5" w:rsidRPr="00C90AC9">
        <w:rPr>
          <w:rFonts w:eastAsiaTheme="majorEastAsia"/>
          <w:lang w:eastAsia="en-US"/>
        </w:rPr>
        <w:fldChar w:fldCharType="end"/>
      </w:r>
      <w:r w:rsidRPr="00C90AC9">
        <w:rPr>
          <w:rFonts w:eastAsiaTheme="majorEastAsia"/>
          <w:lang w:eastAsia="en-US"/>
        </w:rPr>
        <w:t>.</w:t>
      </w:r>
      <w:r w:rsidR="0089644F" w:rsidRPr="00C90AC9">
        <w:rPr>
          <w:rFonts w:eastAsiaTheme="majorEastAsia"/>
          <w:lang w:eastAsia="en-US"/>
        </w:rPr>
        <w:t xml:space="preserve"> This is due to the modest cost improvements that can be achieved with STP in a UK climate particularly when STPs are considered for home environments. </w:t>
      </w:r>
      <w:r w:rsidR="00FC0C59" w:rsidRPr="00C90AC9">
        <w:rPr>
          <w:rFonts w:eastAsiaTheme="majorEastAsia"/>
          <w:lang w:eastAsia="en-US"/>
        </w:rPr>
        <w:t>However, there have been studies during that</w:t>
      </w:r>
      <w:r w:rsidR="0089644F" w:rsidRPr="00C90AC9">
        <w:rPr>
          <w:rFonts w:eastAsiaTheme="majorEastAsia"/>
          <w:lang w:eastAsia="en-US"/>
        </w:rPr>
        <w:t xml:space="preserve"> same time period which have investigated </w:t>
      </w:r>
      <w:r w:rsidR="00FC0C59" w:rsidRPr="00C90AC9">
        <w:rPr>
          <w:rFonts w:eastAsiaTheme="majorEastAsia"/>
          <w:lang w:eastAsia="en-US"/>
        </w:rPr>
        <w:t>material gains which can be achieved when cost constraints are not</w:t>
      </w:r>
      <w:r w:rsidR="007232A8" w:rsidRPr="00C90AC9">
        <w:rPr>
          <w:rFonts w:eastAsiaTheme="majorEastAsia"/>
          <w:lang w:eastAsia="en-US"/>
        </w:rPr>
        <w:t xml:space="preserve"> at determining factor limiting the use of certain materials.  Phase Changing Materials (PCM) have been extensively researched as they have superior thermal properties when compared with water which is often used as the heat transfer </w:t>
      </w:r>
      <w:r w:rsidR="007232A8" w:rsidRPr="00C90AC9">
        <w:rPr>
          <w:rFonts w:eastAsiaTheme="majorEastAsia"/>
          <w:lang w:eastAsia="en-US"/>
        </w:rPr>
        <w:lastRenderedPageBreak/>
        <w:t>fluid in STP systems. Below is some of the research to highlight some of the findings concerning PCM.</w:t>
      </w:r>
    </w:p>
    <w:p w:rsidR="00AE6DE9" w:rsidRPr="00C90AC9" w:rsidRDefault="00AE6DE9" w:rsidP="0089644F">
      <w:pPr>
        <w:pStyle w:val="BodyTextFirstIndent"/>
        <w:spacing w:line="360" w:lineRule="auto"/>
        <w:ind w:firstLine="357"/>
        <w:rPr>
          <w:rFonts w:eastAsiaTheme="majorEastAsia"/>
          <w:lang w:eastAsia="en-US"/>
        </w:rPr>
      </w:pPr>
    </w:p>
    <w:p w:rsidR="00A16B8C" w:rsidRPr="00C90AC9" w:rsidRDefault="00534287" w:rsidP="00CA6E35">
      <w:pPr>
        <w:pStyle w:val="BodyTextFirstIndent"/>
        <w:numPr>
          <w:ilvl w:val="2"/>
          <w:numId w:val="26"/>
        </w:numPr>
        <w:spacing w:line="360" w:lineRule="auto"/>
        <w:rPr>
          <w:rStyle w:val="SubtleEmphasis"/>
          <w:iCs/>
        </w:rPr>
      </w:pPr>
      <w:r w:rsidRPr="00C90AC9">
        <w:rPr>
          <w:rStyle w:val="SubtleEmphasis"/>
          <w:iCs/>
        </w:rPr>
        <w:t>Phase C</w:t>
      </w:r>
      <w:r w:rsidR="00A16B8C" w:rsidRPr="00C90AC9">
        <w:rPr>
          <w:rStyle w:val="SubtleEmphasis"/>
          <w:iCs/>
        </w:rPr>
        <w:t xml:space="preserve">hanging </w:t>
      </w:r>
      <w:r w:rsidRPr="00C90AC9">
        <w:rPr>
          <w:rStyle w:val="SubtleEmphasis"/>
          <w:iCs/>
        </w:rPr>
        <w:t>M</w:t>
      </w:r>
      <w:r w:rsidR="00A16B8C" w:rsidRPr="00C90AC9">
        <w:rPr>
          <w:rStyle w:val="SubtleEmphasis"/>
          <w:iCs/>
        </w:rPr>
        <w:t xml:space="preserve">aterials </w:t>
      </w:r>
      <w:r w:rsidRPr="00C90AC9">
        <w:rPr>
          <w:rStyle w:val="SubtleEmphasis"/>
          <w:iCs/>
        </w:rPr>
        <w:t>(PCM) used in</w:t>
      </w:r>
      <w:r w:rsidR="00A16B8C" w:rsidRPr="00C90AC9">
        <w:rPr>
          <w:rStyle w:val="SubtleEmphasis"/>
          <w:iCs/>
        </w:rPr>
        <w:t xml:space="preserve"> solar domestic </w:t>
      </w:r>
      <w:r w:rsidRPr="00C90AC9">
        <w:rPr>
          <w:rStyle w:val="SubtleEmphasis"/>
          <w:iCs/>
        </w:rPr>
        <w:t>systems</w:t>
      </w:r>
    </w:p>
    <w:p w:rsidR="00A16B8C" w:rsidRPr="00C90AC9" w:rsidRDefault="00A16B8C" w:rsidP="00275F68">
      <w:pPr>
        <w:pStyle w:val="BodyTextFirstIndent"/>
        <w:spacing w:line="360" w:lineRule="auto"/>
        <w:rPr>
          <w:rFonts w:eastAsiaTheme="minorHAnsi"/>
          <w:lang w:eastAsia="en-US"/>
        </w:rPr>
      </w:pPr>
      <w:r w:rsidRPr="00C90AC9">
        <w:rPr>
          <w:rFonts w:eastAsiaTheme="minorHAnsi"/>
          <w:lang w:eastAsia="en-US"/>
        </w:rPr>
        <w:t xml:space="preserve">Phase changing materials have benefits when applied to hot water boilers as they allow water at a higher temperature to be stored in the tank by the fact that phase changing materials (PCMs) have a much higher storage density and isothermal operation compared with water. As PCMs have this benefit they can be included in the design of Solar Domestic Hot Water Systems (SDHWS) to improve stratification and therefore the overall efficiency of the system. Three PCM materials </w:t>
      </w:r>
      <w:r w:rsidR="00275F68" w:rsidRPr="00C90AC9">
        <w:rPr>
          <w:rFonts w:eastAsiaTheme="minorHAnsi"/>
          <w:lang w:eastAsia="en-US"/>
        </w:rPr>
        <w:t>were analysed</w:t>
      </w:r>
      <w:r w:rsidRPr="00C90AC9">
        <w:rPr>
          <w:rFonts w:eastAsiaTheme="minorHAnsi"/>
          <w:lang w:eastAsia="en-US"/>
        </w:rPr>
        <w:t xml:space="preserve">: stearic acid; palmitic acid and myristic acid by </w:t>
      </w:r>
      <w:proofErr w:type="spellStart"/>
      <w:r w:rsidRPr="00C90AC9">
        <w:rPr>
          <w:rFonts w:eastAsiaTheme="minorHAnsi"/>
          <w:lang w:eastAsia="en-US"/>
        </w:rPr>
        <w:t>Mazman</w:t>
      </w:r>
      <w:proofErr w:type="spellEnd"/>
      <w:r w:rsidRPr="00C90AC9">
        <w:rPr>
          <w:rFonts w:eastAsiaTheme="minorHAnsi"/>
          <w:lang w:eastAsia="en-US"/>
        </w:rPr>
        <w:t xml:space="preserve"> et al 2009. All three acids were prepared in a ratio of 80:20 with paraffin (paraffin accounting for 80%). They were chosen as their melting temperatures are in the range 50-60°C and are therefore s</w:t>
      </w:r>
      <w:r w:rsidR="000858B3" w:rsidRPr="00C90AC9">
        <w:rPr>
          <w:rFonts w:eastAsiaTheme="minorHAnsi"/>
          <w:lang w:eastAsia="en-US"/>
        </w:rPr>
        <w:t>uitable to use in SDHW</w:t>
      </w:r>
      <w:r w:rsidR="002C4A30" w:rsidRPr="00C90AC9">
        <w:rPr>
          <w:rFonts w:eastAsiaTheme="minorHAnsi"/>
          <w:lang w:eastAsia="en-US"/>
        </w:rPr>
        <w:t>S</w:t>
      </w:r>
      <w:r w:rsidR="000858B3" w:rsidRPr="00C90AC9">
        <w:rPr>
          <w:rFonts w:eastAsiaTheme="minorHAnsi"/>
          <w:lang w:eastAsia="en-US"/>
        </w:rPr>
        <w:t xml:space="preserve"> </w:t>
      </w:r>
      <w:r w:rsidR="00081C98" w:rsidRPr="00C90AC9">
        <w:rPr>
          <w:rFonts w:eastAsiaTheme="minorHAnsi"/>
          <w:lang w:eastAsia="en-US"/>
        </w:rPr>
        <w:fldChar w:fldCharType="begin"/>
      </w:r>
      <w:r w:rsidR="00081C98" w:rsidRPr="00C90AC9">
        <w:rPr>
          <w:rFonts w:eastAsiaTheme="minorHAnsi"/>
          <w:lang w:eastAsia="en-US"/>
        </w:rPr>
        <w:instrText xml:space="preserve"> ADDIN EN.CITE &lt;EndNote&gt;&lt;Cite&gt;&lt;Author&gt;Mazman&lt;/Author&gt;&lt;Year&gt;2009&lt;/Year&gt;&lt;RecNum&gt;216&lt;/RecNum&gt;&lt;DisplayText&gt;(Mazman et al., 2009)&lt;/DisplayText&gt;&lt;record&gt;&lt;rec-number&gt;216&lt;/rec-number&gt;&lt;foreign-keys&gt;&lt;key app="EN" db-id="50wxdpzd9vd5r7e9t5b595djrfpttrxw9avp" timestamp="1525591391"&gt;216&lt;/key&gt;&lt;/foreign-keys&gt;&lt;ref-type name="Book"&gt;6&lt;/ref-type&gt;&lt;contributors&gt;&lt;authors&gt;&lt;author&gt;Mazman, Muhsin&lt;/author&gt;&lt;author&gt;Cabeza, Luisa F.&lt;/author&gt;&lt;author&gt;Mehling, Harald&lt;/author&gt;&lt;author&gt;Miquel, Nogués&lt;/author&gt;&lt;author&gt;Evliya, Hunay&lt;/author&gt;&lt;author&gt;Paksoy, Halime&lt;/author&gt;&lt;/authors&gt;&lt;/contributors&gt;&lt;titles&gt;&lt;title&gt;Utilization of phase change materials in solar domestic hot water systems&lt;/title&gt;&lt;/titles&gt;&lt;pages&gt;1639-1643&lt;/pages&gt;&lt;volume&gt;34&lt;/volume&gt;&lt;dates&gt;&lt;year&gt;2009&lt;/year&gt;&lt;/dates&gt;&lt;urls&gt;&lt;/urls&gt;&lt;electronic-resource-num&gt;10.1016/j.renene.2008.10.016&lt;/electronic-resource-num&gt;&lt;/record&gt;&lt;/Cite&gt;&lt;/EndNote&gt;</w:instrText>
      </w:r>
      <w:r w:rsidR="00081C98" w:rsidRPr="00C90AC9">
        <w:rPr>
          <w:rFonts w:eastAsiaTheme="minorHAnsi"/>
          <w:lang w:eastAsia="en-US"/>
        </w:rPr>
        <w:fldChar w:fldCharType="separate"/>
      </w:r>
      <w:r w:rsidR="00081C98" w:rsidRPr="00C90AC9">
        <w:rPr>
          <w:rFonts w:eastAsiaTheme="minorHAnsi"/>
          <w:lang w:eastAsia="en-US"/>
        </w:rPr>
        <w:t>(Mazman et al., 2009)</w:t>
      </w:r>
      <w:r w:rsidR="00081C98" w:rsidRPr="00C90AC9">
        <w:rPr>
          <w:rFonts w:eastAsiaTheme="minorHAnsi"/>
          <w:lang w:eastAsia="en-US"/>
        </w:rPr>
        <w:fldChar w:fldCharType="end"/>
      </w:r>
      <w:r w:rsidR="000858B3" w:rsidRPr="00C90AC9">
        <w:rPr>
          <w:rFonts w:eastAsiaTheme="minorHAnsi"/>
          <w:lang w:eastAsia="en-US"/>
        </w:rPr>
        <w:t>.</w:t>
      </w:r>
      <w:r w:rsidRPr="00C90AC9">
        <w:rPr>
          <w:rFonts w:eastAsiaTheme="minorHAnsi"/>
          <w:lang w:eastAsia="en-US"/>
        </w:rPr>
        <w:t xml:space="preserve"> The results of the experiments showed stearic acid performing the best with an overview of the results shown in Table 2.4.</w:t>
      </w:r>
    </w:p>
    <w:tbl>
      <w:tblPr>
        <w:tblStyle w:val="TableGrid2"/>
        <w:tblpPr w:leftFromText="180" w:rightFromText="180" w:vertAnchor="text" w:horzAnchor="margin" w:tblpX="108" w:tblpY="533"/>
        <w:tblW w:w="8897" w:type="dxa"/>
        <w:tblLook w:val="04A0" w:firstRow="1" w:lastRow="0" w:firstColumn="1" w:lastColumn="0" w:noHBand="0" w:noVBand="1"/>
      </w:tblPr>
      <w:tblGrid>
        <w:gridCol w:w="2802"/>
        <w:gridCol w:w="2126"/>
        <w:gridCol w:w="1876"/>
        <w:gridCol w:w="2093"/>
      </w:tblGrid>
      <w:tr w:rsidR="000858B3" w:rsidRPr="00C90AC9" w:rsidTr="000858B3">
        <w:trPr>
          <w:trHeight w:val="423"/>
        </w:trPr>
        <w:tc>
          <w:tcPr>
            <w:tcW w:w="2802" w:type="dxa"/>
            <w:tcBorders>
              <w:bottom w:val="double" w:sz="4" w:space="0" w:color="auto"/>
            </w:tcBorders>
          </w:tcPr>
          <w:p w:rsidR="000858B3" w:rsidRPr="00C90AC9" w:rsidRDefault="000858B3" w:rsidP="000858B3">
            <w:pPr>
              <w:jc w:val="center"/>
              <w:rPr>
                <w:rFonts w:eastAsiaTheme="minorHAnsi"/>
                <w:lang w:eastAsia="en-US"/>
              </w:rPr>
            </w:pPr>
            <w:r w:rsidRPr="00C90AC9">
              <w:rPr>
                <w:rFonts w:eastAsiaTheme="minorHAnsi"/>
                <w:lang w:eastAsia="en-US"/>
              </w:rPr>
              <w:t>PCM Mixture</w:t>
            </w:r>
          </w:p>
        </w:tc>
        <w:tc>
          <w:tcPr>
            <w:tcW w:w="2126" w:type="dxa"/>
            <w:tcBorders>
              <w:bottom w:val="double" w:sz="4" w:space="0" w:color="auto"/>
            </w:tcBorders>
          </w:tcPr>
          <w:p w:rsidR="000858B3" w:rsidRPr="00C90AC9" w:rsidRDefault="000858B3" w:rsidP="000858B3">
            <w:pPr>
              <w:jc w:val="center"/>
              <w:rPr>
                <w:rFonts w:eastAsiaTheme="minorHAnsi"/>
                <w:lang w:eastAsia="en-US"/>
              </w:rPr>
            </w:pPr>
            <w:r w:rsidRPr="00C90AC9">
              <w:rPr>
                <w:rFonts w:eastAsiaTheme="minorHAnsi"/>
                <w:lang w:eastAsia="en-US"/>
              </w:rPr>
              <w:t>Stearic acid</w:t>
            </w:r>
          </w:p>
        </w:tc>
        <w:tc>
          <w:tcPr>
            <w:tcW w:w="1876" w:type="dxa"/>
            <w:tcBorders>
              <w:bottom w:val="double" w:sz="4" w:space="0" w:color="auto"/>
            </w:tcBorders>
          </w:tcPr>
          <w:p w:rsidR="000858B3" w:rsidRPr="00C90AC9" w:rsidRDefault="000858B3" w:rsidP="000858B3">
            <w:pPr>
              <w:jc w:val="center"/>
              <w:rPr>
                <w:rFonts w:eastAsiaTheme="minorHAnsi"/>
                <w:lang w:eastAsia="en-US"/>
              </w:rPr>
            </w:pPr>
            <w:r w:rsidRPr="00C90AC9">
              <w:rPr>
                <w:rFonts w:eastAsiaTheme="minorHAnsi"/>
                <w:lang w:eastAsia="en-US"/>
              </w:rPr>
              <w:t>Palmitic acid</w:t>
            </w:r>
          </w:p>
        </w:tc>
        <w:tc>
          <w:tcPr>
            <w:tcW w:w="2093" w:type="dxa"/>
            <w:tcBorders>
              <w:bottom w:val="double" w:sz="4" w:space="0" w:color="auto"/>
            </w:tcBorders>
          </w:tcPr>
          <w:p w:rsidR="000858B3" w:rsidRPr="00C90AC9" w:rsidRDefault="000858B3" w:rsidP="000858B3">
            <w:pPr>
              <w:jc w:val="center"/>
              <w:rPr>
                <w:rFonts w:eastAsiaTheme="minorHAnsi"/>
                <w:lang w:eastAsia="en-US"/>
              </w:rPr>
            </w:pPr>
            <w:r w:rsidRPr="00C90AC9">
              <w:rPr>
                <w:rFonts w:eastAsiaTheme="minorHAnsi"/>
                <w:lang w:eastAsia="en-US"/>
              </w:rPr>
              <w:t>Myristic acid</w:t>
            </w:r>
          </w:p>
        </w:tc>
      </w:tr>
      <w:tr w:rsidR="000858B3" w:rsidRPr="00C90AC9" w:rsidTr="000858B3">
        <w:trPr>
          <w:trHeight w:val="392"/>
        </w:trPr>
        <w:tc>
          <w:tcPr>
            <w:tcW w:w="2802" w:type="dxa"/>
            <w:tcBorders>
              <w:top w:val="double" w:sz="4" w:space="0" w:color="auto"/>
            </w:tcBorders>
          </w:tcPr>
          <w:p w:rsidR="000858B3" w:rsidRPr="00C90AC9" w:rsidRDefault="000858B3" w:rsidP="000858B3">
            <w:pPr>
              <w:jc w:val="center"/>
              <w:rPr>
                <w:rFonts w:eastAsiaTheme="minorHAnsi"/>
                <w:lang w:eastAsia="en-US"/>
              </w:rPr>
            </w:pPr>
            <w:r w:rsidRPr="00C90AC9">
              <w:rPr>
                <w:rFonts w:eastAsiaTheme="minorHAnsi"/>
                <w:lang w:eastAsia="en-US"/>
              </w:rPr>
              <w:t>H 9kJ/kg)</w:t>
            </w:r>
          </w:p>
        </w:tc>
        <w:tc>
          <w:tcPr>
            <w:tcW w:w="2126" w:type="dxa"/>
            <w:tcBorders>
              <w:top w:val="double" w:sz="4" w:space="0" w:color="auto"/>
            </w:tcBorders>
          </w:tcPr>
          <w:p w:rsidR="000858B3" w:rsidRPr="00C90AC9" w:rsidRDefault="000858B3" w:rsidP="000858B3">
            <w:pPr>
              <w:jc w:val="center"/>
              <w:rPr>
                <w:rFonts w:eastAsiaTheme="minorHAnsi"/>
                <w:lang w:eastAsia="en-US"/>
              </w:rPr>
            </w:pPr>
            <w:r w:rsidRPr="00C90AC9">
              <w:rPr>
                <w:rFonts w:eastAsiaTheme="minorHAnsi"/>
                <w:lang w:eastAsia="en-US"/>
              </w:rPr>
              <w:t>150.1</w:t>
            </w:r>
          </w:p>
        </w:tc>
        <w:tc>
          <w:tcPr>
            <w:tcW w:w="1876" w:type="dxa"/>
            <w:tcBorders>
              <w:top w:val="double" w:sz="4" w:space="0" w:color="auto"/>
            </w:tcBorders>
          </w:tcPr>
          <w:p w:rsidR="000858B3" w:rsidRPr="00C90AC9" w:rsidRDefault="000858B3" w:rsidP="000858B3">
            <w:pPr>
              <w:jc w:val="center"/>
              <w:rPr>
                <w:rFonts w:eastAsiaTheme="minorHAnsi"/>
                <w:lang w:eastAsia="en-US"/>
              </w:rPr>
            </w:pPr>
            <w:r w:rsidRPr="00C90AC9">
              <w:rPr>
                <w:rFonts w:eastAsiaTheme="minorHAnsi"/>
                <w:lang w:eastAsia="en-US"/>
              </w:rPr>
              <w:t>150.1</w:t>
            </w:r>
          </w:p>
        </w:tc>
        <w:tc>
          <w:tcPr>
            <w:tcW w:w="2093" w:type="dxa"/>
            <w:tcBorders>
              <w:top w:val="double" w:sz="4" w:space="0" w:color="auto"/>
            </w:tcBorders>
          </w:tcPr>
          <w:p w:rsidR="000858B3" w:rsidRPr="00C90AC9" w:rsidRDefault="000858B3" w:rsidP="000858B3">
            <w:pPr>
              <w:jc w:val="center"/>
              <w:rPr>
                <w:rFonts w:eastAsiaTheme="minorHAnsi"/>
                <w:lang w:eastAsia="en-US"/>
              </w:rPr>
            </w:pPr>
            <w:r w:rsidRPr="00C90AC9">
              <w:rPr>
                <w:rFonts w:eastAsiaTheme="minorHAnsi"/>
                <w:lang w:eastAsia="en-US"/>
              </w:rPr>
              <w:t>190.9</w:t>
            </w:r>
          </w:p>
        </w:tc>
      </w:tr>
      <w:tr w:rsidR="000858B3" w:rsidRPr="00C90AC9" w:rsidTr="000858B3">
        <w:trPr>
          <w:trHeight w:val="419"/>
        </w:trPr>
        <w:tc>
          <w:tcPr>
            <w:tcW w:w="2802" w:type="dxa"/>
          </w:tcPr>
          <w:p w:rsidR="000858B3" w:rsidRPr="00C90AC9" w:rsidRDefault="000858B3" w:rsidP="000858B3">
            <w:pPr>
              <w:jc w:val="center"/>
              <w:rPr>
                <w:rFonts w:eastAsiaTheme="minorHAnsi"/>
                <w:lang w:eastAsia="en-US"/>
              </w:rPr>
            </w:pPr>
            <w:r w:rsidRPr="00C90AC9">
              <w:rPr>
                <w:rFonts w:eastAsiaTheme="minorHAnsi"/>
                <w:lang w:eastAsia="en-US"/>
              </w:rPr>
              <w:t>Melting range (°C)</w:t>
            </w:r>
          </w:p>
        </w:tc>
        <w:tc>
          <w:tcPr>
            <w:tcW w:w="2126" w:type="dxa"/>
          </w:tcPr>
          <w:p w:rsidR="000858B3" w:rsidRPr="00C90AC9" w:rsidRDefault="000858B3" w:rsidP="000858B3">
            <w:pPr>
              <w:jc w:val="center"/>
              <w:rPr>
                <w:rFonts w:eastAsiaTheme="minorHAnsi"/>
                <w:lang w:eastAsia="en-US"/>
              </w:rPr>
            </w:pPr>
            <w:r w:rsidRPr="00C90AC9">
              <w:rPr>
                <w:rFonts w:eastAsiaTheme="minorHAnsi"/>
                <w:lang w:eastAsia="en-US"/>
              </w:rPr>
              <w:t>49-53</w:t>
            </w:r>
          </w:p>
        </w:tc>
        <w:tc>
          <w:tcPr>
            <w:tcW w:w="1876" w:type="dxa"/>
          </w:tcPr>
          <w:p w:rsidR="000858B3" w:rsidRPr="00C90AC9" w:rsidRDefault="000858B3" w:rsidP="000858B3">
            <w:pPr>
              <w:jc w:val="center"/>
              <w:rPr>
                <w:rFonts w:eastAsiaTheme="minorHAnsi"/>
                <w:lang w:eastAsia="en-US"/>
              </w:rPr>
            </w:pPr>
            <w:r w:rsidRPr="00C90AC9">
              <w:rPr>
                <w:rFonts w:eastAsiaTheme="minorHAnsi"/>
                <w:lang w:eastAsia="en-US"/>
              </w:rPr>
              <w:t>48-52</w:t>
            </w:r>
          </w:p>
        </w:tc>
        <w:tc>
          <w:tcPr>
            <w:tcW w:w="2093" w:type="dxa"/>
          </w:tcPr>
          <w:p w:rsidR="000858B3" w:rsidRPr="00C90AC9" w:rsidRDefault="000858B3" w:rsidP="000858B3">
            <w:pPr>
              <w:jc w:val="center"/>
              <w:rPr>
                <w:rFonts w:eastAsiaTheme="minorHAnsi"/>
                <w:lang w:eastAsia="en-US"/>
              </w:rPr>
            </w:pPr>
            <w:r w:rsidRPr="00C90AC9">
              <w:rPr>
                <w:rFonts w:eastAsiaTheme="minorHAnsi"/>
                <w:lang w:eastAsia="en-US"/>
              </w:rPr>
              <w:t>61-65</w:t>
            </w:r>
          </w:p>
        </w:tc>
      </w:tr>
      <w:tr w:rsidR="000858B3" w:rsidRPr="00C90AC9" w:rsidTr="000858B3">
        <w:trPr>
          <w:trHeight w:val="411"/>
        </w:trPr>
        <w:tc>
          <w:tcPr>
            <w:tcW w:w="2802" w:type="dxa"/>
          </w:tcPr>
          <w:p w:rsidR="000858B3" w:rsidRPr="00C90AC9" w:rsidRDefault="000858B3" w:rsidP="000858B3">
            <w:pPr>
              <w:jc w:val="center"/>
              <w:rPr>
                <w:rFonts w:eastAsiaTheme="minorHAnsi"/>
                <w:lang w:eastAsia="en-US"/>
              </w:rPr>
            </w:pPr>
            <w:r w:rsidRPr="00C90AC9">
              <w:rPr>
                <w:rFonts w:eastAsiaTheme="minorHAnsi"/>
                <w:lang w:eastAsia="en-US"/>
              </w:rPr>
              <w:t>Storage capacity (kJ)</w:t>
            </w:r>
          </w:p>
        </w:tc>
        <w:tc>
          <w:tcPr>
            <w:tcW w:w="2126" w:type="dxa"/>
          </w:tcPr>
          <w:p w:rsidR="000858B3" w:rsidRPr="00C90AC9" w:rsidRDefault="000858B3" w:rsidP="000858B3">
            <w:pPr>
              <w:jc w:val="center"/>
              <w:rPr>
                <w:rFonts w:eastAsiaTheme="minorHAnsi"/>
                <w:lang w:eastAsia="en-US"/>
              </w:rPr>
            </w:pPr>
            <w:r w:rsidRPr="00C90AC9">
              <w:rPr>
                <w:rFonts w:eastAsiaTheme="minorHAnsi"/>
                <w:lang w:eastAsia="en-US"/>
              </w:rPr>
              <w:t>450.2</w:t>
            </w:r>
          </w:p>
        </w:tc>
        <w:tc>
          <w:tcPr>
            <w:tcW w:w="1876" w:type="dxa"/>
          </w:tcPr>
          <w:p w:rsidR="000858B3" w:rsidRPr="00C90AC9" w:rsidRDefault="000858B3" w:rsidP="000858B3">
            <w:pPr>
              <w:jc w:val="center"/>
              <w:rPr>
                <w:rFonts w:eastAsiaTheme="minorHAnsi"/>
                <w:lang w:eastAsia="en-US"/>
              </w:rPr>
            </w:pPr>
            <w:r w:rsidRPr="00C90AC9">
              <w:rPr>
                <w:rFonts w:eastAsiaTheme="minorHAnsi"/>
                <w:lang w:eastAsia="en-US"/>
              </w:rPr>
              <w:t>450.0</w:t>
            </w:r>
          </w:p>
        </w:tc>
        <w:tc>
          <w:tcPr>
            <w:tcW w:w="2093" w:type="dxa"/>
          </w:tcPr>
          <w:p w:rsidR="000858B3" w:rsidRPr="00C90AC9" w:rsidRDefault="000858B3" w:rsidP="000858B3">
            <w:pPr>
              <w:jc w:val="center"/>
              <w:rPr>
                <w:rFonts w:eastAsiaTheme="minorHAnsi"/>
                <w:lang w:eastAsia="en-US"/>
              </w:rPr>
            </w:pPr>
            <w:r w:rsidRPr="00C90AC9">
              <w:rPr>
                <w:rFonts w:eastAsiaTheme="minorHAnsi"/>
                <w:lang w:eastAsia="en-US"/>
              </w:rPr>
              <w:t>190.9</w:t>
            </w:r>
          </w:p>
        </w:tc>
      </w:tr>
      <w:tr w:rsidR="000858B3" w:rsidRPr="00C90AC9" w:rsidTr="000858B3">
        <w:trPr>
          <w:trHeight w:val="383"/>
        </w:trPr>
        <w:tc>
          <w:tcPr>
            <w:tcW w:w="2802" w:type="dxa"/>
          </w:tcPr>
          <w:p w:rsidR="000858B3" w:rsidRPr="00C90AC9" w:rsidRDefault="000858B3" w:rsidP="000858B3">
            <w:pPr>
              <w:jc w:val="center"/>
              <w:rPr>
                <w:rFonts w:eastAsiaTheme="minorHAnsi"/>
                <w:lang w:eastAsia="en-US"/>
              </w:rPr>
            </w:pPr>
            <w:proofErr w:type="spellStart"/>
            <w:r w:rsidRPr="00C90AC9">
              <w:rPr>
                <w:rFonts w:eastAsiaTheme="minorHAnsi"/>
                <w:lang w:eastAsia="en-US"/>
              </w:rPr>
              <w:t>ΔT</w:t>
            </w:r>
            <w:r w:rsidRPr="00C90AC9">
              <w:rPr>
                <w:rFonts w:eastAsiaTheme="minorHAnsi"/>
                <w:vertAlign w:val="subscript"/>
                <w:lang w:eastAsia="en-US"/>
              </w:rPr>
              <w:t>theoretical</w:t>
            </w:r>
            <w:proofErr w:type="spellEnd"/>
            <w:r w:rsidRPr="00C90AC9">
              <w:rPr>
                <w:rFonts w:eastAsiaTheme="minorHAnsi"/>
                <w:vertAlign w:val="subscript"/>
                <w:lang w:eastAsia="en-US"/>
              </w:rPr>
              <w:t xml:space="preserve"> </w:t>
            </w:r>
            <w:r w:rsidRPr="00C90AC9">
              <w:rPr>
                <w:rFonts w:eastAsiaTheme="minorHAnsi"/>
                <w:lang w:eastAsia="en-US"/>
              </w:rPr>
              <w:t>(</w:t>
            </w:r>
            <m:oMath>
              <m:r>
                <w:rPr>
                  <w:rFonts w:ascii="Cambria Math" w:eastAsiaTheme="minorHAnsi" w:hAnsi="Cambria Math"/>
                  <w:lang w:eastAsia="en-US"/>
                </w:rPr>
                <m:t>°</m:t>
              </m:r>
            </m:oMath>
            <w:r w:rsidRPr="00C90AC9">
              <w:rPr>
                <w:rFonts w:eastAsiaTheme="minorHAnsi"/>
                <w:lang w:eastAsia="en-US"/>
              </w:rPr>
              <w:t>C)</w:t>
            </w:r>
          </w:p>
        </w:tc>
        <w:tc>
          <w:tcPr>
            <w:tcW w:w="2126" w:type="dxa"/>
          </w:tcPr>
          <w:p w:rsidR="000858B3" w:rsidRPr="00C90AC9" w:rsidRDefault="000858B3" w:rsidP="000858B3">
            <w:pPr>
              <w:jc w:val="center"/>
              <w:rPr>
                <w:rFonts w:eastAsiaTheme="minorHAnsi"/>
                <w:lang w:eastAsia="en-US"/>
              </w:rPr>
            </w:pPr>
            <w:r w:rsidRPr="00C90AC9">
              <w:rPr>
                <w:rFonts w:eastAsiaTheme="minorHAnsi"/>
                <w:lang w:eastAsia="en-US"/>
              </w:rPr>
              <w:t>3.5</w:t>
            </w:r>
          </w:p>
        </w:tc>
        <w:tc>
          <w:tcPr>
            <w:tcW w:w="1876" w:type="dxa"/>
          </w:tcPr>
          <w:p w:rsidR="000858B3" w:rsidRPr="00C90AC9" w:rsidRDefault="000858B3" w:rsidP="000858B3">
            <w:pPr>
              <w:jc w:val="center"/>
              <w:rPr>
                <w:rFonts w:eastAsiaTheme="minorHAnsi"/>
                <w:lang w:eastAsia="en-US"/>
              </w:rPr>
            </w:pPr>
            <w:r w:rsidRPr="00C90AC9">
              <w:rPr>
                <w:rFonts w:eastAsiaTheme="minorHAnsi"/>
                <w:lang w:eastAsia="en-US"/>
              </w:rPr>
              <w:t>7.8</w:t>
            </w:r>
          </w:p>
        </w:tc>
        <w:tc>
          <w:tcPr>
            <w:tcW w:w="2093" w:type="dxa"/>
          </w:tcPr>
          <w:p w:rsidR="000858B3" w:rsidRPr="00C90AC9" w:rsidRDefault="000858B3" w:rsidP="000858B3">
            <w:pPr>
              <w:jc w:val="center"/>
              <w:rPr>
                <w:rFonts w:eastAsiaTheme="minorHAnsi"/>
                <w:lang w:eastAsia="en-US"/>
              </w:rPr>
            </w:pPr>
            <w:r w:rsidRPr="00C90AC9">
              <w:rPr>
                <w:rFonts w:eastAsiaTheme="minorHAnsi"/>
                <w:lang w:eastAsia="en-US"/>
              </w:rPr>
              <w:t>4.5</w:t>
            </w:r>
          </w:p>
        </w:tc>
      </w:tr>
      <w:tr w:rsidR="000858B3" w:rsidRPr="00C90AC9" w:rsidTr="000858B3">
        <w:trPr>
          <w:trHeight w:val="416"/>
        </w:trPr>
        <w:tc>
          <w:tcPr>
            <w:tcW w:w="2802" w:type="dxa"/>
          </w:tcPr>
          <w:p w:rsidR="000858B3" w:rsidRPr="00C90AC9" w:rsidRDefault="000858B3" w:rsidP="000858B3">
            <w:pPr>
              <w:jc w:val="center"/>
              <w:rPr>
                <w:rFonts w:eastAsiaTheme="minorHAnsi"/>
                <w:lang w:eastAsia="en-US"/>
              </w:rPr>
            </w:pPr>
            <w:proofErr w:type="spellStart"/>
            <w:r w:rsidRPr="00C90AC9">
              <w:rPr>
                <w:rFonts w:eastAsiaTheme="minorHAnsi"/>
                <w:lang w:eastAsia="en-US"/>
              </w:rPr>
              <w:t>ΔT</w:t>
            </w:r>
            <w:r w:rsidRPr="00C90AC9">
              <w:rPr>
                <w:rFonts w:eastAsiaTheme="minorHAnsi"/>
                <w:vertAlign w:val="subscript"/>
                <w:lang w:eastAsia="en-US"/>
              </w:rPr>
              <w:t>experimental</w:t>
            </w:r>
            <w:proofErr w:type="spellEnd"/>
            <w:r w:rsidRPr="00C90AC9">
              <w:rPr>
                <w:rFonts w:eastAsiaTheme="minorHAnsi"/>
                <w:vertAlign w:val="subscript"/>
                <w:lang w:eastAsia="en-US"/>
              </w:rPr>
              <w:t xml:space="preserve"> </w:t>
            </w:r>
            <w:r w:rsidRPr="00C90AC9">
              <w:rPr>
                <w:rFonts w:eastAsiaTheme="minorHAnsi"/>
                <w:lang w:eastAsia="en-US"/>
              </w:rPr>
              <w:t>(°C)</w:t>
            </w:r>
          </w:p>
        </w:tc>
        <w:tc>
          <w:tcPr>
            <w:tcW w:w="2126" w:type="dxa"/>
          </w:tcPr>
          <w:p w:rsidR="000858B3" w:rsidRPr="00C90AC9" w:rsidRDefault="000858B3" w:rsidP="000858B3">
            <w:pPr>
              <w:jc w:val="center"/>
              <w:rPr>
                <w:rFonts w:eastAsiaTheme="minorHAnsi"/>
                <w:lang w:eastAsia="en-US"/>
              </w:rPr>
            </w:pPr>
            <w:r w:rsidRPr="00C90AC9">
              <w:rPr>
                <w:rFonts w:eastAsiaTheme="minorHAnsi"/>
                <w:lang w:eastAsia="en-US"/>
              </w:rPr>
              <w:t>2.6</w:t>
            </w:r>
          </w:p>
        </w:tc>
        <w:tc>
          <w:tcPr>
            <w:tcW w:w="1876" w:type="dxa"/>
          </w:tcPr>
          <w:p w:rsidR="000858B3" w:rsidRPr="00C90AC9" w:rsidRDefault="000858B3" w:rsidP="000858B3">
            <w:pPr>
              <w:jc w:val="center"/>
              <w:rPr>
                <w:rFonts w:eastAsiaTheme="minorHAnsi"/>
                <w:lang w:eastAsia="en-US"/>
              </w:rPr>
            </w:pPr>
            <w:r w:rsidRPr="00C90AC9">
              <w:rPr>
                <w:rFonts w:eastAsiaTheme="minorHAnsi"/>
                <w:lang w:eastAsia="en-US"/>
              </w:rPr>
              <w:t>4.9</w:t>
            </w:r>
          </w:p>
        </w:tc>
        <w:tc>
          <w:tcPr>
            <w:tcW w:w="2093" w:type="dxa"/>
          </w:tcPr>
          <w:p w:rsidR="000858B3" w:rsidRPr="00C90AC9" w:rsidRDefault="000858B3" w:rsidP="000858B3">
            <w:pPr>
              <w:jc w:val="center"/>
              <w:rPr>
                <w:rFonts w:eastAsiaTheme="minorHAnsi"/>
                <w:lang w:eastAsia="en-US"/>
              </w:rPr>
            </w:pPr>
            <w:r w:rsidRPr="00C90AC9">
              <w:rPr>
                <w:rFonts w:eastAsiaTheme="minorHAnsi"/>
                <w:lang w:eastAsia="en-US"/>
              </w:rPr>
              <w:t>1.6</w:t>
            </w:r>
          </w:p>
        </w:tc>
      </w:tr>
      <w:tr w:rsidR="000858B3" w:rsidRPr="00C90AC9" w:rsidTr="000858B3">
        <w:trPr>
          <w:trHeight w:val="422"/>
        </w:trPr>
        <w:tc>
          <w:tcPr>
            <w:tcW w:w="2802" w:type="dxa"/>
          </w:tcPr>
          <w:p w:rsidR="000858B3" w:rsidRPr="00C90AC9" w:rsidRDefault="000858B3" w:rsidP="000858B3">
            <w:pPr>
              <w:jc w:val="center"/>
              <w:rPr>
                <w:rFonts w:eastAsiaTheme="minorHAnsi"/>
                <w:lang w:eastAsia="en-US"/>
              </w:rPr>
            </w:pPr>
            <w:r w:rsidRPr="00C90AC9">
              <w:rPr>
                <w:rFonts w:eastAsiaTheme="minorHAnsi"/>
                <w:lang w:eastAsia="en-US"/>
              </w:rPr>
              <w:t>Recovery efficiency (%)</w:t>
            </w:r>
          </w:p>
        </w:tc>
        <w:tc>
          <w:tcPr>
            <w:tcW w:w="2126" w:type="dxa"/>
          </w:tcPr>
          <w:p w:rsidR="000858B3" w:rsidRPr="00C90AC9" w:rsidRDefault="000858B3" w:rsidP="000858B3">
            <w:pPr>
              <w:jc w:val="center"/>
              <w:rPr>
                <w:rFonts w:eastAsiaTheme="minorHAnsi"/>
                <w:lang w:eastAsia="en-US"/>
              </w:rPr>
            </w:pPr>
            <w:r w:rsidRPr="00C90AC9">
              <w:rPr>
                <w:rFonts w:eastAsiaTheme="minorHAnsi"/>
                <w:lang w:eastAsia="en-US"/>
              </w:rPr>
              <w:t>74</w:t>
            </w:r>
          </w:p>
        </w:tc>
        <w:tc>
          <w:tcPr>
            <w:tcW w:w="1876" w:type="dxa"/>
          </w:tcPr>
          <w:p w:rsidR="000858B3" w:rsidRPr="00C90AC9" w:rsidRDefault="000858B3" w:rsidP="000858B3">
            <w:pPr>
              <w:jc w:val="center"/>
              <w:rPr>
                <w:rFonts w:eastAsiaTheme="minorHAnsi"/>
                <w:lang w:eastAsia="en-US"/>
              </w:rPr>
            </w:pPr>
            <w:r w:rsidRPr="00C90AC9">
              <w:rPr>
                <w:rFonts w:eastAsiaTheme="minorHAnsi"/>
                <w:lang w:eastAsia="en-US"/>
              </w:rPr>
              <w:t>63</w:t>
            </w:r>
          </w:p>
        </w:tc>
        <w:tc>
          <w:tcPr>
            <w:tcW w:w="2093" w:type="dxa"/>
          </w:tcPr>
          <w:p w:rsidR="000858B3" w:rsidRPr="00C90AC9" w:rsidRDefault="000858B3" w:rsidP="000858B3">
            <w:pPr>
              <w:jc w:val="center"/>
              <w:rPr>
                <w:rFonts w:eastAsiaTheme="minorHAnsi"/>
                <w:lang w:eastAsia="en-US"/>
              </w:rPr>
            </w:pPr>
            <w:r w:rsidRPr="00C90AC9">
              <w:rPr>
                <w:rFonts w:eastAsiaTheme="minorHAnsi"/>
                <w:lang w:eastAsia="en-US"/>
              </w:rPr>
              <w:t>36</w:t>
            </w:r>
          </w:p>
        </w:tc>
      </w:tr>
    </w:tbl>
    <w:p w:rsidR="000858B3" w:rsidRPr="00C90AC9" w:rsidRDefault="000858B3" w:rsidP="000858B3">
      <w:pPr>
        <w:rPr>
          <w:rFonts w:eastAsiaTheme="minorHAnsi"/>
        </w:rPr>
      </w:pPr>
      <w:r w:rsidRPr="00C90AC9">
        <w:rPr>
          <w:rFonts w:eastAsiaTheme="minorHAnsi"/>
        </w:rPr>
        <w:t xml:space="preserve">Table </w:t>
      </w:r>
      <w:r w:rsidR="00153D7C">
        <w:rPr>
          <w:rFonts w:eastAsiaTheme="minorHAnsi"/>
        </w:rPr>
        <w:t>2.4. P</w:t>
      </w:r>
      <w:r w:rsidRPr="00C90AC9">
        <w:rPr>
          <w:rFonts w:eastAsiaTheme="minorHAnsi"/>
        </w:rPr>
        <w:t xml:space="preserve">CM materials and their properties </w:t>
      </w:r>
      <w:r w:rsidR="00081C98" w:rsidRPr="00C90AC9">
        <w:rPr>
          <w:rFonts w:eastAsiaTheme="minorHAnsi"/>
        </w:rPr>
        <w:fldChar w:fldCharType="begin"/>
      </w:r>
      <w:r w:rsidR="00081C98" w:rsidRPr="00C90AC9">
        <w:rPr>
          <w:rFonts w:eastAsiaTheme="minorHAnsi"/>
        </w:rPr>
        <w:instrText xml:space="preserve"> ADDIN EN.CITE &lt;EndNote&gt;&lt;Cite&gt;&lt;Author&gt;Mazman&lt;/Author&gt;&lt;Year&gt;2009&lt;/Year&gt;&lt;RecNum&gt;216&lt;/RecNum&gt;&lt;DisplayText&gt;(Mazman et al., 2009)&lt;/DisplayText&gt;&lt;record&gt;&lt;rec-number&gt;216&lt;/rec-number&gt;&lt;foreign-keys&gt;&lt;key app="EN" db-id="50wxdpzd9vd5r7e9t5b595djrfpttrxw9avp" timestamp="1525591391"&gt;216&lt;/key&gt;&lt;/foreign-keys&gt;&lt;ref-type name="Book"&gt;6&lt;/ref-type&gt;&lt;contributors&gt;&lt;authors&gt;&lt;author&gt;Mazman, Muhsin&lt;/author&gt;&lt;author&gt;Cabeza, Luisa F.&lt;/author&gt;&lt;author&gt;Mehling, Harald&lt;/author&gt;&lt;author&gt;Miquel, Nogués&lt;/author&gt;&lt;author&gt;Evliya, Hunay&lt;/author&gt;&lt;author&gt;Paksoy, Halime&lt;/author&gt;&lt;/authors&gt;&lt;/contributors&gt;&lt;titles&gt;&lt;title&gt;Utilization of phase change materials in solar domestic hot water systems&lt;/title&gt;&lt;/titles&gt;&lt;pages&gt;1639-1643&lt;/pages&gt;&lt;volume&gt;34&lt;/volume&gt;&lt;dates&gt;&lt;year&gt;2009&lt;/year&gt;&lt;/dates&gt;&lt;urls&gt;&lt;/urls&gt;&lt;electronic-resource-num&gt;10.1016/j.renene.2008.10.016&lt;/electronic-resource-num&gt;&lt;/record&gt;&lt;/Cite&gt;&lt;/EndNote&gt;</w:instrText>
      </w:r>
      <w:r w:rsidR="00081C98" w:rsidRPr="00C90AC9">
        <w:rPr>
          <w:rFonts w:eastAsiaTheme="minorHAnsi"/>
        </w:rPr>
        <w:fldChar w:fldCharType="separate"/>
      </w:r>
      <w:r w:rsidR="00081C98" w:rsidRPr="00C90AC9">
        <w:rPr>
          <w:rFonts w:eastAsiaTheme="minorHAnsi"/>
        </w:rPr>
        <w:t>(Mazman et al., 2009)</w:t>
      </w:r>
      <w:r w:rsidR="00081C98" w:rsidRPr="00C90AC9">
        <w:rPr>
          <w:rFonts w:eastAsiaTheme="minorHAnsi"/>
        </w:rPr>
        <w:fldChar w:fldCharType="end"/>
      </w:r>
    </w:p>
    <w:p w:rsidR="00275F68" w:rsidRPr="00C90AC9" w:rsidRDefault="006F0C85" w:rsidP="00E82D6C">
      <w:pPr>
        <w:spacing w:line="360" w:lineRule="auto"/>
        <w:rPr>
          <w:rFonts w:eastAsiaTheme="minorHAnsi"/>
          <w:lang w:eastAsia="en-US"/>
        </w:rPr>
      </w:pPr>
      <w:sdt>
        <w:sdtPr>
          <w:rPr>
            <w:rFonts w:eastAsiaTheme="minorHAnsi"/>
            <w:lang w:eastAsia="en-US"/>
          </w:rPr>
          <w:alias w:val="Don't edit this field"/>
          <w:tag w:val="CitaviPlaceholder#5912498e-7daa-41d9-bd23-d28bcc49271e"/>
          <w:id w:val="-1037033213"/>
          <w:showingPlcHdr/>
        </w:sdtPr>
        <w:sdtEndPr/>
        <w:sdtContent>
          <w:r w:rsidR="000858B3" w:rsidRPr="00C90AC9">
            <w:rPr>
              <w:rFonts w:eastAsiaTheme="minorHAnsi"/>
              <w:lang w:eastAsia="en-US"/>
            </w:rPr>
            <w:t xml:space="preserve">     </w:t>
          </w:r>
        </w:sdtContent>
      </w:sdt>
      <w:r w:rsidR="00275F68" w:rsidRPr="00C90AC9">
        <w:rPr>
          <w:rFonts w:eastAsiaTheme="minorHAnsi"/>
          <w:lang w:eastAsia="en-US"/>
        </w:rPr>
        <w:t>The storage capacity of each of the acids was: 450.2 kJ; 450.0 kJ and 190.9 kJ respectively</w:t>
      </w:r>
      <w:r w:rsidR="000858B3" w:rsidRPr="00C90AC9">
        <w:rPr>
          <w:rFonts w:eastAsiaTheme="minorHAnsi"/>
          <w:lang w:eastAsia="en-US"/>
        </w:rPr>
        <w:t xml:space="preserve"> </w:t>
      </w:r>
      <w:r w:rsidR="00081C98" w:rsidRPr="00C90AC9">
        <w:rPr>
          <w:rFonts w:eastAsiaTheme="minorHAnsi"/>
          <w:lang w:eastAsia="en-US"/>
        </w:rPr>
        <w:fldChar w:fldCharType="begin"/>
      </w:r>
      <w:r w:rsidR="00081C98" w:rsidRPr="00C90AC9">
        <w:rPr>
          <w:rFonts w:eastAsiaTheme="minorHAnsi"/>
          <w:lang w:eastAsia="en-US"/>
        </w:rPr>
        <w:instrText xml:space="preserve"> ADDIN EN.CITE &lt;EndNote&gt;&lt;Cite&gt;&lt;Author&gt;Mazman&lt;/Author&gt;&lt;Year&gt;2009&lt;/Year&gt;&lt;RecNum&gt;216&lt;/RecNum&gt;&lt;DisplayText&gt;(Mazman et al., 2009)&lt;/DisplayText&gt;&lt;record&gt;&lt;rec-number&gt;216&lt;/rec-number&gt;&lt;foreign-keys&gt;&lt;key app="EN" db-id="50wxdpzd9vd5r7e9t5b595djrfpttrxw9avp" timestamp="1525591391"&gt;216&lt;/key&gt;&lt;/foreign-keys&gt;&lt;ref-type name="Book"&gt;6&lt;/ref-type&gt;&lt;contributors&gt;&lt;authors&gt;&lt;author&gt;Mazman, Muhsin&lt;/author&gt;&lt;author&gt;Cabeza, Luisa F.&lt;/author&gt;&lt;author&gt;Mehling, Harald&lt;/author&gt;&lt;author&gt;Miquel, Nogués&lt;/author&gt;&lt;author&gt;Evliya, Hunay&lt;/author&gt;&lt;author&gt;Paksoy, Halime&lt;/author&gt;&lt;/authors&gt;&lt;/contributors&gt;&lt;titles&gt;&lt;title&gt;Utilization of phase change materials in solar domestic hot water systems&lt;/title&gt;&lt;/titles&gt;&lt;pages&gt;1639-1643&lt;/pages&gt;&lt;volume&gt;34&lt;/volume&gt;&lt;dates&gt;&lt;year&gt;2009&lt;/year&gt;&lt;/dates&gt;&lt;urls&gt;&lt;/urls&gt;&lt;electronic-resource-num&gt;10.1016/j.renene.2008.10.016&lt;/electronic-resource-num&gt;&lt;/record&gt;&lt;/Cite&gt;&lt;/EndNote&gt;</w:instrText>
      </w:r>
      <w:r w:rsidR="00081C98" w:rsidRPr="00C90AC9">
        <w:rPr>
          <w:rFonts w:eastAsiaTheme="minorHAnsi"/>
          <w:lang w:eastAsia="en-US"/>
        </w:rPr>
        <w:fldChar w:fldCharType="separate"/>
      </w:r>
      <w:r w:rsidR="00081C98" w:rsidRPr="00C90AC9">
        <w:rPr>
          <w:rFonts w:eastAsiaTheme="minorHAnsi"/>
          <w:lang w:eastAsia="en-US"/>
        </w:rPr>
        <w:t>(Mazman et al., 2009)</w:t>
      </w:r>
      <w:r w:rsidR="00081C98" w:rsidRPr="00C90AC9">
        <w:rPr>
          <w:rFonts w:eastAsiaTheme="minorHAnsi"/>
          <w:lang w:eastAsia="en-US"/>
        </w:rPr>
        <w:fldChar w:fldCharType="end"/>
      </w:r>
      <w:r w:rsidR="00275F68" w:rsidRPr="00C90AC9">
        <w:rPr>
          <w:rFonts w:eastAsiaTheme="minorHAnsi"/>
          <w:lang w:eastAsia="en-US"/>
        </w:rPr>
        <w:t>.</w:t>
      </w:r>
      <w:r w:rsidR="000858B3" w:rsidRPr="00C90AC9">
        <w:rPr>
          <w:rFonts w:eastAsiaTheme="minorHAnsi"/>
          <w:lang w:eastAsia="en-US"/>
        </w:rPr>
        <w:t xml:space="preserve"> The  study determined the increase in efficiency that can be achieved with the use of PCM </w:t>
      </w:r>
      <w:r w:rsidR="00081C98" w:rsidRPr="00C90AC9">
        <w:rPr>
          <w:rFonts w:eastAsiaTheme="minorHAnsi"/>
          <w:lang w:eastAsia="en-US"/>
        </w:rPr>
        <w:fldChar w:fldCharType="begin"/>
      </w:r>
      <w:r w:rsidR="00081C98" w:rsidRPr="00C90AC9">
        <w:rPr>
          <w:rFonts w:eastAsiaTheme="minorHAnsi"/>
          <w:lang w:eastAsia="en-US"/>
        </w:rPr>
        <w:instrText xml:space="preserve"> ADDIN EN.CITE &lt;EndNote&gt;&lt;Cite&gt;&lt;Author&gt;Mazman&lt;/Author&gt;&lt;Year&gt;2009&lt;/Year&gt;&lt;RecNum&gt;216&lt;/RecNum&gt;&lt;DisplayText&gt;(Mazman et al., 2009)&lt;/DisplayText&gt;&lt;record&gt;&lt;rec-number&gt;216&lt;/rec-number&gt;&lt;foreign-keys&gt;&lt;key app="EN" db-id="50wxdpzd9vd5r7e9t5b595djrfpttrxw9avp" timestamp="1525591391"&gt;216&lt;/key&gt;&lt;/foreign-keys&gt;&lt;ref-type name="Book"&gt;6&lt;/ref-type&gt;&lt;contributors&gt;&lt;authors&gt;&lt;author&gt;Mazman, Muhsin&lt;/author&gt;&lt;author&gt;Cabeza, Luisa F.&lt;/author&gt;&lt;author&gt;Mehling, Harald&lt;/author&gt;&lt;author&gt;Miquel, Nogués&lt;/author&gt;&lt;author&gt;Evliya, Hunay&lt;/author&gt;&lt;author&gt;Paksoy, Halime&lt;/author&gt;&lt;/authors&gt;&lt;/contributors&gt;&lt;titles&gt;&lt;title&gt;Utilization of phase change materials in solar domestic hot water systems&lt;/title&gt;&lt;/titles&gt;&lt;pages&gt;1639-1643&lt;/pages&gt;&lt;volume&gt;34&lt;/volume&gt;&lt;dates&gt;&lt;year&gt;2009&lt;/year&gt;&lt;/dates&gt;&lt;urls&gt;&lt;/urls&gt;&lt;electronic-resource-num&gt;10.1016/j.renene.2008.10.016&lt;/electronic-resource-num&gt;&lt;/record&gt;&lt;/Cite&gt;&lt;/EndNote&gt;</w:instrText>
      </w:r>
      <w:r w:rsidR="00081C98" w:rsidRPr="00C90AC9">
        <w:rPr>
          <w:rFonts w:eastAsiaTheme="minorHAnsi"/>
          <w:lang w:eastAsia="en-US"/>
        </w:rPr>
        <w:fldChar w:fldCharType="separate"/>
      </w:r>
      <w:r w:rsidR="00081C98" w:rsidRPr="00C90AC9">
        <w:rPr>
          <w:rFonts w:eastAsiaTheme="minorHAnsi"/>
          <w:lang w:eastAsia="en-US"/>
        </w:rPr>
        <w:t>(Mazman et al., 2009)</w:t>
      </w:r>
      <w:r w:rsidR="00081C98" w:rsidRPr="00C90AC9">
        <w:rPr>
          <w:rFonts w:eastAsiaTheme="minorHAnsi"/>
          <w:lang w:eastAsia="en-US"/>
        </w:rPr>
        <w:fldChar w:fldCharType="end"/>
      </w:r>
      <w:r w:rsidR="000858B3" w:rsidRPr="00C90AC9">
        <w:rPr>
          <w:rFonts w:eastAsiaTheme="minorHAnsi"/>
          <w:lang w:eastAsia="en-US"/>
        </w:rPr>
        <w:t>.</w:t>
      </w:r>
    </w:p>
    <w:p w:rsidR="00A16B8C" w:rsidRPr="00C90AC9" w:rsidRDefault="00A16B8C" w:rsidP="007B01CA">
      <w:pPr>
        <w:pStyle w:val="BodyText"/>
        <w:spacing w:line="360" w:lineRule="auto"/>
        <w:rPr>
          <w:rFonts w:eastAsiaTheme="minorHAnsi"/>
          <w:lang w:eastAsia="en-US"/>
        </w:rPr>
      </w:pPr>
      <w:proofErr w:type="spellStart"/>
      <w:r w:rsidRPr="00C90AC9">
        <w:rPr>
          <w:rFonts w:eastAsiaTheme="minorHAnsi"/>
          <w:lang w:eastAsia="en-US"/>
        </w:rPr>
        <w:t>Tarhan</w:t>
      </w:r>
      <w:proofErr w:type="spellEnd"/>
      <w:r w:rsidRPr="00C90AC9">
        <w:rPr>
          <w:rFonts w:eastAsiaTheme="minorHAnsi"/>
          <w:lang w:eastAsia="en-US"/>
        </w:rPr>
        <w:t xml:space="preserve"> et al (2006) investigated built in storage solar water heaters (BSSWHs) which utilised PCMs compared to those that did not PCMs </w:t>
      </w:r>
      <w:r w:rsidR="00081C98" w:rsidRPr="00C90AC9">
        <w:rPr>
          <w:rFonts w:eastAsiaTheme="minorHAnsi"/>
          <w:lang w:eastAsia="en-US"/>
        </w:rPr>
        <w:fldChar w:fldCharType="begin"/>
      </w:r>
      <w:r w:rsidR="00081C98" w:rsidRPr="00C90AC9">
        <w:rPr>
          <w:rFonts w:eastAsiaTheme="minorHAnsi"/>
          <w:lang w:eastAsia="en-US"/>
        </w:rPr>
        <w:instrText xml:space="preserve"> ADDIN EN.CITE &lt;EndNote&gt;&lt;Cite&gt;&lt;Author&gt;Tarhan&lt;/Author&gt;&lt;Year&gt;2006&lt;/Year&gt;&lt;RecNum&gt;217&lt;/RecNum&gt;&lt;DisplayText&gt;(Tarhan, Sari, &amp;amp; Yardim, 2006)&lt;/DisplayText&gt;&lt;record&gt;&lt;rec-number&gt;217&lt;/rec-number&gt;&lt;foreign-keys&gt;&lt;key app="EN" db-id="50wxdpzd9vd5r7e9t5b595djrfpttrxw9avp" timestamp="1525591670"&gt;217&lt;/key&gt;&lt;/foreign-keys&gt;&lt;ref-type name="Journal Article"&gt;17&lt;/ref-type&gt;&lt;contributors&gt;&lt;authors&gt;&lt;author&gt;Tarhan, Sefa&lt;/author&gt;&lt;author&gt;Sari, Ahmet&lt;/author&gt;&lt;author&gt;Yardim, M. Hakan&lt;/author&gt;&lt;/authors&gt;&lt;/contributors&gt;&lt;titles&gt;&lt;title&gt;Temperature distributions in trapezoidal built in storage solar water heaters with/without phase change materials&lt;/title&gt;&lt;secondary-title&gt;Energy Conversion and Management&lt;/secondary-title&gt;&lt;/titles&gt;&lt;pages&gt;2143-2154&lt;/pages&gt;&lt;volume&gt;47&lt;/volume&gt;&lt;number&gt;15&lt;/number&gt;&lt;keywords&gt;&lt;keyword&gt;Solar water heater&lt;/keyword&gt;&lt;keyword&gt;Phase change materials&lt;/keyword&gt;&lt;keyword&gt;Heat storage&lt;/keyword&gt;&lt;keyword&gt;Built in storage&lt;/keyword&gt;&lt;keyword&gt;Solar energy&lt;/keyword&gt;&lt;/keywords&gt;&lt;dates&gt;&lt;year&gt;2006&lt;/year&gt;&lt;pub-dates&gt;&lt;date&gt;2006/09/01/&lt;/date&gt;&lt;/pub-dates&gt;&lt;/dates&gt;&lt;isbn&gt;0196-8904&lt;/isbn&gt;&lt;urls&gt;&lt;related-urls&gt;&lt;url&gt;http://www.sciencedirect.com/science/article/pii/S0196890405003353&lt;/url&gt;&lt;/related-urls&gt;&lt;/urls&gt;&lt;electronic-resource-num&gt;https://doi.org/10.1016/j.enconman.2005.12.002&lt;/electronic-resource-num&gt;&lt;/record&gt;&lt;/Cite&gt;&lt;/EndNote&gt;</w:instrText>
      </w:r>
      <w:r w:rsidR="00081C98" w:rsidRPr="00C90AC9">
        <w:rPr>
          <w:rFonts w:eastAsiaTheme="minorHAnsi"/>
          <w:lang w:eastAsia="en-US"/>
        </w:rPr>
        <w:fldChar w:fldCharType="separate"/>
      </w:r>
      <w:r w:rsidR="00081C98" w:rsidRPr="00C90AC9">
        <w:rPr>
          <w:rFonts w:eastAsiaTheme="minorHAnsi"/>
          <w:lang w:eastAsia="en-US"/>
        </w:rPr>
        <w:t>(Tarhan, Sari, &amp; Yardim, 2006)</w:t>
      </w:r>
      <w:r w:rsidR="00081C98" w:rsidRPr="00C90AC9">
        <w:rPr>
          <w:rFonts w:eastAsiaTheme="minorHAnsi"/>
          <w:lang w:eastAsia="en-US"/>
        </w:rPr>
        <w:fldChar w:fldCharType="end"/>
      </w:r>
      <w:r w:rsidRPr="00C90AC9">
        <w:rPr>
          <w:rFonts w:eastAsiaTheme="minorHAnsi"/>
          <w:lang w:eastAsia="en-US"/>
        </w:rPr>
        <w:t xml:space="preserve">. The drivers for conducting the study were: reducing the cost of the solar water heaters; making the design of the solar water heater (SWH) simpler (particularly for those residences that are in a rural setting); and improving the efficiency of the SWH system </w:t>
      </w:r>
      <w:r w:rsidR="00081C98" w:rsidRPr="00C90AC9">
        <w:rPr>
          <w:rFonts w:eastAsiaTheme="minorHAnsi"/>
          <w:lang w:eastAsia="en-US"/>
        </w:rPr>
        <w:fldChar w:fldCharType="begin"/>
      </w:r>
      <w:r w:rsidR="00081C98" w:rsidRPr="00C90AC9">
        <w:rPr>
          <w:rFonts w:eastAsiaTheme="minorHAnsi"/>
          <w:lang w:eastAsia="en-US"/>
        </w:rPr>
        <w:instrText xml:space="preserve"> ADDIN EN.CITE &lt;EndNote&gt;&lt;Cite&gt;&lt;Author&gt;Tarhan&lt;/Author&gt;&lt;Year&gt;2006&lt;/Year&gt;&lt;RecNum&gt;217&lt;/RecNum&gt;&lt;DisplayText&gt;(Tarhan et al., 2006)&lt;/DisplayText&gt;&lt;record&gt;&lt;rec-number&gt;217&lt;/rec-number&gt;&lt;foreign-keys&gt;&lt;key app="EN" db-id="50wxdpzd9vd5r7e9t5b595djrfpttrxw9avp" timestamp="1525591670"&gt;217&lt;/key&gt;&lt;/foreign-keys&gt;&lt;ref-type name="Journal Article"&gt;17&lt;/ref-type&gt;&lt;contributors&gt;&lt;authors&gt;&lt;author&gt;Tarhan, Sefa&lt;/author&gt;&lt;author&gt;Sari, Ahmet&lt;/author&gt;&lt;author&gt;Yardim, M. Hakan&lt;/author&gt;&lt;/authors&gt;&lt;/contributors&gt;&lt;titles&gt;&lt;title&gt;Temperature distributions in trapezoidal built in storage solar water heaters with/without phase change materials&lt;/title&gt;&lt;secondary-title&gt;Energy Conversion and Management&lt;/secondary-title&gt;&lt;/titles&gt;&lt;pages&gt;2143-2154&lt;/pages&gt;&lt;volume&gt;47&lt;/volume&gt;&lt;number&gt;15&lt;/number&gt;&lt;keywords&gt;&lt;keyword&gt;Solar water heater&lt;/keyword&gt;&lt;keyword&gt;Phase change materials&lt;/keyword&gt;&lt;keyword&gt;Heat storage&lt;/keyword&gt;&lt;keyword&gt;Built in storage&lt;/keyword&gt;&lt;keyword&gt;Solar energy&lt;/keyword&gt;&lt;/keywords&gt;&lt;dates&gt;&lt;year&gt;2006&lt;/year&gt;&lt;pub-dates&gt;&lt;date&gt;2006/09/01/&lt;/date&gt;&lt;/pub-dates&gt;&lt;/dates&gt;&lt;isbn&gt;0196-8904&lt;/isbn&gt;&lt;urls&gt;&lt;related-urls&gt;&lt;url&gt;http://www.sciencedirect.com/science/article/pii/S0196890405003353&lt;/url&gt;&lt;/related-urls&gt;&lt;/urls&gt;&lt;electronic-resource-num&gt;https://doi.org/10.1016/j.enconman.2005.12.002&lt;/electronic-resource-num&gt;&lt;/record&gt;&lt;/Cite&gt;&lt;/EndNote&gt;</w:instrText>
      </w:r>
      <w:r w:rsidR="00081C98" w:rsidRPr="00C90AC9">
        <w:rPr>
          <w:rFonts w:eastAsiaTheme="minorHAnsi"/>
          <w:lang w:eastAsia="en-US"/>
        </w:rPr>
        <w:fldChar w:fldCharType="separate"/>
      </w:r>
      <w:r w:rsidR="00081C98" w:rsidRPr="00C90AC9">
        <w:rPr>
          <w:rFonts w:eastAsiaTheme="minorHAnsi"/>
          <w:lang w:eastAsia="en-US"/>
        </w:rPr>
        <w:t>(Tarhan et al., 2006)</w:t>
      </w:r>
      <w:r w:rsidR="00081C98" w:rsidRPr="00C90AC9">
        <w:rPr>
          <w:rFonts w:eastAsiaTheme="minorHAnsi"/>
          <w:lang w:eastAsia="en-US"/>
        </w:rPr>
        <w:fldChar w:fldCharType="end"/>
      </w:r>
      <w:r w:rsidRPr="00C90AC9">
        <w:rPr>
          <w:rFonts w:eastAsiaTheme="minorHAnsi"/>
          <w:lang w:eastAsia="en-US"/>
        </w:rPr>
        <w:t xml:space="preserve">. The paper notes that the effect of the PCMs depended on the specific configuration of the PCM storage unit. Lauric acid was used as the PCM as it has a low thermal conductivity and high fusion </w:t>
      </w:r>
      <w:r w:rsidRPr="00C90AC9">
        <w:rPr>
          <w:rFonts w:eastAsiaTheme="minorHAnsi"/>
          <w:lang w:eastAsia="en-US"/>
        </w:rPr>
        <w:lastRenderedPageBreak/>
        <w:t xml:space="preserve">heat which in turn means that PCMs have an advantageous low heat storage volume. The papers also notes that lauric acid when used as the PCM also has beneficial properties with regard to insulation particularly in the night as the temperature that it solidifies is 51-52 °C </w:t>
      </w:r>
      <w:r w:rsidR="00081C98" w:rsidRPr="00C90AC9">
        <w:rPr>
          <w:rFonts w:eastAsiaTheme="minorHAnsi"/>
          <w:lang w:eastAsia="en-US"/>
        </w:rPr>
        <w:fldChar w:fldCharType="begin"/>
      </w:r>
      <w:r w:rsidR="00081C98" w:rsidRPr="00C90AC9">
        <w:rPr>
          <w:rFonts w:eastAsiaTheme="minorHAnsi"/>
          <w:lang w:eastAsia="en-US"/>
        </w:rPr>
        <w:instrText xml:space="preserve"> ADDIN EN.CITE &lt;EndNote&gt;&lt;Cite&gt;&lt;Author&gt;Tarhan&lt;/Author&gt;&lt;Year&gt;2006&lt;/Year&gt;&lt;RecNum&gt;217&lt;/RecNum&gt;&lt;DisplayText&gt;(Tarhan et al., 2006)&lt;/DisplayText&gt;&lt;record&gt;&lt;rec-number&gt;217&lt;/rec-number&gt;&lt;foreign-keys&gt;&lt;key app="EN" db-id="50wxdpzd9vd5r7e9t5b595djrfpttrxw9avp" timestamp="1525591670"&gt;217&lt;/key&gt;&lt;/foreign-keys&gt;&lt;ref-type name="Journal Article"&gt;17&lt;/ref-type&gt;&lt;contributors&gt;&lt;authors&gt;&lt;author&gt;Tarhan, Sefa&lt;/author&gt;&lt;author&gt;Sari, Ahmet&lt;/author&gt;&lt;author&gt;Yardim, M. Hakan&lt;/author&gt;&lt;/authors&gt;&lt;/contributors&gt;&lt;titles&gt;&lt;title&gt;Temperature distributions in trapezoidal built in storage solar water heaters with/without phase change materials&lt;/title&gt;&lt;secondary-title&gt;Energy Conversion and Management&lt;/secondary-title&gt;&lt;/titles&gt;&lt;pages&gt;2143-2154&lt;/pages&gt;&lt;volume&gt;47&lt;/volume&gt;&lt;number&gt;15&lt;/number&gt;&lt;keywords&gt;&lt;keyword&gt;Solar water heater&lt;/keyword&gt;&lt;keyword&gt;Phase change materials&lt;/keyword&gt;&lt;keyword&gt;Heat storage&lt;/keyword&gt;&lt;keyword&gt;Built in storage&lt;/keyword&gt;&lt;keyword&gt;Solar energy&lt;/keyword&gt;&lt;/keywords&gt;&lt;dates&gt;&lt;year&gt;2006&lt;/year&gt;&lt;pub-dates&gt;&lt;date&gt;2006/09/01/&lt;/date&gt;&lt;/pub-dates&gt;&lt;/dates&gt;&lt;isbn&gt;0196-8904&lt;/isbn&gt;&lt;urls&gt;&lt;related-urls&gt;&lt;url&gt;http://www.sciencedirect.com/science/article/pii/S0196890405003353&lt;/url&gt;&lt;/related-urls&gt;&lt;/urls&gt;&lt;electronic-resource-num&gt;https://doi.org/10.1016/j.enconman.2005.12.002&lt;/electronic-resource-num&gt;&lt;/record&gt;&lt;/Cite&gt;&lt;/EndNote&gt;</w:instrText>
      </w:r>
      <w:r w:rsidR="00081C98" w:rsidRPr="00C90AC9">
        <w:rPr>
          <w:rFonts w:eastAsiaTheme="minorHAnsi"/>
          <w:lang w:eastAsia="en-US"/>
        </w:rPr>
        <w:fldChar w:fldCharType="separate"/>
      </w:r>
      <w:r w:rsidR="00081C98" w:rsidRPr="00C90AC9">
        <w:rPr>
          <w:rFonts w:eastAsiaTheme="minorHAnsi"/>
          <w:lang w:eastAsia="en-US"/>
        </w:rPr>
        <w:t>(Tarhan et al., 2006)</w:t>
      </w:r>
      <w:r w:rsidR="00081C98" w:rsidRPr="00C90AC9">
        <w:rPr>
          <w:rFonts w:eastAsiaTheme="minorHAnsi"/>
          <w:lang w:eastAsia="en-US"/>
        </w:rPr>
        <w:fldChar w:fldCharType="end"/>
      </w:r>
      <w:r w:rsidR="00513387" w:rsidRPr="00C90AC9">
        <w:rPr>
          <w:rFonts w:eastAsiaTheme="minorHAnsi"/>
          <w:lang w:eastAsia="en-US"/>
        </w:rPr>
        <w:t>.</w:t>
      </w:r>
    </w:p>
    <w:p w:rsidR="00D1482C" w:rsidRPr="00C90AC9" w:rsidRDefault="00D1482C" w:rsidP="007B01CA">
      <w:pPr>
        <w:pStyle w:val="BodyText"/>
        <w:spacing w:line="360" w:lineRule="auto"/>
        <w:rPr>
          <w:rFonts w:eastAsiaTheme="minorHAnsi"/>
          <w:lang w:eastAsia="en-US"/>
        </w:rPr>
      </w:pPr>
    </w:p>
    <w:p w:rsidR="00C0462B" w:rsidRPr="00C90AC9" w:rsidRDefault="00A16B8C" w:rsidP="00C0462B">
      <w:pPr>
        <w:pStyle w:val="Heading1"/>
        <w:rPr>
          <w:iCs w:val="0"/>
        </w:rPr>
      </w:pPr>
      <w:bookmarkStart w:id="25" w:name="_Toc447173051"/>
      <w:r w:rsidRPr="00C90AC9">
        <w:rPr>
          <w:rStyle w:val="SubtleEmphasis"/>
          <w:iCs w:val="0"/>
        </w:rPr>
        <w:t>Optimum tilt of the collector to receive maximum solar gain</w:t>
      </w:r>
      <w:bookmarkEnd w:id="25"/>
    </w:p>
    <w:p w:rsidR="00A16B8C" w:rsidRPr="00C90AC9" w:rsidRDefault="009D65E9" w:rsidP="007B01CA">
      <w:pPr>
        <w:pStyle w:val="ListContinue"/>
        <w:spacing w:line="360" w:lineRule="auto"/>
        <w:ind w:left="0"/>
        <w:rPr>
          <w:rFonts w:eastAsiaTheme="minorHAnsi"/>
          <w:lang w:eastAsia="en-US"/>
        </w:rPr>
      </w:pPr>
      <w:r w:rsidRPr="00C90AC9">
        <w:rPr>
          <w:rFonts w:eastAsiaTheme="minorHAnsi"/>
          <w:lang w:eastAsia="en-US"/>
        </w:rPr>
        <w:tab/>
      </w:r>
      <w:r w:rsidR="00A16B8C" w:rsidRPr="00C90AC9">
        <w:rPr>
          <w:rFonts w:eastAsiaTheme="minorHAnsi"/>
          <w:lang w:eastAsia="en-US"/>
        </w:rPr>
        <w:t>The installation Azimuth Angle (Ø</w:t>
      </w:r>
      <w:r w:rsidR="00A16B8C" w:rsidRPr="00C90AC9">
        <w:rPr>
          <w:rFonts w:eastAsiaTheme="minorHAnsi"/>
          <w:vertAlign w:val="subscript"/>
          <w:lang w:eastAsia="en-US"/>
        </w:rPr>
        <w:t>S</w:t>
      </w:r>
      <w:r w:rsidR="00A16B8C" w:rsidRPr="00C90AC9">
        <w:rPr>
          <w:rFonts w:eastAsiaTheme="minorHAnsi"/>
          <w:lang w:eastAsia="en-US"/>
        </w:rPr>
        <w:t xml:space="preserve">) and the Tilt Angle (β) are the key variables which affect the level of solar radiation that can be captured by a solar collector </w:t>
      </w:r>
      <w:r w:rsidR="00081C98" w:rsidRPr="00C90AC9">
        <w:rPr>
          <w:rFonts w:eastAsiaTheme="minorHAnsi"/>
          <w:lang w:eastAsia="en-US"/>
        </w:rPr>
        <w:fldChar w:fldCharType="begin"/>
      </w:r>
      <w:r w:rsidR="00081C98" w:rsidRPr="00C90AC9">
        <w:rPr>
          <w:rFonts w:eastAsiaTheme="minorHAnsi"/>
          <w:lang w:eastAsia="en-US"/>
        </w:rPr>
        <w:instrText xml:space="preserve"> ADDIN EN.CITE &lt;EndNote&gt;&lt;Cite&gt;&lt;Author&gt;Chang&lt;/Author&gt;&lt;Year&gt;2009&lt;/Year&gt;&lt;RecNum&gt;218&lt;/RecNum&gt;&lt;DisplayText&gt;(Chang, 2009)&lt;/DisplayText&gt;&lt;record&gt;&lt;rec-number&gt;218&lt;/rec-number&gt;&lt;foreign-keys&gt;&lt;key app="EN" db-id="50wxdpzd9vd5r7e9t5b595djrfpttrxw9avp" timestamp="1525591946"&gt;218&lt;/key&gt;&lt;/foreign-keys&gt;&lt;ref-type name="Journal Article"&gt;17&lt;/ref-type&gt;&lt;contributors&gt;&lt;authors&gt;&lt;author&gt;Chang, Tian Pau&lt;/author&gt;&lt;/authors&gt;&lt;/contributors&gt;&lt;titles&gt;&lt;title&gt;The Sun’s apparent position and the optimal tilt angle of a solar collector in the northern hemisphere&lt;/title&gt;&lt;secondary-title&gt;Solar Energy&lt;/secondary-title&gt;&lt;/titles&gt;&lt;pages&gt;1274-1284&lt;/pages&gt;&lt;volume&gt;83&lt;/volume&gt;&lt;number&gt;8&lt;/number&gt;&lt;keywords&gt;&lt;keyword&gt;Julian date&lt;/keyword&gt;&lt;keyword&gt;Sunshine duration&lt;/keyword&gt;&lt;keyword&gt;Solar collector&lt;/keyword&gt;&lt;keyword&gt;Optimal angle&lt;/keyword&gt;&lt;/keywords&gt;&lt;dates&gt;&lt;year&gt;2009&lt;/year&gt;&lt;pub-dates&gt;&lt;date&gt;2009/08/01/&lt;/date&gt;&lt;/pub-dates&gt;&lt;/dates&gt;&lt;isbn&gt;0038-092X&lt;/isbn&gt;&lt;urls&gt;&lt;related-urls&gt;&lt;url&gt;http://www.sciencedirect.com/science/article/pii/S0038092X09000395&lt;/url&gt;&lt;/related-urls&gt;&lt;/urls&gt;&lt;electronic-resource-num&gt;https://doi.org/10.1016/j.solener.2009.02.009&lt;/electronic-resource-num&gt;&lt;/record&gt;&lt;/Cite&gt;&lt;/EndNote&gt;</w:instrText>
      </w:r>
      <w:r w:rsidR="00081C98" w:rsidRPr="00C90AC9">
        <w:rPr>
          <w:rFonts w:eastAsiaTheme="minorHAnsi"/>
          <w:lang w:eastAsia="en-US"/>
        </w:rPr>
        <w:fldChar w:fldCharType="separate"/>
      </w:r>
      <w:r w:rsidR="00081C98" w:rsidRPr="00C90AC9">
        <w:rPr>
          <w:rFonts w:eastAsiaTheme="minorHAnsi"/>
          <w:lang w:eastAsia="en-US"/>
        </w:rPr>
        <w:t>(Chang, 2009)</w:t>
      </w:r>
      <w:r w:rsidR="00081C98" w:rsidRPr="00C90AC9">
        <w:rPr>
          <w:rFonts w:eastAsiaTheme="minorHAnsi"/>
          <w:lang w:eastAsia="en-US"/>
        </w:rPr>
        <w:fldChar w:fldCharType="end"/>
      </w:r>
      <w:r w:rsidR="00A16B8C" w:rsidRPr="00C90AC9">
        <w:rPr>
          <w:rFonts w:eastAsiaTheme="minorHAnsi"/>
          <w:lang w:eastAsia="en-US"/>
        </w:rPr>
        <w:t xml:space="preserve">. As the collectors are static on the roof of a property the Azimuth angle will vary throughout the day as the </w:t>
      </w:r>
      <w:r w:rsidR="000450FC" w:rsidRPr="00C90AC9">
        <w:rPr>
          <w:rFonts w:eastAsiaTheme="minorHAnsi"/>
          <w:lang w:eastAsia="en-US"/>
        </w:rPr>
        <w:t>sun</w:t>
      </w:r>
      <w:r w:rsidR="00A16B8C" w:rsidRPr="00C90AC9">
        <w:rPr>
          <w:rFonts w:eastAsiaTheme="minorHAnsi"/>
          <w:lang w:eastAsia="en-US"/>
        </w:rPr>
        <w:t xml:space="preserve"> tracks across the sky. Previous studies have sought to optimise the operation of solar collectors in two key ways: either by optimising the solar gains from the collector or by reducing the materials used in the const</w:t>
      </w:r>
      <w:r w:rsidR="00081C98" w:rsidRPr="00C90AC9">
        <w:rPr>
          <w:rFonts w:eastAsiaTheme="minorHAnsi"/>
          <w:lang w:eastAsia="en-US"/>
        </w:rPr>
        <w:t xml:space="preserve">ruction of the solar collector </w:t>
      </w:r>
      <w:r w:rsidR="00081C98" w:rsidRPr="00C90AC9">
        <w:rPr>
          <w:rFonts w:eastAsiaTheme="minorHAnsi"/>
          <w:lang w:eastAsia="en-US"/>
        </w:rPr>
        <w:fldChar w:fldCharType="begin"/>
      </w:r>
      <w:r w:rsidR="00081C98" w:rsidRPr="00C90AC9">
        <w:rPr>
          <w:rFonts w:eastAsiaTheme="minorHAnsi"/>
          <w:lang w:eastAsia="en-US"/>
        </w:rPr>
        <w:instrText xml:space="preserve"> ADDIN EN.CITE &lt;EndNote&gt;&lt;Cite&gt;&lt;Author&gt;Kantzioura&lt;/Author&gt;&lt;Year&gt;2012&lt;/Year&gt;&lt;RecNum&gt;219&lt;/RecNum&gt;&lt;DisplayText&gt;(Kantzioura, Kosmopoulos, &amp;amp; Zoras, 2012)&lt;/DisplayText&gt;&lt;record&gt;&lt;rec-number&gt;219&lt;/rec-number&gt;&lt;foreign-keys&gt;&lt;key app="EN" db-id="50wxdpzd9vd5r7e9t5b595djrfpttrxw9avp" timestamp="1525592070"&gt;219&lt;/key&gt;&lt;/foreign-keys&gt;&lt;ref-type name="Journal Article"&gt;17&lt;/ref-type&gt;&lt;contributors&gt;&lt;authors&gt;&lt;author&gt;Kantzioura, A.&lt;/author&gt;&lt;author&gt;Kosmopoulos, P.&lt;/author&gt;&lt;author&gt;Zoras, S.&lt;/author&gt;&lt;/authors&gt;&lt;/contributors&gt;&lt;titles&gt;&lt;title&gt;Urban surface temperature and microclimate measurements in Thessaloniki&lt;/title&gt;&lt;secondary-title&gt;Energy and Buildings&lt;/secondary-title&gt;&lt;/titles&gt;&lt;pages&gt;63-72&lt;/pages&gt;&lt;volume&gt;44&lt;/volume&gt;&lt;keywords&gt;&lt;keyword&gt;Microclimatic measurements&lt;/keyword&gt;&lt;keyword&gt;Thessaloniki heat island&lt;/keyword&gt;&lt;keyword&gt;Surface temperature&lt;/keyword&gt;&lt;keyword&gt;Geometry&lt;/keyword&gt;&lt;keyword&gt;Urban conditions&lt;/keyword&gt;&lt;/keywords&gt;&lt;dates&gt;&lt;year&gt;2012&lt;/year&gt;&lt;pub-dates&gt;&lt;date&gt;2012/01/01/&lt;/date&gt;&lt;/pub-dates&gt;&lt;/dates&gt;&lt;isbn&gt;0378-7788&lt;/isbn&gt;&lt;urls&gt;&lt;related-urls&gt;&lt;url&gt;http://www.sciencedirect.com/science/article/pii/S0378778811004634&lt;/url&gt;&lt;/related-urls&gt;&lt;/urls&gt;&lt;electronic-resource-num&gt;https://doi.org/10.1016/j.enbuild.2011.10.019&lt;/electronic-resource-num&gt;&lt;/record&gt;&lt;/Cite&gt;&lt;/EndNote&gt;</w:instrText>
      </w:r>
      <w:r w:rsidR="00081C98" w:rsidRPr="00C90AC9">
        <w:rPr>
          <w:rFonts w:eastAsiaTheme="minorHAnsi"/>
          <w:lang w:eastAsia="en-US"/>
        </w:rPr>
        <w:fldChar w:fldCharType="separate"/>
      </w:r>
      <w:r w:rsidR="00081C98" w:rsidRPr="00C90AC9">
        <w:rPr>
          <w:rFonts w:eastAsiaTheme="minorHAnsi"/>
          <w:lang w:eastAsia="en-US"/>
        </w:rPr>
        <w:t>(Kantzioura, Kosmopoulos, &amp; Zoras, 2012)</w:t>
      </w:r>
      <w:r w:rsidR="00081C98" w:rsidRPr="00C90AC9">
        <w:rPr>
          <w:rFonts w:eastAsiaTheme="minorHAnsi"/>
          <w:lang w:eastAsia="en-US"/>
        </w:rPr>
        <w:fldChar w:fldCharType="end"/>
      </w:r>
      <w:r w:rsidR="00081C98" w:rsidRPr="00C90AC9">
        <w:rPr>
          <w:rFonts w:eastAsiaTheme="minorHAnsi"/>
          <w:lang w:eastAsia="en-US"/>
        </w:rPr>
        <w:t>.</w:t>
      </w:r>
      <w:r w:rsidR="00A16B8C" w:rsidRPr="00C90AC9">
        <w:rPr>
          <w:rFonts w:eastAsiaTheme="minorHAnsi"/>
          <w:lang w:eastAsia="en-US"/>
        </w:rPr>
        <w:t xml:space="preserve"> There have been numerous studies to determine the optimum angle at which to tilt the solar collector so that it can absorb maximally the amount of</w:t>
      </w:r>
      <w:r w:rsidR="00081C98" w:rsidRPr="00C90AC9">
        <w:rPr>
          <w:rFonts w:eastAsiaTheme="minorHAnsi"/>
          <w:lang w:eastAsia="en-US"/>
        </w:rPr>
        <w:t xml:space="preserve"> solar radiation falling on it </w:t>
      </w:r>
      <w:r w:rsidR="00081C98" w:rsidRPr="00C90AC9">
        <w:rPr>
          <w:rFonts w:eastAsiaTheme="minorHAnsi"/>
          <w:lang w:eastAsia="en-US"/>
        </w:rPr>
        <w:fldChar w:fldCharType="begin">
          <w:fldData xml:space="preserve">PEVuZE5vdGU+PENpdGU+PEF1dGhvcj5LYW50emlvdXJhPC9BdXRob3I+PFllYXI+MjAxMjwvWWVh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</w:fldData>
        </w:fldChar>
      </w:r>
      <w:r w:rsidR="00B35A6E" w:rsidRPr="00C90AC9">
        <w:rPr>
          <w:rFonts w:eastAsiaTheme="minorHAnsi"/>
          <w:lang w:eastAsia="en-US"/>
        </w:rPr>
        <w:instrText xml:space="preserve"> ADDIN EN.CITE </w:instrText>
      </w:r>
      <w:r w:rsidR="00B35A6E" w:rsidRPr="00C90AC9">
        <w:rPr>
          <w:rFonts w:eastAsiaTheme="minorHAnsi"/>
          <w:lang w:eastAsia="en-US"/>
        </w:rPr>
        <w:fldChar w:fldCharType="begin">
          <w:fldData xml:space="preserve">PEVuZE5vdGU+PENpdGU+PEF1dGhvcj5LYW50emlvdXJhPC9BdXRob3I+PFllYXI+MjAxMjwvWWVh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</w:fldData>
        </w:fldChar>
      </w:r>
      <w:r w:rsidR="00B35A6E" w:rsidRPr="00C90AC9">
        <w:rPr>
          <w:rFonts w:eastAsiaTheme="minorHAnsi"/>
          <w:lang w:eastAsia="en-US"/>
        </w:rPr>
        <w:instrText xml:space="preserve"> ADDIN EN.CITE.DATA </w:instrText>
      </w:r>
      <w:r w:rsidR="00B35A6E" w:rsidRPr="00C90AC9">
        <w:rPr>
          <w:rFonts w:eastAsiaTheme="minorHAnsi"/>
          <w:lang w:eastAsia="en-US"/>
        </w:rPr>
      </w:r>
      <w:r w:rsidR="00B35A6E" w:rsidRPr="00C90AC9">
        <w:rPr>
          <w:rFonts w:eastAsiaTheme="minorHAnsi"/>
          <w:lang w:eastAsia="en-US"/>
        </w:rPr>
        <w:fldChar w:fldCharType="end"/>
      </w:r>
      <w:r w:rsidR="00081C98" w:rsidRPr="00C90AC9">
        <w:rPr>
          <w:rFonts w:eastAsiaTheme="minorHAnsi"/>
          <w:lang w:eastAsia="en-US"/>
        </w:rPr>
      </w:r>
      <w:r w:rsidR="00081C98" w:rsidRPr="00C90AC9">
        <w:rPr>
          <w:rFonts w:eastAsiaTheme="minorHAnsi"/>
          <w:lang w:eastAsia="en-US"/>
        </w:rPr>
        <w:fldChar w:fldCharType="separate"/>
      </w:r>
      <w:r w:rsidR="00B35A6E" w:rsidRPr="00C90AC9">
        <w:rPr>
          <w:rFonts w:eastAsiaTheme="minorHAnsi"/>
          <w:lang w:eastAsia="en-US"/>
        </w:rPr>
        <w:t>(Hafez, Soliman, El-Metwally, &amp; Ismail, 2017; Kantzioura et al., 2012; Yao, Luo, Luo, Jiang, &amp; Yang, 2015)</w:t>
      </w:r>
      <w:r w:rsidR="00081C98" w:rsidRPr="00C90AC9">
        <w:rPr>
          <w:rFonts w:eastAsiaTheme="minorHAnsi"/>
          <w:lang w:eastAsia="en-US"/>
        </w:rPr>
        <w:fldChar w:fldCharType="end"/>
      </w:r>
      <w:r w:rsidR="00081C98" w:rsidRPr="00C90AC9">
        <w:rPr>
          <w:rFonts w:eastAsiaTheme="minorHAnsi"/>
          <w:lang w:eastAsia="en-US"/>
        </w:rPr>
        <w:t>.</w:t>
      </w:r>
    </w:p>
    <w:p w:rsidR="00A16B8C" w:rsidRPr="00C90AC9" w:rsidRDefault="00A16B8C" w:rsidP="00275F68">
      <w:pPr>
        <w:pStyle w:val="ListContinue"/>
        <w:tabs>
          <w:tab w:val="left" w:pos="0"/>
        </w:tabs>
        <w:spacing w:line="360" w:lineRule="auto"/>
        <w:ind w:left="0"/>
        <w:rPr>
          <w:rFonts w:eastAsiaTheme="minorHAnsi"/>
          <w:lang w:eastAsia="en-US"/>
        </w:rPr>
      </w:pPr>
      <w:r w:rsidRPr="00C90AC9">
        <w:rPr>
          <w:rFonts w:eastAsiaTheme="minorHAnsi"/>
          <w:lang w:eastAsia="en-US"/>
        </w:rPr>
        <w:t xml:space="preserve">Previous studies have been conducted at different geographical locations around the world </w:t>
      </w:r>
      <w:r w:rsidR="00081C98" w:rsidRPr="00C90AC9">
        <w:rPr>
          <w:rFonts w:eastAsiaTheme="minorHAnsi"/>
          <w:lang w:eastAsia="en-US"/>
        </w:rPr>
        <w:fldChar w:fldCharType="begin">
          <w:fldData xml:space="preserve">PEVuZE5vdGU+PENpdGU+PEF1dGhvcj5IYWZlejwvQXV0aG9yPjxZZWFyPjIwMTc8L1llYXI+PFJl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</w:fldData>
        </w:fldChar>
      </w:r>
      <w:r w:rsidR="00B35A6E" w:rsidRPr="00C90AC9">
        <w:rPr>
          <w:rFonts w:eastAsiaTheme="minorHAnsi"/>
          <w:lang w:eastAsia="en-US"/>
        </w:rPr>
        <w:instrText xml:space="preserve"> ADDIN EN.CITE </w:instrText>
      </w:r>
      <w:r w:rsidR="00B35A6E" w:rsidRPr="00C90AC9">
        <w:rPr>
          <w:rFonts w:eastAsiaTheme="minorHAnsi"/>
          <w:lang w:eastAsia="en-US"/>
        </w:rPr>
        <w:fldChar w:fldCharType="begin">
          <w:fldData xml:space="preserve">PEVuZE5vdGU+PENpdGU+PEF1dGhvcj5IYWZlejwvQXV0aG9yPjxZZWFyPjIwMTc8L1llYXI+PFJl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</w:fldData>
        </w:fldChar>
      </w:r>
      <w:r w:rsidR="00B35A6E" w:rsidRPr="00C90AC9">
        <w:rPr>
          <w:rFonts w:eastAsiaTheme="minorHAnsi"/>
          <w:lang w:eastAsia="en-US"/>
        </w:rPr>
        <w:instrText xml:space="preserve"> ADDIN EN.CITE.DATA </w:instrText>
      </w:r>
      <w:r w:rsidR="00B35A6E" w:rsidRPr="00C90AC9">
        <w:rPr>
          <w:rFonts w:eastAsiaTheme="minorHAnsi"/>
          <w:lang w:eastAsia="en-US"/>
        </w:rPr>
      </w:r>
      <w:r w:rsidR="00B35A6E" w:rsidRPr="00C90AC9">
        <w:rPr>
          <w:rFonts w:eastAsiaTheme="minorHAnsi"/>
          <w:lang w:eastAsia="en-US"/>
        </w:rPr>
        <w:fldChar w:fldCharType="end"/>
      </w:r>
      <w:r w:rsidR="00081C98" w:rsidRPr="00C90AC9">
        <w:rPr>
          <w:rFonts w:eastAsiaTheme="minorHAnsi"/>
          <w:lang w:eastAsia="en-US"/>
        </w:rPr>
      </w:r>
      <w:r w:rsidR="00081C98" w:rsidRPr="00C90AC9">
        <w:rPr>
          <w:rFonts w:eastAsiaTheme="minorHAnsi"/>
          <w:lang w:eastAsia="en-US"/>
        </w:rPr>
        <w:fldChar w:fldCharType="separate"/>
      </w:r>
      <w:r w:rsidR="00B35A6E" w:rsidRPr="00C90AC9">
        <w:rPr>
          <w:rFonts w:eastAsiaTheme="minorHAnsi"/>
          <w:lang w:eastAsia="en-US"/>
        </w:rPr>
        <w:t>(Hafez et al., 2017; Kantzioura et al., 2012)</w:t>
      </w:r>
      <w:r w:rsidR="00081C98" w:rsidRPr="00C90AC9">
        <w:rPr>
          <w:rFonts w:eastAsiaTheme="minorHAnsi"/>
          <w:lang w:eastAsia="en-US"/>
        </w:rPr>
        <w:fldChar w:fldCharType="end"/>
      </w:r>
      <w:r w:rsidRPr="00C90AC9">
        <w:rPr>
          <w:rFonts w:eastAsiaTheme="minorHAnsi"/>
          <w:lang w:eastAsia="en-US"/>
        </w:rPr>
        <w:t xml:space="preserve"> in urban locations </w:t>
      </w:r>
      <w:r w:rsidR="00081C98" w:rsidRPr="00C90AC9">
        <w:rPr>
          <w:rFonts w:eastAsiaTheme="minorHAnsi"/>
          <w:lang w:eastAsia="en-US"/>
        </w:rPr>
        <w:fldChar w:fldCharType="begin">
          <w:fldData xml:space="preserve">PEVuZE5vdGU+PENpdGU+PEF1dGhvcj5BbmdlbDwvQXV0aG9yPjxZZWFyPjIwMTE8L1llYXI+PFJl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</w:fldData>
        </w:fldChar>
      </w:r>
      <w:r w:rsidR="00081C98" w:rsidRPr="00C90AC9">
        <w:rPr>
          <w:rFonts w:eastAsiaTheme="minorHAnsi"/>
          <w:lang w:eastAsia="en-US"/>
        </w:rPr>
        <w:instrText xml:space="preserve"> ADDIN EN.CITE </w:instrText>
      </w:r>
      <w:r w:rsidR="00081C98" w:rsidRPr="00C90AC9">
        <w:rPr>
          <w:rFonts w:eastAsiaTheme="minorHAnsi"/>
          <w:lang w:eastAsia="en-US"/>
        </w:rPr>
        <w:fldChar w:fldCharType="begin">
          <w:fldData xml:space="preserve">PEVuZE5vdGU+PENpdGU+PEF1dGhvcj5BbmdlbDwvQXV0aG9yPjxZZWFyPjIwMTE8L1llYXI+PFJl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</w:fldData>
        </w:fldChar>
      </w:r>
      <w:r w:rsidR="00081C98" w:rsidRPr="00C90AC9">
        <w:rPr>
          <w:rFonts w:eastAsiaTheme="minorHAnsi"/>
          <w:lang w:eastAsia="en-US"/>
        </w:rPr>
        <w:instrText xml:space="preserve"> ADDIN EN.CITE.DATA </w:instrText>
      </w:r>
      <w:r w:rsidR="00081C98" w:rsidRPr="00C90AC9">
        <w:rPr>
          <w:rFonts w:eastAsiaTheme="minorHAnsi"/>
          <w:lang w:eastAsia="en-US"/>
        </w:rPr>
      </w:r>
      <w:r w:rsidR="00081C98" w:rsidRPr="00C90AC9">
        <w:rPr>
          <w:rFonts w:eastAsiaTheme="minorHAnsi"/>
          <w:lang w:eastAsia="en-US"/>
        </w:rPr>
        <w:fldChar w:fldCharType="end"/>
      </w:r>
      <w:r w:rsidR="00081C98" w:rsidRPr="00C90AC9">
        <w:rPr>
          <w:rFonts w:eastAsiaTheme="minorHAnsi"/>
          <w:lang w:eastAsia="en-US"/>
        </w:rPr>
      </w:r>
      <w:r w:rsidR="00081C98" w:rsidRPr="00C90AC9">
        <w:rPr>
          <w:rFonts w:eastAsiaTheme="minorHAnsi"/>
          <w:lang w:eastAsia="en-US"/>
        </w:rPr>
        <w:fldChar w:fldCharType="separate"/>
      </w:r>
      <w:r w:rsidR="00081C98" w:rsidRPr="00C90AC9">
        <w:rPr>
          <w:rFonts w:eastAsiaTheme="minorHAnsi"/>
          <w:lang w:eastAsia="en-US"/>
        </w:rPr>
        <w:t>(Angel, Parent, Civco, Blei, &amp; Potere, 2011; Kantzioura et al., 2012; Yao et al., 2015)</w:t>
      </w:r>
      <w:r w:rsidR="00081C98" w:rsidRPr="00C90AC9">
        <w:rPr>
          <w:rFonts w:eastAsiaTheme="minorHAnsi"/>
          <w:lang w:eastAsia="en-US"/>
        </w:rPr>
        <w:fldChar w:fldCharType="end"/>
      </w:r>
      <w:r w:rsidRPr="00C90AC9">
        <w:rPr>
          <w:rFonts w:eastAsiaTheme="minorHAnsi"/>
          <w:lang w:eastAsia="en-US"/>
        </w:rPr>
        <w:t xml:space="preserve"> as well as studies which have sought to determine the optimum angle for all locations around the world  </w:t>
      </w:r>
      <w:r w:rsidR="00081C98" w:rsidRPr="00C90AC9">
        <w:rPr>
          <w:rFonts w:eastAsiaTheme="minorHAnsi"/>
          <w:lang w:eastAsia="en-US"/>
        </w:rPr>
        <w:fldChar w:fldCharType="begin"/>
      </w:r>
      <w:r w:rsidR="00081C98" w:rsidRPr="00C90AC9">
        <w:rPr>
          <w:rFonts w:eastAsiaTheme="minorHAnsi"/>
          <w:lang w:eastAsia="en-US"/>
        </w:rPr>
        <w:instrText xml:space="preserve"> ADDIN EN.CITE &lt;EndNote&gt;&lt;Cite&gt;&lt;Author&gt;Hafez&lt;/Author&gt;&lt;Year&gt;2017&lt;/Year&gt;&lt;RecNum&gt;221&lt;/RecNum&gt;&lt;DisplayText&gt;(Hafez et al., 2017)&lt;/DisplayText&gt;&lt;record&gt;&lt;rec-number&gt;221&lt;/rec-number&gt;&lt;foreign-keys&gt;&lt;key app="EN" db-id="50wxdpzd9vd5r7e9t5b595djrfpttrxw9avp" timestamp="1525592211"&gt;221&lt;/key&gt;&lt;/foreign-keys&gt;&lt;ref-type name="Journal Article"&gt;17&lt;/ref-type&gt;&lt;contributors&gt;&lt;authors&gt;&lt;author&gt;Hafez, A. Z.&lt;/author&gt;&lt;author&gt;Soliman, A.&lt;/author&gt;&lt;author&gt;El-Metwally, K. A.&lt;/author&gt;&lt;author&gt;Ismail, I. M.&lt;/author&gt;&lt;/authors&gt;&lt;/contributors&gt;&lt;titles&gt;&lt;title&gt;Tilt and azimuth angles in solar energy applications – A review&lt;/title&gt;&lt;secondary-title&gt;Renewable and Sustainable Energy Reviews&lt;/secondary-title&gt;&lt;/titles&gt;&lt;pages&gt;147-168&lt;/pages&gt;&lt;volume&gt;77&lt;/volume&gt;&lt;keywords&gt;&lt;keyword&gt;Solar&lt;/keyword&gt;&lt;keyword&gt;Tilt&lt;/keyword&gt;&lt;keyword&gt;Azimuth&lt;/keyword&gt;&lt;keyword&gt;Angle&lt;/keyword&gt;&lt;keyword&gt;Photovoltaic&lt;/keyword&gt;&lt;keyword&gt;Collector&lt;/keyword&gt;&lt;keyword&gt;Tracking&lt;/keyword&gt;&lt;/keywords&gt;&lt;dates&gt;&lt;year&gt;2017&lt;/year&gt;&lt;pub-dates&gt;&lt;date&gt;2017/09/01/&lt;/date&gt;&lt;/pub-dates&gt;&lt;/dates&gt;&lt;isbn&gt;1364-0321&lt;/isbn&gt;&lt;urls&gt;&lt;related-urls&gt;&lt;url&gt;http://www.sciencedirect.com/science/article/pii/S1364032117304677&lt;/url&gt;&lt;/related-urls&gt;&lt;/urls&gt;&lt;electronic-resource-num&gt;https://doi.org/10.1016/j.rser.2017.03.131&lt;/electronic-resource-num&gt;&lt;/record&gt;&lt;/Cite&gt;&lt;/EndNote&gt;</w:instrText>
      </w:r>
      <w:r w:rsidR="00081C98" w:rsidRPr="00C90AC9">
        <w:rPr>
          <w:rFonts w:eastAsiaTheme="minorHAnsi"/>
          <w:lang w:eastAsia="en-US"/>
        </w:rPr>
        <w:fldChar w:fldCharType="separate"/>
      </w:r>
      <w:r w:rsidR="00081C98" w:rsidRPr="00C90AC9">
        <w:rPr>
          <w:rFonts w:eastAsiaTheme="minorHAnsi"/>
          <w:lang w:eastAsia="en-US"/>
        </w:rPr>
        <w:t>(Hafez et al., 2017)</w:t>
      </w:r>
      <w:r w:rsidR="00081C98" w:rsidRPr="00C90AC9">
        <w:rPr>
          <w:rFonts w:eastAsiaTheme="minorHAnsi"/>
          <w:lang w:eastAsia="en-US"/>
        </w:rPr>
        <w:fldChar w:fldCharType="end"/>
      </w:r>
      <w:r w:rsidRPr="00C90AC9">
        <w:rPr>
          <w:rFonts w:eastAsiaTheme="minorHAnsi"/>
          <w:lang w:eastAsia="en-US"/>
        </w:rPr>
        <w:t xml:space="preserve"> The orientation and the tilt of the solar collector are accepted as having a significant effect on th</w:t>
      </w:r>
      <w:r w:rsidR="00081C98" w:rsidRPr="00C90AC9">
        <w:rPr>
          <w:rFonts w:eastAsiaTheme="minorHAnsi"/>
          <w:lang w:eastAsia="en-US"/>
        </w:rPr>
        <w:t xml:space="preserve">e performance of the collector </w:t>
      </w:r>
      <w:r w:rsidRPr="00C90AC9">
        <w:rPr>
          <w:rFonts w:eastAsiaTheme="minorHAnsi"/>
          <w:lang w:eastAsia="en-US"/>
        </w:rPr>
        <w:t xml:space="preserve">with solar collectors providing 70-80% of the energy required for heating water for use in domestic properties rising to 90-95% in hot climates </w:t>
      </w:r>
      <w:r w:rsidR="0070759E" w:rsidRPr="00C90AC9">
        <w:rPr>
          <w:rFonts w:eastAsiaTheme="minorHAnsi"/>
          <w:lang w:eastAsia="en-US"/>
        </w:rPr>
        <w:fldChar w:fldCharType="begin"/>
      </w:r>
      <w:r w:rsidR="0070759E" w:rsidRPr="00C90AC9">
        <w:rPr>
          <w:rFonts w:eastAsiaTheme="minorHAnsi"/>
          <w:lang w:eastAsia="en-US"/>
        </w:rPr>
        <w:instrText xml:space="preserve"> ADDIN EN.CITE &lt;EndNote&gt;&lt;Cite&gt;&lt;Author&gt;Hafez&lt;/Author&gt;&lt;Year&gt;2017&lt;/Year&gt;&lt;RecNum&gt;221&lt;/RecNum&gt;&lt;DisplayText&gt;(Hafez et al., 2017)&lt;/DisplayText&gt;&lt;record&gt;&lt;rec-number&gt;221&lt;/rec-number&gt;&lt;foreign-keys&gt;&lt;key app="EN" db-id="50wxdpzd9vd5r7e9t5b595djrfpttrxw9avp" timestamp="1525592211"&gt;221&lt;/key&gt;&lt;/foreign-keys&gt;&lt;ref-type name="Journal Article"&gt;17&lt;/ref-type&gt;&lt;contributors&gt;&lt;authors&gt;&lt;author&gt;Hafez, A. Z.&lt;/author&gt;&lt;author&gt;Soliman, A.&lt;/author&gt;&lt;author&gt;El-Metwally, K. A.&lt;/author&gt;&lt;author&gt;Ismail, I. M.&lt;/author&gt;&lt;/authors&gt;&lt;/contributors&gt;&lt;titles&gt;&lt;title&gt;Tilt and azimuth angles in solar energy applications – A review&lt;/title&gt;&lt;secondary-title&gt;Renewable and Sustainable Energy Reviews&lt;/secondary-title&gt;&lt;/titles&gt;&lt;pages&gt;147-168&lt;/pages&gt;&lt;volume&gt;77&lt;/volume&gt;&lt;keywords&gt;&lt;keyword&gt;Solar&lt;/keyword&gt;&lt;keyword&gt;Tilt&lt;/keyword&gt;&lt;keyword&gt;Azimuth&lt;/keyword&gt;&lt;keyword&gt;Angle&lt;/keyword&gt;&lt;keyword&gt;Photovoltaic&lt;/keyword&gt;&lt;keyword&gt;Collector&lt;/keyword&gt;&lt;keyword&gt;Tracking&lt;/keyword&gt;&lt;/keywords&gt;&lt;dates&gt;&lt;year&gt;2017&lt;/year&gt;&lt;pub-dates&gt;&lt;date&gt;2017/09/01/&lt;/date&gt;&lt;/pub-dates&gt;&lt;/dates&gt;&lt;isbn&gt;1364-0321&lt;/isbn&gt;&lt;urls&gt;&lt;related-urls&gt;&lt;url&gt;http://www.sciencedirect.com/science/article/pii/S1364032117304677&lt;/url&gt;&lt;/related-urls&gt;&lt;/urls&gt;&lt;electronic-resource-num&gt;https://doi.org/10.1016/j.rser.2017.03.131&lt;/electronic-resource-num&gt;&lt;/record&gt;&lt;/Cite&gt;&lt;/EndNote&gt;</w:instrText>
      </w:r>
      <w:r w:rsidR="0070759E" w:rsidRPr="00C90AC9">
        <w:rPr>
          <w:rFonts w:eastAsiaTheme="minorHAnsi"/>
          <w:lang w:eastAsia="en-US"/>
        </w:rPr>
        <w:fldChar w:fldCharType="separate"/>
      </w:r>
      <w:r w:rsidR="0070759E" w:rsidRPr="00C90AC9">
        <w:rPr>
          <w:rFonts w:eastAsiaTheme="minorHAnsi"/>
          <w:lang w:eastAsia="en-US"/>
        </w:rPr>
        <w:t>(Hafez et al., 2017)</w:t>
      </w:r>
      <w:r w:rsidR="0070759E" w:rsidRPr="00C90AC9">
        <w:rPr>
          <w:rFonts w:eastAsiaTheme="minorHAnsi"/>
          <w:lang w:eastAsia="en-US"/>
        </w:rPr>
        <w:fldChar w:fldCharType="end"/>
      </w:r>
      <w:r w:rsidRPr="00C90AC9">
        <w:rPr>
          <w:rFonts w:eastAsiaTheme="minorHAnsi"/>
          <w:lang w:eastAsia="en-US"/>
        </w:rPr>
        <w:t>.</w:t>
      </w:r>
    </w:p>
    <w:p w:rsidR="000C1D24" w:rsidRPr="00C90AC9" w:rsidRDefault="000C1D24" w:rsidP="00275F68">
      <w:pPr>
        <w:pStyle w:val="ListContinue"/>
        <w:spacing w:line="360" w:lineRule="auto"/>
        <w:ind w:left="0"/>
        <w:rPr>
          <w:rFonts w:eastAsiaTheme="minorHAnsi"/>
          <w:lang w:eastAsia="en-US"/>
        </w:rPr>
      </w:pPr>
      <w:r w:rsidRPr="00C90AC9">
        <w:rPr>
          <w:rFonts w:eastAsiaTheme="minorHAnsi"/>
          <w:lang w:eastAsia="en-US"/>
        </w:rPr>
        <w:t>Rogers et al investigated the optimum tilt angle of solar c</w:t>
      </w:r>
      <w:r w:rsidR="00081C98" w:rsidRPr="00C90AC9">
        <w:rPr>
          <w:rFonts w:eastAsiaTheme="minorHAnsi"/>
          <w:lang w:eastAsia="en-US"/>
        </w:rPr>
        <w:t xml:space="preserve">ollectors in cloudy conditions </w:t>
      </w:r>
      <w:r w:rsidR="0070759E" w:rsidRPr="00C90AC9">
        <w:rPr>
          <w:rFonts w:eastAsiaTheme="minorHAnsi"/>
          <w:lang w:eastAsia="en-US"/>
        </w:rPr>
        <w:fldChar w:fldCharType="begin"/>
      </w:r>
      <w:r w:rsidR="0070759E" w:rsidRPr="00C90AC9">
        <w:rPr>
          <w:rFonts w:eastAsiaTheme="minorHAnsi"/>
          <w:lang w:eastAsia="en-US"/>
        </w:rPr>
        <w:instrText xml:space="preserve"> ADDIN EN.CITE &lt;EndNote&gt;&lt;Cite&gt;&lt;Author&gt;Rogers&lt;/Author&gt;&lt;Year&gt;2013&lt;/Year&gt;&lt;RecNum&gt;222&lt;/RecNum&gt;&lt;DisplayText&gt;(Rogers, McManus, &amp;amp; Cooper, 2013)&lt;/DisplayText&gt;&lt;record&gt;&lt;rec-number&gt;222&lt;/rec-number&gt;&lt;foreign-keys&gt;&lt;key app="EN" db-id="50wxdpzd9vd5r7e9t5b595djrfpttrxw9avp" timestamp="1525592564"&gt;222&lt;/key&gt;&lt;/foreign-keys&gt;&lt;ref-type name="Journal Article"&gt;17&lt;/ref-type&gt;&lt;contributors&gt;&lt;authors&gt;&lt;author&gt;Rogers, J. G.&lt;/author&gt;&lt;author&gt;McManus, M. C.&lt;/author&gt;&lt;author&gt;Cooper, S. J. G.&lt;/author&gt;&lt;/authors&gt;&lt;/contributors&gt;&lt;titles&gt;&lt;title&gt;Potential for reliance on solar water heating throughout the summer in northern cloudy climates&lt;/title&gt;&lt;secondary-title&gt;Energy and Buildings&lt;/secondary-title&gt;&lt;/titles&gt;&lt;pages&gt;128-135&lt;/pages&gt;&lt;volume&gt;66&lt;/volume&gt;&lt;keywords&gt;&lt;keyword&gt;Solar water heating&lt;/keyword&gt;&lt;keyword&gt;Domestic hot water&lt;/keyword&gt;&lt;keyword&gt;Northern climate&lt;/keyword&gt;&lt;keyword&gt;Summer time usage&lt;/keyword&gt;&lt;keyword&gt;Thermal stores&lt;/keyword&gt;&lt;/keywords&gt;&lt;dates&gt;&lt;year&gt;2013&lt;/year&gt;&lt;pub-dates&gt;&lt;date&gt;2013/11/01/&lt;/date&gt;&lt;/pub-dates&gt;&lt;/dates&gt;&lt;isbn&gt;0378-7788&lt;/isbn&gt;&lt;urls&gt;&lt;related-urls&gt;&lt;url&gt;http://www.sciencedirect.com/science/article/pii/S0378778813004192&lt;/url&gt;&lt;/related-urls&gt;&lt;/urls&gt;&lt;electronic-resource-num&gt;https://doi.org/10.1016/j.enbuild.2013.07.031&lt;/electronic-resource-num&gt;&lt;/record&gt;&lt;/Cite&gt;&lt;/EndNote&gt;</w:instrText>
      </w:r>
      <w:r w:rsidR="0070759E" w:rsidRPr="00C90AC9">
        <w:rPr>
          <w:rFonts w:eastAsiaTheme="minorHAnsi"/>
          <w:lang w:eastAsia="en-US"/>
        </w:rPr>
        <w:fldChar w:fldCharType="separate"/>
      </w:r>
      <w:r w:rsidR="0070759E" w:rsidRPr="00C90AC9">
        <w:rPr>
          <w:rFonts w:eastAsiaTheme="minorHAnsi"/>
          <w:lang w:eastAsia="en-US"/>
        </w:rPr>
        <w:t>(Rogers, McManus, &amp; Cooper, 2013)</w:t>
      </w:r>
      <w:r w:rsidR="0070759E" w:rsidRPr="00C90AC9">
        <w:rPr>
          <w:rFonts w:eastAsiaTheme="minorHAnsi"/>
          <w:lang w:eastAsia="en-US"/>
        </w:rPr>
        <w:fldChar w:fldCharType="end"/>
      </w:r>
      <w:r w:rsidR="0070759E" w:rsidRPr="00C90AC9">
        <w:rPr>
          <w:rFonts w:eastAsiaTheme="minorHAnsi"/>
          <w:lang w:eastAsia="en-US"/>
        </w:rPr>
        <w:t>.</w:t>
      </w:r>
      <w:r w:rsidR="00081C98" w:rsidRPr="00C90AC9">
        <w:rPr>
          <w:rFonts w:eastAsiaTheme="minorHAnsi"/>
          <w:lang w:eastAsia="en-US"/>
        </w:rPr>
        <w:t xml:space="preserve"> </w:t>
      </w:r>
      <w:r w:rsidRPr="00C90AC9">
        <w:rPr>
          <w:rFonts w:eastAsiaTheme="minorHAnsi"/>
          <w:lang w:eastAsia="en-US"/>
        </w:rPr>
        <w:t xml:space="preserve">They determined that for collectors in cloudy conditions the tilt angle should be equal to the </w:t>
      </w:r>
      <w:r w:rsidR="000450FC" w:rsidRPr="00C90AC9">
        <w:rPr>
          <w:rFonts w:eastAsiaTheme="minorHAnsi"/>
          <w:lang w:eastAsia="en-US"/>
        </w:rPr>
        <w:t>sun</w:t>
      </w:r>
      <w:r w:rsidRPr="00C90AC9">
        <w:rPr>
          <w:rFonts w:eastAsiaTheme="minorHAnsi"/>
          <w:lang w:eastAsia="en-US"/>
        </w:rPr>
        <w:t xml:space="preserve">s Zenith Angle e on a </w:t>
      </w:r>
      <w:r w:rsidR="003369B2" w:rsidRPr="00C90AC9">
        <w:rPr>
          <w:rFonts w:eastAsiaTheme="minorHAnsi"/>
          <w:lang w:eastAsia="en-US"/>
        </w:rPr>
        <w:t>summer’s</w:t>
      </w:r>
      <w:r w:rsidRPr="00C90AC9">
        <w:rPr>
          <w:rFonts w:eastAsiaTheme="minorHAnsi"/>
          <w:lang w:eastAsia="en-US"/>
        </w:rPr>
        <w:t xml:space="preserve"> day. That is they determined that the optimal Tilt Angle at noon is the Latitude minus the Declination Angle </w:t>
      </w:r>
      <w:r w:rsidR="0070759E" w:rsidRPr="00C90AC9">
        <w:rPr>
          <w:rFonts w:eastAsiaTheme="minorHAnsi"/>
          <w:lang w:eastAsia="en-US"/>
        </w:rPr>
        <w:fldChar w:fldCharType="begin"/>
      </w:r>
      <w:r w:rsidR="0070759E" w:rsidRPr="00C90AC9">
        <w:rPr>
          <w:rFonts w:eastAsiaTheme="minorHAnsi"/>
          <w:lang w:eastAsia="en-US"/>
        </w:rPr>
        <w:instrText xml:space="preserve"> ADDIN EN.CITE &lt;EndNote&gt;&lt;Cite&gt;&lt;Author&gt;Rogers&lt;/Author&gt;&lt;Year&gt;2013&lt;/Year&gt;&lt;RecNum&gt;222&lt;/RecNum&gt;&lt;DisplayText&gt;(Rogers et al., 2013)&lt;/DisplayText&gt;&lt;record&gt;&lt;rec-number&gt;222&lt;/rec-number&gt;&lt;foreign-keys&gt;&lt;key app="EN" db-id="50wxdpzd9vd5r7e9t5b595djrfpttrxw9avp" timestamp="1525592564"&gt;222&lt;/key&gt;&lt;/foreign-keys&gt;&lt;ref-type name="Journal Article"&gt;17&lt;/ref-type&gt;&lt;contributors&gt;&lt;authors&gt;&lt;author&gt;Rogers, J. G.&lt;/author&gt;&lt;author&gt;McManus, M. C.&lt;/author&gt;&lt;author&gt;Cooper, S. J. G.&lt;/author&gt;&lt;/authors&gt;&lt;/contributors&gt;&lt;titles&gt;&lt;title&gt;Potential for reliance on solar water heating throughout the summer in northern cloudy climates&lt;/title&gt;&lt;secondary-title&gt;Energy and Buildings&lt;/secondary-title&gt;&lt;/titles&gt;&lt;pages&gt;128-135&lt;/pages&gt;&lt;volume&gt;66&lt;/volume&gt;&lt;keywords&gt;&lt;keyword&gt;Solar water heating&lt;/keyword&gt;&lt;keyword&gt;Domestic hot water&lt;/keyword&gt;&lt;keyword&gt;Northern climate&lt;/keyword&gt;&lt;keyword&gt;Summer time usage&lt;/keyword&gt;&lt;keyword&gt;Thermal stores&lt;/keyword&gt;&lt;/keywords&gt;&lt;dates&gt;&lt;year&gt;2013&lt;/year&gt;&lt;pub-dates&gt;&lt;date&gt;2013/11/01/&lt;/date&gt;&lt;/pub-dates&gt;&lt;/dates&gt;&lt;isbn&gt;0378-7788&lt;/isbn&gt;&lt;urls&gt;&lt;related-urls&gt;&lt;url&gt;http://www.sciencedirect.com/science/article/pii/S0378778813004192&lt;/url&gt;&lt;/related-urls&gt;&lt;/urls&gt;&lt;electronic-resource-num&gt;https://doi.org/10.1016/j.enbuild.2013.07.031&lt;/electronic-resource-num&gt;&lt;/record&gt;&lt;/Cite&gt;&lt;/EndNote&gt;</w:instrText>
      </w:r>
      <w:r w:rsidR="0070759E" w:rsidRPr="00C90AC9">
        <w:rPr>
          <w:rFonts w:eastAsiaTheme="minorHAnsi"/>
          <w:lang w:eastAsia="en-US"/>
        </w:rPr>
        <w:fldChar w:fldCharType="separate"/>
      </w:r>
      <w:r w:rsidR="0070759E" w:rsidRPr="00C90AC9">
        <w:rPr>
          <w:rFonts w:eastAsiaTheme="minorHAnsi"/>
          <w:lang w:eastAsia="en-US"/>
        </w:rPr>
        <w:t>(Rogers et al., 2013)</w:t>
      </w:r>
      <w:r w:rsidR="0070759E" w:rsidRPr="00C90AC9">
        <w:rPr>
          <w:rFonts w:eastAsiaTheme="minorHAnsi"/>
          <w:lang w:eastAsia="en-US"/>
        </w:rPr>
        <w:fldChar w:fldCharType="end"/>
      </w:r>
      <w:r w:rsidRPr="00C90AC9">
        <w:rPr>
          <w:rFonts w:eastAsiaTheme="minorHAnsi"/>
          <w:lang w:eastAsia="en-US"/>
        </w:rPr>
        <w:t>. They calculated four parameters each hour, they were:</w:t>
      </w:r>
    </w:p>
    <w:p w:rsidR="000C1D24" w:rsidRPr="00C90AC9" w:rsidRDefault="000C1D24" w:rsidP="00CA6E35">
      <w:pPr>
        <w:pStyle w:val="ListParagraph"/>
        <w:numPr>
          <w:ilvl w:val="0"/>
          <w:numId w:val="17"/>
        </w:numPr>
        <w:spacing w:line="240" w:lineRule="auto"/>
        <w:ind w:left="714" w:hanging="357"/>
      </w:pPr>
      <w:r w:rsidRPr="00C90AC9">
        <w:t>The efficiency of the s</w:t>
      </w:r>
      <w:r w:rsidR="00C747A5" w:rsidRPr="00C90AC9">
        <w:t>olar panel;</w:t>
      </w:r>
    </w:p>
    <w:p w:rsidR="00C747A5" w:rsidRPr="00C90AC9" w:rsidRDefault="00C747A5" w:rsidP="00CA6E35">
      <w:pPr>
        <w:pStyle w:val="ListParagraph"/>
        <w:numPr>
          <w:ilvl w:val="0"/>
          <w:numId w:val="17"/>
        </w:numPr>
        <w:spacing w:line="240" w:lineRule="auto"/>
        <w:ind w:left="714" w:hanging="357"/>
      </w:pPr>
      <w:r w:rsidRPr="00C90AC9">
        <w:t>The energy collected by the panel;</w:t>
      </w:r>
    </w:p>
    <w:p w:rsidR="00C747A5" w:rsidRPr="00C90AC9" w:rsidRDefault="00C747A5" w:rsidP="00CA6E35">
      <w:pPr>
        <w:pStyle w:val="ListParagraph"/>
        <w:numPr>
          <w:ilvl w:val="0"/>
          <w:numId w:val="17"/>
        </w:numPr>
        <w:spacing w:line="240" w:lineRule="auto"/>
        <w:ind w:left="714" w:hanging="357"/>
      </w:pPr>
      <w:r w:rsidRPr="00C90AC9">
        <w:t xml:space="preserve">The net energy stored by the panels; and </w:t>
      </w:r>
    </w:p>
    <w:p w:rsidR="00C747A5" w:rsidRPr="00C90AC9" w:rsidRDefault="00C747A5" w:rsidP="00CA6E35">
      <w:pPr>
        <w:pStyle w:val="ListParagraph"/>
        <w:numPr>
          <w:ilvl w:val="0"/>
          <w:numId w:val="17"/>
        </w:numPr>
        <w:spacing w:line="240" w:lineRule="auto"/>
        <w:ind w:left="714" w:hanging="357"/>
      </w:pPr>
      <w:r w:rsidRPr="00C90AC9">
        <w:t>The temperature of the store at the end of the hour.</w:t>
      </w:r>
      <w:r w:rsidR="007B01CA" w:rsidRPr="00C90AC9">
        <w:tab/>
      </w:r>
      <w:r w:rsidR="0057156D" w:rsidRPr="00C90AC9">
        <w:t xml:space="preserve">  </w:t>
      </w:r>
      <w:r w:rsidR="00CB2595" w:rsidRPr="00C90AC9">
        <w:t xml:space="preserve">  </w:t>
      </w:r>
    </w:p>
    <w:p w:rsidR="0070759E" w:rsidRPr="00C90AC9" w:rsidRDefault="0070759E" w:rsidP="0070759E">
      <w:pPr>
        <w:pStyle w:val="BodyText"/>
        <w:spacing w:line="360" w:lineRule="auto"/>
        <w:jc w:val="right"/>
        <w:rPr>
          <w:lang w:eastAsia="zh-CN"/>
        </w:rPr>
      </w:pPr>
      <w:r w:rsidRPr="00C90AC9">
        <w:rPr>
          <w:lang w:eastAsia="zh-CN"/>
        </w:rPr>
        <w:lastRenderedPageBreak/>
        <w:fldChar w:fldCharType="begin"/>
      </w:r>
      <w:r w:rsidRPr="00C90AC9">
        <w:rPr>
          <w:lang w:eastAsia="zh-CN"/>
        </w:rPr>
        <w:instrText xml:space="preserve"> ADDIN EN.CITE &lt;EndNote&gt;&lt;Cite&gt;&lt;Author&gt;Rogers&lt;/Author&gt;&lt;Year&gt;2013&lt;/Year&gt;&lt;RecNum&gt;222&lt;/RecNum&gt;&lt;DisplayText&gt;(Rogers et al., 2013)&lt;/DisplayText&gt;&lt;record&gt;&lt;rec-number&gt;222&lt;/rec-number&gt;&lt;foreign-keys&gt;&lt;key app="EN" db-id="50wxdpzd9vd5r7e9t5b595djrfpttrxw9avp" timestamp="1525592564"&gt;222&lt;/key&gt;&lt;/foreign-keys&gt;&lt;ref-type name="Journal Article"&gt;17&lt;/ref-type&gt;&lt;contributors&gt;&lt;authors&gt;&lt;author&gt;Rogers, J. G.&lt;/author&gt;&lt;author&gt;McManus, M. C.&lt;/author&gt;&lt;author&gt;Cooper, S. J. G.&lt;/author&gt;&lt;/authors&gt;&lt;/contributors&gt;&lt;titles&gt;&lt;title&gt;Potential for reliance on solar water heating throughout the summer in northern cloudy climates&lt;/title&gt;&lt;secondary-title&gt;Energy and Buildings&lt;/secondary-title&gt;&lt;/titles&gt;&lt;pages&gt;128-135&lt;/pages&gt;&lt;volume&gt;66&lt;/volume&gt;&lt;keywords&gt;&lt;keyword&gt;Solar water heating&lt;/keyword&gt;&lt;keyword&gt;Domestic hot water&lt;/keyword&gt;&lt;keyword&gt;Northern climate&lt;/keyword&gt;&lt;keyword&gt;Summer time usage&lt;/keyword&gt;&lt;keyword&gt;Thermal stores&lt;/keyword&gt;&lt;/keywords&gt;&lt;dates&gt;&lt;year&gt;2013&lt;/year&gt;&lt;pub-dates&gt;&lt;date&gt;2013/11/01/&lt;/date&gt;&lt;/pub-dates&gt;&lt;/dates&gt;&lt;isbn&gt;0378-7788&lt;/isbn&gt;&lt;urls&gt;&lt;related-urls&gt;&lt;url&gt;http://www.sciencedirect.com/science/article/pii/S0378778813004192&lt;/url&gt;&lt;/related-urls&gt;&lt;/urls&gt;&lt;electronic-resource-num&gt;https://doi.org/10.1016/j.enbuild.2013.07.031&lt;/electronic-resource-num&gt;&lt;/record&gt;&lt;/Cite&gt;&lt;/EndNote&gt;</w:instrText>
      </w:r>
      <w:r w:rsidRPr="00C90AC9">
        <w:rPr>
          <w:lang w:eastAsia="zh-CN"/>
        </w:rPr>
        <w:fldChar w:fldCharType="separate"/>
      </w:r>
      <w:r w:rsidRPr="00C90AC9">
        <w:rPr>
          <w:lang w:eastAsia="zh-CN"/>
        </w:rPr>
        <w:t>(Rogers et al., 2013)</w:t>
      </w:r>
      <w:r w:rsidRPr="00C90AC9">
        <w:rPr>
          <w:lang w:eastAsia="zh-CN"/>
        </w:rPr>
        <w:fldChar w:fldCharType="end"/>
      </w:r>
    </w:p>
    <w:p w:rsidR="0070759E" w:rsidRPr="00C90AC9" w:rsidRDefault="0070759E" w:rsidP="007B01CA">
      <w:pPr>
        <w:pStyle w:val="BodyText"/>
        <w:spacing w:line="360" w:lineRule="auto"/>
        <w:rPr>
          <w:lang w:eastAsia="zh-CN"/>
        </w:rPr>
      </w:pPr>
    </w:p>
    <w:p w:rsidR="00A16B8C" w:rsidRPr="00C90AC9" w:rsidRDefault="00A16B8C" w:rsidP="007B01CA">
      <w:pPr>
        <w:pStyle w:val="BodyText"/>
        <w:spacing w:line="360" w:lineRule="auto"/>
        <w:rPr>
          <w:lang w:eastAsia="zh-CN"/>
        </w:rPr>
      </w:pPr>
      <w:r w:rsidRPr="00C90AC9">
        <w:rPr>
          <w:lang w:eastAsia="zh-CN"/>
        </w:rPr>
        <w:t xml:space="preserve">To calculate the seasonal variation between the plane of the </w:t>
      </w:r>
      <w:r w:rsidR="000450FC" w:rsidRPr="00C90AC9">
        <w:rPr>
          <w:lang w:eastAsia="zh-CN"/>
        </w:rPr>
        <w:t>sun</w:t>
      </w:r>
      <w:r w:rsidRPr="00C90AC9">
        <w:rPr>
          <w:lang w:eastAsia="zh-CN"/>
        </w:rPr>
        <w:t xml:space="preserve">’s rays and the equator of the Earth as the Earth orbits the </w:t>
      </w:r>
      <w:r w:rsidR="000450FC" w:rsidRPr="00C90AC9">
        <w:rPr>
          <w:lang w:eastAsia="zh-CN"/>
        </w:rPr>
        <w:t>sun</w:t>
      </w:r>
      <w:r w:rsidRPr="00C90AC9">
        <w:rPr>
          <w:lang w:eastAsia="zh-CN"/>
        </w:rPr>
        <w:t xml:space="preserve"> the Declination Angle (δ) can be determined throughout the year using Equation (7) and Table </w:t>
      </w:r>
      <w:r w:rsidR="00127734" w:rsidRPr="00C90AC9">
        <w:rPr>
          <w:lang w:eastAsia="zh-CN"/>
        </w:rPr>
        <w:t>6</w:t>
      </w:r>
      <w:r w:rsidRPr="00C90AC9">
        <w:rPr>
          <w:lang w:eastAsia="zh-CN"/>
        </w:rPr>
        <w:t>.</w:t>
      </w:r>
      <w:r w:rsidR="00127734" w:rsidRPr="00C90AC9">
        <w:rPr>
          <w:lang w:eastAsia="zh-CN"/>
        </w:rPr>
        <w:t>12</w:t>
      </w:r>
      <w:r w:rsidRPr="00C90AC9">
        <w:rPr>
          <w:lang w:eastAsia="zh-CN"/>
        </w:rPr>
        <w:t xml:space="preserve">: </w:t>
      </w:r>
    </w:p>
    <w:p w:rsidR="000446A7" w:rsidRPr="00C90AC9" w:rsidRDefault="000446A7" w:rsidP="00B06779">
      <w:pPr>
        <w:rPr>
          <w:lang w:eastAsia="zh-CN"/>
        </w:rPr>
      </w:pPr>
    </w:p>
    <w:p w:rsidR="00A16B8C" w:rsidRPr="00C90AC9" w:rsidRDefault="00A16B8C" w:rsidP="00B06779">
      <w:pPr>
        <w:pStyle w:val="BodyText"/>
        <w:rPr>
          <w:lang w:eastAsia="zh-CN"/>
        </w:rPr>
      </w:pPr>
      <w:r w:rsidRPr="00C90AC9">
        <w:rPr>
          <w:lang w:eastAsia="zh-CN"/>
        </w:rPr>
        <w:t>The Declination Angle (δ),</w:t>
      </w:r>
      <w:r w:rsidR="00275F68" w:rsidRPr="00C90AC9">
        <w:rPr>
          <w:lang w:eastAsia="zh-CN"/>
        </w:rPr>
        <w:t xml:space="preserve"> is given by the equation:</w:t>
      </w:r>
    </w:p>
    <w:tbl>
      <w:tblPr>
        <w:tblW w:w="0" w:type="auto"/>
        <w:tblLook w:val="04A0" w:firstRow="1" w:lastRow="0" w:firstColumn="1" w:lastColumn="0" w:noHBand="0" w:noVBand="1"/>
      </w:tblPr>
      <w:tblGrid>
        <w:gridCol w:w="641"/>
        <w:gridCol w:w="7771"/>
        <w:gridCol w:w="496"/>
      </w:tblGrid>
      <w:tr w:rsidR="00A16B8C" w:rsidRPr="00C90AC9" w:rsidTr="0070759E">
        <w:tc>
          <w:tcPr>
            <w:tcW w:w="662" w:type="dxa"/>
          </w:tcPr>
          <w:p w:rsidR="00A16B8C" w:rsidRPr="00C90AC9" w:rsidRDefault="00A16B8C" w:rsidP="00B06779">
            <w:pPr>
              <w:rPr>
                <w:rFonts w:eastAsiaTheme="minorHAnsi"/>
                <w:lang w:eastAsia="en-US"/>
              </w:rPr>
            </w:pPr>
          </w:p>
          <w:p w:rsidR="00275F68" w:rsidRPr="00C90AC9" w:rsidRDefault="00275F68" w:rsidP="00B06779">
            <w:pPr>
              <w:rPr>
                <w:rFonts w:eastAsiaTheme="minorHAnsi"/>
                <w:lang w:eastAsia="en-US"/>
              </w:rPr>
            </w:pPr>
          </w:p>
        </w:tc>
        <w:tc>
          <w:tcPr>
            <w:tcW w:w="7966" w:type="dxa"/>
            <w:vAlign w:val="center"/>
            <w:hideMark/>
          </w:tcPr>
          <w:p w:rsidR="00A16B8C" w:rsidRPr="00C90AC9" w:rsidRDefault="0070759E" w:rsidP="00275F68">
            <w:pPr>
              <w:jc w:val="center"/>
              <w:rPr>
                <w:rFonts w:eastAsiaTheme="minorHAnsi"/>
                <w:lang w:eastAsia="en-US"/>
              </w:rPr>
            </w:pPr>
            <w:r w:rsidRPr="00C90AC9">
              <w:rPr>
                <w:noProof/>
              </w:rPr>
              <mc:AlternateContent>
                <mc:Choice Requires="wps">
                  <w:drawing>
                    <wp:anchor distT="0" distB="0" distL="114300" distR="114300" simplePos="0" relativeHeight="251928576" behindDoc="0" locked="0" layoutInCell="1" allowOverlap="1" wp14:anchorId="2B5C3FD0" wp14:editId="0D08DBE4">
                      <wp:simplePos x="0" y="0"/>
                      <wp:positionH relativeFrom="column">
                        <wp:posOffset>925195</wp:posOffset>
                      </wp:positionH>
                      <wp:positionV relativeFrom="paragraph">
                        <wp:posOffset>-102870</wp:posOffset>
                      </wp:positionV>
                      <wp:extent cx="2857500" cy="414655"/>
                      <wp:effectExtent l="0" t="0" r="19050" b="23495"/>
                      <wp:wrapNone/>
                      <wp:docPr id="320"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0" cy="414655"/>
                              </a:xfrm>
                              <a:prstGeom prst="rect">
                                <a:avLst/>
                              </a:prstGeom>
                              <a:solidFill>
                                <a:srgbClr val="4F81BD">
                                  <a:alpha val="30000"/>
                                </a:srgbClr>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D32A58" id="Rectangle 320" o:spid="_x0000_s1026" style="position:absolute;margin-left:72.85pt;margin-top:-8.1pt;width:225pt;height:32.6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" fillcolor="#4f81bd" strokecolor="#385d8a">
                      <v:fill opacity="19789f"/>
                      <v:path arrowok="t"/>
                    </v:rect>
                  </w:pict>
                </mc:Fallback>
              </mc:AlternateContent>
            </w:r>
            <m:oMath>
              <m:r>
                <w:rPr>
                  <w:rFonts w:ascii="Cambria Math" w:eastAsiaTheme="minorHAnsi" w:hAnsi="Cambria Math"/>
                  <w:lang w:eastAsia="en-US"/>
                </w:rPr>
                <m:t>δ</m:t>
              </m:r>
              <m:r>
                <m:rPr>
                  <m:sty m:val="p"/>
                </m:rPr>
                <w:rPr>
                  <w:rFonts w:ascii="Cambria Math" w:eastAsiaTheme="minorHAnsi" w:hAnsi="Cambria Math"/>
                  <w:lang w:eastAsia="en-US"/>
                </w:rPr>
                <m:t>=</m:t>
              </m:r>
              <m:func>
                <m:funcPr>
                  <m:ctrlPr>
                    <w:rPr>
                      <w:rFonts w:ascii="Cambria Math" w:eastAsiaTheme="minorHAnsi" w:hAnsi="Cambria Math"/>
                      <w:lang w:eastAsia="en-US"/>
                    </w:rPr>
                  </m:ctrlPr>
                </m:funcPr>
                <m:fName>
                  <m:sSup>
                    <m:sSupPr>
                      <m:ctrlPr>
                        <w:rPr>
                          <w:rFonts w:ascii="Cambria Math" w:eastAsiaTheme="minorHAnsi" w:hAnsi="Cambria Math"/>
                          <w:lang w:eastAsia="en-US"/>
                        </w:rPr>
                      </m:ctrlPr>
                    </m:sSupPr>
                    <m:e>
                      <m:r>
                        <w:rPr>
                          <w:rFonts w:ascii="Cambria Math" w:eastAsiaTheme="minorHAnsi" w:hAnsi="Cambria Math"/>
                          <w:lang w:eastAsia="en-US"/>
                        </w:rPr>
                        <m:t>sin</m:t>
                      </m:r>
                    </m:e>
                    <m:sup>
                      <m:r>
                        <m:rPr>
                          <m:sty m:val="p"/>
                        </m:rPr>
                        <w:rPr>
                          <w:rFonts w:ascii="Cambria Math" w:eastAsiaTheme="minorHAnsi" w:hAnsi="Cambria Math"/>
                          <w:lang w:eastAsia="en-US"/>
                        </w:rPr>
                        <m:t>-1</m:t>
                      </m:r>
                    </m:sup>
                  </m:sSup>
                  <m:r>
                    <m:rPr>
                      <m:sty m:val="p"/>
                    </m:rPr>
                    <w:rPr>
                      <w:rFonts w:ascii="Cambria Math" w:eastAsiaTheme="minorHAnsi" w:hAnsi="Cambria Math"/>
                      <w:lang w:eastAsia="en-US"/>
                    </w:rPr>
                    <m:t>(</m:t>
                  </m:r>
                  <m:r>
                    <w:rPr>
                      <w:rFonts w:ascii="Cambria Math" w:eastAsiaTheme="minorHAnsi" w:hAnsi="Cambria Math"/>
                      <w:lang w:eastAsia="en-US"/>
                    </w:rPr>
                    <m:t>sin</m:t>
                  </m:r>
                  <m:r>
                    <m:rPr>
                      <m:sty m:val="p"/>
                    </m:rPr>
                    <w:rPr>
                      <w:rFonts w:ascii="Cambria Math" w:eastAsiaTheme="minorHAnsi" w:hAnsi="Cambria Math"/>
                      <w:lang w:eastAsia="en-US"/>
                    </w:rPr>
                    <m:t xml:space="preserve"> </m:t>
                  </m:r>
                  <m:d>
                    <m:dPr>
                      <m:ctrlPr>
                        <w:rPr>
                          <w:rFonts w:ascii="Cambria Math" w:eastAsiaTheme="minorHAnsi" w:hAnsi="Cambria Math"/>
                          <w:lang w:eastAsia="en-US"/>
                        </w:rPr>
                      </m:ctrlPr>
                    </m:dPr>
                    <m:e>
                      <m:r>
                        <m:rPr>
                          <m:sty m:val="p"/>
                        </m:rPr>
                        <w:rPr>
                          <w:rFonts w:ascii="Cambria Math" w:eastAsiaTheme="minorHAnsi" w:hAnsi="Cambria Math"/>
                          <w:lang w:eastAsia="en-US"/>
                        </w:rPr>
                        <m:t>23.45</m:t>
                      </m:r>
                    </m:e>
                  </m:d>
                  <m:r>
                    <m:rPr>
                      <m:sty m:val="p"/>
                    </m:rPr>
                    <w:rPr>
                      <w:rFonts w:ascii="Cambria Math" w:eastAsiaTheme="minorHAnsi" w:hAnsi="Cambria Math"/>
                      <w:lang w:eastAsia="en-US"/>
                    </w:rPr>
                    <m:t xml:space="preserve"> </m:t>
                  </m:r>
                  <m:d>
                    <m:dPr>
                      <m:ctrlPr>
                        <w:rPr>
                          <w:rFonts w:ascii="Cambria Math" w:eastAsiaTheme="minorHAnsi" w:hAnsi="Cambria Math"/>
                          <w:lang w:eastAsia="en-US"/>
                        </w:rPr>
                      </m:ctrlPr>
                    </m:dPr>
                    <m:e>
                      <m:sSubSup>
                        <m:sSubSupPr>
                          <m:ctrlPr>
                            <w:rPr>
                              <w:rFonts w:ascii="Cambria Math" w:eastAsiaTheme="minorHAnsi" w:hAnsi="Cambria Math"/>
                              <w:lang w:eastAsia="en-US"/>
                            </w:rPr>
                          </m:ctrlPr>
                        </m:sSubSupPr>
                        <m:e>
                          <m:r>
                            <w:rPr>
                              <w:rFonts w:ascii="Cambria Math" w:eastAsiaTheme="minorHAnsi" w:hAnsi="Cambria Math"/>
                              <w:lang w:eastAsia="en-US"/>
                            </w:rPr>
                            <m:t>sin</m:t>
                          </m:r>
                        </m:e>
                        <m:sub>
                          <m:r>
                            <m:rPr>
                              <m:sty m:val="p"/>
                            </m:rPr>
                            <w:rPr>
                              <w:rFonts w:ascii="Cambria Math" w:eastAsiaTheme="minorHAnsi" w:hAnsi="Cambria Math"/>
                              <w:lang w:eastAsia="en-US"/>
                            </w:rPr>
                            <m:t>365</m:t>
                          </m:r>
                        </m:sub>
                        <m:sup>
                          <m:r>
                            <m:rPr>
                              <m:sty m:val="p"/>
                            </m:rPr>
                            <w:rPr>
                              <w:rFonts w:ascii="Cambria Math" w:eastAsiaTheme="minorHAnsi" w:hAnsi="Cambria Math"/>
                              <w:lang w:eastAsia="en-US"/>
                            </w:rPr>
                            <m:t>360</m:t>
                          </m:r>
                        </m:sup>
                      </m:sSubSup>
                      <m:r>
                        <w:rPr>
                          <w:rFonts w:ascii="Cambria Math" w:eastAsiaTheme="minorHAnsi" w:hAnsi="Cambria Math"/>
                          <w:lang w:eastAsia="en-US"/>
                        </w:rPr>
                        <m:t>d</m:t>
                      </m:r>
                      <m:r>
                        <m:rPr>
                          <m:sty m:val="p"/>
                        </m:rPr>
                        <w:rPr>
                          <w:rFonts w:ascii="Cambria Math" w:eastAsiaTheme="minorHAnsi" w:hAnsi="Cambria Math"/>
                          <w:lang w:eastAsia="en-US"/>
                        </w:rPr>
                        <m:t>-81</m:t>
                      </m:r>
                    </m:e>
                  </m:d>
                  <m:r>
                    <m:rPr>
                      <m:sty m:val="p"/>
                    </m:rPr>
                    <w:rPr>
                      <w:rFonts w:ascii="Cambria Math" w:eastAsiaTheme="minorHAnsi" w:hAnsi="Cambria Math"/>
                      <w:lang w:eastAsia="en-US"/>
                    </w:rPr>
                    <m:t>)</m:t>
                  </m:r>
                </m:fName>
                <m:e/>
              </m:func>
            </m:oMath>
          </w:p>
        </w:tc>
        <w:tc>
          <w:tcPr>
            <w:tcW w:w="496" w:type="dxa"/>
            <w:vAlign w:val="center"/>
            <w:hideMark/>
          </w:tcPr>
          <w:p w:rsidR="00A16B8C" w:rsidRPr="00C90AC9" w:rsidRDefault="00A16B8C" w:rsidP="00B06779">
            <w:pPr>
              <w:rPr>
                <w:rFonts w:eastAsiaTheme="minorHAnsi"/>
                <w:lang w:eastAsia="en-US"/>
              </w:rPr>
            </w:pPr>
            <w:r w:rsidRPr="00C90AC9">
              <w:rPr>
                <w:rFonts w:eastAsiaTheme="minorHAnsi"/>
                <w:lang w:eastAsia="en-US"/>
              </w:rPr>
              <w:t>(</w:t>
            </w:r>
            <w:r w:rsidR="00BA7307" w:rsidRPr="00C90AC9">
              <w:rPr>
                <w:rFonts w:eastAsiaTheme="minorHAnsi"/>
                <w:lang w:eastAsia="en-US"/>
              </w:rPr>
              <w:fldChar w:fldCharType="begin"/>
            </w:r>
            <w:r w:rsidR="00BA7307" w:rsidRPr="00C90AC9">
              <w:rPr>
                <w:rFonts w:eastAsiaTheme="minorHAnsi"/>
                <w:lang w:eastAsia="en-US"/>
              </w:rPr>
              <w:instrText xml:space="preserve"> SEQ eq  \* MERGEFORMAT   \* MERGEFORMAT </w:instrText>
            </w:r>
            <w:r w:rsidR="00BA7307" w:rsidRPr="00C90AC9">
              <w:rPr>
                <w:rFonts w:eastAsiaTheme="minorHAnsi"/>
                <w:lang w:eastAsia="en-US"/>
              </w:rPr>
              <w:fldChar w:fldCharType="separate"/>
            </w:r>
            <w:r w:rsidR="004F4022" w:rsidRPr="00C90AC9">
              <w:rPr>
                <w:rFonts w:eastAsiaTheme="minorHAnsi"/>
                <w:lang w:eastAsia="en-US"/>
              </w:rPr>
              <w:t>2</w:t>
            </w:r>
            <w:r w:rsidR="00BA7307" w:rsidRPr="00C90AC9">
              <w:rPr>
                <w:rFonts w:eastAsiaTheme="minorHAnsi"/>
                <w:lang w:eastAsia="en-US"/>
              </w:rPr>
              <w:fldChar w:fldCharType="end"/>
            </w:r>
            <w:r w:rsidRPr="00C90AC9">
              <w:rPr>
                <w:rFonts w:eastAsiaTheme="minorHAnsi"/>
                <w:lang w:eastAsia="en-US"/>
              </w:rPr>
              <w:t>)</w:t>
            </w:r>
          </w:p>
        </w:tc>
      </w:tr>
    </w:tbl>
    <w:p w:rsidR="0070759E" w:rsidRPr="00C90AC9" w:rsidRDefault="002C196F" w:rsidP="0070759E">
      <w:pPr>
        <w:pStyle w:val="BodyText"/>
        <w:jc w:val="right"/>
        <w:rPr>
          <w:lang w:eastAsia="zh-CN"/>
        </w:rPr>
      </w:pPr>
      <w:r w:rsidRPr="00C90AC9">
        <w:rPr>
          <w:lang w:eastAsia="zh-CN"/>
        </w:rPr>
        <w:fldChar w:fldCharType="begin"/>
      </w:r>
      <w:r w:rsidRPr="00C90AC9">
        <w:rPr>
          <w:lang w:eastAsia="zh-CN"/>
        </w:rPr>
        <w:instrText xml:space="preserve"> ADDIN EN.CITE &lt;EndNote&gt;&lt;Cite&gt;&lt;Author&gt;Rogers&lt;/Author&gt;&lt;Year&gt;2013&lt;/Year&gt;&lt;RecNum&gt;222&lt;/RecNum&gt;&lt;DisplayText&gt;(Rogers et al., 2013)&lt;/DisplayText&gt;&lt;record&gt;&lt;rec-number&gt;222&lt;/rec-number&gt;&lt;foreign-keys&gt;&lt;key app="EN" db-id="50wxdpzd9vd5r7e9t5b595djrfpttrxw9avp" timestamp="1525592564"&gt;222&lt;/key&gt;&lt;/foreign-keys&gt;&lt;ref-type name="Journal Article"&gt;17&lt;/ref-type&gt;&lt;contributors&gt;&lt;authors&gt;&lt;author&gt;Rogers, J. G.&lt;/author&gt;&lt;author&gt;McManus, M. C.&lt;/author&gt;&lt;author&gt;Cooper, S. J. G.&lt;/author&gt;&lt;/authors&gt;&lt;/contributors&gt;&lt;titles&gt;&lt;title&gt;Potential for reliance on solar water heating throughout the summer in northern cloudy climates&lt;/title&gt;&lt;secondary-title&gt;Energy and Buildings&lt;/secondary-title&gt;&lt;/titles&gt;&lt;pages&gt;128-135&lt;/pages&gt;&lt;volume&gt;66&lt;/volume&gt;&lt;keywords&gt;&lt;keyword&gt;Solar water heating&lt;/keyword&gt;&lt;keyword&gt;Domestic hot water&lt;/keyword&gt;&lt;keyword&gt;Northern climate&lt;/keyword&gt;&lt;keyword&gt;Summer time usage&lt;/keyword&gt;&lt;keyword&gt;Thermal stores&lt;/keyword&gt;&lt;/keywords&gt;&lt;dates&gt;&lt;year&gt;2013&lt;/year&gt;&lt;pub-dates&gt;&lt;date&gt;2013/11/01/&lt;/date&gt;&lt;/pub-dates&gt;&lt;/dates&gt;&lt;isbn&gt;0378-7788&lt;/isbn&gt;&lt;urls&gt;&lt;related-urls&gt;&lt;url&gt;http://www.sciencedirect.com/science/article/pii/S0378778813004192&lt;/url&gt;&lt;/related-urls&gt;&lt;/urls&gt;&lt;electronic-resource-num&gt;https://doi.org/10.1016/j.enbuild.2013.07.031&lt;/electronic-resource-num&gt;&lt;/record&gt;&lt;/Cite&gt;&lt;/EndNote&gt;</w:instrText>
      </w:r>
      <w:r w:rsidRPr="00C90AC9">
        <w:rPr>
          <w:lang w:eastAsia="zh-CN"/>
        </w:rPr>
        <w:fldChar w:fldCharType="separate"/>
      </w:r>
      <w:r w:rsidRPr="00C90AC9">
        <w:rPr>
          <w:lang w:eastAsia="zh-CN"/>
        </w:rPr>
        <w:t>(Rogers et al., 2013)</w:t>
      </w:r>
      <w:r w:rsidRPr="00C90AC9">
        <w:rPr>
          <w:lang w:eastAsia="zh-CN"/>
        </w:rPr>
        <w:fldChar w:fldCharType="end"/>
      </w:r>
    </w:p>
    <w:p w:rsidR="00A16B8C" w:rsidRPr="00C90AC9" w:rsidRDefault="00A16B8C" w:rsidP="00B06779">
      <w:pPr>
        <w:pStyle w:val="BodyText"/>
        <w:rPr>
          <w:lang w:eastAsia="zh-CN"/>
        </w:rPr>
      </w:pPr>
      <w:r w:rsidRPr="00C90AC9">
        <w:rPr>
          <w:lang w:eastAsia="zh-CN"/>
        </w:rPr>
        <w:t>Where:</w:t>
      </w:r>
    </w:p>
    <w:p w:rsidR="00A16B8C" w:rsidRPr="00C90AC9" w:rsidRDefault="00A16B8C" w:rsidP="00B06779">
      <w:pPr>
        <w:pStyle w:val="List"/>
        <w:rPr>
          <w:lang w:eastAsia="zh-CN"/>
        </w:rPr>
      </w:pPr>
      <m:oMath>
        <m:r>
          <w:rPr>
            <w:rFonts w:ascii="Cambria Math" w:hAnsi="Cambria Math"/>
            <w:lang w:eastAsia="zh-CN"/>
          </w:rPr>
          <m:t>δ</m:t>
        </m:r>
      </m:oMath>
      <w:r w:rsidRPr="00C90AC9">
        <w:rPr>
          <w:lang w:eastAsia="zh-CN"/>
        </w:rPr>
        <w:t xml:space="preserve"> : Declination Angle (°)</w:t>
      </w:r>
    </w:p>
    <w:p w:rsidR="00A16B8C" w:rsidRPr="00C90AC9" w:rsidRDefault="00A16B8C" w:rsidP="00B06779">
      <w:pPr>
        <w:pStyle w:val="List"/>
        <w:rPr>
          <w:lang w:eastAsia="zh-CN"/>
        </w:rPr>
      </w:pPr>
      <w:proofErr w:type="gramStart"/>
      <w:r w:rsidRPr="00C90AC9">
        <w:rPr>
          <w:lang w:eastAsia="zh-CN"/>
        </w:rPr>
        <w:t>d :</w:t>
      </w:r>
      <w:proofErr w:type="gramEnd"/>
      <w:r w:rsidRPr="00C90AC9">
        <w:rPr>
          <w:lang w:eastAsia="zh-CN"/>
        </w:rPr>
        <w:t xml:space="preserve"> Day of the year (January 1</w:t>
      </w:r>
      <w:r w:rsidRPr="00C90AC9">
        <w:rPr>
          <w:vertAlign w:val="superscript"/>
          <w:lang w:eastAsia="zh-CN"/>
        </w:rPr>
        <w:t>st</w:t>
      </w:r>
      <w:r w:rsidRPr="00C90AC9">
        <w:rPr>
          <w:lang w:eastAsia="zh-CN"/>
        </w:rPr>
        <w:t xml:space="preserve"> =1)</w:t>
      </w:r>
    </w:p>
    <w:p w:rsidR="00257C0F" w:rsidRPr="00C90AC9" w:rsidRDefault="00257C0F" w:rsidP="00B06779">
      <w:pPr>
        <w:rPr>
          <w:lang w:eastAsia="zh-CN"/>
        </w:rPr>
      </w:pPr>
    </w:p>
    <w:p w:rsidR="00127734" w:rsidRPr="00C90AC9" w:rsidRDefault="006B584C" w:rsidP="00BA2FAC">
      <w:pPr>
        <w:spacing w:line="360" w:lineRule="auto"/>
        <w:rPr>
          <w:lang w:eastAsia="zh-CN"/>
        </w:rPr>
      </w:pPr>
      <w:r w:rsidRPr="00C90AC9">
        <w:rPr>
          <w:lang w:eastAsia="zh-CN"/>
        </w:rPr>
        <w:t xml:space="preserve">The position of the earth at different times of the year is shown in </w:t>
      </w:r>
      <w:proofErr w:type="gramStart"/>
      <w:r w:rsidRPr="00C90AC9">
        <w:rPr>
          <w:lang w:eastAsia="zh-CN"/>
        </w:rPr>
        <w:t xml:space="preserve">Figure </w:t>
      </w:r>
      <w:r w:rsidR="007A3242" w:rsidRPr="00C90AC9">
        <w:rPr>
          <w:lang w:eastAsia="zh-CN"/>
        </w:rPr>
        <w:t xml:space="preserve"> 2.1</w:t>
      </w:r>
      <w:r w:rsidR="00BA2FAC" w:rsidRPr="00C90AC9">
        <w:rPr>
          <w:lang w:eastAsia="zh-CN"/>
        </w:rPr>
        <w:t>0.</w:t>
      </w:r>
      <w:proofErr w:type="gramEnd"/>
      <w:r w:rsidR="00BA2FAC" w:rsidRPr="00C90AC9">
        <w:rPr>
          <w:lang w:eastAsia="zh-CN"/>
        </w:rPr>
        <w:t xml:space="preserve"> </w:t>
      </w:r>
      <w:r w:rsidR="00275F68" w:rsidRPr="00C90AC9">
        <w:rPr>
          <w:lang w:eastAsia="zh-CN"/>
        </w:rPr>
        <w:t xml:space="preserve">Using Equation 2 it is possible to graph the declination angle cancel which has been done and is shown in </w:t>
      </w:r>
      <w:r w:rsidR="00534287" w:rsidRPr="00C90AC9">
        <w:rPr>
          <w:lang w:eastAsia="zh-CN"/>
        </w:rPr>
        <w:t>Fig</w:t>
      </w:r>
      <w:r w:rsidR="007A3242" w:rsidRPr="00C90AC9">
        <w:rPr>
          <w:lang w:eastAsia="zh-CN"/>
        </w:rPr>
        <w:t>ure 2.1</w:t>
      </w:r>
      <w:r w:rsidR="00045804" w:rsidRPr="00C90AC9">
        <w:rPr>
          <w:lang w:eastAsia="zh-CN"/>
        </w:rPr>
        <w:t>1</w:t>
      </w:r>
      <w:r w:rsidR="00534287" w:rsidRPr="00C90AC9">
        <w:rPr>
          <w:lang w:eastAsia="zh-CN"/>
        </w:rPr>
        <w:t>.</w:t>
      </w:r>
    </w:p>
    <w:p w:rsidR="006B584C" w:rsidRPr="00C90AC9" w:rsidRDefault="006B584C" w:rsidP="00B06779">
      <w:pPr>
        <w:rPr>
          <w:lang w:eastAsia="zh-CN"/>
        </w:rPr>
      </w:pPr>
    </w:p>
    <w:p w:rsidR="00A16B8C" w:rsidRPr="00C90AC9" w:rsidRDefault="00A16B8C" w:rsidP="00B06779">
      <w:pPr>
        <w:rPr>
          <w:lang w:eastAsia="zh-CN"/>
        </w:rPr>
      </w:pPr>
      <w:r w:rsidRPr="00C90AC9">
        <w:rPr>
          <w:noProof/>
        </w:rPr>
        <w:lastRenderedPageBreak/>
        <w:drawing>
          <wp:anchor distT="0" distB="0" distL="114300" distR="114300" simplePos="0" relativeHeight="251675648" behindDoc="0" locked="0" layoutInCell="1" allowOverlap="1" wp14:anchorId="27E87EB0" wp14:editId="1D50FD02">
            <wp:simplePos x="0" y="0"/>
            <wp:positionH relativeFrom="column">
              <wp:posOffset>9525</wp:posOffset>
            </wp:positionH>
            <wp:positionV relativeFrom="paragraph">
              <wp:posOffset>475615</wp:posOffset>
            </wp:positionV>
            <wp:extent cx="5638800" cy="5191125"/>
            <wp:effectExtent l="19050" t="19050" r="19050" b="28575"/>
            <wp:wrapSquare wrapText="bothSides"/>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l="25963" t="17455" r="25275" b="21005"/>
                    <a:stretch>
                      <a:fillRect/>
                    </a:stretch>
                  </pic:blipFill>
                  <pic:spPr bwMode="auto">
                    <a:xfrm>
                      <a:off x="0" y="0"/>
                      <a:ext cx="5638800" cy="5191125"/>
                    </a:xfrm>
                    <a:prstGeom prst="rect">
                      <a:avLst/>
                    </a:prstGeom>
                    <a:noFill/>
                    <a:ln w="12700">
                      <a:solidFill>
                        <a:sysClr val="windowText" lastClr="000000">
                          <a:lumMod val="100000"/>
                          <a:lumOff val="0"/>
                        </a:sysClr>
                      </a:solidFill>
                      <a:miter lim="800000"/>
                      <a:headEnd/>
                      <a:tailEnd/>
                    </a:ln>
                  </pic:spPr>
                </pic:pic>
              </a:graphicData>
            </a:graphic>
          </wp:anchor>
        </w:drawing>
      </w:r>
      <w:r w:rsidR="007A3242" w:rsidRPr="00C90AC9">
        <w:rPr>
          <w:lang w:eastAsia="zh-CN"/>
        </w:rPr>
        <w:t>Figure 2.1</w:t>
      </w:r>
      <w:r w:rsidR="006E778D" w:rsidRPr="00C90AC9">
        <w:rPr>
          <w:lang w:eastAsia="zh-CN"/>
        </w:rPr>
        <w:t>0</w:t>
      </w:r>
      <w:r w:rsidR="00513387" w:rsidRPr="00C90AC9">
        <w:rPr>
          <w:lang w:eastAsia="zh-CN"/>
        </w:rPr>
        <w:t>.</w:t>
      </w:r>
      <w:r w:rsidRPr="00C90AC9">
        <w:rPr>
          <w:lang w:eastAsia="zh-CN"/>
        </w:rPr>
        <w:t xml:space="preserve"> </w:t>
      </w:r>
      <w:r w:rsidR="00513387" w:rsidRPr="00C90AC9">
        <w:rPr>
          <w:lang w:eastAsia="zh-CN"/>
        </w:rPr>
        <w:t>T</w:t>
      </w:r>
      <w:r w:rsidRPr="00C90AC9">
        <w:rPr>
          <w:lang w:eastAsia="zh-CN"/>
        </w:rPr>
        <w:t>he position of the earth at different times of the year</w:t>
      </w:r>
      <w:r w:rsidR="0070759E" w:rsidRPr="00C90AC9">
        <w:rPr>
          <w:lang w:eastAsia="zh-CN"/>
        </w:rPr>
        <w:t xml:space="preserve"> </w:t>
      </w:r>
    </w:p>
    <w:p w:rsidR="0057156D" w:rsidRPr="00C90AC9" w:rsidRDefault="0057156D" w:rsidP="00B06779">
      <w:pPr>
        <w:pStyle w:val="BodyText"/>
        <w:rPr>
          <w:lang w:eastAsia="zh-CN"/>
        </w:rPr>
      </w:pPr>
    </w:p>
    <w:p w:rsidR="003369B2" w:rsidRPr="00C90AC9" w:rsidRDefault="003369B2" w:rsidP="007B01CA">
      <w:pPr>
        <w:pStyle w:val="BodyText"/>
        <w:spacing w:line="360" w:lineRule="auto"/>
        <w:rPr>
          <w:lang w:eastAsia="zh-CN"/>
        </w:rPr>
      </w:pPr>
    </w:p>
    <w:p w:rsidR="00A16B8C" w:rsidRPr="00C90AC9" w:rsidRDefault="00A16B8C" w:rsidP="007B01CA">
      <w:pPr>
        <w:pStyle w:val="BodyText"/>
        <w:spacing w:line="360" w:lineRule="auto"/>
      </w:pPr>
      <w:r w:rsidRPr="00C90AC9">
        <w:rPr>
          <w:lang w:eastAsia="zh-CN"/>
        </w:rPr>
        <w:t xml:space="preserve">The study by </w:t>
      </w:r>
      <w:proofErr w:type="spellStart"/>
      <w:r w:rsidRPr="00C90AC9">
        <w:rPr>
          <w:lang w:eastAsia="zh-CN"/>
        </w:rPr>
        <w:t>Stanciu</w:t>
      </w:r>
      <w:proofErr w:type="spellEnd"/>
      <w:r w:rsidRPr="00C90AC9">
        <w:rPr>
          <w:lang w:eastAsia="zh-CN"/>
        </w:rPr>
        <w:t xml:space="preserve"> and </w:t>
      </w:r>
      <w:proofErr w:type="spellStart"/>
      <w:r w:rsidRPr="00C90AC9">
        <w:rPr>
          <w:lang w:eastAsia="zh-CN"/>
        </w:rPr>
        <w:t>Stanciu</w:t>
      </w:r>
      <w:proofErr w:type="spellEnd"/>
      <w:r w:rsidRPr="00C90AC9">
        <w:rPr>
          <w:lang w:eastAsia="zh-CN"/>
        </w:rPr>
        <w:t xml:space="preserve"> in 2014 used three different models to estimate the solar irradiation density to determine the optimum tilt angle to set a solar collector at to receive the maximum solar density (</w:t>
      </w:r>
      <w:proofErr w:type="spellStart"/>
      <w:r w:rsidRPr="00C90AC9">
        <w:rPr>
          <w:lang w:eastAsia="zh-CN"/>
        </w:rPr>
        <w:t>G</w:t>
      </w:r>
      <w:r w:rsidRPr="00C90AC9">
        <w:rPr>
          <w:vertAlign w:val="subscript"/>
          <w:lang w:eastAsia="zh-CN"/>
        </w:rPr>
        <w:t>tTMAX</w:t>
      </w:r>
      <w:proofErr w:type="spellEnd"/>
      <w:r w:rsidRPr="00C90AC9">
        <w:rPr>
          <w:lang w:eastAsia="zh-CN"/>
        </w:rPr>
        <w:t>)</w:t>
      </w:r>
      <w:r w:rsidR="0070759E" w:rsidRPr="00C90AC9">
        <w:rPr>
          <w:lang w:eastAsia="zh-CN"/>
        </w:rPr>
        <w:t xml:space="preserve"> </w:t>
      </w:r>
      <w:r w:rsidR="002C196F" w:rsidRPr="00C90AC9">
        <w:rPr>
          <w:lang w:eastAsia="zh-CN"/>
        </w:rPr>
        <w:fldChar w:fldCharType="begin"/>
      </w:r>
      <w:r w:rsidR="002C196F" w:rsidRPr="00C90AC9">
        <w:rPr>
          <w:lang w:eastAsia="zh-CN"/>
        </w:rPr>
        <w:instrText xml:space="preserve"> ADDIN EN.CITE &lt;EndNote&gt;&lt;Cite&gt;&lt;Author&gt;Stanciu&lt;/Author&gt;&lt;Year&gt;2014&lt;/Year&gt;&lt;RecNum&gt;223&lt;/RecNum&gt;&lt;DisplayText&gt;(Stanciu &amp;amp; Stanciu, 2014)&lt;/DisplayText&gt;&lt;record&gt;&lt;rec-number&gt;223&lt;/rec-number&gt;&lt;foreign-keys&gt;&lt;key app="EN" db-id="50wxdpzd9vd5r7e9t5b595djrfpttrxw9avp" timestamp="1525593140"&gt;223&lt;/key&gt;&lt;/foreign-keys&gt;&lt;ref-type name="Journal Article"&gt;17&lt;/ref-type&gt;&lt;contributors&gt;&lt;authors&gt;&lt;author&gt;Stanciu, Camelia&lt;/author&gt;&lt;author&gt;Stanciu, Dorin&lt;/author&gt;&lt;/authors&gt;&lt;/contributors&gt;&lt;titles&gt;&lt;title&gt;Optimum tilt angle for flat plate collectors all over the World – A declination dependence formula and comparisons of three solar radiation models&lt;/title&gt;&lt;secondary-title&gt;Energy Conversion and Management&lt;/secondary-title&gt;&lt;/titles&gt;&lt;pages&gt;133-143&lt;/pages&gt;&lt;volume&gt;81&lt;/volume&gt;&lt;keywords&gt;&lt;keyword&gt;Solar radiation&lt;/keyword&gt;&lt;keyword&gt;Flat plate collectors&lt;/keyword&gt;&lt;keyword&gt;Optimum tilt angle&lt;/keyword&gt;&lt;keyword&gt;Absorbed radiation&lt;/keyword&gt;&lt;/keywords&gt;&lt;dates&gt;&lt;year&gt;2014&lt;/year&gt;&lt;pub-dates&gt;&lt;date&gt;2014/05/01/&lt;/date&gt;&lt;/pub-dates&gt;&lt;/dates&gt;&lt;isbn&gt;0196-8904&lt;/isbn&gt;&lt;urls&gt;&lt;related-urls&gt;&lt;url&gt;http://www.sciencedirect.com/science/article/pii/S0196890414001265&lt;/url&gt;&lt;/related-urls&gt;&lt;/urls&gt;&lt;electronic-resource-num&gt;https://doi.org/10.1016/j.enconman.2014.02.016&lt;/electronic-resource-num&gt;&lt;/record&gt;&lt;/Cite&gt;&lt;/EndNote&gt;</w:instrText>
      </w:r>
      <w:r w:rsidR="002C196F" w:rsidRPr="00C90AC9">
        <w:rPr>
          <w:lang w:eastAsia="zh-CN"/>
        </w:rPr>
        <w:fldChar w:fldCharType="separate"/>
      </w:r>
      <w:r w:rsidR="002C196F" w:rsidRPr="00C90AC9">
        <w:rPr>
          <w:lang w:eastAsia="zh-CN"/>
        </w:rPr>
        <w:t>(</w:t>
      </w:r>
      <w:proofErr w:type="spellStart"/>
      <w:r w:rsidR="002C196F" w:rsidRPr="00C90AC9">
        <w:rPr>
          <w:lang w:eastAsia="zh-CN"/>
        </w:rPr>
        <w:t>Stanciu</w:t>
      </w:r>
      <w:proofErr w:type="spellEnd"/>
      <w:r w:rsidR="002C196F" w:rsidRPr="00C90AC9">
        <w:rPr>
          <w:lang w:eastAsia="zh-CN"/>
        </w:rPr>
        <w:t xml:space="preserve"> &amp; </w:t>
      </w:r>
      <w:proofErr w:type="spellStart"/>
      <w:r w:rsidR="002C196F" w:rsidRPr="00C90AC9">
        <w:rPr>
          <w:lang w:eastAsia="zh-CN"/>
        </w:rPr>
        <w:t>Stanciu</w:t>
      </w:r>
      <w:proofErr w:type="spellEnd"/>
      <w:r w:rsidR="002C196F" w:rsidRPr="00C90AC9">
        <w:rPr>
          <w:lang w:eastAsia="zh-CN"/>
        </w:rPr>
        <w:t>, 2014)</w:t>
      </w:r>
      <w:r w:rsidR="002C196F" w:rsidRPr="00C90AC9">
        <w:rPr>
          <w:lang w:eastAsia="zh-CN"/>
        </w:rPr>
        <w:fldChar w:fldCharType="end"/>
      </w:r>
      <w:r w:rsidRPr="00C90AC9">
        <w:rPr>
          <w:lang w:eastAsia="zh-CN"/>
        </w:rPr>
        <w:t xml:space="preserve"> The three models that were assessed were: the </w:t>
      </w:r>
      <w:proofErr w:type="spellStart"/>
      <w:r w:rsidRPr="00C90AC9">
        <w:rPr>
          <w:lang w:eastAsia="zh-CN"/>
        </w:rPr>
        <w:t>Hottel</w:t>
      </w:r>
      <w:proofErr w:type="spellEnd"/>
      <w:r w:rsidRPr="00C90AC9">
        <w:rPr>
          <w:lang w:eastAsia="zh-CN"/>
        </w:rPr>
        <w:t xml:space="preserve"> and Woertz model (the simplest); the Liu &amp; Jordan model which is an Isotropic diffuse model;  and the Hay–Davis–</w:t>
      </w:r>
      <w:proofErr w:type="spellStart"/>
      <w:r w:rsidRPr="00C90AC9">
        <w:rPr>
          <w:lang w:eastAsia="zh-CN"/>
        </w:rPr>
        <w:t>Klucker</w:t>
      </w:r>
      <w:proofErr w:type="spellEnd"/>
      <w:r w:rsidRPr="00C90AC9">
        <w:rPr>
          <w:lang w:eastAsia="zh-CN"/>
        </w:rPr>
        <w:t>–</w:t>
      </w:r>
      <w:proofErr w:type="spellStart"/>
      <w:r w:rsidRPr="00C90AC9">
        <w:rPr>
          <w:lang w:eastAsia="zh-CN"/>
        </w:rPr>
        <w:t>Reindl</w:t>
      </w:r>
      <w:proofErr w:type="spellEnd"/>
      <w:r w:rsidRPr="00C90AC9">
        <w:rPr>
          <w:lang w:eastAsia="zh-CN"/>
        </w:rPr>
        <w:t xml:space="preserve"> (HDKR) model. The study determined that </w:t>
      </w:r>
      <w:r w:rsidR="00257C0F" w:rsidRPr="00C90AC9">
        <w:rPr>
          <w:rFonts w:eastAsiaTheme="minorHAnsi"/>
          <w:lang w:eastAsia="en-US"/>
        </w:rPr>
        <w:t xml:space="preserve">the optimum tilt angle will vary depending on where the solar collector is located and depending on which month of the year it is. </w:t>
      </w:r>
      <w:r w:rsidR="00E76CAF" w:rsidRPr="00C90AC9">
        <w:rPr>
          <w:rFonts w:eastAsiaTheme="minorHAnsi"/>
          <w:lang w:eastAsia="en-US"/>
        </w:rPr>
        <w:t>However,</w:t>
      </w:r>
      <w:r w:rsidR="00257C0F" w:rsidRPr="00C90AC9">
        <w:rPr>
          <w:rFonts w:eastAsiaTheme="minorHAnsi"/>
          <w:lang w:eastAsia="en-US"/>
        </w:rPr>
        <w:t xml:space="preserve"> using that study as a guideline and with the location of Sheffield at a Latitude of </w:t>
      </w:r>
      <w:r w:rsidR="00257C0F" w:rsidRPr="00C90AC9">
        <w:t>53.3810 °N</w:t>
      </w:r>
      <w:r w:rsidR="00257C0F" w:rsidRPr="00C90AC9">
        <w:rPr>
          <w:rFonts w:eastAsiaTheme="minorHAnsi"/>
          <w:lang w:eastAsia="en-US"/>
        </w:rPr>
        <w:t xml:space="preserve"> </w:t>
      </w:r>
      <w:r w:rsidR="00D73E66" w:rsidRPr="00C90AC9">
        <w:rPr>
          <w:rFonts w:eastAsiaTheme="minorHAnsi"/>
          <w:lang w:eastAsia="en-US"/>
        </w:rPr>
        <w:t xml:space="preserve">it was decided that the tilt angle of the simulated collector for this study was to be set at 35 </w:t>
      </w:r>
      <w:r w:rsidR="00D73E66" w:rsidRPr="00C90AC9">
        <w:t>°</w:t>
      </w:r>
      <w:r w:rsidR="002C196F" w:rsidRPr="00C90AC9">
        <w:t xml:space="preserve"> </w:t>
      </w:r>
      <w:r w:rsidR="002C196F" w:rsidRPr="00C90AC9">
        <w:fldChar w:fldCharType="begin"/>
      </w:r>
      <w:r w:rsidR="002C196F" w:rsidRPr="00C90AC9">
        <w:instrText xml:space="preserve"> ADDIN EN.CITE &lt;EndNote&gt;&lt;Cite&gt;&lt;Author&gt;Stanciu&lt;/Author&gt;&lt;Year&gt;2014&lt;/Year&gt;&lt;RecNum&gt;223&lt;/RecNum&gt;&lt;DisplayText&gt;(Stanciu &amp;amp; Stanciu, 2014)&lt;/DisplayText&gt;&lt;record&gt;&lt;rec-number&gt;223&lt;/rec-number&gt;&lt;foreign-keys&gt;&lt;key app="EN" db-id="50wxdpzd9vd5r7e9t5b595djrfpttrxw9avp" timestamp="1525593140"&gt;223&lt;/key&gt;&lt;/foreign-keys&gt;&lt;ref-type name="Journal Article"&gt;17&lt;/ref-type&gt;&lt;contributors&gt;&lt;authors&gt;&lt;author&gt;Stanciu, Camelia&lt;/author&gt;&lt;author&gt;Stanciu, Dorin&lt;/author&gt;&lt;/authors&gt;&lt;/contributors&gt;&lt;titles&gt;&lt;title&gt;Optimum tilt angle for flat plate collectors all over the World – A declination dependence formula and comparisons of three solar radiation models&lt;/title&gt;&lt;secondary-title&gt;Energy Conversion and Management&lt;/secondary-title&gt;&lt;/titles&gt;&lt;pages&gt;133-143&lt;/pages&gt;&lt;volume&gt;81&lt;/volume&gt;&lt;keywords&gt;&lt;keyword&gt;Solar radiation&lt;/keyword&gt;&lt;keyword&gt;Flat plate collectors&lt;/keyword&gt;&lt;keyword&gt;Optimum tilt angle&lt;/keyword&gt;&lt;keyword&gt;Absorbed radiation&lt;/keyword&gt;&lt;/keywords&gt;&lt;dates&gt;&lt;year&gt;2014&lt;/year&gt;&lt;pub-dates&gt;&lt;date&gt;2014/05/01/&lt;/date&gt;&lt;/pub-dates&gt;&lt;/dates&gt;&lt;isbn&gt;0196-8904&lt;/isbn&gt;&lt;urls&gt;&lt;related-urls&gt;&lt;url&gt;http://www.sciencedirect.com/science/article/pii/S0196890414001265&lt;/url&gt;&lt;/related-urls&gt;&lt;/urls&gt;&lt;electronic-resource-num&gt;https://doi.org/10.1016/j.enconman.2014.02.016&lt;/electronic-resource-num&gt;&lt;/record&gt;&lt;/Cite&gt;&lt;/EndNote&gt;</w:instrText>
      </w:r>
      <w:r w:rsidR="002C196F" w:rsidRPr="00C90AC9">
        <w:fldChar w:fldCharType="separate"/>
      </w:r>
      <w:r w:rsidR="002C196F" w:rsidRPr="00C90AC9">
        <w:t>(Stanciu &amp; Stanciu, 2014)</w:t>
      </w:r>
      <w:r w:rsidR="002C196F" w:rsidRPr="00C90AC9">
        <w:fldChar w:fldCharType="end"/>
      </w:r>
      <w:r w:rsidR="00D73E66" w:rsidRPr="00C90AC9">
        <w:t>.</w:t>
      </w:r>
    </w:p>
    <w:p w:rsidR="007B01CA" w:rsidRPr="00C90AC9" w:rsidRDefault="007B01CA" w:rsidP="00B06779">
      <w:pPr>
        <w:pStyle w:val="BodyText"/>
        <w:rPr>
          <w:lang w:eastAsia="zh-CN"/>
        </w:rPr>
      </w:pPr>
    </w:p>
    <w:p w:rsidR="00A16B8C" w:rsidRPr="00C90AC9" w:rsidRDefault="00D73E66" w:rsidP="00B06779">
      <w:pPr>
        <w:pStyle w:val="BodyText"/>
        <w:rPr>
          <w:lang w:eastAsia="zh-CN"/>
        </w:rPr>
      </w:pPr>
      <w:r w:rsidRPr="00C90AC9">
        <w:rPr>
          <w:lang w:eastAsia="zh-CN"/>
        </w:rPr>
        <w:t>Table 2.5</w:t>
      </w:r>
      <w:r w:rsidR="00B97E46" w:rsidRPr="00C90AC9">
        <w:rPr>
          <w:lang w:eastAsia="zh-CN"/>
        </w:rPr>
        <w:t>. T</w:t>
      </w:r>
      <w:r w:rsidR="00A16B8C" w:rsidRPr="00C90AC9">
        <w:rPr>
          <w:lang w:eastAsia="zh-CN"/>
        </w:rPr>
        <w:t xml:space="preserve">he optimum tilt angle for maximum solar density, Northern hemispheres </w:t>
      </w:r>
      <w:r w:rsidR="002C196F" w:rsidRPr="00C90AC9">
        <w:rPr>
          <w:lang w:eastAsia="zh-CN"/>
        </w:rPr>
        <w:fldChar w:fldCharType="begin"/>
      </w:r>
      <w:r w:rsidR="002C196F" w:rsidRPr="00C90AC9">
        <w:rPr>
          <w:lang w:eastAsia="zh-CN"/>
        </w:rPr>
        <w:instrText xml:space="preserve"> ADDIN EN.CITE &lt;EndNote&gt;&lt;Cite&gt;&lt;Author&gt;Stanciu&lt;/Author&gt;&lt;Year&gt;2014&lt;/Year&gt;&lt;RecNum&gt;223&lt;/RecNum&gt;&lt;DisplayText&gt;(Stanciu &amp;amp; Stanciu, 2014)&lt;/DisplayText&gt;&lt;record&gt;&lt;rec-number&gt;223&lt;/rec-number&gt;&lt;foreign-keys&gt;&lt;key app="EN" db-id="50wxdpzd9vd5r7e9t5b595djrfpttrxw9avp" timestamp="1525593140"&gt;223&lt;/key&gt;&lt;/foreign-keys&gt;&lt;ref-type name="Journal Article"&gt;17&lt;/ref-type&gt;&lt;contributors&gt;&lt;authors&gt;&lt;author&gt;Stanciu, Camelia&lt;/author&gt;&lt;author&gt;Stanciu, Dorin&lt;/author&gt;&lt;/authors&gt;&lt;/contributors&gt;&lt;titles&gt;&lt;title&gt;Optimum tilt angle for flat plate collectors all over the World – A declination dependence formula and comparisons of three solar radiation models&lt;/title&gt;&lt;secondary-title&gt;Energy Conversion and Management&lt;/secondary-title&gt;&lt;/titles&gt;&lt;pages&gt;133-143&lt;/pages&gt;&lt;volume&gt;81&lt;/volume&gt;&lt;keywords&gt;&lt;keyword&gt;Solar radiation&lt;/keyword&gt;&lt;keyword&gt;Flat plate collectors&lt;/keyword&gt;&lt;keyword&gt;Optimum tilt angle&lt;/keyword&gt;&lt;keyword&gt;Absorbed radiation&lt;/keyword&gt;&lt;/keywords&gt;&lt;dates&gt;&lt;year&gt;2014&lt;/year&gt;&lt;pub-dates&gt;&lt;date&gt;2014/05/01/&lt;/date&gt;&lt;/pub-dates&gt;&lt;/dates&gt;&lt;isbn&gt;0196-8904&lt;/isbn&gt;&lt;urls&gt;&lt;related-urls&gt;&lt;url&gt;http://www.sciencedirect.com/science/article/pii/S0196890414001265&lt;/url&gt;&lt;/related-urls&gt;&lt;/urls&gt;&lt;electronic-resource-num&gt;https://doi.org/10.1016/j.enconman.2014.02.016&lt;/electronic-resource-num&gt;&lt;/record&gt;&lt;/Cite&gt;&lt;/EndNote&gt;</w:instrText>
      </w:r>
      <w:r w:rsidR="002C196F" w:rsidRPr="00C90AC9">
        <w:rPr>
          <w:lang w:eastAsia="zh-CN"/>
        </w:rPr>
        <w:fldChar w:fldCharType="separate"/>
      </w:r>
      <w:r w:rsidR="002C196F" w:rsidRPr="00C90AC9">
        <w:rPr>
          <w:lang w:eastAsia="zh-CN"/>
        </w:rPr>
        <w:t>(Stanciu &amp; Stanciu, 2014)</w:t>
      </w:r>
      <w:r w:rsidR="002C196F" w:rsidRPr="00C90AC9">
        <w:rPr>
          <w:lang w:eastAsia="zh-CN"/>
        </w:rPr>
        <w:fldChar w:fldCharType="end"/>
      </w:r>
    </w:p>
    <w:tbl>
      <w:tblPr>
        <w:tblStyle w:val="TableGrid2"/>
        <w:tblW w:w="8676" w:type="dxa"/>
        <w:tblInd w:w="108" w:type="dxa"/>
        <w:tblLayout w:type="fixed"/>
        <w:tblLook w:val="04A0" w:firstRow="1" w:lastRow="0" w:firstColumn="1" w:lastColumn="0" w:noHBand="0" w:noVBand="1"/>
      </w:tblPr>
      <w:tblGrid>
        <w:gridCol w:w="1701"/>
        <w:gridCol w:w="851"/>
        <w:gridCol w:w="567"/>
        <w:gridCol w:w="822"/>
        <w:gridCol w:w="782"/>
        <w:gridCol w:w="1077"/>
        <w:gridCol w:w="896"/>
        <w:gridCol w:w="1077"/>
        <w:gridCol w:w="903"/>
      </w:tblGrid>
      <w:tr w:rsidR="00A16B8C" w:rsidRPr="00C90AC9" w:rsidTr="009D65E9">
        <w:trPr>
          <w:trHeight w:val="374"/>
        </w:trPr>
        <w:tc>
          <w:tcPr>
            <w:tcW w:w="1701" w:type="dxa"/>
            <w:vMerge w:val="restart"/>
            <w:vAlign w:val="center"/>
          </w:tcPr>
          <w:p w:rsidR="00A16B8C" w:rsidRPr="00C90AC9" w:rsidRDefault="00A16B8C" w:rsidP="00C0462B">
            <w:pPr>
              <w:jc w:val="center"/>
              <w:rPr>
                <w:lang w:eastAsia="zh-CN"/>
              </w:rPr>
            </w:pPr>
            <w:r w:rsidRPr="00C90AC9">
              <w:rPr>
                <w:lang w:eastAsia="zh-CN"/>
              </w:rPr>
              <w:t>Latitude (°N)</w:t>
            </w:r>
          </w:p>
        </w:tc>
        <w:tc>
          <w:tcPr>
            <w:tcW w:w="1418" w:type="dxa"/>
            <w:gridSpan w:val="2"/>
            <w:vAlign w:val="bottom"/>
          </w:tcPr>
          <w:p w:rsidR="00A16B8C" w:rsidRPr="00C90AC9" w:rsidRDefault="00A16B8C" w:rsidP="00C60B9C">
            <w:pPr>
              <w:jc w:val="center"/>
              <w:rPr>
                <w:lang w:eastAsia="zh-CN"/>
              </w:rPr>
            </w:pPr>
            <w:r w:rsidRPr="00C90AC9">
              <w:rPr>
                <w:lang w:eastAsia="zh-CN"/>
              </w:rPr>
              <w:t>June 21</w:t>
            </w:r>
            <w:r w:rsidRPr="00C90AC9">
              <w:rPr>
                <w:vertAlign w:val="superscript"/>
                <w:lang w:eastAsia="zh-CN"/>
              </w:rPr>
              <w:t>st</w:t>
            </w:r>
          </w:p>
        </w:tc>
        <w:tc>
          <w:tcPr>
            <w:tcW w:w="1604" w:type="dxa"/>
            <w:gridSpan w:val="2"/>
            <w:vAlign w:val="bottom"/>
          </w:tcPr>
          <w:p w:rsidR="00A16B8C" w:rsidRPr="00C90AC9" w:rsidRDefault="00A16B8C" w:rsidP="00C60B9C">
            <w:pPr>
              <w:jc w:val="center"/>
              <w:rPr>
                <w:lang w:eastAsia="zh-CN"/>
              </w:rPr>
            </w:pPr>
            <w:r w:rsidRPr="00C90AC9">
              <w:rPr>
                <w:lang w:eastAsia="zh-CN"/>
              </w:rPr>
              <w:t>March 21</w:t>
            </w:r>
            <w:r w:rsidRPr="00C90AC9">
              <w:rPr>
                <w:vertAlign w:val="superscript"/>
                <w:lang w:eastAsia="zh-CN"/>
              </w:rPr>
              <w:t>st</w:t>
            </w:r>
          </w:p>
        </w:tc>
        <w:tc>
          <w:tcPr>
            <w:tcW w:w="1973" w:type="dxa"/>
            <w:gridSpan w:val="2"/>
            <w:vAlign w:val="bottom"/>
          </w:tcPr>
          <w:p w:rsidR="00A16B8C" w:rsidRPr="00C90AC9" w:rsidRDefault="00A16B8C" w:rsidP="00C60B9C">
            <w:pPr>
              <w:jc w:val="center"/>
              <w:rPr>
                <w:lang w:eastAsia="zh-CN"/>
              </w:rPr>
            </w:pPr>
            <w:r w:rsidRPr="00C90AC9">
              <w:rPr>
                <w:lang w:eastAsia="zh-CN"/>
              </w:rPr>
              <w:t>September 21</w:t>
            </w:r>
            <w:r w:rsidRPr="00C90AC9">
              <w:rPr>
                <w:vertAlign w:val="superscript"/>
                <w:lang w:eastAsia="zh-CN"/>
              </w:rPr>
              <w:t>st</w:t>
            </w:r>
          </w:p>
        </w:tc>
        <w:tc>
          <w:tcPr>
            <w:tcW w:w="1980" w:type="dxa"/>
            <w:gridSpan w:val="2"/>
            <w:vAlign w:val="bottom"/>
          </w:tcPr>
          <w:p w:rsidR="00A16B8C" w:rsidRPr="00C90AC9" w:rsidRDefault="00A16B8C" w:rsidP="00C60B9C">
            <w:pPr>
              <w:jc w:val="center"/>
              <w:rPr>
                <w:lang w:eastAsia="zh-CN"/>
              </w:rPr>
            </w:pPr>
            <w:r w:rsidRPr="00C90AC9">
              <w:rPr>
                <w:lang w:eastAsia="zh-CN"/>
              </w:rPr>
              <w:t>December 21</w:t>
            </w:r>
            <w:r w:rsidRPr="00C90AC9">
              <w:rPr>
                <w:vertAlign w:val="superscript"/>
                <w:lang w:eastAsia="zh-CN"/>
              </w:rPr>
              <w:t>st</w:t>
            </w:r>
          </w:p>
        </w:tc>
      </w:tr>
      <w:tr w:rsidR="00A16B8C" w:rsidRPr="00C90AC9" w:rsidTr="009D65E9">
        <w:tc>
          <w:tcPr>
            <w:tcW w:w="1701" w:type="dxa"/>
            <w:vMerge/>
            <w:tcBorders>
              <w:bottom w:val="double" w:sz="4" w:space="0" w:color="auto"/>
            </w:tcBorders>
          </w:tcPr>
          <w:p w:rsidR="00A16B8C" w:rsidRPr="00C90AC9" w:rsidRDefault="00A16B8C" w:rsidP="00C60B9C">
            <w:pPr>
              <w:jc w:val="center"/>
              <w:rPr>
                <w:lang w:eastAsia="zh-CN"/>
              </w:rPr>
            </w:pPr>
          </w:p>
        </w:tc>
        <w:tc>
          <w:tcPr>
            <w:tcW w:w="851" w:type="dxa"/>
            <w:tcBorders>
              <w:bottom w:val="double" w:sz="4" w:space="0" w:color="auto"/>
            </w:tcBorders>
            <w:vAlign w:val="center"/>
          </w:tcPr>
          <w:p w:rsidR="00A16B8C" w:rsidRPr="00C90AC9" w:rsidRDefault="00A16B8C" w:rsidP="00C60B9C">
            <w:pPr>
              <w:jc w:val="center"/>
              <w:rPr>
                <w:vertAlign w:val="superscript"/>
                <w:lang w:eastAsia="zh-CN"/>
              </w:rPr>
            </w:pPr>
            <w:r w:rsidRPr="00C90AC9">
              <w:rPr>
                <w:lang w:eastAsia="zh-CN"/>
              </w:rPr>
              <w:t>max (</w:t>
            </w:r>
            <w:proofErr w:type="spellStart"/>
            <w:r w:rsidRPr="00C90AC9">
              <w:rPr>
                <w:lang w:eastAsia="zh-CN"/>
              </w:rPr>
              <w:t>G</w:t>
            </w:r>
            <w:r w:rsidRPr="00C90AC9">
              <w:rPr>
                <w:vertAlign w:val="subscript"/>
                <w:lang w:eastAsia="zh-CN"/>
              </w:rPr>
              <w:t>tTMAX</w:t>
            </w:r>
            <w:proofErr w:type="spellEnd"/>
            <w:r w:rsidRPr="00C90AC9">
              <w:rPr>
                <w:vertAlign w:val="subscript"/>
                <w:lang w:eastAsia="zh-CN"/>
              </w:rPr>
              <w:t>)</w:t>
            </w:r>
            <w:r w:rsidRPr="00C90AC9">
              <w:rPr>
                <w:lang w:eastAsia="zh-CN"/>
              </w:rPr>
              <w:t xml:space="preserve"> (W/m</w:t>
            </w:r>
            <w:r w:rsidRPr="00C90AC9">
              <w:rPr>
                <w:vertAlign w:val="superscript"/>
                <w:lang w:eastAsia="zh-CN"/>
              </w:rPr>
              <w:t>2</w:t>
            </w:r>
          </w:p>
        </w:tc>
        <w:tc>
          <w:tcPr>
            <w:tcW w:w="567" w:type="dxa"/>
            <w:tcBorders>
              <w:bottom w:val="double" w:sz="4" w:space="0" w:color="auto"/>
            </w:tcBorders>
            <w:vAlign w:val="center"/>
          </w:tcPr>
          <w:p w:rsidR="00A16B8C" w:rsidRPr="00C90AC9" w:rsidRDefault="00A16B8C" w:rsidP="00C60B9C">
            <w:pPr>
              <w:jc w:val="center"/>
              <w:rPr>
                <w:vertAlign w:val="subscript"/>
                <w:lang w:eastAsia="zh-CN"/>
              </w:rPr>
            </w:pPr>
            <w:r w:rsidRPr="00C90AC9">
              <w:rPr>
                <w:lang w:eastAsia="zh-CN"/>
              </w:rPr>
              <w:t>Β</w:t>
            </w:r>
            <w:r w:rsidRPr="00C90AC9">
              <w:rPr>
                <w:vertAlign w:val="subscript"/>
                <w:lang w:eastAsia="zh-CN"/>
              </w:rPr>
              <w:t xml:space="preserve">OPT </w:t>
            </w:r>
            <w:r w:rsidRPr="00C90AC9">
              <w:rPr>
                <w:lang w:eastAsia="zh-CN"/>
              </w:rPr>
              <w:t>(°)</w:t>
            </w:r>
          </w:p>
        </w:tc>
        <w:tc>
          <w:tcPr>
            <w:tcW w:w="822" w:type="dxa"/>
            <w:tcBorders>
              <w:bottom w:val="double" w:sz="4" w:space="0" w:color="auto"/>
            </w:tcBorders>
            <w:vAlign w:val="center"/>
          </w:tcPr>
          <w:p w:rsidR="00A16B8C" w:rsidRPr="00C90AC9" w:rsidRDefault="00A16B8C" w:rsidP="00C60B9C">
            <w:pPr>
              <w:jc w:val="center"/>
              <w:rPr>
                <w:vertAlign w:val="superscript"/>
                <w:lang w:eastAsia="zh-CN"/>
              </w:rPr>
            </w:pPr>
            <w:r w:rsidRPr="00C90AC9">
              <w:rPr>
                <w:lang w:eastAsia="zh-CN"/>
              </w:rPr>
              <w:t>max (</w:t>
            </w:r>
            <w:proofErr w:type="spellStart"/>
            <w:r w:rsidRPr="00C90AC9">
              <w:rPr>
                <w:lang w:eastAsia="zh-CN"/>
              </w:rPr>
              <w:t>G</w:t>
            </w:r>
            <w:r w:rsidRPr="00C90AC9">
              <w:rPr>
                <w:vertAlign w:val="subscript"/>
                <w:lang w:eastAsia="zh-CN"/>
              </w:rPr>
              <w:t>tTMAX</w:t>
            </w:r>
            <w:proofErr w:type="spellEnd"/>
            <w:r w:rsidRPr="00C90AC9">
              <w:rPr>
                <w:vertAlign w:val="subscript"/>
                <w:lang w:eastAsia="zh-CN"/>
              </w:rPr>
              <w:t>)</w:t>
            </w:r>
            <w:r w:rsidRPr="00C90AC9">
              <w:rPr>
                <w:lang w:eastAsia="zh-CN"/>
              </w:rPr>
              <w:t xml:space="preserve"> (W/m</w:t>
            </w:r>
            <w:r w:rsidRPr="00C90AC9">
              <w:rPr>
                <w:vertAlign w:val="superscript"/>
                <w:lang w:eastAsia="zh-CN"/>
              </w:rPr>
              <w:t>2</w:t>
            </w:r>
          </w:p>
        </w:tc>
        <w:tc>
          <w:tcPr>
            <w:tcW w:w="782" w:type="dxa"/>
            <w:tcBorders>
              <w:bottom w:val="double" w:sz="4" w:space="0" w:color="auto"/>
            </w:tcBorders>
            <w:vAlign w:val="center"/>
          </w:tcPr>
          <w:p w:rsidR="00A16B8C" w:rsidRPr="00C90AC9" w:rsidRDefault="00A16B8C" w:rsidP="00C60B9C">
            <w:pPr>
              <w:jc w:val="center"/>
              <w:rPr>
                <w:vertAlign w:val="subscript"/>
                <w:lang w:eastAsia="zh-CN"/>
              </w:rPr>
            </w:pPr>
            <w:r w:rsidRPr="00C90AC9">
              <w:rPr>
                <w:lang w:eastAsia="zh-CN"/>
              </w:rPr>
              <w:t>Β</w:t>
            </w:r>
            <w:r w:rsidRPr="00C90AC9">
              <w:rPr>
                <w:vertAlign w:val="subscript"/>
                <w:lang w:eastAsia="zh-CN"/>
              </w:rPr>
              <w:t xml:space="preserve">OPT </w:t>
            </w:r>
            <w:r w:rsidRPr="00C90AC9">
              <w:rPr>
                <w:lang w:eastAsia="zh-CN"/>
              </w:rPr>
              <w:t>(°)</w:t>
            </w:r>
          </w:p>
        </w:tc>
        <w:tc>
          <w:tcPr>
            <w:tcW w:w="1077" w:type="dxa"/>
            <w:tcBorders>
              <w:bottom w:val="double" w:sz="4" w:space="0" w:color="auto"/>
            </w:tcBorders>
            <w:vAlign w:val="center"/>
          </w:tcPr>
          <w:p w:rsidR="00A16B8C" w:rsidRPr="00C90AC9" w:rsidRDefault="00A16B8C" w:rsidP="00C60B9C">
            <w:pPr>
              <w:jc w:val="center"/>
              <w:rPr>
                <w:vertAlign w:val="superscript"/>
                <w:lang w:eastAsia="zh-CN"/>
              </w:rPr>
            </w:pPr>
            <w:r w:rsidRPr="00C90AC9">
              <w:rPr>
                <w:lang w:eastAsia="zh-CN"/>
              </w:rPr>
              <w:t>max (</w:t>
            </w:r>
            <w:proofErr w:type="spellStart"/>
            <w:r w:rsidRPr="00C90AC9">
              <w:rPr>
                <w:lang w:eastAsia="zh-CN"/>
              </w:rPr>
              <w:t>G</w:t>
            </w:r>
            <w:r w:rsidRPr="00C90AC9">
              <w:rPr>
                <w:vertAlign w:val="subscript"/>
                <w:lang w:eastAsia="zh-CN"/>
              </w:rPr>
              <w:t>tTMAX</w:t>
            </w:r>
            <w:proofErr w:type="spellEnd"/>
            <w:r w:rsidRPr="00C90AC9">
              <w:rPr>
                <w:vertAlign w:val="subscript"/>
                <w:lang w:eastAsia="zh-CN"/>
              </w:rPr>
              <w:t>)</w:t>
            </w:r>
            <w:r w:rsidRPr="00C90AC9">
              <w:rPr>
                <w:lang w:eastAsia="zh-CN"/>
              </w:rPr>
              <w:t xml:space="preserve"> (W/m</w:t>
            </w:r>
            <w:r w:rsidRPr="00C90AC9">
              <w:rPr>
                <w:vertAlign w:val="superscript"/>
                <w:lang w:eastAsia="zh-CN"/>
              </w:rPr>
              <w:t>2</w:t>
            </w:r>
          </w:p>
        </w:tc>
        <w:tc>
          <w:tcPr>
            <w:tcW w:w="896" w:type="dxa"/>
            <w:tcBorders>
              <w:bottom w:val="double" w:sz="4" w:space="0" w:color="auto"/>
            </w:tcBorders>
            <w:vAlign w:val="center"/>
          </w:tcPr>
          <w:p w:rsidR="00A16B8C" w:rsidRPr="00C90AC9" w:rsidRDefault="00A16B8C" w:rsidP="00C60B9C">
            <w:pPr>
              <w:jc w:val="center"/>
              <w:rPr>
                <w:vertAlign w:val="subscript"/>
                <w:lang w:eastAsia="zh-CN"/>
              </w:rPr>
            </w:pPr>
            <w:r w:rsidRPr="00C90AC9">
              <w:rPr>
                <w:lang w:eastAsia="zh-CN"/>
              </w:rPr>
              <w:t>Β</w:t>
            </w:r>
            <w:r w:rsidRPr="00C90AC9">
              <w:rPr>
                <w:vertAlign w:val="subscript"/>
                <w:lang w:eastAsia="zh-CN"/>
              </w:rPr>
              <w:t xml:space="preserve">OPT </w:t>
            </w:r>
            <w:r w:rsidRPr="00C90AC9">
              <w:rPr>
                <w:lang w:eastAsia="zh-CN"/>
              </w:rPr>
              <w:t>(°)</w:t>
            </w:r>
          </w:p>
        </w:tc>
        <w:tc>
          <w:tcPr>
            <w:tcW w:w="1077" w:type="dxa"/>
            <w:tcBorders>
              <w:bottom w:val="double" w:sz="4" w:space="0" w:color="auto"/>
            </w:tcBorders>
            <w:vAlign w:val="center"/>
          </w:tcPr>
          <w:p w:rsidR="00A16B8C" w:rsidRPr="00C90AC9" w:rsidRDefault="00A16B8C" w:rsidP="00C60B9C">
            <w:pPr>
              <w:jc w:val="center"/>
              <w:rPr>
                <w:vertAlign w:val="superscript"/>
                <w:lang w:eastAsia="zh-CN"/>
              </w:rPr>
            </w:pPr>
            <w:r w:rsidRPr="00C90AC9">
              <w:rPr>
                <w:lang w:eastAsia="zh-CN"/>
              </w:rPr>
              <w:t>max (</w:t>
            </w:r>
            <w:proofErr w:type="spellStart"/>
            <w:r w:rsidRPr="00C90AC9">
              <w:rPr>
                <w:lang w:eastAsia="zh-CN"/>
              </w:rPr>
              <w:t>G</w:t>
            </w:r>
            <w:r w:rsidRPr="00C90AC9">
              <w:rPr>
                <w:vertAlign w:val="subscript"/>
                <w:lang w:eastAsia="zh-CN"/>
              </w:rPr>
              <w:t>tTMAX</w:t>
            </w:r>
            <w:proofErr w:type="spellEnd"/>
            <w:r w:rsidRPr="00C90AC9">
              <w:rPr>
                <w:vertAlign w:val="subscript"/>
                <w:lang w:eastAsia="zh-CN"/>
              </w:rPr>
              <w:t>)</w:t>
            </w:r>
            <w:r w:rsidRPr="00C90AC9">
              <w:rPr>
                <w:lang w:eastAsia="zh-CN"/>
              </w:rPr>
              <w:t xml:space="preserve"> (W/m</w:t>
            </w:r>
            <w:r w:rsidRPr="00C90AC9">
              <w:rPr>
                <w:vertAlign w:val="superscript"/>
                <w:lang w:eastAsia="zh-CN"/>
              </w:rPr>
              <w:t>2</w:t>
            </w:r>
          </w:p>
        </w:tc>
        <w:tc>
          <w:tcPr>
            <w:tcW w:w="903" w:type="dxa"/>
            <w:tcBorders>
              <w:bottom w:val="double" w:sz="4" w:space="0" w:color="auto"/>
            </w:tcBorders>
            <w:vAlign w:val="center"/>
          </w:tcPr>
          <w:p w:rsidR="00A16B8C" w:rsidRPr="00C90AC9" w:rsidRDefault="00A16B8C" w:rsidP="00C60B9C">
            <w:pPr>
              <w:jc w:val="center"/>
              <w:rPr>
                <w:vertAlign w:val="subscript"/>
                <w:lang w:eastAsia="zh-CN"/>
              </w:rPr>
            </w:pPr>
            <w:r w:rsidRPr="00C90AC9">
              <w:rPr>
                <w:lang w:eastAsia="zh-CN"/>
              </w:rPr>
              <w:t>Β</w:t>
            </w:r>
            <w:r w:rsidRPr="00C90AC9">
              <w:rPr>
                <w:vertAlign w:val="subscript"/>
                <w:lang w:eastAsia="zh-CN"/>
              </w:rPr>
              <w:t xml:space="preserve">OPT </w:t>
            </w:r>
            <w:r w:rsidRPr="00C90AC9">
              <w:rPr>
                <w:lang w:eastAsia="zh-CN"/>
              </w:rPr>
              <w:t>(°)</w:t>
            </w:r>
          </w:p>
        </w:tc>
      </w:tr>
      <w:tr w:rsidR="00A16B8C" w:rsidRPr="00C90AC9" w:rsidTr="009D65E9">
        <w:trPr>
          <w:trHeight w:hRule="exact" w:val="340"/>
        </w:trPr>
        <w:tc>
          <w:tcPr>
            <w:tcW w:w="1701" w:type="dxa"/>
            <w:tcBorders>
              <w:top w:val="double" w:sz="4" w:space="0" w:color="auto"/>
            </w:tcBorders>
            <w:vAlign w:val="center"/>
          </w:tcPr>
          <w:p w:rsidR="00A16B8C" w:rsidRPr="00C90AC9" w:rsidRDefault="00A16B8C" w:rsidP="00C60B9C">
            <w:pPr>
              <w:jc w:val="center"/>
              <w:rPr>
                <w:lang w:eastAsia="zh-CN"/>
              </w:rPr>
            </w:pPr>
            <w:r w:rsidRPr="00C90AC9">
              <w:rPr>
                <w:lang w:eastAsia="zh-CN"/>
              </w:rPr>
              <w:t>0</w:t>
            </w:r>
          </w:p>
        </w:tc>
        <w:tc>
          <w:tcPr>
            <w:tcW w:w="851" w:type="dxa"/>
            <w:tcBorders>
              <w:top w:val="double" w:sz="4" w:space="0" w:color="auto"/>
            </w:tcBorders>
            <w:vAlign w:val="center"/>
          </w:tcPr>
          <w:p w:rsidR="00A16B8C" w:rsidRPr="00C90AC9" w:rsidRDefault="00A16B8C" w:rsidP="00C60B9C">
            <w:pPr>
              <w:jc w:val="center"/>
              <w:rPr>
                <w:lang w:eastAsia="zh-CN"/>
              </w:rPr>
            </w:pPr>
            <w:r w:rsidRPr="00C90AC9">
              <w:rPr>
                <w:lang w:eastAsia="zh-CN"/>
              </w:rPr>
              <w:t>852.600</w:t>
            </w:r>
          </w:p>
        </w:tc>
        <w:tc>
          <w:tcPr>
            <w:tcW w:w="567" w:type="dxa"/>
            <w:tcBorders>
              <w:top w:val="double" w:sz="4" w:space="0" w:color="auto"/>
            </w:tcBorders>
            <w:vAlign w:val="center"/>
          </w:tcPr>
          <w:p w:rsidR="00A16B8C" w:rsidRPr="00C90AC9" w:rsidRDefault="00A16B8C" w:rsidP="00C60B9C">
            <w:pPr>
              <w:jc w:val="center"/>
              <w:rPr>
                <w:lang w:eastAsia="zh-CN"/>
              </w:rPr>
            </w:pPr>
            <w:r w:rsidRPr="00C90AC9">
              <w:rPr>
                <w:lang w:eastAsia="zh-CN"/>
              </w:rPr>
              <w:t>0</w:t>
            </w:r>
          </w:p>
        </w:tc>
        <w:tc>
          <w:tcPr>
            <w:tcW w:w="822" w:type="dxa"/>
            <w:tcBorders>
              <w:top w:val="double" w:sz="4" w:space="0" w:color="auto"/>
            </w:tcBorders>
            <w:vAlign w:val="center"/>
          </w:tcPr>
          <w:p w:rsidR="00A16B8C" w:rsidRPr="00C90AC9" w:rsidRDefault="00A16B8C" w:rsidP="00C60B9C">
            <w:pPr>
              <w:jc w:val="center"/>
              <w:rPr>
                <w:lang w:eastAsia="zh-CN"/>
              </w:rPr>
            </w:pPr>
            <w:r w:rsidRPr="00C90AC9">
              <w:rPr>
                <w:lang w:eastAsia="zh-CN"/>
              </w:rPr>
              <w:t>983.237</w:t>
            </w:r>
          </w:p>
        </w:tc>
        <w:tc>
          <w:tcPr>
            <w:tcW w:w="782" w:type="dxa"/>
            <w:tcBorders>
              <w:top w:val="double" w:sz="4" w:space="0" w:color="auto"/>
            </w:tcBorders>
            <w:vAlign w:val="center"/>
          </w:tcPr>
          <w:p w:rsidR="00A16B8C" w:rsidRPr="00C90AC9" w:rsidRDefault="00A16B8C" w:rsidP="00C60B9C">
            <w:pPr>
              <w:jc w:val="center"/>
              <w:rPr>
                <w:lang w:eastAsia="zh-CN"/>
              </w:rPr>
            </w:pPr>
            <w:r w:rsidRPr="00C90AC9">
              <w:rPr>
                <w:lang w:eastAsia="zh-CN"/>
              </w:rPr>
              <w:t>0</w:t>
            </w:r>
          </w:p>
        </w:tc>
        <w:tc>
          <w:tcPr>
            <w:tcW w:w="1077" w:type="dxa"/>
            <w:tcBorders>
              <w:top w:val="double" w:sz="4" w:space="0" w:color="auto"/>
            </w:tcBorders>
            <w:vAlign w:val="center"/>
          </w:tcPr>
          <w:p w:rsidR="00A16B8C" w:rsidRPr="00C90AC9" w:rsidRDefault="00A16B8C" w:rsidP="00C60B9C">
            <w:pPr>
              <w:jc w:val="center"/>
              <w:rPr>
                <w:lang w:eastAsia="zh-CN"/>
              </w:rPr>
            </w:pPr>
            <w:r w:rsidRPr="00C90AC9">
              <w:rPr>
                <w:lang w:eastAsia="zh-CN"/>
              </w:rPr>
              <w:t>971.667</w:t>
            </w:r>
          </w:p>
        </w:tc>
        <w:tc>
          <w:tcPr>
            <w:tcW w:w="896" w:type="dxa"/>
            <w:tcBorders>
              <w:top w:val="double" w:sz="4" w:space="0" w:color="auto"/>
            </w:tcBorders>
            <w:vAlign w:val="center"/>
          </w:tcPr>
          <w:p w:rsidR="00A16B8C" w:rsidRPr="00C90AC9" w:rsidRDefault="00A16B8C" w:rsidP="00C60B9C">
            <w:pPr>
              <w:jc w:val="center"/>
              <w:rPr>
                <w:lang w:eastAsia="zh-CN"/>
              </w:rPr>
            </w:pPr>
            <w:r w:rsidRPr="00C90AC9">
              <w:rPr>
                <w:lang w:eastAsia="zh-CN"/>
              </w:rPr>
              <w:t>0</w:t>
            </w:r>
          </w:p>
        </w:tc>
        <w:tc>
          <w:tcPr>
            <w:tcW w:w="1077" w:type="dxa"/>
            <w:tcBorders>
              <w:top w:val="double" w:sz="4" w:space="0" w:color="auto"/>
            </w:tcBorders>
            <w:vAlign w:val="center"/>
          </w:tcPr>
          <w:p w:rsidR="00A16B8C" w:rsidRPr="00C90AC9" w:rsidRDefault="00A16B8C" w:rsidP="00C60B9C">
            <w:pPr>
              <w:jc w:val="center"/>
              <w:rPr>
                <w:lang w:eastAsia="zh-CN"/>
              </w:rPr>
            </w:pPr>
            <w:r w:rsidRPr="00C90AC9">
              <w:rPr>
                <w:lang w:eastAsia="zh-CN"/>
              </w:rPr>
              <w:t>1004.15</w:t>
            </w:r>
          </w:p>
        </w:tc>
        <w:tc>
          <w:tcPr>
            <w:tcW w:w="903" w:type="dxa"/>
            <w:tcBorders>
              <w:top w:val="double" w:sz="4" w:space="0" w:color="auto"/>
            </w:tcBorders>
            <w:vAlign w:val="center"/>
          </w:tcPr>
          <w:p w:rsidR="00A16B8C" w:rsidRPr="00C90AC9" w:rsidRDefault="00A16B8C" w:rsidP="00C60B9C">
            <w:pPr>
              <w:jc w:val="center"/>
              <w:rPr>
                <w:lang w:eastAsia="zh-CN"/>
              </w:rPr>
            </w:pPr>
            <w:r w:rsidRPr="00C90AC9">
              <w:rPr>
                <w:lang w:eastAsia="zh-CN"/>
              </w:rPr>
              <w:t>80</w:t>
            </w:r>
          </w:p>
        </w:tc>
      </w:tr>
      <w:tr w:rsidR="00A16B8C" w:rsidRPr="00C90AC9" w:rsidTr="009D65E9">
        <w:trPr>
          <w:trHeight w:hRule="exact" w:val="340"/>
        </w:trPr>
        <w:tc>
          <w:tcPr>
            <w:tcW w:w="1701" w:type="dxa"/>
            <w:vAlign w:val="center"/>
          </w:tcPr>
          <w:p w:rsidR="00A16B8C" w:rsidRPr="00C90AC9" w:rsidRDefault="00A16B8C" w:rsidP="00C60B9C">
            <w:pPr>
              <w:jc w:val="center"/>
              <w:rPr>
                <w:lang w:eastAsia="zh-CN"/>
              </w:rPr>
            </w:pPr>
            <w:r w:rsidRPr="00C90AC9">
              <w:rPr>
                <w:lang w:eastAsia="zh-CN"/>
              </w:rPr>
              <w:t>10</w:t>
            </w:r>
          </w:p>
        </w:tc>
        <w:tc>
          <w:tcPr>
            <w:tcW w:w="851" w:type="dxa"/>
            <w:vAlign w:val="center"/>
          </w:tcPr>
          <w:p w:rsidR="00A16B8C" w:rsidRPr="00C90AC9" w:rsidRDefault="00A16B8C" w:rsidP="00C60B9C">
            <w:pPr>
              <w:jc w:val="center"/>
              <w:rPr>
                <w:lang w:eastAsia="zh-CN"/>
              </w:rPr>
            </w:pPr>
            <w:r w:rsidRPr="00C90AC9">
              <w:rPr>
                <w:lang w:eastAsia="zh-CN"/>
              </w:rPr>
              <w:t>914.487</w:t>
            </w:r>
          </w:p>
        </w:tc>
        <w:tc>
          <w:tcPr>
            <w:tcW w:w="567" w:type="dxa"/>
            <w:vAlign w:val="center"/>
          </w:tcPr>
          <w:p w:rsidR="00A16B8C" w:rsidRPr="00C90AC9" w:rsidRDefault="00A16B8C" w:rsidP="00C60B9C">
            <w:pPr>
              <w:jc w:val="center"/>
              <w:rPr>
                <w:lang w:eastAsia="zh-CN"/>
              </w:rPr>
            </w:pPr>
            <w:r w:rsidRPr="00C90AC9">
              <w:rPr>
                <w:lang w:eastAsia="zh-CN"/>
              </w:rPr>
              <w:t>0</w:t>
            </w:r>
          </w:p>
        </w:tc>
        <w:tc>
          <w:tcPr>
            <w:tcW w:w="822" w:type="dxa"/>
            <w:vAlign w:val="center"/>
          </w:tcPr>
          <w:p w:rsidR="00A16B8C" w:rsidRPr="00C90AC9" w:rsidRDefault="00A16B8C" w:rsidP="00C60B9C">
            <w:pPr>
              <w:jc w:val="center"/>
              <w:rPr>
                <w:lang w:eastAsia="zh-CN"/>
              </w:rPr>
            </w:pPr>
            <w:r w:rsidRPr="00C90AC9">
              <w:rPr>
                <w:lang w:eastAsia="zh-CN"/>
              </w:rPr>
              <w:t>981.64</w:t>
            </w:r>
          </w:p>
        </w:tc>
        <w:tc>
          <w:tcPr>
            <w:tcW w:w="782" w:type="dxa"/>
            <w:vAlign w:val="center"/>
          </w:tcPr>
          <w:p w:rsidR="00A16B8C" w:rsidRPr="00C90AC9" w:rsidRDefault="00A16B8C" w:rsidP="00C60B9C">
            <w:pPr>
              <w:jc w:val="center"/>
              <w:rPr>
                <w:lang w:eastAsia="zh-CN"/>
              </w:rPr>
            </w:pPr>
            <w:r w:rsidRPr="00C90AC9">
              <w:rPr>
                <w:lang w:eastAsia="zh-CN"/>
              </w:rPr>
              <w:t>14</w:t>
            </w:r>
          </w:p>
        </w:tc>
        <w:tc>
          <w:tcPr>
            <w:tcW w:w="1077" w:type="dxa"/>
            <w:vAlign w:val="center"/>
          </w:tcPr>
          <w:p w:rsidR="00A16B8C" w:rsidRPr="00C90AC9" w:rsidRDefault="00A16B8C" w:rsidP="00C60B9C">
            <w:pPr>
              <w:jc w:val="center"/>
              <w:rPr>
                <w:lang w:eastAsia="zh-CN"/>
              </w:rPr>
            </w:pPr>
            <w:r w:rsidRPr="00C90AC9">
              <w:rPr>
                <w:lang w:eastAsia="zh-CN"/>
              </w:rPr>
              <w:t>970.282</w:t>
            </w:r>
          </w:p>
        </w:tc>
        <w:tc>
          <w:tcPr>
            <w:tcW w:w="896" w:type="dxa"/>
            <w:vAlign w:val="center"/>
          </w:tcPr>
          <w:p w:rsidR="00A16B8C" w:rsidRPr="00C90AC9" w:rsidRDefault="00A16B8C" w:rsidP="00C60B9C">
            <w:pPr>
              <w:jc w:val="center"/>
              <w:rPr>
                <w:lang w:eastAsia="zh-CN"/>
              </w:rPr>
            </w:pPr>
            <w:r w:rsidRPr="00C90AC9">
              <w:rPr>
                <w:lang w:eastAsia="zh-CN"/>
              </w:rPr>
              <w:t>14</w:t>
            </w:r>
          </w:p>
        </w:tc>
        <w:tc>
          <w:tcPr>
            <w:tcW w:w="1077" w:type="dxa"/>
            <w:vAlign w:val="center"/>
          </w:tcPr>
          <w:p w:rsidR="00A16B8C" w:rsidRPr="00C90AC9" w:rsidRDefault="00A16B8C" w:rsidP="00C60B9C">
            <w:pPr>
              <w:jc w:val="center"/>
              <w:rPr>
                <w:lang w:eastAsia="zh-CN"/>
              </w:rPr>
            </w:pPr>
            <w:r w:rsidRPr="00C90AC9">
              <w:rPr>
                <w:lang w:eastAsia="zh-CN"/>
              </w:rPr>
              <w:t>987.386</w:t>
            </w:r>
          </w:p>
        </w:tc>
        <w:tc>
          <w:tcPr>
            <w:tcW w:w="903" w:type="dxa"/>
            <w:vAlign w:val="center"/>
          </w:tcPr>
          <w:p w:rsidR="00A16B8C" w:rsidRPr="00C90AC9" w:rsidRDefault="00A16B8C" w:rsidP="00C60B9C">
            <w:pPr>
              <w:jc w:val="center"/>
              <w:rPr>
                <w:lang w:eastAsia="zh-CN"/>
              </w:rPr>
            </w:pPr>
            <w:r w:rsidRPr="00C90AC9">
              <w:rPr>
                <w:lang w:eastAsia="zh-CN"/>
              </w:rPr>
              <w:t>42</w:t>
            </w:r>
          </w:p>
        </w:tc>
      </w:tr>
      <w:tr w:rsidR="00A16B8C" w:rsidRPr="00C90AC9" w:rsidTr="009D65E9">
        <w:trPr>
          <w:trHeight w:hRule="exact" w:val="340"/>
        </w:trPr>
        <w:tc>
          <w:tcPr>
            <w:tcW w:w="1701" w:type="dxa"/>
            <w:vAlign w:val="center"/>
          </w:tcPr>
          <w:p w:rsidR="00A16B8C" w:rsidRPr="00C90AC9" w:rsidRDefault="00A16B8C" w:rsidP="00C60B9C">
            <w:pPr>
              <w:jc w:val="center"/>
              <w:rPr>
                <w:lang w:eastAsia="zh-CN"/>
              </w:rPr>
            </w:pPr>
            <w:r w:rsidRPr="00C90AC9">
              <w:rPr>
                <w:lang w:eastAsia="zh-CN"/>
              </w:rPr>
              <w:t>23.27</w:t>
            </w:r>
          </w:p>
        </w:tc>
        <w:tc>
          <w:tcPr>
            <w:tcW w:w="851" w:type="dxa"/>
            <w:vAlign w:val="center"/>
          </w:tcPr>
          <w:p w:rsidR="00A16B8C" w:rsidRPr="00C90AC9" w:rsidRDefault="00A16B8C" w:rsidP="00C60B9C">
            <w:pPr>
              <w:jc w:val="center"/>
              <w:rPr>
                <w:lang w:eastAsia="zh-CN"/>
              </w:rPr>
            </w:pPr>
            <w:r w:rsidRPr="00C90AC9">
              <w:rPr>
                <w:lang w:eastAsia="zh-CN"/>
              </w:rPr>
              <w:t>952.635</w:t>
            </w:r>
          </w:p>
        </w:tc>
        <w:tc>
          <w:tcPr>
            <w:tcW w:w="567" w:type="dxa"/>
            <w:vAlign w:val="center"/>
          </w:tcPr>
          <w:p w:rsidR="00A16B8C" w:rsidRPr="00C90AC9" w:rsidRDefault="00A16B8C" w:rsidP="00C60B9C">
            <w:pPr>
              <w:jc w:val="center"/>
              <w:rPr>
                <w:lang w:eastAsia="zh-CN"/>
              </w:rPr>
            </w:pPr>
            <w:r w:rsidRPr="00C90AC9">
              <w:rPr>
                <w:lang w:eastAsia="zh-CN"/>
              </w:rPr>
              <w:t>0</w:t>
            </w:r>
          </w:p>
        </w:tc>
        <w:tc>
          <w:tcPr>
            <w:tcW w:w="822" w:type="dxa"/>
            <w:vAlign w:val="center"/>
          </w:tcPr>
          <w:p w:rsidR="00A16B8C" w:rsidRPr="00C90AC9" w:rsidRDefault="00A16B8C" w:rsidP="00C60B9C">
            <w:pPr>
              <w:jc w:val="center"/>
              <w:rPr>
                <w:lang w:eastAsia="zh-CN"/>
              </w:rPr>
            </w:pPr>
            <w:r w:rsidRPr="00C90AC9">
              <w:rPr>
                <w:lang w:eastAsia="zh-CN"/>
              </w:rPr>
              <w:t>986.543</w:t>
            </w:r>
          </w:p>
        </w:tc>
        <w:tc>
          <w:tcPr>
            <w:tcW w:w="782" w:type="dxa"/>
            <w:vAlign w:val="center"/>
          </w:tcPr>
          <w:p w:rsidR="00A16B8C" w:rsidRPr="00C90AC9" w:rsidRDefault="00A16B8C" w:rsidP="00C60B9C">
            <w:pPr>
              <w:jc w:val="center"/>
              <w:rPr>
                <w:lang w:eastAsia="zh-CN"/>
              </w:rPr>
            </w:pPr>
            <w:r w:rsidRPr="00C90AC9">
              <w:rPr>
                <w:lang w:eastAsia="zh-CN"/>
              </w:rPr>
              <w:t>32</w:t>
            </w:r>
          </w:p>
        </w:tc>
        <w:tc>
          <w:tcPr>
            <w:tcW w:w="1077" w:type="dxa"/>
            <w:vAlign w:val="center"/>
          </w:tcPr>
          <w:p w:rsidR="00A16B8C" w:rsidRPr="00C90AC9" w:rsidRDefault="00A16B8C" w:rsidP="00C60B9C">
            <w:pPr>
              <w:jc w:val="center"/>
              <w:rPr>
                <w:lang w:eastAsia="zh-CN"/>
              </w:rPr>
            </w:pPr>
            <w:r w:rsidRPr="00C90AC9">
              <w:rPr>
                <w:lang w:eastAsia="zh-CN"/>
              </w:rPr>
              <w:t>975.125</w:t>
            </w:r>
          </w:p>
        </w:tc>
        <w:tc>
          <w:tcPr>
            <w:tcW w:w="896" w:type="dxa"/>
            <w:vAlign w:val="center"/>
          </w:tcPr>
          <w:p w:rsidR="00A16B8C" w:rsidRPr="00C90AC9" w:rsidRDefault="00A16B8C" w:rsidP="00C60B9C">
            <w:pPr>
              <w:jc w:val="center"/>
              <w:rPr>
                <w:lang w:eastAsia="zh-CN"/>
              </w:rPr>
            </w:pPr>
            <w:r w:rsidRPr="00C90AC9">
              <w:rPr>
                <w:lang w:eastAsia="zh-CN"/>
              </w:rPr>
              <w:t>30</w:t>
            </w:r>
          </w:p>
        </w:tc>
        <w:tc>
          <w:tcPr>
            <w:tcW w:w="1077" w:type="dxa"/>
            <w:vAlign w:val="center"/>
          </w:tcPr>
          <w:p w:rsidR="00A16B8C" w:rsidRPr="00C90AC9" w:rsidRDefault="00A16B8C" w:rsidP="00C60B9C">
            <w:pPr>
              <w:jc w:val="center"/>
              <w:rPr>
                <w:lang w:eastAsia="zh-CN"/>
              </w:rPr>
            </w:pPr>
            <w:r w:rsidRPr="00C90AC9">
              <w:rPr>
                <w:lang w:eastAsia="zh-CN"/>
              </w:rPr>
              <w:t>935.869</w:t>
            </w:r>
          </w:p>
        </w:tc>
        <w:tc>
          <w:tcPr>
            <w:tcW w:w="903" w:type="dxa"/>
            <w:vAlign w:val="center"/>
          </w:tcPr>
          <w:p w:rsidR="00A16B8C" w:rsidRPr="00C90AC9" w:rsidRDefault="00A16B8C" w:rsidP="00C60B9C">
            <w:pPr>
              <w:jc w:val="center"/>
              <w:rPr>
                <w:lang w:eastAsia="zh-CN"/>
              </w:rPr>
            </w:pPr>
            <w:r w:rsidRPr="00C90AC9">
              <w:rPr>
                <w:lang w:eastAsia="zh-CN"/>
              </w:rPr>
              <w:t>56</w:t>
            </w:r>
          </w:p>
        </w:tc>
      </w:tr>
      <w:tr w:rsidR="00A16B8C" w:rsidRPr="00C90AC9" w:rsidTr="009D65E9">
        <w:trPr>
          <w:trHeight w:hRule="exact" w:val="340"/>
        </w:trPr>
        <w:tc>
          <w:tcPr>
            <w:tcW w:w="1701" w:type="dxa"/>
            <w:vAlign w:val="center"/>
          </w:tcPr>
          <w:p w:rsidR="00A16B8C" w:rsidRPr="00C90AC9" w:rsidRDefault="00A16B8C" w:rsidP="00C60B9C">
            <w:pPr>
              <w:jc w:val="center"/>
              <w:rPr>
                <w:lang w:eastAsia="zh-CN"/>
              </w:rPr>
            </w:pPr>
            <w:r w:rsidRPr="00C90AC9">
              <w:rPr>
                <w:lang w:eastAsia="zh-CN"/>
              </w:rPr>
              <w:t>30</w:t>
            </w:r>
          </w:p>
        </w:tc>
        <w:tc>
          <w:tcPr>
            <w:tcW w:w="851" w:type="dxa"/>
            <w:vAlign w:val="center"/>
          </w:tcPr>
          <w:p w:rsidR="00A16B8C" w:rsidRPr="00C90AC9" w:rsidRDefault="00A16B8C" w:rsidP="00C60B9C">
            <w:pPr>
              <w:jc w:val="center"/>
              <w:rPr>
                <w:lang w:eastAsia="zh-CN"/>
              </w:rPr>
            </w:pPr>
            <w:r w:rsidRPr="00C90AC9">
              <w:rPr>
                <w:lang w:eastAsia="zh-CN"/>
              </w:rPr>
              <w:t>952.660</w:t>
            </w:r>
          </w:p>
        </w:tc>
        <w:tc>
          <w:tcPr>
            <w:tcW w:w="567" w:type="dxa"/>
            <w:vAlign w:val="center"/>
          </w:tcPr>
          <w:p w:rsidR="00A16B8C" w:rsidRPr="00C90AC9" w:rsidRDefault="00A16B8C" w:rsidP="00C60B9C">
            <w:pPr>
              <w:jc w:val="center"/>
              <w:rPr>
                <w:lang w:eastAsia="zh-CN"/>
              </w:rPr>
            </w:pPr>
            <w:r w:rsidRPr="00C90AC9">
              <w:rPr>
                <w:lang w:eastAsia="zh-CN"/>
              </w:rPr>
              <w:t>8</w:t>
            </w:r>
          </w:p>
        </w:tc>
        <w:tc>
          <w:tcPr>
            <w:tcW w:w="822" w:type="dxa"/>
            <w:vAlign w:val="center"/>
          </w:tcPr>
          <w:p w:rsidR="00A16B8C" w:rsidRPr="00C90AC9" w:rsidRDefault="00A16B8C" w:rsidP="00C60B9C">
            <w:pPr>
              <w:jc w:val="center"/>
              <w:rPr>
                <w:lang w:eastAsia="zh-CN"/>
              </w:rPr>
            </w:pPr>
            <w:r w:rsidRPr="00C90AC9">
              <w:rPr>
                <w:lang w:eastAsia="zh-CN"/>
              </w:rPr>
              <w:t>977.60</w:t>
            </w:r>
          </w:p>
        </w:tc>
        <w:tc>
          <w:tcPr>
            <w:tcW w:w="782" w:type="dxa"/>
            <w:vAlign w:val="center"/>
          </w:tcPr>
          <w:p w:rsidR="00A16B8C" w:rsidRPr="00C90AC9" w:rsidRDefault="00A16B8C" w:rsidP="00C60B9C">
            <w:pPr>
              <w:jc w:val="center"/>
              <w:rPr>
                <w:lang w:eastAsia="zh-CN"/>
              </w:rPr>
            </w:pPr>
            <w:r w:rsidRPr="00C90AC9">
              <w:rPr>
                <w:lang w:eastAsia="zh-CN"/>
              </w:rPr>
              <w:t>38</w:t>
            </w:r>
          </w:p>
        </w:tc>
        <w:tc>
          <w:tcPr>
            <w:tcW w:w="1077" w:type="dxa"/>
            <w:vAlign w:val="center"/>
          </w:tcPr>
          <w:p w:rsidR="00A16B8C" w:rsidRPr="00C90AC9" w:rsidRDefault="00A16B8C" w:rsidP="00C60B9C">
            <w:pPr>
              <w:jc w:val="center"/>
              <w:rPr>
                <w:lang w:eastAsia="zh-CN"/>
              </w:rPr>
            </w:pPr>
            <w:r w:rsidRPr="00C90AC9">
              <w:rPr>
                <w:lang w:eastAsia="zh-CN"/>
              </w:rPr>
              <w:t>966.382</w:t>
            </w:r>
          </w:p>
        </w:tc>
        <w:tc>
          <w:tcPr>
            <w:tcW w:w="896" w:type="dxa"/>
            <w:vAlign w:val="center"/>
          </w:tcPr>
          <w:p w:rsidR="00A16B8C" w:rsidRPr="00C90AC9" w:rsidRDefault="00A16B8C" w:rsidP="00C60B9C">
            <w:pPr>
              <w:jc w:val="center"/>
              <w:rPr>
                <w:lang w:eastAsia="zh-CN"/>
              </w:rPr>
            </w:pPr>
            <w:r w:rsidRPr="00C90AC9">
              <w:rPr>
                <w:lang w:eastAsia="zh-CN"/>
              </w:rPr>
              <w:t>38</w:t>
            </w:r>
          </w:p>
        </w:tc>
        <w:tc>
          <w:tcPr>
            <w:tcW w:w="1077" w:type="dxa"/>
            <w:vAlign w:val="center"/>
          </w:tcPr>
          <w:p w:rsidR="00A16B8C" w:rsidRPr="00C90AC9" w:rsidRDefault="00A16B8C" w:rsidP="00C60B9C">
            <w:pPr>
              <w:jc w:val="center"/>
              <w:rPr>
                <w:lang w:eastAsia="zh-CN"/>
              </w:rPr>
            </w:pPr>
            <w:r w:rsidRPr="00C90AC9">
              <w:rPr>
                <w:lang w:eastAsia="zh-CN"/>
              </w:rPr>
              <w:t>883.582</w:t>
            </w:r>
          </w:p>
        </w:tc>
        <w:tc>
          <w:tcPr>
            <w:tcW w:w="903" w:type="dxa"/>
            <w:vAlign w:val="center"/>
          </w:tcPr>
          <w:p w:rsidR="00A16B8C" w:rsidRPr="00C90AC9" w:rsidRDefault="00A16B8C" w:rsidP="00C60B9C">
            <w:pPr>
              <w:jc w:val="center"/>
              <w:rPr>
                <w:lang w:eastAsia="zh-CN"/>
              </w:rPr>
            </w:pPr>
            <w:r w:rsidRPr="00C90AC9">
              <w:rPr>
                <w:lang w:eastAsia="zh-CN"/>
              </w:rPr>
              <w:t>62</w:t>
            </w:r>
          </w:p>
        </w:tc>
      </w:tr>
      <w:tr w:rsidR="00A16B8C" w:rsidRPr="00C90AC9" w:rsidTr="009D65E9">
        <w:trPr>
          <w:trHeight w:hRule="exact" w:val="340"/>
        </w:trPr>
        <w:tc>
          <w:tcPr>
            <w:tcW w:w="1701" w:type="dxa"/>
            <w:vAlign w:val="center"/>
          </w:tcPr>
          <w:p w:rsidR="00A16B8C" w:rsidRPr="00C90AC9" w:rsidRDefault="00A16B8C" w:rsidP="00C60B9C">
            <w:pPr>
              <w:jc w:val="center"/>
              <w:rPr>
                <w:lang w:eastAsia="zh-CN"/>
              </w:rPr>
            </w:pPr>
            <w:r w:rsidRPr="00C90AC9">
              <w:rPr>
                <w:lang w:eastAsia="zh-CN"/>
              </w:rPr>
              <w:t>40</w:t>
            </w:r>
          </w:p>
        </w:tc>
        <w:tc>
          <w:tcPr>
            <w:tcW w:w="851" w:type="dxa"/>
            <w:vAlign w:val="center"/>
          </w:tcPr>
          <w:p w:rsidR="00A16B8C" w:rsidRPr="00C90AC9" w:rsidRDefault="00A16B8C" w:rsidP="00C60B9C">
            <w:pPr>
              <w:jc w:val="center"/>
              <w:rPr>
                <w:lang w:eastAsia="zh-CN"/>
              </w:rPr>
            </w:pPr>
            <w:r w:rsidRPr="00C90AC9">
              <w:rPr>
                <w:lang w:eastAsia="zh-CN"/>
              </w:rPr>
              <w:t>951.662</w:t>
            </w:r>
          </w:p>
        </w:tc>
        <w:tc>
          <w:tcPr>
            <w:tcW w:w="567" w:type="dxa"/>
            <w:vAlign w:val="center"/>
          </w:tcPr>
          <w:p w:rsidR="00A16B8C" w:rsidRPr="00C90AC9" w:rsidRDefault="00A16B8C" w:rsidP="00C60B9C">
            <w:pPr>
              <w:jc w:val="center"/>
              <w:rPr>
                <w:lang w:eastAsia="zh-CN"/>
              </w:rPr>
            </w:pPr>
            <w:r w:rsidRPr="00C90AC9">
              <w:rPr>
                <w:lang w:eastAsia="zh-CN"/>
              </w:rPr>
              <w:t>22</w:t>
            </w:r>
          </w:p>
        </w:tc>
        <w:tc>
          <w:tcPr>
            <w:tcW w:w="822" w:type="dxa"/>
            <w:vAlign w:val="center"/>
          </w:tcPr>
          <w:p w:rsidR="00A16B8C" w:rsidRPr="00C90AC9" w:rsidRDefault="00A16B8C" w:rsidP="00C60B9C">
            <w:pPr>
              <w:jc w:val="center"/>
              <w:rPr>
                <w:lang w:eastAsia="zh-CN"/>
              </w:rPr>
            </w:pPr>
            <w:r w:rsidRPr="00C90AC9">
              <w:rPr>
                <w:lang w:eastAsia="zh-CN"/>
              </w:rPr>
              <w:t>948.042</w:t>
            </w:r>
          </w:p>
        </w:tc>
        <w:tc>
          <w:tcPr>
            <w:tcW w:w="782" w:type="dxa"/>
            <w:vAlign w:val="center"/>
          </w:tcPr>
          <w:p w:rsidR="00A16B8C" w:rsidRPr="00C90AC9" w:rsidRDefault="00A16B8C" w:rsidP="00C60B9C">
            <w:pPr>
              <w:jc w:val="center"/>
              <w:rPr>
                <w:lang w:eastAsia="zh-CN"/>
              </w:rPr>
            </w:pPr>
            <w:r w:rsidRPr="00C90AC9">
              <w:rPr>
                <w:lang w:eastAsia="zh-CN"/>
              </w:rPr>
              <w:t>50</w:t>
            </w:r>
          </w:p>
        </w:tc>
        <w:tc>
          <w:tcPr>
            <w:tcW w:w="1077" w:type="dxa"/>
            <w:vAlign w:val="center"/>
          </w:tcPr>
          <w:p w:rsidR="00A16B8C" w:rsidRPr="00C90AC9" w:rsidRDefault="00A16B8C" w:rsidP="00C60B9C">
            <w:pPr>
              <w:jc w:val="center"/>
              <w:rPr>
                <w:lang w:eastAsia="zh-CN"/>
              </w:rPr>
            </w:pPr>
            <w:r w:rsidRPr="00C90AC9">
              <w:rPr>
                <w:lang w:eastAsia="zh-CN"/>
              </w:rPr>
              <w:t>937.673</w:t>
            </w:r>
          </w:p>
        </w:tc>
        <w:tc>
          <w:tcPr>
            <w:tcW w:w="896" w:type="dxa"/>
            <w:vAlign w:val="center"/>
          </w:tcPr>
          <w:p w:rsidR="00A16B8C" w:rsidRPr="00C90AC9" w:rsidRDefault="00A16B8C" w:rsidP="00C60B9C">
            <w:pPr>
              <w:jc w:val="center"/>
              <w:rPr>
                <w:lang w:eastAsia="zh-CN"/>
              </w:rPr>
            </w:pPr>
            <w:r w:rsidRPr="00C90AC9">
              <w:rPr>
                <w:lang w:eastAsia="zh-CN"/>
              </w:rPr>
              <w:t>48</w:t>
            </w:r>
          </w:p>
        </w:tc>
        <w:tc>
          <w:tcPr>
            <w:tcW w:w="1077" w:type="dxa"/>
            <w:vAlign w:val="center"/>
          </w:tcPr>
          <w:p w:rsidR="00A16B8C" w:rsidRPr="00C90AC9" w:rsidRDefault="00A16B8C" w:rsidP="00C60B9C">
            <w:pPr>
              <w:jc w:val="center"/>
              <w:rPr>
                <w:lang w:eastAsia="zh-CN"/>
              </w:rPr>
            </w:pPr>
            <w:r w:rsidRPr="00C90AC9">
              <w:rPr>
                <w:lang w:eastAsia="zh-CN"/>
              </w:rPr>
              <w:t>755.139</w:t>
            </w:r>
          </w:p>
        </w:tc>
        <w:tc>
          <w:tcPr>
            <w:tcW w:w="903" w:type="dxa"/>
            <w:vAlign w:val="center"/>
          </w:tcPr>
          <w:p w:rsidR="00A16B8C" w:rsidRPr="00C90AC9" w:rsidRDefault="00A16B8C" w:rsidP="00C60B9C">
            <w:pPr>
              <w:jc w:val="center"/>
              <w:rPr>
                <w:lang w:eastAsia="zh-CN"/>
              </w:rPr>
            </w:pPr>
            <w:r w:rsidRPr="00C90AC9">
              <w:rPr>
                <w:lang w:eastAsia="zh-CN"/>
              </w:rPr>
              <w:t>70</w:t>
            </w:r>
          </w:p>
        </w:tc>
      </w:tr>
      <w:tr w:rsidR="00A16B8C" w:rsidRPr="00C90AC9" w:rsidTr="009D65E9">
        <w:trPr>
          <w:trHeight w:hRule="exact" w:val="340"/>
        </w:trPr>
        <w:tc>
          <w:tcPr>
            <w:tcW w:w="1701" w:type="dxa"/>
            <w:vAlign w:val="center"/>
          </w:tcPr>
          <w:p w:rsidR="00A16B8C" w:rsidRPr="00C90AC9" w:rsidRDefault="00A16B8C" w:rsidP="00C60B9C">
            <w:pPr>
              <w:jc w:val="center"/>
              <w:rPr>
                <w:lang w:eastAsia="zh-CN"/>
              </w:rPr>
            </w:pPr>
            <w:r w:rsidRPr="00C90AC9">
              <w:rPr>
                <w:lang w:eastAsia="zh-CN"/>
              </w:rPr>
              <w:t>44.25</w:t>
            </w:r>
          </w:p>
        </w:tc>
        <w:tc>
          <w:tcPr>
            <w:tcW w:w="851" w:type="dxa"/>
            <w:vAlign w:val="center"/>
          </w:tcPr>
          <w:p w:rsidR="00A16B8C" w:rsidRPr="00C90AC9" w:rsidRDefault="00A16B8C" w:rsidP="00C60B9C">
            <w:pPr>
              <w:jc w:val="center"/>
              <w:rPr>
                <w:lang w:eastAsia="zh-CN"/>
              </w:rPr>
            </w:pPr>
            <w:r w:rsidRPr="00C90AC9">
              <w:rPr>
                <w:lang w:eastAsia="zh-CN"/>
              </w:rPr>
              <w:t>949.957</w:t>
            </w:r>
          </w:p>
        </w:tc>
        <w:tc>
          <w:tcPr>
            <w:tcW w:w="567" w:type="dxa"/>
            <w:vAlign w:val="center"/>
          </w:tcPr>
          <w:p w:rsidR="00A16B8C" w:rsidRPr="00C90AC9" w:rsidRDefault="00A16B8C" w:rsidP="00C60B9C">
            <w:pPr>
              <w:jc w:val="center"/>
              <w:rPr>
                <w:lang w:eastAsia="zh-CN"/>
              </w:rPr>
            </w:pPr>
            <w:r w:rsidRPr="00C90AC9">
              <w:rPr>
                <w:lang w:eastAsia="zh-CN"/>
              </w:rPr>
              <w:t>28</w:t>
            </w:r>
          </w:p>
        </w:tc>
        <w:tc>
          <w:tcPr>
            <w:tcW w:w="822" w:type="dxa"/>
            <w:vAlign w:val="center"/>
          </w:tcPr>
          <w:p w:rsidR="00A16B8C" w:rsidRPr="00C90AC9" w:rsidRDefault="00A16B8C" w:rsidP="00C60B9C">
            <w:pPr>
              <w:jc w:val="center"/>
              <w:rPr>
                <w:lang w:eastAsia="zh-CN"/>
              </w:rPr>
            </w:pPr>
            <w:r w:rsidRPr="00C90AC9">
              <w:rPr>
                <w:lang w:eastAsia="zh-CN"/>
              </w:rPr>
              <w:t>925.980</w:t>
            </w:r>
          </w:p>
        </w:tc>
        <w:tc>
          <w:tcPr>
            <w:tcW w:w="782" w:type="dxa"/>
            <w:vAlign w:val="center"/>
          </w:tcPr>
          <w:p w:rsidR="00A16B8C" w:rsidRPr="00C90AC9" w:rsidRDefault="00A16B8C" w:rsidP="00C60B9C">
            <w:pPr>
              <w:jc w:val="center"/>
              <w:rPr>
                <w:lang w:eastAsia="zh-CN"/>
              </w:rPr>
            </w:pPr>
            <w:r w:rsidRPr="00C90AC9">
              <w:rPr>
                <w:lang w:eastAsia="zh-CN"/>
              </w:rPr>
              <w:t>54</w:t>
            </w:r>
          </w:p>
        </w:tc>
        <w:tc>
          <w:tcPr>
            <w:tcW w:w="1077" w:type="dxa"/>
            <w:vAlign w:val="center"/>
          </w:tcPr>
          <w:p w:rsidR="00A16B8C" w:rsidRPr="00C90AC9" w:rsidRDefault="00A16B8C" w:rsidP="00C60B9C">
            <w:pPr>
              <w:jc w:val="center"/>
              <w:rPr>
                <w:lang w:eastAsia="zh-CN"/>
              </w:rPr>
            </w:pPr>
            <w:r w:rsidRPr="00C90AC9">
              <w:rPr>
                <w:lang w:eastAsia="zh-CN"/>
              </w:rPr>
              <w:t>916.310</w:t>
            </w:r>
          </w:p>
        </w:tc>
        <w:tc>
          <w:tcPr>
            <w:tcW w:w="896" w:type="dxa"/>
            <w:vAlign w:val="center"/>
          </w:tcPr>
          <w:p w:rsidR="00A16B8C" w:rsidRPr="00C90AC9" w:rsidRDefault="00A16B8C" w:rsidP="00C60B9C">
            <w:pPr>
              <w:jc w:val="center"/>
              <w:rPr>
                <w:lang w:eastAsia="zh-CN"/>
              </w:rPr>
            </w:pPr>
            <w:r w:rsidRPr="00C90AC9">
              <w:rPr>
                <w:lang w:eastAsia="zh-CN"/>
              </w:rPr>
              <w:t>54</w:t>
            </w:r>
          </w:p>
        </w:tc>
        <w:tc>
          <w:tcPr>
            <w:tcW w:w="1077" w:type="dxa"/>
            <w:vAlign w:val="center"/>
          </w:tcPr>
          <w:p w:rsidR="00A16B8C" w:rsidRPr="00C90AC9" w:rsidRDefault="00A16B8C" w:rsidP="00C60B9C">
            <w:pPr>
              <w:jc w:val="center"/>
              <w:rPr>
                <w:lang w:eastAsia="zh-CN"/>
              </w:rPr>
            </w:pPr>
            <w:r w:rsidRPr="00C90AC9">
              <w:rPr>
                <w:lang w:eastAsia="zh-CN"/>
              </w:rPr>
              <w:t>677.165</w:t>
            </w:r>
          </w:p>
        </w:tc>
        <w:tc>
          <w:tcPr>
            <w:tcW w:w="903" w:type="dxa"/>
            <w:vAlign w:val="center"/>
          </w:tcPr>
          <w:p w:rsidR="00A16B8C" w:rsidRPr="00C90AC9" w:rsidRDefault="00A16B8C" w:rsidP="00C60B9C">
            <w:pPr>
              <w:jc w:val="center"/>
              <w:rPr>
                <w:lang w:eastAsia="zh-CN"/>
              </w:rPr>
            </w:pPr>
            <w:r w:rsidRPr="00C90AC9">
              <w:rPr>
                <w:lang w:eastAsia="zh-CN"/>
              </w:rPr>
              <w:t>72</w:t>
            </w:r>
          </w:p>
        </w:tc>
      </w:tr>
      <w:tr w:rsidR="00A16B8C" w:rsidRPr="00C90AC9" w:rsidTr="009D65E9">
        <w:trPr>
          <w:trHeight w:hRule="exact" w:val="340"/>
        </w:trPr>
        <w:tc>
          <w:tcPr>
            <w:tcW w:w="1701" w:type="dxa"/>
            <w:vAlign w:val="center"/>
          </w:tcPr>
          <w:p w:rsidR="00A16B8C" w:rsidRPr="00C90AC9" w:rsidRDefault="00A16B8C" w:rsidP="00C60B9C">
            <w:pPr>
              <w:jc w:val="center"/>
              <w:rPr>
                <w:lang w:eastAsia="zh-CN"/>
              </w:rPr>
            </w:pPr>
            <w:r w:rsidRPr="00C90AC9">
              <w:rPr>
                <w:lang w:eastAsia="zh-CN"/>
              </w:rPr>
              <w:t>50</w:t>
            </w:r>
          </w:p>
        </w:tc>
        <w:tc>
          <w:tcPr>
            <w:tcW w:w="851" w:type="dxa"/>
            <w:vAlign w:val="center"/>
          </w:tcPr>
          <w:p w:rsidR="00A16B8C" w:rsidRPr="00C90AC9" w:rsidRDefault="00A16B8C" w:rsidP="00C60B9C">
            <w:pPr>
              <w:jc w:val="center"/>
              <w:rPr>
                <w:lang w:eastAsia="zh-CN"/>
              </w:rPr>
            </w:pPr>
            <w:r w:rsidRPr="00C90AC9">
              <w:rPr>
                <w:lang w:eastAsia="zh-CN"/>
              </w:rPr>
              <w:t>943.826</w:t>
            </w:r>
          </w:p>
        </w:tc>
        <w:tc>
          <w:tcPr>
            <w:tcW w:w="567" w:type="dxa"/>
            <w:vAlign w:val="center"/>
          </w:tcPr>
          <w:p w:rsidR="00A16B8C" w:rsidRPr="00C90AC9" w:rsidRDefault="00A16B8C" w:rsidP="00C60B9C">
            <w:pPr>
              <w:jc w:val="center"/>
              <w:rPr>
                <w:lang w:eastAsia="zh-CN"/>
              </w:rPr>
            </w:pPr>
            <w:r w:rsidRPr="00C90AC9">
              <w:rPr>
                <w:lang w:eastAsia="zh-CN"/>
              </w:rPr>
              <w:t>34</w:t>
            </w:r>
          </w:p>
        </w:tc>
        <w:tc>
          <w:tcPr>
            <w:tcW w:w="822" w:type="dxa"/>
            <w:vAlign w:val="center"/>
          </w:tcPr>
          <w:p w:rsidR="00A16B8C" w:rsidRPr="00C90AC9" w:rsidRDefault="00A16B8C" w:rsidP="00C60B9C">
            <w:pPr>
              <w:jc w:val="center"/>
              <w:rPr>
                <w:lang w:eastAsia="zh-CN"/>
              </w:rPr>
            </w:pPr>
            <w:r w:rsidRPr="00C90AC9">
              <w:rPr>
                <w:lang w:eastAsia="zh-CN"/>
              </w:rPr>
              <w:t>887.726</w:t>
            </w:r>
          </w:p>
        </w:tc>
        <w:tc>
          <w:tcPr>
            <w:tcW w:w="782" w:type="dxa"/>
            <w:vAlign w:val="center"/>
          </w:tcPr>
          <w:p w:rsidR="00A16B8C" w:rsidRPr="00C90AC9" w:rsidRDefault="00A16B8C" w:rsidP="00C60B9C">
            <w:pPr>
              <w:jc w:val="center"/>
              <w:rPr>
                <w:lang w:eastAsia="zh-CN"/>
              </w:rPr>
            </w:pPr>
            <w:r w:rsidRPr="00C90AC9">
              <w:rPr>
                <w:lang w:eastAsia="zh-CN"/>
              </w:rPr>
              <w:t>58</w:t>
            </w:r>
          </w:p>
        </w:tc>
        <w:tc>
          <w:tcPr>
            <w:tcW w:w="1077" w:type="dxa"/>
            <w:vAlign w:val="center"/>
          </w:tcPr>
          <w:p w:rsidR="00A16B8C" w:rsidRPr="00C90AC9" w:rsidRDefault="00A16B8C" w:rsidP="00C60B9C">
            <w:pPr>
              <w:jc w:val="center"/>
              <w:rPr>
                <w:lang w:eastAsia="zh-CN"/>
              </w:rPr>
            </w:pPr>
            <w:r w:rsidRPr="00C90AC9">
              <w:rPr>
                <w:lang w:eastAsia="zh-CN"/>
              </w:rPr>
              <w:t>878.793</w:t>
            </w:r>
          </w:p>
        </w:tc>
        <w:tc>
          <w:tcPr>
            <w:tcW w:w="896" w:type="dxa"/>
            <w:vAlign w:val="center"/>
          </w:tcPr>
          <w:p w:rsidR="00A16B8C" w:rsidRPr="00C90AC9" w:rsidRDefault="00A16B8C" w:rsidP="00C60B9C">
            <w:pPr>
              <w:jc w:val="center"/>
              <w:rPr>
                <w:lang w:eastAsia="zh-CN"/>
              </w:rPr>
            </w:pPr>
            <w:r w:rsidRPr="00C90AC9">
              <w:rPr>
                <w:lang w:eastAsia="zh-CN"/>
              </w:rPr>
              <w:t>58</w:t>
            </w:r>
          </w:p>
        </w:tc>
        <w:tc>
          <w:tcPr>
            <w:tcW w:w="1077" w:type="dxa"/>
            <w:vAlign w:val="center"/>
          </w:tcPr>
          <w:p w:rsidR="00A16B8C" w:rsidRPr="00C90AC9" w:rsidRDefault="00A16B8C" w:rsidP="00C60B9C">
            <w:pPr>
              <w:jc w:val="center"/>
              <w:rPr>
                <w:lang w:eastAsia="zh-CN"/>
              </w:rPr>
            </w:pPr>
            <w:r w:rsidRPr="00C90AC9">
              <w:rPr>
                <w:lang w:eastAsia="zh-CN"/>
              </w:rPr>
              <w:t>543.601</w:t>
            </w:r>
          </w:p>
        </w:tc>
        <w:tc>
          <w:tcPr>
            <w:tcW w:w="903" w:type="dxa"/>
            <w:vAlign w:val="center"/>
          </w:tcPr>
          <w:p w:rsidR="00A16B8C" w:rsidRPr="00C90AC9" w:rsidRDefault="00A16B8C" w:rsidP="00C60B9C">
            <w:pPr>
              <w:jc w:val="center"/>
              <w:rPr>
                <w:lang w:eastAsia="zh-CN"/>
              </w:rPr>
            </w:pPr>
            <w:r w:rsidRPr="00C90AC9">
              <w:rPr>
                <w:lang w:eastAsia="zh-CN"/>
              </w:rPr>
              <w:t>76</w:t>
            </w:r>
          </w:p>
        </w:tc>
      </w:tr>
      <w:tr w:rsidR="00A16B8C" w:rsidRPr="00C90AC9" w:rsidTr="009D65E9">
        <w:trPr>
          <w:trHeight w:hRule="exact" w:val="340"/>
        </w:trPr>
        <w:tc>
          <w:tcPr>
            <w:tcW w:w="1701" w:type="dxa"/>
            <w:vAlign w:val="center"/>
          </w:tcPr>
          <w:p w:rsidR="00A16B8C" w:rsidRPr="00C90AC9" w:rsidRDefault="00A16B8C" w:rsidP="00C60B9C">
            <w:pPr>
              <w:jc w:val="center"/>
              <w:rPr>
                <w:lang w:eastAsia="zh-CN"/>
              </w:rPr>
            </w:pPr>
            <w:r w:rsidRPr="00C90AC9">
              <w:rPr>
                <w:lang w:eastAsia="zh-CN"/>
              </w:rPr>
              <w:t>60</w:t>
            </w:r>
          </w:p>
        </w:tc>
        <w:tc>
          <w:tcPr>
            <w:tcW w:w="851" w:type="dxa"/>
            <w:vAlign w:val="center"/>
          </w:tcPr>
          <w:p w:rsidR="00A16B8C" w:rsidRPr="00C90AC9" w:rsidRDefault="00A16B8C" w:rsidP="00C60B9C">
            <w:pPr>
              <w:jc w:val="center"/>
              <w:rPr>
                <w:lang w:eastAsia="zh-CN"/>
              </w:rPr>
            </w:pPr>
            <w:r w:rsidRPr="00C90AC9">
              <w:rPr>
                <w:lang w:eastAsia="zh-CN"/>
              </w:rPr>
              <w:t>923.132</w:t>
            </w:r>
          </w:p>
        </w:tc>
        <w:tc>
          <w:tcPr>
            <w:tcW w:w="567" w:type="dxa"/>
            <w:vAlign w:val="center"/>
          </w:tcPr>
          <w:p w:rsidR="00A16B8C" w:rsidRPr="00C90AC9" w:rsidRDefault="00A16B8C" w:rsidP="00C60B9C">
            <w:pPr>
              <w:jc w:val="center"/>
              <w:rPr>
                <w:lang w:eastAsia="zh-CN"/>
              </w:rPr>
            </w:pPr>
            <w:r w:rsidRPr="00C90AC9">
              <w:rPr>
                <w:lang w:eastAsia="zh-CN"/>
              </w:rPr>
              <w:t>46</w:t>
            </w:r>
          </w:p>
        </w:tc>
        <w:tc>
          <w:tcPr>
            <w:tcW w:w="822" w:type="dxa"/>
            <w:vAlign w:val="center"/>
          </w:tcPr>
          <w:p w:rsidR="00A16B8C" w:rsidRPr="00C90AC9" w:rsidRDefault="00A16B8C" w:rsidP="00C60B9C">
            <w:pPr>
              <w:jc w:val="center"/>
              <w:rPr>
                <w:lang w:eastAsia="zh-CN"/>
              </w:rPr>
            </w:pPr>
            <w:r w:rsidRPr="00C90AC9">
              <w:rPr>
                <w:lang w:eastAsia="zh-CN"/>
              </w:rPr>
              <w:t>780.271</w:t>
            </w:r>
          </w:p>
        </w:tc>
        <w:tc>
          <w:tcPr>
            <w:tcW w:w="782" w:type="dxa"/>
            <w:vAlign w:val="center"/>
          </w:tcPr>
          <w:p w:rsidR="00A16B8C" w:rsidRPr="00C90AC9" w:rsidRDefault="00A16B8C" w:rsidP="00C60B9C">
            <w:pPr>
              <w:jc w:val="center"/>
              <w:rPr>
                <w:lang w:eastAsia="zh-CN"/>
              </w:rPr>
            </w:pPr>
            <w:r w:rsidRPr="00C90AC9">
              <w:rPr>
                <w:lang w:eastAsia="zh-CN"/>
              </w:rPr>
              <w:t>66</w:t>
            </w:r>
          </w:p>
        </w:tc>
        <w:tc>
          <w:tcPr>
            <w:tcW w:w="1077" w:type="dxa"/>
            <w:vAlign w:val="center"/>
          </w:tcPr>
          <w:p w:rsidR="00A16B8C" w:rsidRPr="00C90AC9" w:rsidRDefault="00A16B8C" w:rsidP="00C60B9C">
            <w:pPr>
              <w:jc w:val="center"/>
              <w:rPr>
                <w:lang w:eastAsia="zh-CN"/>
              </w:rPr>
            </w:pPr>
            <w:r w:rsidRPr="00C90AC9">
              <w:rPr>
                <w:lang w:eastAsia="zh-CN"/>
              </w:rPr>
              <w:t>773.94</w:t>
            </w:r>
          </w:p>
        </w:tc>
        <w:tc>
          <w:tcPr>
            <w:tcW w:w="896" w:type="dxa"/>
            <w:vAlign w:val="center"/>
          </w:tcPr>
          <w:p w:rsidR="00A16B8C" w:rsidRPr="00C90AC9" w:rsidRDefault="00A16B8C" w:rsidP="00C60B9C">
            <w:pPr>
              <w:jc w:val="center"/>
              <w:rPr>
                <w:lang w:eastAsia="zh-CN"/>
              </w:rPr>
            </w:pPr>
            <w:r w:rsidRPr="00C90AC9">
              <w:rPr>
                <w:lang w:eastAsia="zh-CN"/>
              </w:rPr>
              <w:t>66</w:t>
            </w:r>
          </w:p>
        </w:tc>
        <w:tc>
          <w:tcPr>
            <w:tcW w:w="1077" w:type="dxa"/>
            <w:vAlign w:val="center"/>
          </w:tcPr>
          <w:p w:rsidR="00A16B8C" w:rsidRPr="00C90AC9" w:rsidRDefault="00A16B8C" w:rsidP="00C60B9C">
            <w:pPr>
              <w:jc w:val="center"/>
              <w:rPr>
                <w:lang w:eastAsia="zh-CN"/>
              </w:rPr>
            </w:pPr>
            <w:r w:rsidRPr="00C90AC9">
              <w:rPr>
                <w:lang w:eastAsia="zh-CN"/>
              </w:rPr>
              <w:t>257.354</w:t>
            </w:r>
          </w:p>
        </w:tc>
        <w:tc>
          <w:tcPr>
            <w:tcW w:w="903" w:type="dxa"/>
            <w:vAlign w:val="center"/>
          </w:tcPr>
          <w:p w:rsidR="00A16B8C" w:rsidRPr="00C90AC9" w:rsidRDefault="00A16B8C" w:rsidP="00C60B9C">
            <w:pPr>
              <w:jc w:val="center"/>
              <w:rPr>
                <w:lang w:eastAsia="zh-CN"/>
              </w:rPr>
            </w:pPr>
            <w:r w:rsidRPr="00C90AC9">
              <w:rPr>
                <w:lang w:eastAsia="zh-CN"/>
              </w:rPr>
              <w:t>84</w:t>
            </w:r>
          </w:p>
        </w:tc>
      </w:tr>
      <w:tr w:rsidR="00A16B8C" w:rsidRPr="00C90AC9" w:rsidTr="009D65E9">
        <w:trPr>
          <w:trHeight w:hRule="exact" w:val="340"/>
        </w:trPr>
        <w:tc>
          <w:tcPr>
            <w:tcW w:w="1701" w:type="dxa"/>
            <w:vAlign w:val="center"/>
          </w:tcPr>
          <w:p w:rsidR="00A16B8C" w:rsidRPr="00C90AC9" w:rsidRDefault="00A16B8C" w:rsidP="00C60B9C">
            <w:pPr>
              <w:jc w:val="center"/>
              <w:rPr>
                <w:lang w:eastAsia="zh-CN"/>
              </w:rPr>
            </w:pPr>
            <w:r w:rsidRPr="00C90AC9">
              <w:rPr>
                <w:lang w:eastAsia="zh-CN"/>
              </w:rPr>
              <w:t>66.33</w:t>
            </w:r>
          </w:p>
        </w:tc>
        <w:tc>
          <w:tcPr>
            <w:tcW w:w="851" w:type="dxa"/>
            <w:vAlign w:val="center"/>
          </w:tcPr>
          <w:p w:rsidR="00A16B8C" w:rsidRPr="00C90AC9" w:rsidRDefault="00A16B8C" w:rsidP="00C60B9C">
            <w:pPr>
              <w:jc w:val="center"/>
              <w:rPr>
                <w:lang w:eastAsia="zh-CN"/>
              </w:rPr>
            </w:pPr>
            <w:r w:rsidRPr="00C90AC9">
              <w:rPr>
                <w:lang w:eastAsia="zh-CN"/>
              </w:rPr>
              <w:t>900.211</w:t>
            </w:r>
          </w:p>
        </w:tc>
        <w:tc>
          <w:tcPr>
            <w:tcW w:w="567" w:type="dxa"/>
            <w:vAlign w:val="center"/>
          </w:tcPr>
          <w:p w:rsidR="00A16B8C" w:rsidRPr="00C90AC9" w:rsidRDefault="00A16B8C" w:rsidP="00C60B9C">
            <w:pPr>
              <w:jc w:val="center"/>
              <w:rPr>
                <w:lang w:eastAsia="zh-CN"/>
              </w:rPr>
            </w:pPr>
            <w:r w:rsidRPr="00C90AC9">
              <w:rPr>
                <w:lang w:eastAsia="zh-CN"/>
              </w:rPr>
              <w:t>52</w:t>
            </w:r>
          </w:p>
        </w:tc>
        <w:tc>
          <w:tcPr>
            <w:tcW w:w="822" w:type="dxa"/>
            <w:vAlign w:val="center"/>
          </w:tcPr>
          <w:p w:rsidR="00A16B8C" w:rsidRPr="00C90AC9" w:rsidRDefault="00A16B8C" w:rsidP="00C60B9C">
            <w:pPr>
              <w:jc w:val="center"/>
              <w:rPr>
                <w:lang w:eastAsia="zh-CN"/>
              </w:rPr>
            </w:pPr>
            <w:r w:rsidRPr="00C90AC9">
              <w:rPr>
                <w:lang w:eastAsia="zh-CN"/>
              </w:rPr>
              <w:t>678.827</w:t>
            </w:r>
          </w:p>
        </w:tc>
        <w:tc>
          <w:tcPr>
            <w:tcW w:w="782" w:type="dxa"/>
            <w:vAlign w:val="center"/>
          </w:tcPr>
          <w:p w:rsidR="00A16B8C" w:rsidRPr="00C90AC9" w:rsidRDefault="00A16B8C" w:rsidP="00C60B9C">
            <w:pPr>
              <w:jc w:val="center"/>
              <w:rPr>
                <w:lang w:eastAsia="zh-CN"/>
              </w:rPr>
            </w:pPr>
            <w:r w:rsidRPr="00C90AC9">
              <w:rPr>
                <w:lang w:eastAsia="zh-CN"/>
              </w:rPr>
              <w:t>72</w:t>
            </w:r>
          </w:p>
        </w:tc>
        <w:tc>
          <w:tcPr>
            <w:tcW w:w="1077" w:type="dxa"/>
            <w:vAlign w:val="center"/>
          </w:tcPr>
          <w:p w:rsidR="00A16B8C" w:rsidRPr="00C90AC9" w:rsidRDefault="00A16B8C" w:rsidP="00C60B9C">
            <w:pPr>
              <w:jc w:val="center"/>
              <w:rPr>
                <w:lang w:eastAsia="zh-CN"/>
              </w:rPr>
            </w:pPr>
            <w:r w:rsidRPr="00C90AC9">
              <w:rPr>
                <w:lang w:eastAsia="zh-CN"/>
              </w:rPr>
              <w:t>674.593</w:t>
            </w:r>
          </w:p>
        </w:tc>
        <w:tc>
          <w:tcPr>
            <w:tcW w:w="896" w:type="dxa"/>
            <w:vAlign w:val="center"/>
          </w:tcPr>
          <w:p w:rsidR="00A16B8C" w:rsidRPr="00C90AC9" w:rsidRDefault="00A16B8C" w:rsidP="00C60B9C">
            <w:pPr>
              <w:jc w:val="center"/>
              <w:rPr>
                <w:lang w:eastAsia="zh-CN"/>
              </w:rPr>
            </w:pPr>
            <w:r w:rsidRPr="00C90AC9">
              <w:rPr>
                <w:lang w:eastAsia="zh-CN"/>
              </w:rPr>
              <w:t>72</w:t>
            </w:r>
          </w:p>
        </w:tc>
        <w:tc>
          <w:tcPr>
            <w:tcW w:w="1077" w:type="dxa"/>
            <w:vAlign w:val="center"/>
          </w:tcPr>
          <w:p w:rsidR="00A16B8C" w:rsidRPr="00C90AC9" w:rsidRDefault="00A16B8C" w:rsidP="00C60B9C">
            <w:pPr>
              <w:jc w:val="center"/>
              <w:rPr>
                <w:lang w:eastAsia="zh-CN"/>
              </w:rPr>
            </w:pPr>
            <w:r w:rsidRPr="00C90AC9">
              <w:rPr>
                <w:lang w:eastAsia="zh-CN"/>
              </w:rPr>
              <w:t>187.376</w:t>
            </w:r>
          </w:p>
        </w:tc>
        <w:tc>
          <w:tcPr>
            <w:tcW w:w="903" w:type="dxa"/>
            <w:vAlign w:val="center"/>
          </w:tcPr>
          <w:p w:rsidR="00A16B8C" w:rsidRPr="00C90AC9" w:rsidRDefault="00A16B8C" w:rsidP="00C60B9C">
            <w:pPr>
              <w:jc w:val="center"/>
              <w:rPr>
                <w:lang w:eastAsia="zh-CN"/>
              </w:rPr>
            </w:pPr>
            <w:r w:rsidRPr="00C90AC9">
              <w:rPr>
                <w:lang w:eastAsia="zh-CN"/>
              </w:rPr>
              <w:t>90</w:t>
            </w:r>
          </w:p>
        </w:tc>
      </w:tr>
      <w:tr w:rsidR="00A16B8C" w:rsidRPr="00C90AC9" w:rsidTr="009D65E9">
        <w:trPr>
          <w:trHeight w:hRule="exact" w:val="340"/>
        </w:trPr>
        <w:tc>
          <w:tcPr>
            <w:tcW w:w="1701" w:type="dxa"/>
            <w:vAlign w:val="center"/>
          </w:tcPr>
          <w:p w:rsidR="00A16B8C" w:rsidRPr="00C90AC9" w:rsidRDefault="00A16B8C" w:rsidP="00C60B9C">
            <w:pPr>
              <w:jc w:val="center"/>
              <w:rPr>
                <w:lang w:eastAsia="zh-CN"/>
              </w:rPr>
            </w:pPr>
            <w:r w:rsidRPr="00C90AC9">
              <w:rPr>
                <w:lang w:eastAsia="zh-CN"/>
              </w:rPr>
              <w:t>80</w:t>
            </w:r>
          </w:p>
        </w:tc>
        <w:tc>
          <w:tcPr>
            <w:tcW w:w="851" w:type="dxa"/>
            <w:vAlign w:val="center"/>
          </w:tcPr>
          <w:p w:rsidR="00A16B8C" w:rsidRPr="00C90AC9" w:rsidRDefault="00A16B8C" w:rsidP="00C60B9C">
            <w:pPr>
              <w:jc w:val="center"/>
              <w:rPr>
                <w:lang w:eastAsia="zh-CN"/>
              </w:rPr>
            </w:pPr>
            <w:r w:rsidRPr="00C90AC9">
              <w:rPr>
                <w:lang w:eastAsia="zh-CN"/>
              </w:rPr>
              <w:t>802.481</w:t>
            </w:r>
          </w:p>
        </w:tc>
        <w:tc>
          <w:tcPr>
            <w:tcW w:w="567" w:type="dxa"/>
            <w:vAlign w:val="center"/>
          </w:tcPr>
          <w:p w:rsidR="00A16B8C" w:rsidRPr="00C90AC9" w:rsidRDefault="00A16B8C" w:rsidP="00C60B9C">
            <w:pPr>
              <w:jc w:val="center"/>
              <w:rPr>
                <w:lang w:eastAsia="zh-CN"/>
              </w:rPr>
            </w:pPr>
            <w:r w:rsidRPr="00C90AC9">
              <w:rPr>
                <w:lang w:eastAsia="zh-CN"/>
              </w:rPr>
              <w:t>64</w:t>
            </w:r>
          </w:p>
        </w:tc>
        <w:tc>
          <w:tcPr>
            <w:tcW w:w="822" w:type="dxa"/>
            <w:vAlign w:val="center"/>
          </w:tcPr>
          <w:p w:rsidR="00A16B8C" w:rsidRPr="00C90AC9" w:rsidRDefault="00A16B8C" w:rsidP="00C60B9C">
            <w:pPr>
              <w:jc w:val="center"/>
              <w:rPr>
                <w:lang w:eastAsia="zh-CN"/>
              </w:rPr>
            </w:pPr>
            <w:r w:rsidRPr="00C90AC9">
              <w:rPr>
                <w:lang w:eastAsia="zh-CN"/>
              </w:rPr>
              <w:t>339.503</w:t>
            </w:r>
          </w:p>
        </w:tc>
        <w:tc>
          <w:tcPr>
            <w:tcW w:w="782" w:type="dxa"/>
            <w:vAlign w:val="center"/>
          </w:tcPr>
          <w:p w:rsidR="00A16B8C" w:rsidRPr="00C90AC9" w:rsidRDefault="00A16B8C" w:rsidP="00C60B9C">
            <w:pPr>
              <w:jc w:val="center"/>
              <w:rPr>
                <w:lang w:eastAsia="zh-CN"/>
              </w:rPr>
            </w:pPr>
            <w:r w:rsidRPr="00C90AC9">
              <w:rPr>
                <w:lang w:eastAsia="zh-CN"/>
              </w:rPr>
              <w:t>82</w:t>
            </w:r>
          </w:p>
        </w:tc>
        <w:tc>
          <w:tcPr>
            <w:tcW w:w="1077" w:type="dxa"/>
            <w:vAlign w:val="center"/>
          </w:tcPr>
          <w:p w:rsidR="00A16B8C" w:rsidRPr="00C90AC9" w:rsidRDefault="00A16B8C" w:rsidP="00C60B9C">
            <w:pPr>
              <w:jc w:val="center"/>
              <w:rPr>
                <w:lang w:eastAsia="zh-CN"/>
              </w:rPr>
            </w:pPr>
            <w:r w:rsidRPr="00C90AC9">
              <w:rPr>
                <w:lang w:eastAsia="zh-CN"/>
              </w:rPr>
              <w:t>341.441</w:t>
            </w:r>
          </w:p>
        </w:tc>
        <w:tc>
          <w:tcPr>
            <w:tcW w:w="896" w:type="dxa"/>
            <w:vAlign w:val="center"/>
          </w:tcPr>
          <w:p w:rsidR="00A16B8C" w:rsidRPr="00C90AC9" w:rsidRDefault="00A16B8C" w:rsidP="00C60B9C">
            <w:pPr>
              <w:jc w:val="center"/>
              <w:rPr>
                <w:lang w:eastAsia="zh-CN"/>
              </w:rPr>
            </w:pPr>
            <w:r w:rsidRPr="00C90AC9">
              <w:rPr>
                <w:lang w:eastAsia="zh-CN"/>
              </w:rPr>
              <w:t>82</w:t>
            </w:r>
          </w:p>
        </w:tc>
        <w:tc>
          <w:tcPr>
            <w:tcW w:w="1077" w:type="dxa"/>
            <w:vAlign w:val="center"/>
          </w:tcPr>
          <w:p w:rsidR="00A16B8C" w:rsidRPr="00C90AC9" w:rsidRDefault="00A16B8C" w:rsidP="00C60B9C">
            <w:pPr>
              <w:jc w:val="center"/>
              <w:rPr>
                <w:lang w:eastAsia="zh-CN"/>
              </w:rPr>
            </w:pPr>
            <w:r w:rsidRPr="00C90AC9">
              <w:rPr>
                <w:lang w:eastAsia="zh-CN"/>
              </w:rPr>
              <w:t>-</w:t>
            </w:r>
          </w:p>
        </w:tc>
        <w:tc>
          <w:tcPr>
            <w:tcW w:w="903" w:type="dxa"/>
            <w:vAlign w:val="center"/>
          </w:tcPr>
          <w:p w:rsidR="00A16B8C" w:rsidRPr="00C90AC9" w:rsidRDefault="00A16B8C" w:rsidP="00C60B9C">
            <w:pPr>
              <w:jc w:val="center"/>
              <w:rPr>
                <w:lang w:eastAsia="zh-CN"/>
              </w:rPr>
            </w:pPr>
            <w:r w:rsidRPr="00C90AC9">
              <w:rPr>
                <w:lang w:eastAsia="zh-CN"/>
              </w:rPr>
              <w:t>-</w:t>
            </w:r>
          </w:p>
        </w:tc>
      </w:tr>
    </w:tbl>
    <w:p w:rsidR="00A16B8C" w:rsidRPr="00C90AC9" w:rsidRDefault="00A16B8C" w:rsidP="00B06779">
      <w:pPr>
        <w:rPr>
          <w:rFonts w:eastAsiaTheme="minorHAnsi"/>
          <w:lang w:eastAsia="en-US"/>
        </w:rPr>
      </w:pPr>
    </w:p>
    <w:p w:rsidR="00A16B8C" w:rsidRPr="00C90AC9" w:rsidRDefault="00D73E66" w:rsidP="00E3686B">
      <w:pPr>
        <w:pStyle w:val="BodyText"/>
        <w:spacing w:line="360" w:lineRule="auto"/>
        <w:rPr>
          <w:rFonts w:eastAsiaTheme="minorHAnsi"/>
          <w:lang w:eastAsia="en-US"/>
        </w:rPr>
      </w:pPr>
      <w:r w:rsidRPr="00C90AC9">
        <w:rPr>
          <w:rFonts w:eastAsiaTheme="minorHAnsi"/>
          <w:lang w:eastAsia="en-US"/>
        </w:rPr>
        <w:t xml:space="preserve">The </w:t>
      </w:r>
      <w:r w:rsidR="00A16B8C" w:rsidRPr="00C90AC9">
        <w:rPr>
          <w:rFonts w:eastAsiaTheme="minorHAnsi"/>
          <w:lang w:eastAsia="en-US"/>
        </w:rPr>
        <w:t>values of the Declination Angle (δ) for each day of the year</w:t>
      </w:r>
      <w:r w:rsidR="00EC14DF" w:rsidRPr="00C90AC9">
        <w:rPr>
          <w:rFonts w:eastAsiaTheme="minorHAnsi"/>
          <w:lang w:eastAsia="en-US"/>
        </w:rPr>
        <w:t xml:space="preserve"> using Equation 2</w:t>
      </w:r>
      <w:r w:rsidR="00A16B8C" w:rsidRPr="00C90AC9">
        <w:rPr>
          <w:rFonts w:eastAsiaTheme="minorHAnsi"/>
          <w:lang w:eastAsia="en-US"/>
        </w:rPr>
        <w:t xml:space="preserve"> are graphed for an enti</w:t>
      </w:r>
      <w:r w:rsidR="007B01CA" w:rsidRPr="00C90AC9">
        <w:rPr>
          <w:rFonts w:eastAsiaTheme="minorHAnsi"/>
          <w:lang w:eastAsia="en-US"/>
        </w:rPr>
        <w:t>re year as shown in Figure 2.</w:t>
      </w:r>
      <w:r w:rsidR="00534287" w:rsidRPr="00C90AC9">
        <w:rPr>
          <w:rFonts w:eastAsiaTheme="minorHAnsi"/>
          <w:lang w:eastAsia="en-US"/>
        </w:rPr>
        <w:t>11</w:t>
      </w:r>
      <w:r w:rsidR="007B01CA" w:rsidRPr="00C90AC9">
        <w:rPr>
          <w:rFonts w:eastAsiaTheme="minorHAnsi"/>
          <w:lang w:eastAsia="en-US"/>
        </w:rPr>
        <w:t>.</w:t>
      </w:r>
    </w:p>
    <w:p w:rsidR="00A16B8C" w:rsidRPr="00C90AC9" w:rsidRDefault="00A16B8C" w:rsidP="00B06779">
      <w:pPr>
        <w:pStyle w:val="BodyText"/>
        <w:rPr>
          <w:rFonts w:eastAsiaTheme="minorHAnsi"/>
          <w:lang w:eastAsia="en-US"/>
        </w:rPr>
      </w:pPr>
    </w:p>
    <w:p w:rsidR="0057156D" w:rsidRPr="00C90AC9" w:rsidRDefault="0057156D" w:rsidP="00B06779">
      <w:pPr>
        <w:pStyle w:val="BodyText"/>
        <w:rPr>
          <w:rFonts w:eastAsiaTheme="minorHAnsi"/>
          <w:lang w:eastAsia="en-US"/>
        </w:rPr>
        <w:sectPr w:rsidR="0057156D" w:rsidRPr="00C90AC9" w:rsidSect="00E90BA8">
          <w:pgSz w:w="11906" w:h="16838"/>
          <w:pgMar w:top="1418" w:right="1558" w:bottom="1440" w:left="1440" w:header="708" w:footer="708" w:gutter="0"/>
          <w:pgNumType w:start="1"/>
          <w:cols w:space="720"/>
          <w:docGrid w:linePitch="299"/>
        </w:sectPr>
      </w:pPr>
    </w:p>
    <w:p w:rsidR="00A16B8C" w:rsidRPr="00C90AC9" w:rsidRDefault="00A16B8C" w:rsidP="00B06779">
      <w:pPr>
        <w:pStyle w:val="BodyTextFirstIndent2"/>
        <w:rPr>
          <w:rFonts w:eastAsiaTheme="minorHAnsi"/>
          <w:lang w:eastAsia="en-US"/>
        </w:rPr>
      </w:pPr>
      <w:r w:rsidRPr="00C90AC9">
        <w:rPr>
          <w:rFonts w:eastAsiaTheme="minorHAnsi"/>
          <w:noProof/>
        </w:rPr>
        <w:lastRenderedPageBreak/>
        <w:drawing>
          <wp:anchor distT="0" distB="0" distL="114300" distR="114300" simplePos="0" relativeHeight="251676672" behindDoc="0" locked="0" layoutInCell="1" allowOverlap="1" wp14:anchorId="4706EBC0" wp14:editId="6F8EFD2A">
            <wp:simplePos x="0" y="0"/>
            <wp:positionH relativeFrom="column">
              <wp:posOffset>-428625</wp:posOffset>
            </wp:positionH>
            <wp:positionV relativeFrom="paragraph">
              <wp:posOffset>351790</wp:posOffset>
            </wp:positionV>
            <wp:extent cx="9829800" cy="5514975"/>
            <wp:effectExtent l="0" t="0" r="19050" b="9525"/>
            <wp:wrapSquare wrapText="bothSides"/>
            <wp:docPr id="336" name="Chart 3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r w:rsidRPr="00C90AC9">
        <w:rPr>
          <w:rFonts w:eastAsiaTheme="minorHAnsi"/>
        </w:rPr>
        <w:t>Figure 2.</w:t>
      </w:r>
      <w:r w:rsidR="00513387" w:rsidRPr="00C90AC9">
        <w:rPr>
          <w:rFonts w:eastAsiaTheme="minorHAnsi"/>
        </w:rPr>
        <w:t>1</w:t>
      </w:r>
      <w:r w:rsidR="00045804" w:rsidRPr="00C90AC9">
        <w:rPr>
          <w:rFonts w:eastAsiaTheme="minorHAnsi"/>
        </w:rPr>
        <w:t>1</w:t>
      </w:r>
      <w:r w:rsidR="00513387" w:rsidRPr="00C90AC9">
        <w:rPr>
          <w:rFonts w:eastAsiaTheme="minorHAnsi"/>
        </w:rPr>
        <w:t xml:space="preserve"> T</w:t>
      </w:r>
      <w:r w:rsidRPr="00C90AC9">
        <w:rPr>
          <w:rFonts w:eastAsiaTheme="minorHAnsi"/>
          <w:lang w:eastAsia="en-US"/>
        </w:rPr>
        <w:t>he Declination Angle (δ) throughout the year using Eq. (2)</w:t>
      </w:r>
    </w:p>
    <w:p w:rsidR="00A16B8C" w:rsidRPr="00C90AC9" w:rsidRDefault="00A16B8C" w:rsidP="00B06779">
      <w:pPr>
        <w:pStyle w:val="BodyTextIndent"/>
        <w:rPr>
          <w:rFonts w:eastAsiaTheme="minorHAnsi"/>
          <w:lang w:eastAsia="en-US"/>
        </w:rPr>
        <w:sectPr w:rsidR="00A16B8C" w:rsidRPr="00C90AC9" w:rsidSect="008C4189">
          <w:footerReference w:type="default" r:id="rId32"/>
          <w:pgSz w:w="16838" w:h="11906" w:orient="landscape"/>
          <w:pgMar w:top="1440" w:right="1440" w:bottom="1440" w:left="1440" w:header="709" w:footer="709" w:gutter="0"/>
          <w:cols w:space="720"/>
        </w:sectPr>
      </w:pPr>
    </w:p>
    <w:p w:rsidR="00A16B8C" w:rsidRPr="00C90AC9" w:rsidRDefault="0057156D" w:rsidP="00BA2FAC">
      <w:pPr>
        <w:pStyle w:val="BodyText"/>
        <w:spacing w:line="360" w:lineRule="auto"/>
        <w:rPr>
          <w:rFonts w:eastAsiaTheme="minorHAnsi"/>
          <w:lang w:eastAsia="en-US"/>
        </w:rPr>
      </w:pPr>
      <w:r w:rsidRPr="00C90AC9">
        <w:rPr>
          <w:rFonts w:eastAsiaTheme="minorHAnsi"/>
          <w:noProof/>
        </w:rPr>
        <w:lastRenderedPageBreak/>
        <mc:AlternateContent>
          <mc:Choice Requires="wps">
            <w:drawing>
              <wp:anchor distT="0" distB="0" distL="114300" distR="114300" simplePos="0" relativeHeight="251677696" behindDoc="0" locked="0" layoutInCell="1" allowOverlap="1" wp14:anchorId="5B931AFC" wp14:editId="357F1096">
                <wp:simplePos x="0" y="0"/>
                <wp:positionH relativeFrom="column">
                  <wp:posOffset>1699895</wp:posOffset>
                </wp:positionH>
                <wp:positionV relativeFrom="paragraph">
                  <wp:posOffset>467995</wp:posOffset>
                </wp:positionV>
                <wp:extent cx="1695450" cy="428625"/>
                <wp:effectExtent l="0" t="0" r="19050" b="28575"/>
                <wp:wrapNone/>
                <wp:docPr id="293" name="Rectangle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5450" cy="428625"/>
                        </a:xfrm>
                        <a:prstGeom prst="rect">
                          <a:avLst/>
                        </a:prstGeom>
                        <a:solidFill>
                          <a:srgbClr val="4F81BD">
                            <a:alpha val="30000"/>
                          </a:srgb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6B3DB1" id="Rectangle 293" o:spid="_x0000_s1026" style="position:absolute;margin-left:133.85pt;margin-top:36.85pt;width:133.5pt;height:33.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" fillcolor="#4f81bd" strokecolor="#385d8a" strokeweight="1pt">
                <v:fill opacity="19789f"/>
                <v:path arrowok="t"/>
              </v:rect>
            </w:pict>
          </mc:Fallback>
        </mc:AlternateContent>
      </w:r>
      <w:r w:rsidR="00A16B8C" w:rsidRPr="00C90AC9">
        <w:rPr>
          <w:rFonts w:eastAsiaTheme="minorHAnsi"/>
          <w:lang w:eastAsia="en-US"/>
        </w:rPr>
        <w:t>To determine the total solar irradiance on a tilted flat plate collector the Hour Angle (ω) also needs to be calculated:</w:t>
      </w:r>
    </w:p>
    <w:tbl>
      <w:tblPr>
        <w:tblW w:w="9072" w:type="dxa"/>
        <w:tblLook w:val="04A0" w:firstRow="1" w:lastRow="0" w:firstColumn="1" w:lastColumn="0" w:noHBand="0" w:noVBand="1"/>
      </w:tblPr>
      <w:tblGrid>
        <w:gridCol w:w="2943"/>
        <w:gridCol w:w="3011"/>
        <w:gridCol w:w="3118"/>
      </w:tblGrid>
      <w:tr w:rsidR="00A16B8C" w:rsidRPr="00C90AC9" w:rsidTr="00BA2FAC">
        <w:trPr>
          <w:trHeight w:val="268"/>
        </w:trPr>
        <w:tc>
          <w:tcPr>
            <w:tcW w:w="2943" w:type="dxa"/>
          </w:tcPr>
          <w:p w:rsidR="002C196F" w:rsidRPr="00C90AC9" w:rsidRDefault="002C196F" w:rsidP="00B06779">
            <w:pPr>
              <w:rPr>
                <w:lang w:eastAsia="zh-CN"/>
              </w:rPr>
            </w:pPr>
          </w:p>
          <w:p w:rsidR="002C196F" w:rsidRPr="00C90AC9" w:rsidRDefault="002C196F" w:rsidP="00B06779">
            <w:pPr>
              <w:rPr>
                <w:lang w:eastAsia="zh-CN"/>
              </w:rPr>
            </w:pPr>
          </w:p>
          <w:p w:rsidR="0057156D" w:rsidRPr="00C90AC9" w:rsidRDefault="00A16B8C" w:rsidP="00B06779">
            <w:pPr>
              <w:rPr>
                <w:lang w:eastAsia="zh-CN"/>
              </w:rPr>
            </w:pPr>
            <w:r w:rsidRPr="00C90AC9">
              <w:rPr>
                <w:lang w:eastAsia="zh-CN"/>
              </w:rPr>
              <w:t>Where:</w:t>
            </w:r>
            <w:r w:rsidR="0057156D" w:rsidRPr="00C90AC9">
              <w:rPr>
                <w:lang w:eastAsia="zh-CN"/>
              </w:rPr>
              <w:t xml:space="preserve"> </w:t>
            </w:r>
          </w:p>
          <w:p w:rsidR="00A16B8C" w:rsidRPr="00C90AC9" w:rsidRDefault="00A16B8C" w:rsidP="00B06779">
            <w:pPr>
              <w:rPr>
                <w:lang w:eastAsia="zh-CN"/>
              </w:rPr>
            </w:pPr>
            <w:r w:rsidRPr="00C90AC9">
              <w:rPr>
                <w:lang w:eastAsia="zh-CN"/>
              </w:rPr>
              <w:t>ω: Hour Angle</w:t>
            </w:r>
          </w:p>
          <w:p w:rsidR="002C196F" w:rsidRPr="00C90AC9" w:rsidRDefault="002C196F" w:rsidP="002C196F">
            <w:pPr>
              <w:rPr>
                <w:lang w:eastAsia="zh-CN"/>
              </w:rPr>
            </w:pPr>
            <w:r w:rsidRPr="00C90AC9">
              <w:rPr>
                <w:lang w:eastAsia="zh-CN"/>
              </w:rPr>
              <w:t xml:space="preserve">AST: </w:t>
            </w:r>
            <w:proofErr w:type="spellStart"/>
            <w:r w:rsidRPr="00C90AC9">
              <w:rPr>
                <w:lang w:eastAsia="zh-CN"/>
              </w:rPr>
              <w:t>Apparant</w:t>
            </w:r>
            <w:proofErr w:type="spellEnd"/>
            <w:r w:rsidRPr="00C90AC9">
              <w:rPr>
                <w:lang w:eastAsia="zh-CN"/>
              </w:rPr>
              <w:t xml:space="preserve"> Solar Time</w:t>
            </w:r>
          </w:p>
          <w:p w:rsidR="00A16B8C" w:rsidRPr="00C90AC9" w:rsidRDefault="00A16B8C" w:rsidP="002C196F">
            <w:pPr>
              <w:jc w:val="right"/>
              <w:rPr>
                <w:lang w:eastAsia="zh-CN"/>
              </w:rPr>
            </w:pPr>
          </w:p>
        </w:tc>
        <w:tc>
          <w:tcPr>
            <w:tcW w:w="3011" w:type="dxa"/>
            <w:hideMark/>
          </w:tcPr>
          <w:p w:rsidR="00A16B8C" w:rsidRPr="00C90AC9" w:rsidRDefault="00A16B8C" w:rsidP="00B06779">
            <w:pPr>
              <w:rPr>
                <w:rFonts w:eastAsiaTheme="minorHAnsi"/>
                <w:lang w:eastAsia="en-US"/>
              </w:rPr>
            </w:pPr>
            <w:r w:rsidRPr="00C90AC9">
              <w:rPr>
                <w:rFonts w:eastAsiaTheme="minorHAnsi"/>
                <w:lang w:eastAsia="en-US"/>
              </w:rPr>
              <w:t xml:space="preserve">ω= 15° × (AST −12)    </w:t>
            </w:r>
          </w:p>
          <w:p w:rsidR="00A16B8C" w:rsidRPr="00C90AC9" w:rsidRDefault="00A16B8C" w:rsidP="002C196F">
            <w:pPr>
              <w:tabs>
                <w:tab w:val="left" w:pos="5463"/>
              </w:tabs>
              <w:jc w:val="right"/>
              <w:rPr>
                <w:lang w:eastAsia="zh-CN"/>
              </w:rPr>
            </w:pPr>
          </w:p>
        </w:tc>
        <w:tc>
          <w:tcPr>
            <w:tcW w:w="3118" w:type="dxa"/>
            <w:hideMark/>
          </w:tcPr>
          <w:p w:rsidR="00A16B8C" w:rsidRPr="00C90AC9" w:rsidRDefault="00A16B8C" w:rsidP="002C196F">
            <w:pPr>
              <w:jc w:val="right"/>
              <w:rPr>
                <w:lang w:eastAsia="zh-CN"/>
              </w:rPr>
            </w:pPr>
            <w:r w:rsidRPr="00C90AC9">
              <w:rPr>
                <w:lang w:eastAsia="zh-CN"/>
              </w:rPr>
              <w:t>(</w:t>
            </w:r>
            <w:r w:rsidR="00BA7307" w:rsidRPr="00C90AC9">
              <w:rPr>
                <w:lang w:eastAsia="zh-CN"/>
              </w:rPr>
              <w:fldChar w:fldCharType="begin"/>
            </w:r>
            <w:r w:rsidR="00BA7307" w:rsidRPr="00C90AC9">
              <w:rPr>
                <w:lang w:eastAsia="zh-CN"/>
              </w:rPr>
              <w:instrText xml:space="preserve"> SEQ eq \* MERGEFORMAT </w:instrText>
            </w:r>
            <w:r w:rsidR="00BA7307" w:rsidRPr="00C90AC9">
              <w:rPr>
                <w:lang w:eastAsia="zh-CN"/>
              </w:rPr>
              <w:fldChar w:fldCharType="separate"/>
            </w:r>
            <w:r w:rsidR="004F4022" w:rsidRPr="00C90AC9">
              <w:rPr>
                <w:lang w:eastAsia="zh-CN"/>
              </w:rPr>
              <w:t>3</w:t>
            </w:r>
            <w:r w:rsidR="00BA7307" w:rsidRPr="00C90AC9">
              <w:rPr>
                <w:lang w:eastAsia="zh-CN"/>
              </w:rPr>
              <w:fldChar w:fldCharType="end"/>
            </w:r>
            <w:r w:rsidRPr="00C90AC9">
              <w:rPr>
                <w:lang w:eastAsia="zh-CN"/>
              </w:rPr>
              <w:t>)</w:t>
            </w:r>
          </w:p>
          <w:p w:rsidR="00A16B8C" w:rsidRPr="00C90AC9" w:rsidRDefault="002C196F" w:rsidP="002C196F">
            <w:pPr>
              <w:ind w:left="-788" w:firstLine="788"/>
              <w:jc w:val="right"/>
              <w:rPr>
                <w:lang w:eastAsia="zh-CN"/>
              </w:rPr>
            </w:pPr>
            <w:r w:rsidRPr="00C90AC9">
              <w:rPr>
                <w:lang w:eastAsia="zh-CN"/>
              </w:rPr>
              <w:fldChar w:fldCharType="begin"/>
            </w:r>
            <w:r w:rsidRPr="00C90AC9">
              <w:rPr>
                <w:lang w:eastAsia="zh-CN"/>
              </w:rPr>
              <w:instrText xml:space="preserve"> ADDIN EN.CITE &lt;EndNote&gt;&lt;Cite&gt;&lt;Author&gt;Stanciu&lt;/Author&gt;&lt;Year&gt;2014&lt;/Year&gt;&lt;RecNum&gt;223&lt;/RecNum&gt;&lt;DisplayText&gt;(Stanciu &amp;amp; Stanciu, 2014)&lt;/DisplayText&gt;&lt;record&gt;&lt;rec-number&gt;223&lt;/rec-number&gt;&lt;foreign-keys&gt;&lt;key app="EN" db-id="50wxdpzd9vd5r7e9t5b595djrfpttrxw9avp" timestamp="1525593140"&gt;223&lt;/key&gt;&lt;/foreign-keys&gt;&lt;ref-type name="Journal Article"&gt;17&lt;/ref-type&gt;&lt;contributors&gt;&lt;authors&gt;&lt;author&gt;Stanciu, Camelia&lt;/author&gt;&lt;author&gt;Stanciu, Dorin&lt;/author&gt;&lt;/authors&gt;&lt;/contributors&gt;&lt;titles&gt;&lt;title&gt;Optimum tilt angle for flat plate collectors all over the World – A declination dependence formula and comparisons of three solar radiation models&lt;/title&gt;&lt;secondary-title&gt;Energy Conversion and Management&lt;/secondary-title&gt;&lt;/titles&gt;&lt;pages&gt;133-143&lt;/pages&gt;&lt;volume&gt;81&lt;/volume&gt;&lt;keywords&gt;&lt;keyword&gt;Solar radiation&lt;/keyword&gt;&lt;keyword&gt;Flat plate collectors&lt;/keyword&gt;&lt;keyword&gt;Optimum tilt angle&lt;/keyword&gt;&lt;keyword&gt;Absorbed radiation&lt;/keyword&gt;&lt;/keywords&gt;&lt;dates&gt;&lt;year&gt;2014&lt;/year&gt;&lt;pub-dates&gt;&lt;date&gt;2014/05/01/&lt;/date&gt;&lt;/pub-dates&gt;&lt;/dates&gt;&lt;isbn&gt;0196-8904&lt;/isbn&gt;&lt;urls&gt;&lt;related-urls&gt;&lt;url&gt;http://www.sciencedirect.com/science/article/pii/S0196890414001265&lt;/url&gt;&lt;/related-urls&gt;&lt;/urls&gt;&lt;electronic-resource-num&gt;https://doi.org/10.1016/j.enconman.2014.02.016&lt;/electronic-resource-num&gt;&lt;/record&gt;&lt;/Cite&gt;&lt;/EndNote&gt;</w:instrText>
            </w:r>
            <w:r w:rsidRPr="00C90AC9">
              <w:rPr>
                <w:lang w:eastAsia="zh-CN"/>
              </w:rPr>
              <w:fldChar w:fldCharType="separate"/>
            </w:r>
            <w:r w:rsidRPr="00C90AC9">
              <w:rPr>
                <w:lang w:eastAsia="zh-CN"/>
              </w:rPr>
              <w:t>(Stanciu &amp; Stanciu, 2014)</w:t>
            </w:r>
            <w:r w:rsidRPr="00C90AC9">
              <w:rPr>
                <w:lang w:eastAsia="zh-CN"/>
              </w:rPr>
              <w:fldChar w:fldCharType="end"/>
            </w:r>
          </w:p>
        </w:tc>
      </w:tr>
    </w:tbl>
    <w:p w:rsidR="0057156D" w:rsidRPr="00C90AC9" w:rsidRDefault="0057156D" w:rsidP="002C196F">
      <w:pPr>
        <w:pStyle w:val="Heading11"/>
        <w:tabs>
          <w:tab w:val="left" w:pos="603"/>
        </w:tabs>
        <w:jc w:val="both"/>
        <w:rPr>
          <w:rFonts w:eastAsiaTheme="minorHAnsi"/>
          <w:sz w:val="24"/>
          <w:szCs w:val="24"/>
          <w:lang w:eastAsia="en-US"/>
        </w:rPr>
      </w:pPr>
    </w:p>
    <w:p w:rsidR="00A16B8C" w:rsidRPr="00C90AC9" w:rsidRDefault="002C196F" w:rsidP="007B01CA">
      <w:pPr>
        <w:pStyle w:val="BodyText"/>
        <w:spacing w:line="360" w:lineRule="auto"/>
        <w:rPr>
          <w:rFonts w:eastAsiaTheme="minorHAnsi"/>
          <w:lang w:eastAsia="en-US"/>
        </w:rPr>
      </w:pPr>
      <w:r w:rsidRPr="00C90AC9">
        <w:rPr>
          <w:rFonts w:eastAsiaTheme="minorHAnsi"/>
          <w:lang w:eastAsia="en-US"/>
        </w:rPr>
        <w:t>There have been s</w:t>
      </w:r>
      <w:r w:rsidR="00A16B8C" w:rsidRPr="00C90AC9">
        <w:rPr>
          <w:rFonts w:eastAsiaTheme="minorHAnsi"/>
          <w:lang w:eastAsia="en-US"/>
        </w:rPr>
        <w:t xml:space="preserve">tudies </w:t>
      </w:r>
      <w:r w:rsidRPr="00C90AC9">
        <w:rPr>
          <w:rFonts w:eastAsiaTheme="minorHAnsi"/>
          <w:lang w:eastAsia="en-US"/>
        </w:rPr>
        <w:t xml:space="preserve">which </w:t>
      </w:r>
      <w:r w:rsidR="00A16B8C" w:rsidRPr="00C90AC9">
        <w:rPr>
          <w:rFonts w:eastAsiaTheme="minorHAnsi"/>
          <w:lang w:eastAsia="en-US"/>
        </w:rPr>
        <w:t xml:space="preserve">have </w:t>
      </w:r>
      <w:r w:rsidR="00127734" w:rsidRPr="00C90AC9">
        <w:rPr>
          <w:rFonts w:eastAsiaTheme="minorHAnsi"/>
          <w:lang w:eastAsia="en-US"/>
        </w:rPr>
        <w:t xml:space="preserve">investigated the insolation on </w:t>
      </w:r>
      <w:r w:rsidR="00A16B8C" w:rsidRPr="00C90AC9">
        <w:rPr>
          <w:rFonts w:eastAsiaTheme="minorHAnsi"/>
          <w:lang w:eastAsia="en-US"/>
        </w:rPr>
        <w:t xml:space="preserve">a tilted surface through use of experimental measurements dating from the sixties onwards. As computing power became more powerful, estimating the solar irradiation incident on a particular location </w:t>
      </w:r>
      <w:r w:rsidR="00457C3E" w:rsidRPr="00C90AC9">
        <w:rPr>
          <w:rFonts w:eastAsiaTheme="minorHAnsi"/>
          <w:lang w:eastAsia="en-US"/>
        </w:rPr>
        <w:fldChar w:fldCharType="begin"/>
      </w:r>
      <w:r w:rsidR="00457C3E" w:rsidRPr="00C90AC9">
        <w:rPr>
          <w:rFonts w:eastAsiaTheme="minorHAnsi"/>
          <w:lang w:eastAsia="en-US"/>
        </w:rPr>
        <w:instrText xml:space="preserve"> ADDIN EN.CITE &lt;EndNote&gt;&lt;Cite&gt;&lt;Author&gt;Liu&lt;/Author&gt;&lt;Year&gt;1960&lt;/Year&gt;&lt;RecNum&gt;224&lt;/RecNum&gt;&lt;DisplayText&gt;(Liu &amp;amp; Jordan, 1960)&lt;/DisplayText&gt;&lt;record&gt;&lt;rec-number&gt;224&lt;/rec-number&gt;&lt;foreign-keys&gt;&lt;key app="EN" db-id="50wxdpzd9vd5r7e9t5b595djrfpttrxw9avp" timestamp="1525593570"&gt;224&lt;/key&gt;&lt;/foreign-keys&gt;&lt;ref-type name="Journal Article"&gt;17&lt;/ref-type&gt;&lt;contributors&gt;&lt;authors&gt;&lt;author&gt;Liu, Benjamin Y. H.&lt;/author&gt;&lt;author&gt;Jordan, Richard C.&lt;/author&gt;&lt;/authors&gt;&lt;/contributors&gt;&lt;titles&gt;&lt;title&gt;The interrelationship and characteristic distribution of direct, diffuse and total solar radiation&lt;/title&gt;&lt;secondary-title&gt;Solar Energy&lt;/secondary-title&gt;&lt;/titles&gt;&lt;pages&gt;1-19&lt;/pages&gt;&lt;volume&gt;4&lt;/volume&gt;&lt;number&gt;3&lt;/number&gt;&lt;dates&gt;&lt;year&gt;1960&lt;/year&gt;&lt;pub-dates&gt;&lt;date&gt;1960/07/01/&lt;/date&gt;&lt;/pub-dates&gt;&lt;/dates&gt;&lt;isbn&gt;0038-092X&lt;/isbn&gt;&lt;urls&gt;&lt;related-urls&gt;&lt;url&gt;http://www.sciencedirect.com/science/article/pii/0038092X60900621&lt;/url&gt;&lt;/related-urls&gt;&lt;/urls&gt;&lt;electronic-resource-num&gt;https://doi.org/10.1016/0038-092X(60)90062-1&lt;/electronic-resource-num&gt;&lt;/record&gt;&lt;/Cite&gt;&lt;/EndNote&gt;</w:instrText>
      </w:r>
      <w:r w:rsidR="00457C3E" w:rsidRPr="00C90AC9">
        <w:rPr>
          <w:rFonts w:eastAsiaTheme="minorHAnsi"/>
          <w:lang w:eastAsia="en-US"/>
        </w:rPr>
        <w:fldChar w:fldCharType="separate"/>
      </w:r>
      <w:r w:rsidR="00457C3E" w:rsidRPr="00C90AC9">
        <w:rPr>
          <w:rFonts w:eastAsiaTheme="minorHAnsi"/>
          <w:lang w:eastAsia="en-US"/>
        </w:rPr>
        <w:t>(Liu &amp; Jordan, 1960)</w:t>
      </w:r>
      <w:r w:rsidR="00457C3E" w:rsidRPr="00C90AC9">
        <w:rPr>
          <w:rFonts w:eastAsiaTheme="minorHAnsi"/>
          <w:lang w:eastAsia="en-US"/>
        </w:rPr>
        <w:fldChar w:fldCharType="end"/>
      </w:r>
      <w:r w:rsidRPr="00C90AC9">
        <w:rPr>
          <w:rFonts w:eastAsiaTheme="minorHAnsi"/>
          <w:lang w:eastAsia="en-US"/>
        </w:rPr>
        <w:t>.</w:t>
      </w:r>
      <w:r w:rsidR="00A16B8C" w:rsidRPr="00C90AC9">
        <w:rPr>
          <w:rFonts w:eastAsiaTheme="minorHAnsi"/>
          <w:lang w:eastAsia="en-US"/>
        </w:rPr>
        <w:t xml:space="preserve"> </w:t>
      </w:r>
    </w:p>
    <w:p w:rsidR="00A16B8C" w:rsidRPr="00C90AC9" w:rsidRDefault="00A16B8C" w:rsidP="007B01CA">
      <w:pPr>
        <w:pStyle w:val="BodyText"/>
        <w:spacing w:line="360" w:lineRule="auto"/>
        <w:rPr>
          <w:rFonts w:eastAsiaTheme="minorHAnsi"/>
          <w:lang w:eastAsia="en-US"/>
        </w:rPr>
      </w:pPr>
      <w:proofErr w:type="spellStart"/>
      <w:r w:rsidRPr="00C90AC9">
        <w:rPr>
          <w:rFonts w:eastAsiaTheme="minorHAnsi"/>
          <w:lang w:eastAsia="en-US"/>
        </w:rPr>
        <w:t>Tui</w:t>
      </w:r>
      <w:proofErr w:type="spellEnd"/>
      <w:r w:rsidRPr="00C90AC9">
        <w:rPr>
          <w:rFonts w:eastAsiaTheme="minorHAnsi"/>
          <w:lang w:eastAsia="en-US"/>
        </w:rPr>
        <w:t xml:space="preserve"> (1960) noted the need to have intervals shorter than one hour to deal with many solar irradiation problems, yet the study they presented did not have intervals shorter than one hour for the solar radiation  </w:t>
      </w:r>
      <w:r w:rsidR="00457C3E" w:rsidRPr="00C90AC9">
        <w:rPr>
          <w:rFonts w:eastAsiaTheme="minorHAnsi"/>
          <w:lang w:eastAsia="en-US"/>
        </w:rPr>
        <w:fldChar w:fldCharType="begin"/>
      </w:r>
      <w:r w:rsidR="00457C3E" w:rsidRPr="00C90AC9">
        <w:rPr>
          <w:rFonts w:eastAsiaTheme="minorHAnsi"/>
          <w:lang w:eastAsia="en-US"/>
        </w:rPr>
        <w:instrText xml:space="preserve"> ADDIN EN.CITE &lt;EndNote&gt;&lt;Cite&gt;&lt;Author&gt;Liu&lt;/Author&gt;&lt;Year&gt;1960&lt;/Year&gt;&lt;RecNum&gt;224&lt;/RecNum&gt;&lt;DisplayText&gt;(Liu &amp;amp; Jordan, 1960)&lt;/DisplayText&gt;&lt;record&gt;&lt;rec-number&gt;224&lt;/rec-number&gt;&lt;foreign-keys&gt;&lt;key app="EN" db-id="50wxdpzd9vd5r7e9t5b595djrfpttrxw9avp" timestamp="1525593570"&gt;224&lt;/key&gt;&lt;/foreign-keys&gt;&lt;ref-type name="Journal Article"&gt;17&lt;/ref-type&gt;&lt;contributors&gt;&lt;authors&gt;&lt;author&gt;Liu, Benjamin Y. H.&lt;/author&gt;&lt;author&gt;Jordan, Richard C.&lt;/author&gt;&lt;/authors&gt;&lt;/contributors&gt;&lt;titles&gt;&lt;title&gt;The interrelationship and characteristic distribution of direct, diffuse and total solar radiation&lt;/title&gt;&lt;secondary-title&gt;Solar Energy&lt;/secondary-title&gt;&lt;/titles&gt;&lt;pages&gt;1-19&lt;/pages&gt;&lt;volume&gt;4&lt;/volume&gt;&lt;number&gt;3&lt;/number&gt;&lt;dates&gt;&lt;year&gt;1960&lt;/year&gt;&lt;pub-dates&gt;&lt;date&gt;1960/07/01/&lt;/date&gt;&lt;/pub-dates&gt;&lt;/dates&gt;&lt;isbn&gt;0038-092X&lt;/isbn&gt;&lt;urls&gt;&lt;related-urls&gt;&lt;url&gt;http://www.sciencedirect.com/science/article/pii/0038092X60900621&lt;/url&gt;&lt;/related-urls&gt;&lt;/urls&gt;&lt;electronic-resource-num&gt;https://doi.org/10.1016/0038-092X(60)90062-1&lt;/electronic-resource-num&gt;&lt;/record&gt;&lt;/Cite&gt;&lt;/EndNote&gt;</w:instrText>
      </w:r>
      <w:r w:rsidR="00457C3E" w:rsidRPr="00C90AC9">
        <w:rPr>
          <w:rFonts w:eastAsiaTheme="minorHAnsi"/>
          <w:lang w:eastAsia="en-US"/>
        </w:rPr>
        <w:fldChar w:fldCharType="separate"/>
      </w:r>
      <w:r w:rsidR="00457C3E" w:rsidRPr="00C90AC9">
        <w:rPr>
          <w:rFonts w:eastAsiaTheme="minorHAnsi"/>
          <w:lang w:eastAsia="en-US"/>
        </w:rPr>
        <w:t>(Liu &amp; Jordan, 1960)</w:t>
      </w:r>
      <w:r w:rsidR="00457C3E" w:rsidRPr="00C90AC9">
        <w:rPr>
          <w:rFonts w:eastAsiaTheme="minorHAnsi"/>
          <w:lang w:eastAsia="en-US"/>
        </w:rPr>
        <w:fldChar w:fldCharType="end"/>
      </w:r>
      <w:r w:rsidR="002C196F" w:rsidRPr="00C90AC9">
        <w:rPr>
          <w:rFonts w:eastAsiaTheme="minorHAnsi"/>
          <w:lang w:eastAsia="en-US"/>
        </w:rPr>
        <w:t xml:space="preserve"> </w:t>
      </w:r>
      <w:r w:rsidRPr="00C90AC9">
        <w:rPr>
          <w:rFonts w:eastAsiaTheme="minorHAnsi"/>
          <w:lang w:eastAsia="en-US"/>
        </w:rPr>
        <w:t xml:space="preserve">and therefore the monthly irradiation  </w:t>
      </w:r>
      <w:r w:rsidR="002C196F" w:rsidRPr="00C90AC9">
        <w:rPr>
          <w:rFonts w:eastAsiaTheme="minorHAnsi"/>
          <w:lang w:eastAsia="en-US"/>
        </w:rPr>
        <w:t>data</w:t>
      </w:r>
      <w:r w:rsidRPr="00C90AC9">
        <w:rPr>
          <w:rFonts w:eastAsiaTheme="minorHAnsi"/>
          <w:lang w:eastAsia="en-US"/>
        </w:rPr>
        <w:t xml:space="preserve"> for various locations were used</w:t>
      </w:r>
      <w:r w:rsidR="002C196F" w:rsidRPr="00C90AC9">
        <w:rPr>
          <w:rFonts w:eastAsiaTheme="minorHAnsi"/>
          <w:lang w:eastAsia="en-US"/>
        </w:rPr>
        <w:t xml:space="preserve"> at sampling intervals less than one hour </w:t>
      </w:r>
      <w:r w:rsidR="00457C3E" w:rsidRPr="00C90AC9">
        <w:rPr>
          <w:rFonts w:eastAsiaTheme="minorHAnsi"/>
          <w:lang w:eastAsia="en-US"/>
        </w:rPr>
        <w:fldChar w:fldCharType="begin"/>
      </w:r>
      <w:r w:rsidR="00457C3E" w:rsidRPr="00C90AC9">
        <w:rPr>
          <w:rFonts w:eastAsiaTheme="minorHAnsi"/>
          <w:lang w:eastAsia="en-US"/>
        </w:rPr>
        <w:instrText xml:space="preserve"> ADDIN EN.CITE &lt;EndNote&gt;&lt;Cite&gt;&lt;Author&gt;Liu&lt;/Author&gt;&lt;Year&gt;1960&lt;/Year&gt;&lt;RecNum&gt;224&lt;/RecNum&gt;&lt;DisplayText&gt;(Liu &amp;amp; Jordan, 1960)&lt;/DisplayText&gt;&lt;record&gt;&lt;rec-number&gt;224&lt;/rec-number&gt;&lt;foreign-keys&gt;&lt;key app="EN" db-id="50wxdpzd9vd5r7e9t5b595djrfpttrxw9avp" timestamp="1525593570"&gt;224&lt;/key&gt;&lt;/foreign-keys&gt;&lt;ref-type name="Journal Article"&gt;17&lt;/ref-type&gt;&lt;contributors&gt;&lt;authors&gt;&lt;author&gt;Liu, Benjamin Y. H.&lt;/author&gt;&lt;author&gt;Jordan, Richard C.&lt;/author&gt;&lt;/authors&gt;&lt;/contributors&gt;&lt;titles&gt;&lt;title&gt;The interrelationship and characteristic distribution of direct, diffuse and total solar radiation&lt;/title&gt;&lt;secondary-title&gt;Solar Energy&lt;/secondary-title&gt;&lt;/titles&gt;&lt;pages&gt;1-19&lt;/pages&gt;&lt;volume&gt;4&lt;/volume&gt;&lt;number&gt;3&lt;/number&gt;&lt;dates&gt;&lt;year&gt;1960&lt;/year&gt;&lt;pub-dates&gt;&lt;date&gt;1960/07/01/&lt;/date&gt;&lt;/pub-dates&gt;&lt;/dates&gt;&lt;isbn&gt;0038-092X&lt;/isbn&gt;&lt;urls&gt;&lt;related-urls&gt;&lt;url&gt;http://www.sciencedirect.com/science/article/pii/0038092X60900621&lt;/url&gt;&lt;/related-urls&gt;&lt;/urls&gt;&lt;electronic-resource-num&gt;https://doi.org/10.1016/0038-092X(60)90062-1&lt;/electronic-resource-num&gt;&lt;/record&gt;&lt;/Cite&gt;&lt;/EndNote&gt;</w:instrText>
      </w:r>
      <w:r w:rsidR="00457C3E" w:rsidRPr="00C90AC9">
        <w:rPr>
          <w:rFonts w:eastAsiaTheme="minorHAnsi"/>
          <w:lang w:eastAsia="en-US"/>
        </w:rPr>
        <w:fldChar w:fldCharType="separate"/>
      </w:r>
      <w:r w:rsidR="00457C3E" w:rsidRPr="00C90AC9">
        <w:rPr>
          <w:rFonts w:eastAsiaTheme="minorHAnsi"/>
          <w:lang w:eastAsia="en-US"/>
        </w:rPr>
        <w:t>(Liu &amp; Jordan, 1960)</w:t>
      </w:r>
      <w:r w:rsidR="00457C3E" w:rsidRPr="00C90AC9">
        <w:rPr>
          <w:rFonts w:eastAsiaTheme="minorHAnsi"/>
          <w:lang w:eastAsia="en-US"/>
        </w:rPr>
        <w:fldChar w:fldCharType="end"/>
      </w:r>
      <w:r w:rsidRPr="00C90AC9">
        <w:rPr>
          <w:rFonts w:eastAsiaTheme="minorHAnsi"/>
          <w:lang w:eastAsia="en-US"/>
        </w:rPr>
        <w:t>.</w:t>
      </w:r>
    </w:p>
    <w:p w:rsidR="00A16B8C" w:rsidRPr="00C90AC9" w:rsidRDefault="00A16B8C" w:rsidP="00B06779">
      <w:pPr>
        <w:rPr>
          <w:rFonts w:eastAsiaTheme="majorEastAsia"/>
          <w:lang w:eastAsia="en-US"/>
        </w:rPr>
      </w:pPr>
    </w:p>
    <w:p w:rsidR="00E957F0" w:rsidRPr="00C90AC9" w:rsidRDefault="00E957F0" w:rsidP="00B06779">
      <w:pPr>
        <w:rPr>
          <w:lang w:eastAsia="zh-CN"/>
        </w:rPr>
      </w:pPr>
    </w:p>
    <w:p w:rsidR="00A16B8C" w:rsidRPr="00C90AC9" w:rsidRDefault="00A16B8C" w:rsidP="00B06779">
      <w:pPr>
        <w:rPr>
          <w:lang w:eastAsia="zh-CN"/>
        </w:rPr>
      </w:pPr>
      <w:r w:rsidRPr="00C90AC9">
        <w:rPr>
          <w:lang w:eastAsia="zh-CN"/>
        </w:rPr>
        <w:br w:type="page"/>
      </w:r>
    </w:p>
    <w:p w:rsidR="00A16B8C" w:rsidRPr="00C90AC9" w:rsidRDefault="00A16B8C" w:rsidP="009601D8">
      <w:pPr>
        <w:pStyle w:val="Heading1"/>
        <w:rPr>
          <w:rStyle w:val="SubtleEmphasis"/>
        </w:rPr>
      </w:pPr>
      <w:r w:rsidRPr="00C90AC9">
        <w:rPr>
          <w:rStyle w:val="SubtleEmphasis"/>
        </w:rPr>
        <w:lastRenderedPageBreak/>
        <w:t xml:space="preserve">Conclusions from </w:t>
      </w:r>
      <w:r w:rsidR="000F2059" w:rsidRPr="00C90AC9">
        <w:rPr>
          <w:rStyle w:val="SubtleEmphasis"/>
        </w:rPr>
        <w:t xml:space="preserve">the </w:t>
      </w:r>
      <w:r w:rsidRPr="00C90AC9">
        <w:rPr>
          <w:rStyle w:val="SubtleEmphasis"/>
        </w:rPr>
        <w:t>engineering literature review, direction for this research</w:t>
      </w:r>
      <w:r w:rsidR="00C0462B" w:rsidRPr="00C90AC9">
        <w:rPr>
          <w:rStyle w:val="SubtleEmphasis"/>
        </w:rPr>
        <w:tab/>
      </w:r>
    </w:p>
    <w:p w:rsidR="00A16B8C" w:rsidRPr="00C90AC9" w:rsidRDefault="00C0462B" w:rsidP="007B01CA">
      <w:pPr>
        <w:pStyle w:val="BodyTextFirstIndent"/>
        <w:spacing w:line="360" w:lineRule="auto"/>
        <w:rPr>
          <w:rFonts w:eastAsiaTheme="minorHAnsi"/>
          <w:lang w:eastAsia="en-US"/>
        </w:rPr>
      </w:pPr>
      <w:r w:rsidRPr="00C90AC9">
        <w:rPr>
          <w:rFonts w:eastAsiaTheme="minorHAnsi"/>
          <w:lang w:eastAsia="en-US"/>
        </w:rPr>
        <w:t>The</w:t>
      </w:r>
      <w:r w:rsidR="00A16B8C" w:rsidRPr="00C90AC9">
        <w:rPr>
          <w:rFonts w:eastAsiaTheme="minorHAnsi"/>
          <w:lang w:eastAsia="en-US"/>
        </w:rPr>
        <w:t xml:space="preserve"> literature review o</w:t>
      </w:r>
      <w:r w:rsidRPr="00C90AC9">
        <w:rPr>
          <w:rFonts w:eastAsiaTheme="minorHAnsi"/>
          <w:lang w:eastAsia="en-US"/>
        </w:rPr>
        <w:t>f</w:t>
      </w:r>
      <w:r w:rsidR="00A16B8C" w:rsidRPr="00C90AC9">
        <w:rPr>
          <w:rFonts w:eastAsiaTheme="minorHAnsi"/>
          <w:lang w:eastAsia="en-US"/>
        </w:rPr>
        <w:t xml:space="preserve"> the engineering aspects of this research revealed a </w:t>
      </w:r>
      <w:r w:rsidR="00906448" w:rsidRPr="00C90AC9">
        <w:rPr>
          <w:rFonts w:eastAsiaTheme="minorHAnsi"/>
          <w:lang w:eastAsia="en-US"/>
        </w:rPr>
        <w:t>few</w:t>
      </w:r>
      <w:r w:rsidR="00A16B8C" w:rsidRPr="00C90AC9">
        <w:rPr>
          <w:rFonts w:eastAsiaTheme="minorHAnsi"/>
          <w:lang w:eastAsia="en-US"/>
        </w:rPr>
        <w:t xml:space="preserve"> areas to consider in this research. The first thing to note is that computer simulations have a great number of advantages that should be capitalised in this research. The utilisation of computers allows a great degree of accuracy, speed and range of results to be calculated thus a more explanatory set of conclusions to be drawn from those results. For these reasons it is clear that using computer software to simulate </w:t>
      </w:r>
      <w:r w:rsidR="006518C0" w:rsidRPr="00C90AC9">
        <w:rPr>
          <w:rFonts w:eastAsiaTheme="minorHAnsi"/>
          <w:lang w:eastAsia="en-US"/>
        </w:rPr>
        <w:t>STPs</w:t>
      </w:r>
      <w:r w:rsidR="00A16B8C" w:rsidRPr="00C90AC9">
        <w:rPr>
          <w:rFonts w:eastAsiaTheme="minorHAnsi"/>
          <w:lang w:eastAsia="en-US"/>
        </w:rPr>
        <w:t xml:space="preserve"> if highly beneficial and should form the backbone of the engineering aspect of this current research. </w:t>
      </w:r>
    </w:p>
    <w:p w:rsidR="00A16B8C" w:rsidRPr="00C90AC9" w:rsidRDefault="00A16B8C" w:rsidP="007B01CA">
      <w:pPr>
        <w:pStyle w:val="BodyText"/>
        <w:spacing w:line="360" w:lineRule="auto"/>
        <w:rPr>
          <w:rFonts w:eastAsiaTheme="minorHAnsi"/>
          <w:lang w:eastAsia="en-US"/>
        </w:rPr>
      </w:pPr>
      <w:r w:rsidRPr="00C90AC9">
        <w:rPr>
          <w:rFonts w:eastAsiaTheme="minorHAnsi"/>
          <w:lang w:eastAsia="en-US"/>
        </w:rPr>
        <w:t xml:space="preserve">The use of computer software allows for a larger data set to be tested which means that the use of weather data in a similar manner to </w:t>
      </w:r>
      <w:proofErr w:type="spellStart"/>
      <w:r w:rsidRPr="00C90AC9">
        <w:rPr>
          <w:rFonts w:eastAsiaTheme="minorHAnsi"/>
          <w:lang w:eastAsia="en-US"/>
        </w:rPr>
        <w:t>Bornatico</w:t>
      </w:r>
      <w:proofErr w:type="spellEnd"/>
      <w:r w:rsidRPr="00C90AC9">
        <w:rPr>
          <w:rFonts w:eastAsiaTheme="minorHAnsi"/>
          <w:lang w:eastAsia="en-US"/>
        </w:rPr>
        <w:t xml:space="preserve"> et al is possible. Recorded weather is highly recommended rather than generated weather so as to actually give specific and accurate results. </w:t>
      </w:r>
      <w:r w:rsidR="00E76CAF" w:rsidRPr="00C90AC9">
        <w:rPr>
          <w:rFonts w:eastAsiaTheme="minorHAnsi"/>
          <w:lang w:eastAsia="en-US"/>
        </w:rPr>
        <w:t>Additionally,</w:t>
      </w:r>
      <w:r w:rsidRPr="00C90AC9">
        <w:rPr>
          <w:rFonts w:eastAsiaTheme="minorHAnsi"/>
          <w:lang w:eastAsia="en-US"/>
        </w:rPr>
        <w:t xml:space="preserve"> using recorded weather with a programme that has variables that are changeable will give the resulting software a greater degree of freedom and allow the software to be applied to any number of locations that are able to provide the set constants for the program and the input data (the recorded weather). Whilst the application of computer software is highly beneficial there is a modicum of warning that the final accuracy of the software is dependent on the degree to which these variables are measured. </w:t>
      </w:r>
    </w:p>
    <w:p w:rsidR="00C0462B" w:rsidRPr="00C90AC9" w:rsidRDefault="00A16B8C" w:rsidP="00162965">
      <w:pPr>
        <w:pStyle w:val="BodyText"/>
        <w:spacing w:line="360" w:lineRule="auto"/>
        <w:rPr>
          <w:rFonts w:eastAsiaTheme="minorHAnsi"/>
          <w:lang w:eastAsia="en-US"/>
        </w:rPr>
      </w:pPr>
      <w:r w:rsidRPr="00C90AC9">
        <w:rPr>
          <w:rFonts w:eastAsiaTheme="minorHAnsi"/>
          <w:lang w:eastAsia="en-US"/>
        </w:rPr>
        <w:t xml:space="preserve">The daily consumption of hot water in the UK varies from person to person and throughout the year therefore to assess the effectiveness of a STP system accurately an accurate daily consumption pattern is needed. For this using the Tapping Cycles as described by the EU are the most beneficial for a number of reasons. </w:t>
      </w:r>
      <w:r w:rsidR="00E76CAF" w:rsidRPr="00C90AC9">
        <w:rPr>
          <w:rFonts w:eastAsiaTheme="minorHAnsi"/>
          <w:lang w:eastAsia="en-US"/>
        </w:rPr>
        <w:t>Firstly,</w:t>
      </w:r>
      <w:r w:rsidRPr="00C90AC9">
        <w:rPr>
          <w:rFonts w:eastAsiaTheme="minorHAnsi"/>
          <w:lang w:eastAsia="en-US"/>
        </w:rPr>
        <w:t xml:space="preserve"> the Tapping Cycles are an accredited and tested method of assessing the capability of </w:t>
      </w:r>
      <w:r w:rsidR="006518C0" w:rsidRPr="00C90AC9">
        <w:rPr>
          <w:rFonts w:eastAsiaTheme="minorHAnsi"/>
          <w:lang w:eastAsia="en-US"/>
        </w:rPr>
        <w:t>STPs</w:t>
      </w:r>
      <w:r w:rsidRPr="00C90AC9">
        <w:rPr>
          <w:rFonts w:eastAsiaTheme="minorHAnsi"/>
          <w:lang w:eastAsia="en-US"/>
        </w:rPr>
        <w:t xml:space="preserve"> to perform in the ‘real world’ and so their applicability here with computer simulations is prudent. </w:t>
      </w:r>
      <w:r w:rsidR="00E76CAF" w:rsidRPr="00C90AC9">
        <w:rPr>
          <w:rFonts w:eastAsiaTheme="minorHAnsi"/>
          <w:lang w:eastAsia="en-US"/>
        </w:rPr>
        <w:t>Additionally,</w:t>
      </w:r>
      <w:r w:rsidRPr="00C90AC9">
        <w:rPr>
          <w:rFonts w:eastAsiaTheme="minorHAnsi"/>
          <w:lang w:eastAsia="en-US"/>
        </w:rPr>
        <w:t xml:space="preserve"> they provide consumption patterns that vary throughout a </w:t>
      </w:r>
      <w:r w:rsidR="00E76CAF" w:rsidRPr="00C90AC9">
        <w:rPr>
          <w:rFonts w:eastAsiaTheme="minorHAnsi"/>
          <w:lang w:eastAsia="en-US"/>
        </w:rPr>
        <w:t>24-hour</w:t>
      </w:r>
      <w:r w:rsidRPr="00C90AC9">
        <w:rPr>
          <w:rFonts w:eastAsiaTheme="minorHAnsi"/>
          <w:lang w:eastAsia="en-US"/>
        </w:rPr>
        <w:t xml:space="preserve"> period and so can be adjusted day by day. Whilst these “Tapping Cycles” do not </w:t>
      </w:r>
      <w:r w:rsidR="00BA2FAC" w:rsidRPr="00C90AC9">
        <w:rPr>
          <w:rFonts w:eastAsiaTheme="minorHAnsi"/>
          <w:lang w:eastAsia="en-US"/>
        </w:rPr>
        <w:t>consider</w:t>
      </w:r>
      <w:r w:rsidRPr="00C90AC9">
        <w:rPr>
          <w:rFonts w:eastAsiaTheme="minorHAnsi"/>
          <w:lang w:eastAsia="en-US"/>
        </w:rPr>
        <w:t xml:space="preserve"> the demographic and occupancy or various house type they do provide a benchmark which the resulting software can be tested against. They are also specific without having a wide variance in demand that is obvious from the various studies that have looked at UK hot water daily demand. The daily hot water consumption pattern will be different between houses of similar demographics and thus using the EU Tapping Cycles allows for a “High”, “Medium” or “Low” consumption pattern to be accounted for and so long as the various costs involved (monetary costs as well as the associated </w:t>
      </w:r>
      <w:r w:rsidRPr="00C90AC9">
        <w:rPr>
          <w:rFonts w:eastAsiaTheme="minorHAnsi"/>
          <w:lang w:eastAsia="en-US"/>
        </w:rPr>
        <w:lastRenderedPageBreak/>
        <w:t xml:space="preserve">carbon costs) with using traditional energy sources is calculated for heating the water to the required temperature are made then any potential costs or benefits can be adjudged objectively. </w:t>
      </w:r>
    </w:p>
    <w:p w:rsidR="00A16B8C" w:rsidRPr="00C90AC9" w:rsidRDefault="00906448" w:rsidP="00162965">
      <w:pPr>
        <w:pStyle w:val="BodyText"/>
        <w:spacing w:line="360" w:lineRule="auto"/>
        <w:rPr>
          <w:rFonts w:eastAsiaTheme="minorHAnsi"/>
          <w:lang w:eastAsia="en-US"/>
        </w:rPr>
      </w:pPr>
      <w:r w:rsidRPr="00C90AC9">
        <w:rPr>
          <w:rFonts w:eastAsiaTheme="minorHAnsi"/>
          <w:lang w:eastAsia="en-US"/>
        </w:rPr>
        <w:t xml:space="preserve">The additional thermodynamic benefits of using PCM materials in the design of STP has </w:t>
      </w:r>
      <w:r w:rsidR="00C0462B" w:rsidRPr="00C90AC9">
        <w:rPr>
          <w:rFonts w:eastAsiaTheme="minorHAnsi"/>
          <w:lang w:eastAsia="en-US"/>
        </w:rPr>
        <w:t>been shown to have</w:t>
      </w:r>
      <w:r w:rsidRPr="00C90AC9">
        <w:rPr>
          <w:rFonts w:eastAsiaTheme="minorHAnsi"/>
          <w:lang w:eastAsia="en-US"/>
        </w:rPr>
        <w:t xml:space="preserve"> modest benefits and so their inclusion is not considered for the re</w:t>
      </w:r>
      <w:r w:rsidR="00E82522" w:rsidRPr="00C90AC9">
        <w:rPr>
          <w:rFonts w:eastAsiaTheme="minorHAnsi"/>
          <w:lang w:eastAsia="en-US"/>
        </w:rPr>
        <w:t>main</w:t>
      </w:r>
      <w:r w:rsidRPr="00C90AC9">
        <w:rPr>
          <w:rFonts w:eastAsiaTheme="minorHAnsi"/>
          <w:lang w:eastAsia="en-US"/>
        </w:rPr>
        <w:t xml:space="preserve">der of this </w:t>
      </w:r>
      <w:r w:rsidR="00457C3E" w:rsidRPr="00C90AC9">
        <w:rPr>
          <w:rFonts w:eastAsiaTheme="minorHAnsi"/>
          <w:lang w:eastAsia="en-US"/>
        </w:rPr>
        <w:t xml:space="preserve">dissertation as other, less expensive </w:t>
      </w:r>
      <w:proofErr w:type="gramStart"/>
      <w:r w:rsidR="00457C3E" w:rsidRPr="00C90AC9">
        <w:rPr>
          <w:rFonts w:eastAsiaTheme="minorHAnsi"/>
          <w:lang w:eastAsia="en-US"/>
        </w:rPr>
        <w:t>and  less</w:t>
      </w:r>
      <w:proofErr w:type="gramEnd"/>
      <w:r w:rsidR="00457C3E" w:rsidRPr="00C90AC9">
        <w:rPr>
          <w:rFonts w:eastAsiaTheme="minorHAnsi"/>
          <w:lang w:eastAsia="en-US"/>
        </w:rPr>
        <w:t xml:space="preserve"> technical solutions have been investigated</w:t>
      </w:r>
      <w:r w:rsidRPr="00C90AC9">
        <w:rPr>
          <w:rFonts w:eastAsiaTheme="minorHAnsi"/>
          <w:lang w:eastAsia="en-US"/>
        </w:rPr>
        <w:t>.</w:t>
      </w:r>
    </w:p>
    <w:p w:rsidR="00470975" w:rsidRPr="00C90AC9" w:rsidRDefault="00470975" w:rsidP="00B06779">
      <w:pPr>
        <w:rPr>
          <w:rStyle w:val="SubtleEmphasis"/>
          <w:rFonts w:cs="Times New Roman"/>
          <w:i/>
          <w:iCs/>
          <w:sz w:val="24"/>
          <w:szCs w:val="24"/>
        </w:rPr>
      </w:pPr>
      <w:r w:rsidRPr="00C90AC9">
        <w:rPr>
          <w:rStyle w:val="SubtleEmphasis"/>
          <w:rFonts w:cs="Times New Roman"/>
          <w:i/>
          <w:iCs/>
          <w:sz w:val="24"/>
          <w:szCs w:val="24"/>
        </w:rPr>
        <w:br w:type="page"/>
      </w:r>
    </w:p>
    <w:p w:rsidR="00A16B8C" w:rsidRPr="00C90AC9" w:rsidRDefault="00A16B8C" w:rsidP="009601D8">
      <w:pPr>
        <w:pStyle w:val="Heading1"/>
        <w:rPr>
          <w:rStyle w:val="SubtleEmphasis"/>
        </w:rPr>
      </w:pPr>
      <w:r w:rsidRPr="00C90AC9">
        <w:rPr>
          <w:rStyle w:val="SubtleEmphasis"/>
        </w:rPr>
        <w:lastRenderedPageBreak/>
        <w:t>Psychology</w:t>
      </w:r>
      <w:r w:rsidR="00470975" w:rsidRPr="00C90AC9">
        <w:rPr>
          <w:rStyle w:val="SubtleEmphasis"/>
        </w:rPr>
        <w:t xml:space="preserve"> </w:t>
      </w:r>
      <w:r w:rsidR="00457C3E" w:rsidRPr="00C90AC9">
        <w:rPr>
          <w:rStyle w:val="SubtleEmphasis"/>
        </w:rPr>
        <w:t>Literature</w:t>
      </w:r>
      <w:r w:rsidR="00470975" w:rsidRPr="00C90AC9">
        <w:rPr>
          <w:rStyle w:val="SubtleEmphasis"/>
        </w:rPr>
        <w:t xml:space="preserve"> Review</w:t>
      </w:r>
    </w:p>
    <w:p w:rsidR="00582A8D" w:rsidRPr="00C90AC9" w:rsidRDefault="00582A8D" w:rsidP="00CA6E35">
      <w:pPr>
        <w:pStyle w:val="Heading1"/>
        <w:numPr>
          <w:ilvl w:val="2"/>
          <w:numId w:val="25"/>
        </w:numPr>
        <w:rPr>
          <w:rFonts w:eastAsiaTheme="majorEastAsia"/>
          <w:lang w:eastAsia="en-US"/>
        </w:rPr>
      </w:pPr>
      <w:r w:rsidRPr="00C90AC9">
        <w:rPr>
          <w:rStyle w:val="SubtleEmphasis"/>
        </w:rPr>
        <w:t xml:space="preserve">The value of using psychological methods to better understand the opinions of key stakeholders </w:t>
      </w:r>
      <w:r w:rsidR="000F2059" w:rsidRPr="00C90AC9">
        <w:rPr>
          <w:rStyle w:val="SubtleEmphasis"/>
        </w:rPr>
        <w:t>in the STP market</w:t>
      </w:r>
    </w:p>
    <w:p w:rsidR="00582A8D" w:rsidRPr="00C90AC9" w:rsidRDefault="00582A8D" w:rsidP="00191BE1">
      <w:pPr>
        <w:pStyle w:val="ListContinue"/>
        <w:spacing w:line="360" w:lineRule="auto"/>
        <w:ind w:left="0"/>
        <w:rPr>
          <w:rFonts w:eastAsiaTheme="minorHAnsi"/>
          <w:lang w:eastAsia="en-US"/>
        </w:rPr>
      </w:pPr>
      <w:r w:rsidRPr="00C90AC9">
        <w:rPr>
          <w:rFonts w:eastAsiaTheme="minorHAnsi"/>
          <w:lang w:eastAsia="en-US"/>
        </w:rPr>
        <w:tab/>
        <w:t xml:space="preserve">Designing a more efficient STP system to provide domestic hot water is only effective however if it is actually adopted and employed by consumers. </w:t>
      </w:r>
      <w:r w:rsidR="0026335B" w:rsidRPr="00C90AC9">
        <w:rPr>
          <w:rFonts w:eastAsiaTheme="minorHAnsi"/>
          <w:lang w:eastAsia="en-US"/>
        </w:rPr>
        <w:t>Thus</w:t>
      </w:r>
      <w:r w:rsidRPr="00C90AC9">
        <w:rPr>
          <w:rFonts w:eastAsiaTheme="minorHAnsi"/>
          <w:lang w:eastAsia="en-US"/>
        </w:rPr>
        <w:t xml:space="preserve">, if only 10% of the housing stock adopt STP technology and utilise it to its full capability (at 100% efficiency) then only 10% of the potential benefits of the technology can ever be realised. </w:t>
      </w:r>
      <w:r w:rsidR="0026335B" w:rsidRPr="00C90AC9">
        <w:rPr>
          <w:rFonts w:eastAsiaTheme="minorHAnsi"/>
          <w:lang w:eastAsia="en-US"/>
        </w:rPr>
        <w:t xml:space="preserve">A </w:t>
      </w:r>
      <w:r w:rsidRPr="00C90AC9">
        <w:rPr>
          <w:rFonts w:eastAsiaTheme="minorHAnsi"/>
          <w:lang w:eastAsia="en-US"/>
        </w:rPr>
        <w:t xml:space="preserve">Life Cycle Assessment (LCA) as performed by </w:t>
      </w:r>
      <w:proofErr w:type="spellStart"/>
      <w:r w:rsidRPr="00C90AC9">
        <w:rPr>
          <w:rFonts w:eastAsiaTheme="minorHAnsi"/>
          <w:lang w:eastAsia="en-US"/>
        </w:rPr>
        <w:t>Comodi</w:t>
      </w:r>
      <w:proofErr w:type="spellEnd"/>
      <w:r w:rsidRPr="00C90AC9">
        <w:rPr>
          <w:rFonts w:eastAsiaTheme="minorHAnsi"/>
          <w:lang w:eastAsia="en-US"/>
        </w:rPr>
        <w:t xml:space="preserve"> et al determined that a glazed solar panel similar to the STP proposed in the previous chapter has the following payback period in months at three different locations (Rome, Madri</w:t>
      </w:r>
      <w:r w:rsidR="0026335B" w:rsidRPr="00C90AC9">
        <w:rPr>
          <w:rFonts w:eastAsiaTheme="minorHAnsi"/>
          <w:lang w:eastAsia="en-US"/>
        </w:rPr>
        <w:t>d and Munich</w:t>
      </w:r>
      <w:r w:rsidRPr="00C90AC9">
        <w:rPr>
          <w:rFonts w:eastAsiaTheme="minorHAnsi"/>
          <w:lang w:eastAsia="en-US"/>
        </w:rPr>
        <w:t xml:space="preserve">) </w:t>
      </w:r>
      <w:r w:rsidR="0026335B" w:rsidRPr="00C90AC9">
        <w:rPr>
          <w:rFonts w:eastAsiaTheme="minorHAnsi"/>
          <w:lang w:eastAsia="en-US"/>
        </w:rPr>
        <w:fldChar w:fldCharType="begin"/>
      </w:r>
      <w:r w:rsidR="0026335B" w:rsidRPr="00C90AC9">
        <w:rPr>
          <w:rFonts w:eastAsiaTheme="minorHAnsi"/>
          <w:lang w:eastAsia="en-US"/>
        </w:rPr>
        <w:instrText xml:space="preserve"> ADDIN EN.CITE &lt;EndNote&gt;&lt;Cite&gt;&lt;Author&gt;Comodi&lt;/Author&gt;&lt;Year&gt;2014&lt;/Year&gt;&lt;RecNum&gt;262&lt;/RecNum&gt;&lt;DisplayText&gt;(Comodi et al., 2014)&lt;/DisplayText&gt;&lt;record&gt;&lt;rec-number&gt;262&lt;/rec-number&gt;&lt;foreign-keys&gt;&lt;key app="EN" db-id="50wxdpzd9vd5r7e9t5b595djrfpttrxw9avp" timestamp="1526105617"&gt;262&lt;/key&gt;&lt;/foreign-keys&gt;&lt;ref-type name="Journal Article"&gt;17&lt;/ref-type&gt;&lt;contributors&gt;&lt;authors&gt;&lt;author&gt;Comodi, G.&lt;/author&gt;&lt;author&gt;Bevilacqua, M.&lt;/author&gt;&lt;author&gt;Caresana, F.&lt;/author&gt;&lt;author&gt;Pelagalli, L.&lt;/author&gt;&lt;author&gt;Venella, P.&lt;/author&gt;&lt;author&gt;Paciarotti, C.&lt;/author&gt;&lt;/authors&gt;&lt;/contributors&gt;&lt;titles&gt;&lt;title&gt;LCA Analysis of Renewable Domestic Hot Water Systems with Unglazed and Glazed Solar Thermal Panels&lt;/title&gt;&lt;secondary-title&gt;Energy Procedia&lt;/secondary-title&gt;&lt;/titles&gt;&lt;pages&gt;234-237&lt;/pages&gt;&lt;volume&gt;61&lt;/volume&gt;&lt;keywords&gt;&lt;keyword&gt;Unglazed solar collector&lt;/keyword&gt;&lt;keyword&gt;Life cycle assessment&lt;/keyword&gt;&lt;keyword&gt;Domestic Solar Hot Water System&lt;/keyword&gt;&lt;keyword&gt;CO-energy-economic payback time&lt;/keyword&gt;&lt;/keywords&gt;&lt;dates&gt;&lt;year&gt;2014&lt;/year&gt;&lt;pub-dates&gt;&lt;date&gt;2014/01/01/&lt;/date&gt;&lt;/pub-dates&gt;&lt;/dates&gt;&lt;isbn&gt;1876-6102&lt;/isbn&gt;&lt;urls&gt;&lt;related-urls&gt;&lt;url&gt;http://www.sciencedirect.com/science/article/pii/S1876610214029269&lt;/url&gt;&lt;/related-urls&gt;&lt;/urls&gt;&lt;electronic-resource-num&gt;https://doi.org/10.1016/j.egypro.2014.11.1096&lt;/electronic-resource-num&gt;&lt;/record&gt;&lt;/Cite&gt;&lt;/EndNote&gt;</w:instrText>
      </w:r>
      <w:r w:rsidR="0026335B" w:rsidRPr="00C90AC9">
        <w:rPr>
          <w:rFonts w:eastAsiaTheme="minorHAnsi"/>
          <w:lang w:eastAsia="en-US"/>
        </w:rPr>
        <w:fldChar w:fldCharType="separate"/>
      </w:r>
      <w:r w:rsidR="0026335B" w:rsidRPr="00C90AC9">
        <w:rPr>
          <w:rFonts w:eastAsiaTheme="minorHAnsi"/>
          <w:lang w:eastAsia="en-US"/>
        </w:rPr>
        <w:t>(Comodi et al., 2014)</w:t>
      </w:r>
      <w:r w:rsidR="0026335B" w:rsidRPr="00C90AC9">
        <w:rPr>
          <w:rFonts w:eastAsiaTheme="minorHAnsi"/>
          <w:lang w:eastAsia="en-US"/>
        </w:rPr>
        <w:fldChar w:fldCharType="end"/>
      </w:r>
      <w:r w:rsidR="0026335B" w:rsidRPr="00C90AC9">
        <w:rPr>
          <w:rFonts w:eastAsiaTheme="minorHAnsi"/>
          <w:lang w:eastAsia="en-US"/>
        </w:rPr>
        <w:t>.</w:t>
      </w:r>
      <w:r w:rsidRPr="00C90AC9">
        <w:rPr>
          <w:rFonts w:eastAsiaTheme="minorHAnsi"/>
          <w:lang w:eastAsia="en-US"/>
        </w:rPr>
        <w:t xml:space="preserve"> The three cities investigated are on </w:t>
      </w:r>
      <w:r w:rsidR="0026335B" w:rsidRPr="00C90AC9">
        <w:rPr>
          <w:rFonts w:eastAsiaTheme="minorHAnsi"/>
          <w:lang w:eastAsia="en-US"/>
        </w:rPr>
        <w:t>comparable</w:t>
      </w:r>
      <w:r w:rsidRPr="00C90AC9">
        <w:rPr>
          <w:rFonts w:eastAsiaTheme="minorHAnsi"/>
          <w:lang w:eastAsia="en-US"/>
        </w:rPr>
        <w:t xml:space="preserve"> Latitude to Sheffield, particularly Munich. The results showing the payback period in terms of: energy (Energy Payback Time, EPBT); </w:t>
      </w:r>
      <w:r w:rsidRPr="00C90AC9">
        <w:rPr>
          <w:rFonts w:eastAsia="Calibri"/>
          <w:lang w:eastAsia="en-US"/>
        </w:rPr>
        <w:t>CO</w:t>
      </w:r>
      <w:r w:rsidRPr="00C90AC9">
        <w:rPr>
          <w:rFonts w:eastAsia="Calibri"/>
          <w:vertAlign w:val="subscript"/>
          <w:lang w:eastAsia="en-US"/>
        </w:rPr>
        <w:t>2</w:t>
      </w:r>
      <w:r w:rsidRPr="00C90AC9">
        <w:rPr>
          <w:rFonts w:eastAsiaTheme="minorHAnsi"/>
          <w:lang w:eastAsia="en-US"/>
        </w:rPr>
        <w:t xml:space="preserve"> (</w:t>
      </w:r>
      <w:r w:rsidRPr="00C90AC9">
        <w:rPr>
          <w:rFonts w:eastAsia="Calibri"/>
          <w:lang w:eastAsia="en-US"/>
        </w:rPr>
        <w:t>CO</w:t>
      </w:r>
      <w:r w:rsidRPr="00C90AC9">
        <w:rPr>
          <w:rFonts w:eastAsia="Calibri"/>
          <w:vertAlign w:val="subscript"/>
          <w:lang w:eastAsia="en-US"/>
        </w:rPr>
        <w:t>2</w:t>
      </w:r>
      <w:r w:rsidRPr="00C90AC9">
        <w:rPr>
          <w:rFonts w:eastAsiaTheme="minorHAnsi"/>
          <w:vertAlign w:val="subscript"/>
          <w:lang w:eastAsia="en-US"/>
        </w:rPr>
        <w:t xml:space="preserve"> </w:t>
      </w:r>
      <w:r w:rsidRPr="00C90AC9">
        <w:rPr>
          <w:rFonts w:eastAsiaTheme="minorHAnsi"/>
          <w:lang w:eastAsia="en-US"/>
        </w:rPr>
        <w:t xml:space="preserve">Payback Time, </w:t>
      </w:r>
      <w:r w:rsidRPr="00C90AC9">
        <w:rPr>
          <w:rFonts w:eastAsia="Calibri"/>
          <w:lang w:eastAsia="en-US"/>
        </w:rPr>
        <w:t>CO</w:t>
      </w:r>
      <w:r w:rsidRPr="00C90AC9">
        <w:rPr>
          <w:rFonts w:eastAsia="Calibri"/>
          <w:vertAlign w:val="subscript"/>
          <w:lang w:eastAsia="en-US"/>
        </w:rPr>
        <w:t>2</w:t>
      </w:r>
      <w:r w:rsidRPr="00C90AC9">
        <w:rPr>
          <w:rFonts w:eastAsiaTheme="minorHAnsi"/>
          <w:vertAlign w:val="subscript"/>
          <w:lang w:eastAsia="en-US"/>
        </w:rPr>
        <w:t xml:space="preserve"> </w:t>
      </w:r>
      <w:r w:rsidRPr="00C90AC9">
        <w:rPr>
          <w:rFonts w:eastAsiaTheme="minorHAnsi"/>
          <w:lang w:eastAsia="en-US"/>
        </w:rPr>
        <w:t>PBT) and economics (€ Payback Time, €PBT) a</w:t>
      </w:r>
      <w:r w:rsidR="00B82BA7" w:rsidRPr="00C90AC9">
        <w:rPr>
          <w:rFonts w:eastAsiaTheme="minorHAnsi"/>
          <w:lang w:eastAsia="en-US"/>
        </w:rPr>
        <w:t>re shown in Table 2.6.</w:t>
      </w:r>
      <w:r w:rsidR="00DB7E0E" w:rsidRPr="00C90AC9">
        <w:rPr>
          <w:rFonts w:eastAsiaTheme="minorHAnsi"/>
          <w:lang w:eastAsia="en-US"/>
        </w:rPr>
        <w:t xml:space="preserve"> </w:t>
      </w:r>
      <w:r w:rsidR="00DB7E0E" w:rsidRPr="00C90AC9">
        <w:rPr>
          <w:rFonts w:eastAsiaTheme="minorHAnsi"/>
          <w:lang w:eastAsia="en-US"/>
        </w:rPr>
        <w:fldChar w:fldCharType="begin"/>
      </w:r>
      <w:r w:rsidR="00DB7E0E" w:rsidRPr="00C90AC9">
        <w:rPr>
          <w:rFonts w:eastAsiaTheme="minorHAnsi"/>
          <w:lang w:eastAsia="en-US"/>
        </w:rPr>
        <w:instrText xml:space="preserve"> ADDIN EN.CITE &lt;EndNote&gt;&lt;Cite&gt;&lt;Author&gt;Comodi&lt;/Author&gt;&lt;Year&gt;2014&lt;/Year&gt;&lt;RecNum&gt;262&lt;/RecNum&gt;&lt;DisplayText&gt;(Comodi et al., 2014)&lt;/DisplayText&gt;&lt;record&gt;&lt;rec-number&gt;262&lt;/rec-number&gt;&lt;foreign-keys&gt;&lt;key app="EN" db-id="50wxdpzd9vd5r7e9t5b595djrfpttrxw9avp" timestamp="1526105617"&gt;262&lt;/key&gt;&lt;/foreign-keys&gt;&lt;ref-type name="Journal Article"&gt;17&lt;/ref-type&gt;&lt;contributors&gt;&lt;authors&gt;&lt;author&gt;Comodi, G.&lt;/author&gt;&lt;author&gt;Bevilacqua, M.&lt;/author&gt;&lt;author&gt;Caresana, F.&lt;/author&gt;&lt;author&gt;Pelagalli, L.&lt;/author&gt;&lt;author&gt;Venella, P.&lt;/author&gt;&lt;author&gt;Paciarotti, C.&lt;/author&gt;&lt;/authors&gt;&lt;/contributors&gt;&lt;titles&gt;&lt;title&gt;LCA Analysis of Renewable Domestic Hot Water Systems with Unglazed and Glazed Solar Thermal Panels&lt;/title&gt;&lt;secondary-title&gt;Energy Procedia&lt;/secondary-title&gt;&lt;/titles&gt;&lt;pages&gt;234-237&lt;/pages&gt;&lt;volume&gt;61&lt;/volume&gt;&lt;keywords&gt;&lt;keyword&gt;Unglazed solar collector&lt;/keyword&gt;&lt;keyword&gt;Life cycle assessment&lt;/keyword&gt;&lt;keyword&gt;Domestic Solar Hot Water System&lt;/keyword&gt;&lt;keyword&gt;CO-energy-economic payback time&lt;/keyword&gt;&lt;/keywords&gt;&lt;dates&gt;&lt;year&gt;2014&lt;/year&gt;&lt;pub-dates&gt;&lt;date&gt;2014/01/01/&lt;/date&gt;&lt;/pub-dates&gt;&lt;/dates&gt;&lt;isbn&gt;1876-6102&lt;/isbn&gt;&lt;urls&gt;&lt;related-urls&gt;&lt;url&gt;http://www.sciencedirect.com/science/article/pii/S1876610214029269&lt;/url&gt;&lt;/related-urls&gt;&lt;/urls&gt;&lt;electronic-resource-num&gt;https://doi.org/10.1016/j.egypro.2014.11.1096&lt;/electronic-resource-num&gt;&lt;/record&gt;&lt;/Cite&gt;&lt;/EndNote&gt;</w:instrText>
      </w:r>
      <w:r w:rsidR="00DB7E0E" w:rsidRPr="00C90AC9">
        <w:rPr>
          <w:rFonts w:eastAsiaTheme="minorHAnsi"/>
          <w:lang w:eastAsia="en-US"/>
        </w:rPr>
        <w:fldChar w:fldCharType="separate"/>
      </w:r>
      <w:r w:rsidR="00DB7E0E" w:rsidRPr="00C90AC9">
        <w:rPr>
          <w:rFonts w:eastAsiaTheme="minorHAnsi"/>
          <w:lang w:eastAsia="en-US"/>
        </w:rPr>
        <w:t>(Comodi et al., 2014)</w:t>
      </w:r>
      <w:r w:rsidR="00DB7E0E" w:rsidRPr="00C90AC9">
        <w:rPr>
          <w:rFonts w:eastAsiaTheme="minorHAnsi"/>
          <w:lang w:eastAsia="en-US"/>
        </w:rPr>
        <w:fldChar w:fldCharType="end"/>
      </w:r>
      <w:r w:rsidRPr="00C90AC9">
        <w:rPr>
          <w:rFonts w:eastAsiaTheme="minorHAnsi"/>
          <w:lang w:eastAsia="en-US"/>
        </w:rPr>
        <w:t xml:space="preserve">. </w:t>
      </w:r>
    </w:p>
    <w:p w:rsidR="00582A8D" w:rsidRPr="00C90AC9" w:rsidRDefault="00582A8D" w:rsidP="00582A8D">
      <w:pPr>
        <w:pStyle w:val="ListContinue"/>
        <w:ind w:left="0"/>
        <w:rPr>
          <w:rFonts w:eastAsiaTheme="minorHAnsi"/>
          <w:lang w:eastAsia="en-US"/>
        </w:rPr>
      </w:pPr>
    </w:p>
    <w:p w:rsidR="00582A8D" w:rsidRPr="00C90AC9" w:rsidRDefault="00B82BA7" w:rsidP="00582A8D">
      <w:pPr>
        <w:pStyle w:val="ListContinue"/>
        <w:rPr>
          <w:rFonts w:eastAsiaTheme="minorHAnsi"/>
          <w:lang w:eastAsia="en-US"/>
        </w:rPr>
      </w:pPr>
      <w:r w:rsidRPr="00C90AC9">
        <w:rPr>
          <w:rFonts w:eastAsiaTheme="minorHAnsi"/>
          <w:lang w:eastAsia="en-US"/>
        </w:rPr>
        <w:t>Table 2.6</w:t>
      </w:r>
      <w:r w:rsidR="00582A8D" w:rsidRPr="00C90AC9">
        <w:rPr>
          <w:rFonts w:eastAsiaTheme="minorHAnsi"/>
          <w:lang w:eastAsia="en-US"/>
        </w:rPr>
        <w:t xml:space="preserve">. The Energy, </w:t>
      </w:r>
      <w:r w:rsidR="00582A8D" w:rsidRPr="00C90AC9">
        <w:rPr>
          <w:rFonts w:eastAsia="Calibri"/>
          <w:lang w:eastAsia="en-US"/>
        </w:rPr>
        <w:t>CO</w:t>
      </w:r>
      <w:r w:rsidR="00582A8D" w:rsidRPr="00C90AC9">
        <w:rPr>
          <w:rFonts w:eastAsia="Calibri"/>
          <w:vertAlign w:val="subscript"/>
          <w:lang w:eastAsia="en-US"/>
        </w:rPr>
        <w:t>2</w:t>
      </w:r>
      <w:r w:rsidR="00582A8D" w:rsidRPr="00C90AC9">
        <w:rPr>
          <w:rFonts w:eastAsiaTheme="minorHAnsi"/>
          <w:lang w:eastAsia="en-US"/>
        </w:rPr>
        <w:t xml:space="preserve"> and economic pay-back times</w:t>
      </w:r>
      <w:r w:rsidR="0026335B" w:rsidRPr="00C90AC9">
        <w:rPr>
          <w:rFonts w:eastAsiaTheme="minorHAnsi"/>
          <w:lang w:eastAsia="en-US"/>
        </w:rPr>
        <w:t xml:space="preserve"> (in years)</w:t>
      </w:r>
      <w:r w:rsidR="00582A8D" w:rsidRPr="00C90AC9">
        <w:rPr>
          <w:rFonts w:eastAsiaTheme="minorHAnsi"/>
          <w:lang w:eastAsia="en-US"/>
        </w:rPr>
        <w:t xml:space="preserve"> of a solar panel, </w:t>
      </w:r>
      <w:r w:rsidR="00DB7E0E" w:rsidRPr="00C90AC9">
        <w:rPr>
          <w:rFonts w:eastAsiaTheme="minorHAnsi"/>
          <w:lang w:eastAsia="en-US"/>
        </w:rPr>
        <w:fldChar w:fldCharType="begin"/>
      </w:r>
      <w:r w:rsidR="00DB7E0E" w:rsidRPr="00C90AC9">
        <w:rPr>
          <w:rFonts w:eastAsiaTheme="minorHAnsi"/>
          <w:lang w:eastAsia="en-US"/>
        </w:rPr>
        <w:instrText xml:space="preserve"> ADDIN EN.CITE &lt;EndNote&gt;&lt;Cite&gt;&lt;Author&gt;Comodi&lt;/Author&gt;&lt;Year&gt;2014&lt;/Year&gt;&lt;RecNum&gt;262&lt;/RecNum&gt;&lt;DisplayText&gt;(Comodi et al., 2014)&lt;/DisplayText&gt;&lt;record&gt;&lt;rec-number&gt;262&lt;/rec-number&gt;&lt;foreign-keys&gt;&lt;key app="EN" db-id="50wxdpzd9vd5r7e9t5b595djrfpttrxw9avp" timestamp="1526105617"&gt;262&lt;/key&gt;&lt;/foreign-keys&gt;&lt;ref-type name="Journal Article"&gt;17&lt;/ref-type&gt;&lt;contributors&gt;&lt;authors&gt;&lt;author&gt;Comodi, G.&lt;/author&gt;&lt;author&gt;Bevilacqua, M.&lt;/author&gt;&lt;author&gt;Caresana, F.&lt;/author&gt;&lt;author&gt;Pelagalli, L.&lt;/author&gt;&lt;author&gt;Venella, P.&lt;/author&gt;&lt;author&gt;Paciarotti, C.&lt;/author&gt;&lt;/authors&gt;&lt;/contributors&gt;&lt;titles&gt;&lt;title&gt;LCA Analysis of Renewable Domestic Hot Water Systems with Unglazed and Glazed Solar Thermal Panels&lt;/title&gt;&lt;secondary-title&gt;Energy Procedia&lt;/secondary-title&gt;&lt;/titles&gt;&lt;pages&gt;234-237&lt;/pages&gt;&lt;volume&gt;61&lt;/volume&gt;&lt;keywords&gt;&lt;keyword&gt;Unglazed solar collector&lt;/keyword&gt;&lt;keyword&gt;Life cycle assessment&lt;/keyword&gt;&lt;keyword&gt;Domestic Solar Hot Water System&lt;/keyword&gt;&lt;keyword&gt;CO-energy-economic payback time&lt;/keyword&gt;&lt;/keywords&gt;&lt;dates&gt;&lt;year&gt;2014&lt;/year&gt;&lt;pub-dates&gt;&lt;date&gt;2014/01/01/&lt;/date&gt;&lt;/pub-dates&gt;&lt;/dates&gt;&lt;isbn&gt;1876-6102&lt;/isbn&gt;&lt;urls&gt;&lt;related-urls&gt;&lt;url&gt;http://www.sciencedirect.com/science/article/pii/S1876610214029269&lt;/url&gt;&lt;/related-urls&gt;&lt;/urls&gt;&lt;electronic-resource-num&gt;https://doi.org/10.1016/j.egypro.2014.11.1096&lt;/electronic-resource-num&gt;&lt;/record&gt;&lt;/Cite&gt;&lt;/EndNote&gt;</w:instrText>
      </w:r>
      <w:r w:rsidR="00DB7E0E" w:rsidRPr="00C90AC9">
        <w:rPr>
          <w:rFonts w:eastAsiaTheme="minorHAnsi"/>
          <w:lang w:eastAsia="en-US"/>
        </w:rPr>
        <w:fldChar w:fldCharType="separate"/>
      </w:r>
      <w:r w:rsidR="00DB7E0E" w:rsidRPr="00C90AC9">
        <w:rPr>
          <w:rFonts w:eastAsiaTheme="minorHAnsi"/>
          <w:lang w:eastAsia="en-US"/>
        </w:rPr>
        <w:t>(Comodi et al., 2014)</w:t>
      </w:r>
      <w:r w:rsidR="00DB7E0E" w:rsidRPr="00C90AC9">
        <w:rPr>
          <w:rFonts w:eastAsiaTheme="minorHAnsi"/>
          <w:lang w:eastAsia="en-US"/>
        </w:rPr>
        <w:fldChar w:fldCharType="end"/>
      </w:r>
    </w:p>
    <w:tbl>
      <w:tblPr>
        <w:tblStyle w:val="TableGrid"/>
        <w:tblW w:w="0" w:type="auto"/>
        <w:tblInd w:w="250" w:type="dxa"/>
        <w:tblLook w:val="04A0" w:firstRow="1" w:lastRow="0" w:firstColumn="1" w:lastColumn="0" w:noHBand="0" w:noVBand="1"/>
      </w:tblPr>
      <w:tblGrid>
        <w:gridCol w:w="1838"/>
        <w:gridCol w:w="855"/>
        <w:gridCol w:w="1085"/>
        <w:gridCol w:w="1279"/>
        <w:gridCol w:w="1273"/>
        <w:gridCol w:w="1298"/>
        <w:gridCol w:w="1048"/>
      </w:tblGrid>
      <w:tr w:rsidR="00582A8D" w:rsidRPr="00C90AC9" w:rsidTr="00B90BEE">
        <w:tc>
          <w:tcPr>
            <w:tcW w:w="1838" w:type="dxa"/>
          </w:tcPr>
          <w:p w:rsidR="00582A8D" w:rsidRPr="00C90AC9" w:rsidRDefault="00582A8D" w:rsidP="00DB7E0E">
            <w:pPr>
              <w:jc w:val="center"/>
              <w:rPr>
                <w:rFonts w:eastAsiaTheme="minorHAnsi"/>
                <w:lang w:eastAsia="en-US"/>
              </w:rPr>
            </w:pPr>
          </w:p>
        </w:tc>
        <w:tc>
          <w:tcPr>
            <w:tcW w:w="855" w:type="dxa"/>
          </w:tcPr>
          <w:p w:rsidR="00582A8D" w:rsidRPr="00C90AC9" w:rsidRDefault="00582A8D" w:rsidP="00F9457E">
            <w:pPr>
              <w:jc w:val="center"/>
              <w:rPr>
                <w:rFonts w:eastAsiaTheme="minorHAnsi"/>
                <w:lang w:eastAsia="en-US"/>
              </w:rPr>
            </w:pPr>
            <w:r w:rsidRPr="00C90AC9">
              <w:rPr>
                <w:rFonts w:eastAsiaTheme="minorHAnsi"/>
                <w:lang w:eastAsia="en-US"/>
              </w:rPr>
              <w:t>EPT</w:t>
            </w:r>
          </w:p>
        </w:tc>
        <w:tc>
          <w:tcPr>
            <w:tcW w:w="1085" w:type="dxa"/>
          </w:tcPr>
          <w:p w:rsidR="00582A8D" w:rsidRPr="00C90AC9" w:rsidRDefault="00582A8D" w:rsidP="00F9457E">
            <w:pPr>
              <w:jc w:val="center"/>
              <w:rPr>
                <w:rFonts w:eastAsiaTheme="minorHAnsi"/>
                <w:lang w:eastAsia="en-US"/>
              </w:rPr>
            </w:pPr>
            <w:r w:rsidRPr="00C90AC9">
              <w:rPr>
                <w:rFonts w:eastAsiaTheme="minorHAnsi"/>
                <w:lang w:eastAsia="en-US"/>
              </w:rPr>
              <w:t>CO</w:t>
            </w:r>
            <w:r w:rsidRPr="00C90AC9">
              <w:rPr>
                <w:rFonts w:eastAsiaTheme="minorHAnsi"/>
                <w:vertAlign w:val="subscript"/>
                <w:lang w:eastAsia="en-US"/>
              </w:rPr>
              <w:t>2</w:t>
            </w:r>
            <w:r w:rsidRPr="00C90AC9">
              <w:rPr>
                <w:rFonts w:eastAsiaTheme="minorHAnsi"/>
                <w:lang w:eastAsia="en-US"/>
              </w:rPr>
              <w:t>PBT</w:t>
            </w:r>
          </w:p>
        </w:tc>
        <w:tc>
          <w:tcPr>
            <w:tcW w:w="1279" w:type="dxa"/>
          </w:tcPr>
          <w:p w:rsidR="00582A8D" w:rsidRPr="00C90AC9" w:rsidRDefault="00582A8D" w:rsidP="00F9457E">
            <w:pPr>
              <w:jc w:val="center"/>
              <w:rPr>
                <w:rFonts w:eastAsiaTheme="minorHAnsi"/>
                <w:lang w:eastAsia="en-US"/>
              </w:rPr>
            </w:pPr>
            <w:r w:rsidRPr="00C90AC9">
              <w:rPr>
                <w:rFonts w:eastAsiaTheme="minorHAnsi"/>
                <w:lang w:eastAsia="en-US"/>
              </w:rPr>
              <w:t>€PBT</w:t>
            </w:r>
          </w:p>
        </w:tc>
        <w:tc>
          <w:tcPr>
            <w:tcW w:w="1273" w:type="dxa"/>
          </w:tcPr>
          <w:p w:rsidR="00582A8D" w:rsidRPr="00C90AC9" w:rsidRDefault="00582A8D" w:rsidP="00F9457E">
            <w:pPr>
              <w:jc w:val="center"/>
              <w:rPr>
                <w:rFonts w:eastAsiaTheme="minorHAnsi"/>
                <w:lang w:eastAsia="en-US"/>
              </w:rPr>
            </w:pPr>
            <w:r w:rsidRPr="00C90AC9">
              <w:rPr>
                <w:rFonts w:eastAsiaTheme="minorHAnsi"/>
                <w:lang w:eastAsia="en-US"/>
              </w:rPr>
              <w:t>EPT</w:t>
            </w:r>
          </w:p>
        </w:tc>
        <w:tc>
          <w:tcPr>
            <w:tcW w:w="1298" w:type="dxa"/>
          </w:tcPr>
          <w:p w:rsidR="00582A8D" w:rsidRPr="00C90AC9" w:rsidRDefault="00582A8D" w:rsidP="00F9457E">
            <w:pPr>
              <w:jc w:val="center"/>
              <w:rPr>
                <w:rFonts w:eastAsiaTheme="minorHAnsi"/>
                <w:lang w:eastAsia="en-US"/>
              </w:rPr>
            </w:pPr>
            <w:r w:rsidRPr="00C90AC9">
              <w:rPr>
                <w:rFonts w:eastAsiaTheme="minorHAnsi"/>
                <w:lang w:eastAsia="en-US"/>
              </w:rPr>
              <w:t>CO</w:t>
            </w:r>
            <w:r w:rsidRPr="00C90AC9">
              <w:rPr>
                <w:rFonts w:eastAsiaTheme="minorHAnsi"/>
                <w:vertAlign w:val="subscript"/>
                <w:lang w:eastAsia="en-US"/>
              </w:rPr>
              <w:t>2</w:t>
            </w:r>
            <w:r w:rsidRPr="00C90AC9">
              <w:rPr>
                <w:rFonts w:eastAsiaTheme="minorHAnsi"/>
                <w:lang w:eastAsia="en-US"/>
              </w:rPr>
              <w:t>PBT</w:t>
            </w:r>
          </w:p>
        </w:tc>
        <w:tc>
          <w:tcPr>
            <w:tcW w:w="1048" w:type="dxa"/>
          </w:tcPr>
          <w:p w:rsidR="00582A8D" w:rsidRPr="00C90AC9" w:rsidRDefault="00582A8D" w:rsidP="00F9457E">
            <w:pPr>
              <w:jc w:val="center"/>
              <w:rPr>
                <w:rFonts w:eastAsiaTheme="minorHAnsi"/>
                <w:lang w:eastAsia="en-US"/>
              </w:rPr>
            </w:pPr>
            <w:r w:rsidRPr="00C90AC9">
              <w:rPr>
                <w:rFonts w:eastAsiaTheme="minorHAnsi"/>
                <w:lang w:eastAsia="en-US"/>
              </w:rPr>
              <w:t>€PBT</w:t>
            </w:r>
          </w:p>
        </w:tc>
      </w:tr>
      <w:tr w:rsidR="00582A8D" w:rsidRPr="00C90AC9" w:rsidTr="00B90BEE">
        <w:tc>
          <w:tcPr>
            <w:tcW w:w="1838" w:type="dxa"/>
          </w:tcPr>
          <w:p w:rsidR="00582A8D" w:rsidRPr="00C90AC9" w:rsidRDefault="00582A8D" w:rsidP="00F9457E">
            <w:pPr>
              <w:jc w:val="center"/>
              <w:rPr>
                <w:rFonts w:eastAsiaTheme="minorHAnsi"/>
                <w:lang w:eastAsia="en-US"/>
              </w:rPr>
            </w:pPr>
            <w:r w:rsidRPr="00C90AC9">
              <w:t>Rome, φ = 41.9000°N</w:t>
            </w:r>
          </w:p>
        </w:tc>
        <w:tc>
          <w:tcPr>
            <w:tcW w:w="855" w:type="dxa"/>
          </w:tcPr>
          <w:p w:rsidR="00582A8D" w:rsidRPr="00C90AC9" w:rsidRDefault="00582A8D" w:rsidP="00F9457E">
            <w:pPr>
              <w:jc w:val="center"/>
              <w:rPr>
                <w:rFonts w:eastAsiaTheme="minorHAnsi"/>
                <w:lang w:eastAsia="en-US"/>
              </w:rPr>
            </w:pPr>
            <w:r w:rsidRPr="00C90AC9">
              <w:rPr>
                <w:rFonts w:eastAsiaTheme="minorHAnsi"/>
                <w:lang w:eastAsia="en-US"/>
              </w:rPr>
              <w:t>5</w:t>
            </w:r>
          </w:p>
        </w:tc>
        <w:tc>
          <w:tcPr>
            <w:tcW w:w="1085" w:type="dxa"/>
          </w:tcPr>
          <w:p w:rsidR="00582A8D" w:rsidRPr="00C90AC9" w:rsidRDefault="00582A8D" w:rsidP="00F9457E">
            <w:pPr>
              <w:jc w:val="center"/>
              <w:rPr>
                <w:rFonts w:eastAsiaTheme="minorHAnsi"/>
                <w:lang w:eastAsia="en-US"/>
              </w:rPr>
            </w:pPr>
            <w:r w:rsidRPr="00C90AC9">
              <w:rPr>
                <w:rFonts w:eastAsiaTheme="minorHAnsi"/>
                <w:lang w:eastAsia="en-US"/>
              </w:rPr>
              <w:t>2</w:t>
            </w:r>
          </w:p>
        </w:tc>
        <w:tc>
          <w:tcPr>
            <w:tcW w:w="1279" w:type="dxa"/>
          </w:tcPr>
          <w:p w:rsidR="00582A8D" w:rsidRPr="00C90AC9" w:rsidRDefault="00582A8D" w:rsidP="00F9457E">
            <w:pPr>
              <w:jc w:val="center"/>
              <w:rPr>
                <w:rFonts w:eastAsiaTheme="minorHAnsi"/>
                <w:lang w:eastAsia="en-US"/>
              </w:rPr>
            </w:pPr>
            <w:r w:rsidRPr="00C90AC9">
              <w:rPr>
                <w:rFonts w:eastAsiaTheme="minorHAnsi"/>
                <w:lang w:eastAsia="en-US"/>
              </w:rPr>
              <w:t>9</w:t>
            </w:r>
          </w:p>
        </w:tc>
        <w:tc>
          <w:tcPr>
            <w:tcW w:w="1273" w:type="dxa"/>
          </w:tcPr>
          <w:p w:rsidR="00582A8D" w:rsidRPr="00C90AC9" w:rsidRDefault="00582A8D" w:rsidP="00F9457E">
            <w:pPr>
              <w:jc w:val="center"/>
              <w:rPr>
                <w:rFonts w:eastAsiaTheme="minorHAnsi"/>
                <w:lang w:eastAsia="en-US"/>
              </w:rPr>
            </w:pPr>
            <w:r w:rsidRPr="00C90AC9">
              <w:rPr>
                <w:rFonts w:eastAsiaTheme="minorHAnsi"/>
                <w:lang w:eastAsia="en-US"/>
              </w:rPr>
              <w:t>5</w:t>
            </w:r>
          </w:p>
        </w:tc>
        <w:tc>
          <w:tcPr>
            <w:tcW w:w="1298" w:type="dxa"/>
          </w:tcPr>
          <w:p w:rsidR="00582A8D" w:rsidRPr="00C90AC9" w:rsidRDefault="00582A8D" w:rsidP="00F9457E">
            <w:pPr>
              <w:jc w:val="center"/>
              <w:rPr>
                <w:rFonts w:eastAsiaTheme="minorHAnsi"/>
                <w:lang w:eastAsia="en-US"/>
              </w:rPr>
            </w:pPr>
            <w:r w:rsidRPr="00C90AC9">
              <w:rPr>
                <w:rFonts w:eastAsiaTheme="minorHAnsi"/>
                <w:lang w:eastAsia="en-US"/>
              </w:rPr>
              <w:t>12</w:t>
            </w:r>
          </w:p>
        </w:tc>
        <w:tc>
          <w:tcPr>
            <w:tcW w:w="1048" w:type="dxa"/>
          </w:tcPr>
          <w:p w:rsidR="00582A8D" w:rsidRPr="00C90AC9" w:rsidRDefault="00582A8D" w:rsidP="00F9457E">
            <w:pPr>
              <w:jc w:val="center"/>
              <w:rPr>
                <w:rFonts w:eastAsiaTheme="minorHAnsi"/>
                <w:lang w:eastAsia="en-US"/>
              </w:rPr>
            </w:pPr>
            <w:r w:rsidRPr="00C90AC9">
              <w:rPr>
                <w:rFonts w:eastAsiaTheme="minorHAnsi"/>
                <w:lang w:eastAsia="en-US"/>
              </w:rPr>
              <w:t>4</w:t>
            </w:r>
          </w:p>
        </w:tc>
      </w:tr>
      <w:tr w:rsidR="00582A8D" w:rsidRPr="00C90AC9" w:rsidTr="00B90BEE">
        <w:tc>
          <w:tcPr>
            <w:tcW w:w="1838" w:type="dxa"/>
          </w:tcPr>
          <w:p w:rsidR="00582A8D" w:rsidRPr="00C90AC9" w:rsidRDefault="00582A8D" w:rsidP="00F9457E">
            <w:pPr>
              <w:jc w:val="center"/>
              <w:rPr>
                <w:rFonts w:eastAsiaTheme="minorHAnsi"/>
                <w:lang w:eastAsia="en-US"/>
              </w:rPr>
            </w:pPr>
            <w:r w:rsidRPr="00C90AC9">
              <w:t>Madrid, φ = 40.4000°N</w:t>
            </w:r>
          </w:p>
        </w:tc>
        <w:tc>
          <w:tcPr>
            <w:tcW w:w="855" w:type="dxa"/>
          </w:tcPr>
          <w:p w:rsidR="00582A8D" w:rsidRPr="00C90AC9" w:rsidRDefault="00582A8D" w:rsidP="00F9457E">
            <w:pPr>
              <w:jc w:val="center"/>
              <w:rPr>
                <w:rFonts w:eastAsiaTheme="minorHAnsi"/>
                <w:lang w:eastAsia="en-US"/>
              </w:rPr>
            </w:pPr>
            <w:r w:rsidRPr="00C90AC9">
              <w:rPr>
                <w:rFonts w:eastAsiaTheme="minorHAnsi"/>
                <w:lang w:eastAsia="en-US"/>
              </w:rPr>
              <w:t>4</w:t>
            </w:r>
          </w:p>
        </w:tc>
        <w:tc>
          <w:tcPr>
            <w:tcW w:w="1085" w:type="dxa"/>
          </w:tcPr>
          <w:p w:rsidR="00582A8D" w:rsidRPr="00C90AC9" w:rsidRDefault="00582A8D" w:rsidP="00F9457E">
            <w:pPr>
              <w:jc w:val="center"/>
              <w:rPr>
                <w:rFonts w:eastAsiaTheme="minorHAnsi"/>
                <w:lang w:eastAsia="en-US"/>
              </w:rPr>
            </w:pPr>
            <w:r w:rsidRPr="00C90AC9">
              <w:rPr>
                <w:rFonts w:eastAsiaTheme="minorHAnsi"/>
                <w:lang w:eastAsia="en-US"/>
              </w:rPr>
              <w:t>2</w:t>
            </w:r>
          </w:p>
        </w:tc>
        <w:tc>
          <w:tcPr>
            <w:tcW w:w="1279" w:type="dxa"/>
          </w:tcPr>
          <w:p w:rsidR="00582A8D" w:rsidRPr="00C90AC9" w:rsidRDefault="00582A8D" w:rsidP="00F9457E">
            <w:pPr>
              <w:jc w:val="center"/>
              <w:rPr>
                <w:rFonts w:eastAsiaTheme="minorHAnsi"/>
                <w:lang w:eastAsia="en-US"/>
              </w:rPr>
            </w:pPr>
            <w:r w:rsidRPr="00C90AC9">
              <w:rPr>
                <w:rFonts w:eastAsiaTheme="minorHAnsi"/>
                <w:lang w:eastAsia="en-US"/>
              </w:rPr>
              <w:t>11</w:t>
            </w:r>
          </w:p>
        </w:tc>
        <w:tc>
          <w:tcPr>
            <w:tcW w:w="1273" w:type="dxa"/>
          </w:tcPr>
          <w:p w:rsidR="00582A8D" w:rsidRPr="00C90AC9" w:rsidRDefault="00582A8D" w:rsidP="00F9457E">
            <w:pPr>
              <w:jc w:val="center"/>
              <w:rPr>
                <w:rFonts w:eastAsiaTheme="minorHAnsi"/>
                <w:lang w:eastAsia="en-US"/>
              </w:rPr>
            </w:pPr>
            <w:r w:rsidRPr="00C90AC9">
              <w:rPr>
                <w:rFonts w:eastAsiaTheme="minorHAnsi"/>
                <w:lang w:eastAsia="en-US"/>
              </w:rPr>
              <w:t>5</w:t>
            </w:r>
          </w:p>
        </w:tc>
        <w:tc>
          <w:tcPr>
            <w:tcW w:w="1298" w:type="dxa"/>
          </w:tcPr>
          <w:p w:rsidR="00582A8D" w:rsidRPr="00C90AC9" w:rsidRDefault="00582A8D" w:rsidP="00F9457E">
            <w:pPr>
              <w:jc w:val="center"/>
              <w:rPr>
                <w:rFonts w:eastAsiaTheme="minorHAnsi"/>
                <w:lang w:eastAsia="en-US"/>
              </w:rPr>
            </w:pPr>
            <w:r w:rsidRPr="00C90AC9">
              <w:rPr>
                <w:rFonts w:eastAsiaTheme="minorHAnsi"/>
                <w:lang w:eastAsia="en-US"/>
              </w:rPr>
              <w:t>13</w:t>
            </w:r>
          </w:p>
        </w:tc>
        <w:tc>
          <w:tcPr>
            <w:tcW w:w="1048" w:type="dxa"/>
          </w:tcPr>
          <w:p w:rsidR="00582A8D" w:rsidRPr="00C90AC9" w:rsidRDefault="00582A8D" w:rsidP="00F9457E">
            <w:pPr>
              <w:jc w:val="center"/>
              <w:rPr>
                <w:rFonts w:eastAsiaTheme="minorHAnsi"/>
                <w:lang w:eastAsia="en-US"/>
              </w:rPr>
            </w:pPr>
            <w:r w:rsidRPr="00C90AC9">
              <w:rPr>
                <w:rFonts w:eastAsiaTheme="minorHAnsi"/>
                <w:lang w:eastAsia="en-US"/>
              </w:rPr>
              <w:t>4</w:t>
            </w:r>
          </w:p>
        </w:tc>
      </w:tr>
      <w:tr w:rsidR="00582A8D" w:rsidRPr="00C90AC9" w:rsidTr="00B90BEE">
        <w:tc>
          <w:tcPr>
            <w:tcW w:w="1838" w:type="dxa"/>
          </w:tcPr>
          <w:p w:rsidR="00582A8D" w:rsidRPr="00C90AC9" w:rsidRDefault="00582A8D" w:rsidP="00F9457E">
            <w:pPr>
              <w:pStyle w:val="FootnoteText"/>
              <w:jc w:val="center"/>
            </w:pPr>
            <w:r w:rsidRPr="00C90AC9">
              <w:t xml:space="preserve">Munich, </w:t>
            </w:r>
            <w:r w:rsidRPr="00C90AC9">
              <w:rPr>
                <w:rFonts w:ascii="Arial" w:hAnsi="Arial" w:cs="Arial"/>
              </w:rPr>
              <w:t>φ</w:t>
            </w:r>
            <w:r w:rsidRPr="00C90AC9">
              <w:t xml:space="preserve"> = 48.1333°N</w:t>
            </w:r>
          </w:p>
        </w:tc>
        <w:tc>
          <w:tcPr>
            <w:tcW w:w="855" w:type="dxa"/>
          </w:tcPr>
          <w:p w:rsidR="00582A8D" w:rsidRPr="00C90AC9" w:rsidRDefault="00582A8D" w:rsidP="00F9457E">
            <w:pPr>
              <w:jc w:val="center"/>
              <w:rPr>
                <w:rFonts w:eastAsiaTheme="minorHAnsi"/>
                <w:lang w:eastAsia="en-US"/>
              </w:rPr>
            </w:pPr>
            <w:r w:rsidRPr="00C90AC9">
              <w:rPr>
                <w:rFonts w:eastAsiaTheme="minorHAnsi"/>
                <w:lang w:eastAsia="en-US"/>
              </w:rPr>
              <w:t>5</w:t>
            </w:r>
          </w:p>
        </w:tc>
        <w:tc>
          <w:tcPr>
            <w:tcW w:w="1085" w:type="dxa"/>
          </w:tcPr>
          <w:p w:rsidR="00582A8D" w:rsidRPr="00C90AC9" w:rsidRDefault="00582A8D" w:rsidP="00F9457E">
            <w:pPr>
              <w:jc w:val="center"/>
              <w:rPr>
                <w:rFonts w:eastAsiaTheme="minorHAnsi"/>
                <w:lang w:eastAsia="en-US"/>
              </w:rPr>
            </w:pPr>
            <w:r w:rsidRPr="00C90AC9">
              <w:rPr>
                <w:rFonts w:eastAsiaTheme="minorHAnsi"/>
                <w:lang w:eastAsia="en-US"/>
              </w:rPr>
              <w:t>2</w:t>
            </w:r>
          </w:p>
        </w:tc>
        <w:tc>
          <w:tcPr>
            <w:tcW w:w="1279" w:type="dxa"/>
          </w:tcPr>
          <w:p w:rsidR="00582A8D" w:rsidRPr="00C90AC9" w:rsidRDefault="00582A8D" w:rsidP="00F9457E">
            <w:pPr>
              <w:jc w:val="center"/>
              <w:rPr>
                <w:rFonts w:eastAsiaTheme="minorHAnsi"/>
                <w:lang w:eastAsia="en-US"/>
              </w:rPr>
            </w:pPr>
            <w:r w:rsidRPr="00C90AC9">
              <w:rPr>
                <w:rFonts w:eastAsiaTheme="minorHAnsi"/>
                <w:lang w:eastAsia="en-US"/>
              </w:rPr>
              <w:t>11</w:t>
            </w:r>
          </w:p>
        </w:tc>
        <w:tc>
          <w:tcPr>
            <w:tcW w:w="1273" w:type="dxa"/>
          </w:tcPr>
          <w:p w:rsidR="00582A8D" w:rsidRPr="00C90AC9" w:rsidRDefault="00582A8D" w:rsidP="00F9457E">
            <w:pPr>
              <w:jc w:val="center"/>
              <w:rPr>
                <w:rFonts w:eastAsiaTheme="minorHAnsi"/>
                <w:lang w:eastAsia="en-US"/>
              </w:rPr>
            </w:pPr>
            <w:r w:rsidRPr="00C90AC9">
              <w:rPr>
                <w:rFonts w:eastAsiaTheme="minorHAnsi"/>
                <w:lang w:eastAsia="en-US"/>
              </w:rPr>
              <w:t>6</w:t>
            </w:r>
          </w:p>
        </w:tc>
        <w:tc>
          <w:tcPr>
            <w:tcW w:w="1298" w:type="dxa"/>
          </w:tcPr>
          <w:p w:rsidR="00582A8D" w:rsidRPr="00C90AC9" w:rsidRDefault="00582A8D" w:rsidP="00F9457E">
            <w:pPr>
              <w:jc w:val="center"/>
              <w:rPr>
                <w:rFonts w:eastAsiaTheme="minorHAnsi"/>
                <w:lang w:eastAsia="en-US"/>
              </w:rPr>
            </w:pPr>
            <w:r w:rsidRPr="00C90AC9">
              <w:rPr>
                <w:rFonts w:eastAsiaTheme="minorHAnsi"/>
                <w:lang w:eastAsia="en-US"/>
              </w:rPr>
              <w:t>16</w:t>
            </w:r>
          </w:p>
        </w:tc>
        <w:tc>
          <w:tcPr>
            <w:tcW w:w="1048" w:type="dxa"/>
          </w:tcPr>
          <w:p w:rsidR="00582A8D" w:rsidRPr="00C90AC9" w:rsidRDefault="00582A8D" w:rsidP="00F9457E">
            <w:pPr>
              <w:jc w:val="center"/>
              <w:rPr>
                <w:rFonts w:eastAsiaTheme="minorHAnsi"/>
                <w:lang w:eastAsia="en-US"/>
              </w:rPr>
            </w:pPr>
            <w:r w:rsidRPr="00C90AC9">
              <w:rPr>
                <w:rFonts w:eastAsiaTheme="minorHAnsi"/>
                <w:lang w:eastAsia="en-US"/>
              </w:rPr>
              <w:t>4</w:t>
            </w:r>
          </w:p>
        </w:tc>
      </w:tr>
    </w:tbl>
    <w:p w:rsidR="00582A8D" w:rsidRPr="00C90AC9" w:rsidRDefault="00582A8D" w:rsidP="00582A8D">
      <w:pPr>
        <w:pStyle w:val="BodyTextFirstIndent"/>
        <w:rPr>
          <w:rFonts w:eastAsiaTheme="minorHAnsi"/>
          <w:lang w:eastAsia="en-US"/>
        </w:rPr>
      </w:pPr>
    </w:p>
    <w:p w:rsidR="00582A8D" w:rsidRPr="00C90AC9" w:rsidRDefault="00582A8D" w:rsidP="00191BE1">
      <w:pPr>
        <w:pStyle w:val="BodyTextFirstIndent"/>
        <w:spacing w:line="360" w:lineRule="auto"/>
        <w:ind w:firstLine="357"/>
        <w:rPr>
          <w:rFonts w:eastAsiaTheme="minorHAnsi"/>
          <w:lang w:eastAsia="en-US"/>
        </w:rPr>
      </w:pPr>
      <w:r w:rsidRPr="00C90AC9">
        <w:rPr>
          <w:rFonts w:eastAsiaTheme="minorHAnsi"/>
          <w:lang w:eastAsia="en-US"/>
        </w:rPr>
        <w:t xml:space="preserve">A proportion of the UK housing stock could potentially have STPs installed on them but the efficiency of each system, as has been talked about in previous chapters, is highly dependent on the location, the angle of incidence of the collector and the application of the technology. STPs are therefore not suitable for all domestic properties in the UK as the technology would have a prohibitively low efficiency if located on some properties. As has been mentioned in Chapter 2 and 3 it was estimated in 2011 that 100,000 homes in the UK have STPs </w:t>
      </w:r>
      <w:r w:rsidR="00137400" w:rsidRPr="00C90AC9">
        <w:rPr>
          <w:rFonts w:eastAsiaTheme="minorHAnsi"/>
          <w:lang w:eastAsia="en-US"/>
        </w:rPr>
        <w:fldChar w:fldCharType="begin"/>
      </w:r>
      <w:r w:rsidR="00137400" w:rsidRPr="00C90AC9">
        <w:rPr>
          <w:rFonts w:eastAsiaTheme="minorHAnsi"/>
          <w:lang w:eastAsia="en-US"/>
        </w:rPr>
        <w:instrText xml:space="preserve"> ADDIN EN.CITE &lt;EndNote&gt;&lt;Cite&gt;&lt;Author&gt;ESTIF&lt;/Author&gt;&lt;Year&gt;2013&lt;/Year&gt;&lt;RecNum&gt;140&lt;/RecNum&gt;&lt;DisplayText&gt;(ESTIF, 2013)&lt;/DisplayText&gt;&lt;record&gt;&lt;rec-number&gt;140&lt;/rec-number&gt;&lt;foreign-keys&gt;&lt;key app="EN" db-id="50wxdpzd9vd5r7e9t5b595djrfpttrxw9avp" timestamp="1525076334"&gt;140&lt;/key&gt;&lt;/foreign-keys&gt;&lt;ref-type name="Unpublished Work"&gt;34&lt;/ref-type&gt;&lt;contributors&gt;&lt;authors&gt;&lt;author&gt;ESTIF&lt;/author&gt;&lt;/authors&gt;&lt;/contributors&gt;&lt;titles&gt;&lt;title&gt;Solar Thermal Markets in Europe, Trends and Market Statistics&lt;/title&gt;&lt;short-title&gt;ESTIF 2013 – Solar Thermal Markets in Europe&lt;/short-title&gt;&lt;/titles&gt;&lt;dates&gt;&lt;year&gt;2013&lt;/year&gt;&lt;/dates&gt;&lt;urls&gt;&lt;/urls&gt;&lt;/record&gt;&lt;/Cite&gt;&lt;/EndNote&gt;</w:instrText>
      </w:r>
      <w:r w:rsidR="00137400" w:rsidRPr="00C90AC9">
        <w:rPr>
          <w:rFonts w:eastAsiaTheme="minorHAnsi"/>
          <w:lang w:eastAsia="en-US"/>
        </w:rPr>
        <w:fldChar w:fldCharType="separate"/>
      </w:r>
      <w:r w:rsidR="00137400" w:rsidRPr="00C90AC9">
        <w:rPr>
          <w:rFonts w:eastAsiaTheme="minorHAnsi"/>
          <w:lang w:eastAsia="en-US"/>
        </w:rPr>
        <w:t>(ESTIF, 2013)</w:t>
      </w:r>
      <w:r w:rsidR="00137400" w:rsidRPr="00C90AC9">
        <w:rPr>
          <w:rFonts w:eastAsiaTheme="minorHAnsi"/>
          <w:lang w:eastAsia="en-US"/>
        </w:rPr>
        <w:fldChar w:fldCharType="end"/>
      </w:r>
      <w:r w:rsidRPr="00C90AC9">
        <w:rPr>
          <w:rFonts w:eastAsiaTheme="minorHAnsi"/>
          <w:lang w:eastAsia="en-US"/>
        </w:rPr>
        <w:t xml:space="preserve"> which accounts for only 0.37% of the entire 27 million homes in the UK. Whilst not all of these domestic properties would be suitable for STPs it highlights how potential improvements in efficiency, as described in Chapter 3, can be greatly reduced if the adoption rate of the technology is low. The improved STP as described in Chapter 3 has to be used by people for it to benefit from the improvement in efficiency.</w:t>
      </w:r>
    </w:p>
    <w:p w:rsidR="00582A8D" w:rsidRPr="00C90AC9" w:rsidRDefault="00B90BEE" w:rsidP="00191BE1">
      <w:pPr>
        <w:pStyle w:val="BodyText"/>
        <w:spacing w:line="360" w:lineRule="auto"/>
        <w:rPr>
          <w:rFonts w:eastAsiaTheme="minorHAnsi"/>
          <w:lang w:eastAsia="en-US"/>
        </w:rPr>
      </w:pPr>
      <w:r w:rsidRPr="00C90AC9">
        <w:rPr>
          <w:rFonts w:eastAsiaTheme="minorHAnsi"/>
          <w:lang w:eastAsia="en-US"/>
        </w:rPr>
        <w:lastRenderedPageBreak/>
        <w:tab/>
      </w:r>
      <w:r w:rsidR="00582A8D" w:rsidRPr="00C90AC9">
        <w:rPr>
          <w:rFonts w:eastAsiaTheme="minorHAnsi"/>
          <w:lang w:eastAsia="en-US"/>
        </w:rPr>
        <w:t xml:space="preserve">This is a good starting point to begin the psychological literature review, stated explicitly; if STPs are not adopted and used by consumers then they will provide no benefit in reducing the amount of energy used for heating domestic hot water. Understanding the decision making process consumers go through when making a decision about whether or not to adopt a </w:t>
      </w:r>
      <w:proofErr w:type="gramStart"/>
      <w:r w:rsidR="00582A8D" w:rsidRPr="00C90AC9">
        <w:rPr>
          <w:rFonts w:eastAsiaTheme="minorHAnsi"/>
          <w:lang w:eastAsia="en-US"/>
        </w:rPr>
        <w:t xml:space="preserve">STP  </w:t>
      </w:r>
      <w:r w:rsidR="008D2596" w:rsidRPr="00C90AC9">
        <w:rPr>
          <w:rFonts w:eastAsiaTheme="minorHAnsi"/>
          <w:lang w:eastAsia="en-US"/>
        </w:rPr>
        <w:t>Conversely</w:t>
      </w:r>
      <w:proofErr w:type="gramEnd"/>
      <w:r w:rsidR="008D2596" w:rsidRPr="00C90AC9">
        <w:rPr>
          <w:rFonts w:eastAsiaTheme="minorHAnsi"/>
          <w:lang w:eastAsia="en-US"/>
        </w:rPr>
        <w:t>,</w:t>
      </w:r>
      <w:r w:rsidR="00582A8D" w:rsidRPr="00C90AC9">
        <w:rPr>
          <w:rFonts w:eastAsiaTheme="minorHAnsi"/>
          <w:lang w:eastAsia="en-US"/>
        </w:rPr>
        <w:t xml:space="preserve"> if STPs are not </w:t>
      </w:r>
      <w:r w:rsidR="008D2596" w:rsidRPr="00C90AC9">
        <w:rPr>
          <w:rFonts w:eastAsiaTheme="minorHAnsi"/>
          <w:lang w:eastAsia="en-US"/>
        </w:rPr>
        <w:t>adopted and used,</w:t>
      </w:r>
      <w:r w:rsidR="00582A8D" w:rsidRPr="00C90AC9">
        <w:rPr>
          <w:rFonts w:eastAsiaTheme="minorHAnsi"/>
          <w:lang w:eastAsia="en-US"/>
        </w:rPr>
        <w:t xml:space="preserve"> then they will not be capable of reducing carbon dioxide emissions associated with heating water from conventional energy sources. Due to the embodied energy used to design manufacture and install STPs unemployed STPs would actually cause a negative effect if one was trying to reduce carbon dioxide emissions. Therefore, when considering the more efficient STP system described in Chapter 3 it is prudent to understand the opinions of end user of STPs. Ultimately whether consumers decide to adopt STPs will govern the overall effectiveness of the technology at reducing carbon emissions and reducing domestic energy use. For this reason, understanding the reasons why consumers may or may not adopt a technology is important to ensuring that the maximal STP benefits can be realised. Additionally, understanding the opinions that consumers may have about STPs will clarify both the potential concerns as well as the perceived benefits consumers have concerning STPs.</w:t>
      </w:r>
    </w:p>
    <w:p w:rsidR="00582A8D" w:rsidRPr="00C90AC9" w:rsidRDefault="00582A8D" w:rsidP="00191BE1">
      <w:pPr>
        <w:pStyle w:val="BodyText"/>
        <w:spacing w:line="360" w:lineRule="auto"/>
        <w:rPr>
          <w:rFonts w:eastAsiaTheme="minorHAnsi"/>
          <w:lang w:eastAsia="en-US"/>
        </w:rPr>
      </w:pPr>
      <w:r w:rsidRPr="00C90AC9">
        <w:rPr>
          <w:rFonts w:eastAsiaTheme="minorHAnsi"/>
          <w:lang w:eastAsia="en-US"/>
        </w:rPr>
        <w:t xml:space="preserve">The opinions of the </w:t>
      </w:r>
      <w:r w:rsidR="00E82522" w:rsidRPr="00C90AC9">
        <w:rPr>
          <w:rFonts w:eastAsiaTheme="minorHAnsi"/>
          <w:lang w:eastAsia="en-US"/>
        </w:rPr>
        <w:t>main</w:t>
      </w:r>
      <w:r w:rsidRPr="00C90AC9">
        <w:rPr>
          <w:rFonts w:eastAsiaTheme="minorHAnsi"/>
          <w:lang w:eastAsia="en-US"/>
        </w:rPr>
        <w:t xml:space="preserve"> actors within the STP market are considered to be of </w:t>
      </w:r>
      <w:r w:rsidR="00B90BEE" w:rsidRPr="00C90AC9">
        <w:rPr>
          <w:rFonts w:eastAsiaTheme="minorHAnsi"/>
          <w:lang w:eastAsia="en-US"/>
        </w:rPr>
        <w:t xml:space="preserve">significant </w:t>
      </w:r>
      <w:r w:rsidRPr="00C90AC9">
        <w:rPr>
          <w:rFonts w:eastAsiaTheme="minorHAnsi"/>
          <w:lang w:eastAsia="en-US"/>
        </w:rPr>
        <w:t xml:space="preserve">value as they have a greater understanding of various aspects that impact on consumer decisions about whether to adopt STPs or not. The </w:t>
      </w:r>
      <w:r w:rsidR="00E82522" w:rsidRPr="00C90AC9">
        <w:rPr>
          <w:rFonts w:eastAsiaTheme="minorHAnsi"/>
          <w:lang w:eastAsia="en-US"/>
        </w:rPr>
        <w:t>main</w:t>
      </w:r>
      <w:r w:rsidRPr="00C90AC9">
        <w:rPr>
          <w:rFonts w:eastAsiaTheme="minorHAnsi"/>
          <w:lang w:eastAsia="en-US"/>
        </w:rPr>
        <w:t xml:space="preserve"> actors with the STP industry have specialist knowledge concerning technological, social and political factors which will affect the social acceptability of STPs</w:t>
      </w:r>
      <w:r w:rsidR="00B90BEE" w:rsidRPr="00C90AC9">
        <w:rPr>
          <w:rFonts w:eastAsiaTheme="minorHAnsi"/>
          <w:lang w:eastAsia="en-US"/>
        </w:rPr>
        <w:t xml:space="preserve"> </w:t>
      </w:r>
      <w:r w:rsidR="00B90BEE" w:rsidRPr="00C90AC9">
        <w:rPr>
          <w:rFonts w:eastAsiaTheme="minorHAnsi"/>
          <w:lang w:eastAsia="en-US"/>
        </w:rPr>
        <w:fldChar w:fldCharType="begin">
          <w:fldData xml:space="preserve">PEVuZE5vdGU+PENpdGU+PEF1dGhvcj5XZWlqZXJtYXJzPC9BdXRob3I+PFllYXI+MjAxMjwvWWVh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</w:fldData>
        </w:fldChar>
      </w:r>
      <w:r w:rsidR="00B90BEE" w:rsidRPr="002C4EE9">
        <w:rPr>
          <w:rFonts w:eastAsiaTheme="minorHAnsi"/>
          <w:lang w:eastAsia="en-US"/>
        </w:rPr>
        <w:instrText xml:space="preserve"> ADDIN EN.CITE </w:instrText>
      </w:r>
      <w:r w:rsidR="00B90BEE" w:rsidRPr="002C4EE9">
        <w:rPr>
          <w:rFonts w:eastAsiaTheme="minorHAnsi"/>
          <w:lang w:eastAsia="en-US"/>
        </w:rPr>
        <w:fldChar w:fldCharType="begin">
          <w:fldData xml:space="preserve">PEVuZE5vdGU+PENpdGU+PEF1dGhvcj5XZWlqZXJtYXJzPC9BdXRob3I+PFllYXI+MjAxMjwvWWVh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</w:fldData>
        </w:fldChar>
      </w:r>
      <w:r w:rsidR="00B90BEE" w:rsidRPr="002C4EE9">
        <w:rPr>
          <w:rFonts w:eastAsiaTheme="minorHAnsi"/>
          <w:lang w:eastAsia="en-US"/>
        </w:rPr>
        <w:instrText xml:space="preserve"> ADDIN EN.CITE.DATA </w:instrText>
      </w:r>
      <w:r w:rsidR="00B90BEE" w:rsidRPr="002C4EE9">
        <w:rPr>
          <w:rFonts w:eastAsiaTheme="minorHAnsi"/>
          <w:lang w:eastAsia="en-US"/>
        </w:rPr>
      </w:r>
      <w:r w:rsidR="00B90BEE" w:rsidRPr="002C4EE9">
        <w:rPr>
          <w:rFonts w:eastAsiaTheme="minorHAnsi"/>
          <w:lang w:eastAsia="en-US"/>
        </w:rPr>
        <w:fldChar w:fldCharType="end"/>
      </w:r>
      <w:r w:rsidR="00B90BEE" w:rsidRPr="002C4EE9">
        <w:rPr>
          <w:rFonts w:eastAsiaTheme="minorHAnsi"/>
          <w:lang w:eastAsia="en-US"/>
        </w:rPr>
      </w:r>
      <w:r w:rsidR="00B90BEE" w:rsidRPr="00C90AC9">
        <w:rPr>
          <w:rFonts w:eastAsiaTheme="minorHAnsi"/>
          <w:lang w:eastAsia="en-US"/>
        </w:rPr>
        <w:fldChar w:fldCharType="separate"/>
      </w:r>
      <w:r w:rsidR="00B90BEE" w:rsidRPr="00C90AC9">
        <w:rPr>
          <w:rFonts w:eastAsiaTheme="minorHAnsi"/>
          <w:lang w:eastAsia="en-US"/>
        </w:rPr>
        <w:t>(Doblinger &amp; Soppe, 2013; Simcock et al., 2014; Weijermars, Taylor, Bahn, Das, &amp; Wei, 2012)</w:t>
      </w:r>
      <w:r w:rsidR="00B90BEE" w:rsidRPr="00C90AC9">
        <w:rPr>
          <w:rFonts w:eastAsiaTheme="minorHAnsi"/>
          <w:lang w:eastAsia="en-US"/>
        </w:rPr>
        <w:fldChar w:fldCharType="end"/>
      </w:r>
      <w:r w:rsidR="00B90BEE" w:rsidRPr="00C90AC9">
        <w:rPr>
          <w:rFonts w:eastAsiaTheme="minorHAnsi"/>
          <w:lang w:eastAsia="en-US"/>
        </w:rPr>
        <w:t xml:space="preserve">. </w:t>
      </w:r>
      <w:r w:rsidR="00E82522" w:rsidRPr="00C90AC9">
        <w:rPr>
          <w:rFonts w:eastAsiaTheme="minorHAnsi"/>
          <w:lang w:eastAsia="en-US"/>
        </w:rPr>
        <w:t>main</w:t>
      </w:r>
      <w:r w:rsidRPr="00C90AC9">
        <w:rPr>
          <w:rFonts w:eastAsiaTheme="minorHAnsi"/>
          <w:lang w:eastAsia="en-US"/>
        </w:rPr>
        <w:t xml:space="preserve"> actors are well placed to not only be present when consumers are making their decisions about the technology but they are also in a position to influence the outcome of that decision</w:t>
      </w:r>
      <w:r w:rsidR="00B90BEE" w:rsidRPr="00C90AC9">
        <w:rPr>
          <w:rFonts w:eastAsiaTheme="minorHAnsi"/>
          <w:lang w:eastAsia="en-US"/>
        </w:rPr>
        <w:t xml:space="preserve"> </w:t>
      </w:r>
      <w:r w:rsidR="00B90BEE" w:rsidRPr="00C90AC9">
        <w:rPr>
          <w:rFonts w:eastAsiaTheme="minorHAnsi"/>
          <w:lang w:eastAsia="en-US"/>
        </w:rPr>
        <w:fldChar w:fldCharType="begin"/>
      </w:r>
      <w:r w:rsidR="00B90BEE" w:rsidRPr="00C90AC9">
        <w:rPr>
          <w:rFonts w:eastAsiaTheme="minorHAnsi"/>
          <w:lang w:eastAsia="en-US"/>
        </w:rPr>
        <w:instrText xml:space="preserve"> ADDIN EN.CITE &lt;EndNote&gt;&lt;Cite&gt;&lt;Author&gt;Doblinger&lt;/Author&gt;&lt;Year&gt;2013&lt;/Year&gt;&lt;RecNum&gt;265&lt;/RecNum&gt;&lt;DisplayText&gt;(Doblinger &amp;amp; Soppe, 2013)&lt;/DisplayText&gt;&lt;record&gt;&lt;rec-number&gt;265&lt;/rec-number&gt;&lt;foreign-keys&gt;&lt;key app="EN" db-id="50wxdpzd9vd5r7e9t5b595djrfpttrxw9avp" timestamp="1526107186"&gt;265&lt;/key&gt;&lt;/foreign-keys&gt;&lt;ref-type name="Journal Article"&gt;17&lt;/ref-type&gt;&lt;contributors&gt;&lt;authors&gt;&lt;author&gt;Doblinger, Claudia&lt;/author&gt;&lt;author&gt;Soppe, Birthe&lt;/author&gt;&lt;/authors&gt;&lt;/contributors&gt;&lt;titles&gt;&lt;title&gt;Change-actors in the U.S. electric energy system: The role of environmental groups in utility adoption and diffusion of wind power&lt;/title&gt;&lt;secondary-title&gt;Energy Policy&lt;/secondary-title&gt;&lt;/titles&gt;&lt;pages&gt;274-284&lt;/pages&gt;&lt;volume&gt;61&lt;/volume&gt;&lt;keywords&gt;&lt;keyword&gt;Environmental groups&lt;/keyword&gt;&lt;keyword&gt;Institutional theory&lt;/keyword&gt;&lt;keyword&gt;Renewable energy technologies&lt;/keyword&gt;&lt;/keywords&gt;&lt;dates&gt;&lt;year&gt;2013&lt;/year&gt;&lt;pub-dates&gt;&lt;date&gt;2013/10/01/&lt;/date&gt;&lt;/pub-dates&gt;&lt;/dates&gt;&lt;isbn&gt;0301-4215&lt;/isbn&gt;&lt;urls&gt;&lt;related-urls&gt;&lt;url&gt;http://www.sciencedirect.com/science/article/pii/S030142151300671X&lt;/url&gt;&lt;/related-urls&gt;&lt;/urls&gt;&lt;electronic-resource-num&gt;https://doi.org/10.1016/j.enpol.2013.07.028&lt;/electronic-resource-num&gt;&lt;/record&gt;&lt;/Cite&gt;&lt;/EndNote&gt;</w:instrText>
      </w:r>
      <w:r w:rsidR="00B90BEE" w:rsidRPr="00C90AC9">
        <w:rPr>
          <w:rFonts w:eastAsiaTheme="minorHAnsi"/>
          <w:lang w:eastAsia="en-US"/>
        </w:rPr>
        <w:fldChar w:fldCharType="separate"/>
      </w:r>
      <w:r w:rsidR="00B90BEE" w:rsidRPr="00C90AC9">
        <w:rPr>
          <w:rFonts w:eastAsiaTheme="minorHAnsi"/>
          <w:lang w:eastAsia="en-US"/>
        </w:rPr>
        <w:t>(Doblinger &amp; Soppe, 2013)</w:t>
      </w:r>
      <w:r w:rsidR="00B90BEE" w:rsidRPr="00C90AC9">
        <w:rPr>
          <w:rFonts w:eastAsiaTheme="minorHAnsi"/>
          <w:lang w:eastAsia="en-US"/>
        </w:rPr>
        <w:fldChar w:fldCharType="end"/>
      </w:r>
      <w:r w:rsidRPr="00C90AC9">
        <w:rPr>
          <w:rFonts w:eastAsiaTheme="minorHAnsi"/>
          <w:lang w:eastAsia="en-US"/>
        </w:rPr>
        <w:t xml:space="preserve">. This additional knowledge about the </w:t>
      </w:r>
      <w:proofErr w:type="gramStart"/>
      <w:r w:rsidRPr="00C90AC9">
        <w:rPr>
          <w:rFonts w:eastAsiaTheme="minorHAnsi"/>
          <w:lang w:eastAsia="en-US"/>
        </w:rPr>
        <w:t>decision making</w:t>
      </w:r>
      <w:proofErr w:type="gramEnd"/>
      <w:r w:rsidRPr="00C90AC9">
        <w:rPr>
          <w:rFonts w:eastAsiaTheme="minorHAnsi"/>
          <w:lang w:eastAsia="en-US"/>
        </w:rPr>
        <w:t xml:space="preserve"> process that consumers go through could potentially lead to better policies, information and advice for the STP market. Considering the opinions of end users at the design stage is often termed User-Centred Design (USD)</w:t>
      </w:r>
      <w:r w:rsidRPr="00C90AC9">
        <w:rPr>
          <w:rFonts w:eastAsiaTheme="minorHAnsi"/>
          <w:i/>
          <w:lang w:eastAsia="en-US"/>
        </w:rPr>
        <w:t xml:space="preserve">, </w:t>
      </w:r>
      <w:r w:rsidRPr="00C90AC9">
        <w:rPr>
          <w:rFonts w:eastAsiaTheme="minorHAnsi"/>
          <w:lang w:eastAsia="en-US"/>
        </w:rPr>
        <w:t xml:space="preserve">the process by which consumers can provide their opinions differs depending on number of factors depending on the outcomes of the studies </w:t>
      </w:r>
      <w:r w:rsidRPr="00C90AC9">
        <w:rPr>
          <w:rFonts w:eastAsiaTheme="minorHAnsi"/>
          <w:lang w:eastAsia="en-US"/>
        </w:rPr>
        <w:fldChar w:fldCharType="begin"/>
      </w:r>
      <w:r w:rsidRPr="00C90AC9">
        <w:rPr>
          <w:rFonts w:eastAsiaTheme="minorHAnsi"/>
          <w:lang w:eastAsia="en-US"/>
        </w:rPr>
        <w:instrText xml:space="preserve"> ADDIN EN.CITE &lt;EndNote&gt;&lt;Cite&gt;&lt;Author&gt;Norman&lt;/Author&gt;&lt;Year&gt;1986&lt;/Year&gt;&lt;RecNum&gt;180&lt;/RecNum&gt;&lt;DisplayText&gt;(Norman &amp;amp; Draper, 1986)&lt;/DisplayText&gt;&lt;record&gt;&lt;rec-number&gt;180&lt;/rec-number&gt;&lt;foreign-keys&gt;&lt;key app="EN" db-id="50wxdpzd9vd5r7e9t5b595djrfpttrxw9avp" timestamp="1525076335"&gt;180&lt;/key&gt;&lt;/foreign-keys&gt;&lt;ref-type name="Book"&gt;6&lt;/ref-type&gt;&lt;contributors&gt;&lt;authors&gt;&lt;author&gt;Norman, D.A.&lt;/author&gt;&lt;author&gt;S.W. Draper&lt;/author&gt;&lt;/authors&gt;&lt;/contributors&gt;&lt;titles&gt;&lt;title&gt;User Centered System Design; New Perspectives on Human-Computer Interaction&lt;/title&gt;&lt;short-title&gt;Norman, D.A. and S.W. Draper 1986 – User Centered System Design&lt;/short-title&gt;&lt;/titles&gt;&lt;num-vols&gt;526&lt;/num-vols&gt;&lt;dates&gt;&lt;year&gt;1986&lt;/year&gt;&lt;/dates&gt;&lt;urls&gt;&lt;/urls&gt;&lt;/record&gt;&lt;/Cite&gt;&lt;/EndNote&gt;</w:instrText>
      </w:r>
      <w:r w:rsidRPr="00C90AC9">
        <w:rPr>
          <w:rFonts w:eastAsiaTheme="minorHAnsi"/>
          <w:lang w:eastAsia="en-US"/>
        </w:rPr>
        <w:fldChar w:fldCharType="separate"/>
      </w:r>
      <w:r w:rsidRPr="00C90AC9">
        <w:rPr>
          <w:rFonts w:eastAsiaTheme="minorHAnsi"/>
          <w:lang w:eastAsia="en-US"/>
        </w:rPr>
        <w:t>(Norman &amp; Draper, 1986)</w:t>
      </w:r>
      <w:r w:rsidRPr="00C90AC9">
        <w:rPr>
          <w:rFonts w:eastAsiaTheme="minorHAnsi"/>
          <w:lang w:eastAsia="en-US"/>
        </w:rPr>
        <w:fldChar w:fldCharType="end"/>
      </w:r>
      <w:r w:rsidRPr="00C90AC9">
        <w:rPr>
          <w:rFonts w:eastAsiaTheme="minorHAnsi"/>
          <w:lang w:eastAsia="en-US"/>
        </w:rPr>
        <w:t xml:space="preserve">. Norman 1986 suggested various methods and techniques to utilise when involving users of a product are to be involved during the design </w:t>
      </w:r>
      <w:r w:rsidR="00DB7E0E" w:rsidRPr="00C90AC9">
        <w:rPr>
          <w:rFonts w:eastAsiaTheme="minorHAnsi"/>
          <w:lang w:eastAsia="en-US"/>
        </w:rPr>
        <w:t xml:space="preserve">of the produce </w:t>
      </w:r>
      <w:r w:rsidR="00325112" w:rsidRPr="00C90AC9">
        <w:rPr>
          <w:rFonts w:eastAsiaTheme="minorHAnsi"/>
          <w:lang w:eastAsia="en-US"/>
        </w:rPr>
        <w:fldChar w:fldCharType="begin"/>
      </w:r>
      <w:r w:rsidR="00325112" w:rsidRPr="00C90AC9">
        <w:rPr>
          <w:rFonts w:eastAsiaTheme="minorHAnsi"/>
          <w:lang w:eastAsia="en-US"/>
        </w:rPr>
        <w:instrText xml:space="preserve"> ADDIN EN.CITE &lt;EndNote&gt;&lt;Cite&gt;&lt;Author&gt;Norman&lt;/Author&gt;&lt;Year&gt;1986&lt;/Year&gt;&lt;RecNum&gt;180&lt;/RecNum&gt;&lt;DisplayText&gt;(Norman &amp;amp; Draper, 1986)&lt;/DisplayText&gt;&lt;record&gt;&lt;rec-number&gt;180&lt;/rec-number&gt;&lt;foreign-keys&gt;&lt;key app="EN" db-id="50wxdpzd9vd5r7e9t5b595djrfpttrxw9avp" timestamp="1525076335"&gt;180&lt;/key&gt;&lt;/foreign-keys&gt;&lt;ref-type name="Book"&gt;6&lt;/ref-type&gt;&lt;contributors&gt;&lt;authors&gt;&lt;author&gt;Norman, D.A.&lt;/author&gt;&lt;author&gt;S.W. Draper&lt;/author&gt;&lt;/authors&gt;&lt;/contributors&gt;&lt;titles&gt;&lt;title&gt;User Centered System Design; New Perspectives on Human-Computer Interaction&lt;/title&gt;&lt;short-title&gt;Norman, D.A. and S.W. Draper 1986 – User Centered System Design&lt;/short-title&gt;&lt;/titles&gt;&lt;num-vols&gt;526&lt;/num-vols&gt;&lt;dates&gt;&lt;year&gt;1986&lt;/year&gt;&lt;/dates&gt;&lt;urls&gt;&lt;/urls&gt;&lt;/record&gt;&lt;/Cite&gt;&lt;/EndNote&gt;</w:instrText>
      </w:r>
      <w:r w:rsidR="00325112" w:rsidRPr="00C90AC9">
        <w:rPr>
          <w:rFonts w:eastAsiaTheme="minorHAnsi"/>
          <w:lang w:eastAsia="en-US"/>
        </w:rPr>
        <w:fldChar w:fldCharType="separate"/>
      </w:r>
      <w:r w:rsidR="00325112" w:rsidRPr="00C90AC9">
        <w:rPr>
          <w:rFonts w:eastAsiaTheme="minorHAnsi"/>
          <w:lang w:eastAsia="en-US"/>
        </w:rPr>
        <w:t>(Norman &amp; Draper, 1986)</w:t>
      </w:r>
      <w:r w:rsidR="00325112" w:rsidRPr="00C90AC9">
        <w:rPr>
          <w:rFonts w:eastAsiaTheme="minorHAnsi"/>
          <w:lang w:eastAsia="en-US"/>
        </w:rPr>
        <w:fldChar w:fldCharType="end"/>
      </w:r>
      <w:r w:rsidRPr="00C90AC9">
        <w:rPr>
          <w:rFonts w:eastAsiaTheme="minorHAnsi"/>
          <w:lang w:eastAsia="en-US"/>
        </w:rPr>
        <w:t xml:space="preserve">. Table </w:t>
      </w:r>
      <w:r w:rsidR="003F700A" w:rsidRPr="00C90AC9">
        <w:rPr>
          <w:rFonts w:eastAsiaTheme="minorHAnsi"/>
          <w:lang w:eastAsia="en-US"/>
        </w:rPr>
        <w:t>1.2.</w:t>
      </w:r>
      <w:r w:rsidRPr="00C90AC9">
        <w:rPr>
          <w:rFonts w:eastAsiaTheme="minorHAnsi"/>
          <w:lang w:eastAsia="en-US"/>
        </w:rPr>
        <w:t xml:space="preserve"> shows the recommended techniques as suggested by Norman in 1986. </w:t>
      </w:r>
      <w:r w:rsidR="00B90BEE" w:rsidRPr="00C90AC9">
        <w:rPr>
          <w:rFonts w:eastAsiaTheme="minorHAnsi"/>
          <w:lang w:eastAsia="en-US"/>
        </w:rPr>
        <w:t>A</w:t>
      </w:r>
      <w:r w:rsidRPr="00C90AC9">
        <w:rPr>
          <w:rFonts w:eastAsiaTheme="minorHAnsi"/>
          <w:lang w:eastAsia="en-US"/>
        </w:rPr>
        <w:t xml:space="preserve"> novel technology is being proposed and therefore by understanding the opinions of potential users STPs as well as considering the opinions of the </w:t>
      </w:r>
      <w:r w:rsidR="00E82522" w:rsidRPr="00C90AC9">
        <w:rPr>
          <w:rFonts w:eastAsiaTheme="minorHAnsi"/>
          <w:lang w:eastAsia="en-US"/>
        </w:rPr>
        <w:t>main</w:t>
      </w:r>
      <w:r w:rsidRPr="00C90AC9">
        <w:rPr>
          <w:rFonts w:eastAsiaTheme="minorHAnsi"/>
          <w:lang w:eastAsia="en-US"/>
        </w:rPr>
        <w:t xml:space="preserve"> actors in the STP market </w:t>
      </w:r>
      <w:r w:rsidRPr="00C90AC9">
        <w:rPr>
          <w:rFonts w:eastAsiaTheme="minorHAnsi"/>
          <w:lang w:eastAsia="en-US"/>
        </w:rPr>
        <w:lastRenderedPageBreak/>
        <w:t>more suitable recommendations can be made about STP use in the UK</w:t>
      </w:r>
      <w:r w:rsidR="00B90BEE" w:rsidRPr="00C90AC9">
        <w:rPr>
          <w:rFonts w:eastAsiaTheme="minorHAnsi"/>
          <w:lang w:eastAsia="en-US"/>
        </w:rPr>
        <w:t xml:space="preserve"> </w:t>
      </w:r>
      <w:r w:rsidR="00B90BEE" w:rsidRPr="00C90AC9">
        <w:rPr>
          <w:rFonts w:eastAsiaTheme="minorHAnsi"/>
          <w:lang w:eastAsia="en-US"/>
        </w:rPr>
        <w:fldChar w:fldCharType="begin"/>
      </w:r>
      <w:r w:rsidR="00B90BEE" w:rsidRPr="00C90AC9">
        <w:rPr>
          <w:rFonts w:eastAsiaTheme="minorHAnsi"/>
          <w:lang w:eastAsia="en-US"/>
        </w:rPr>
        <w:instrText xml:space="preserve"> ADDIN EN.CITE &lt;EndNote&gt;&lt;Cite&gt;&lt;Author&gt;Kitzinger&lt;/Author&gt;&lt;Year&gt;1994&lt;/Year&gt;&lt;RecNum&gt;278&lt;/RecNum&gt;&lt;DisplayText&gt;(Abras &amp;amp; Preece, 2004; Kitzinger, 1994)&lt;/DisplayText&gt;&lt;record&gt;&lt;rec-number&gt;278&lt;/rec-number&gt;&lt;foreign-keys&gt;&lt;key app="EN" db-id="50wxdpzd9vd5r7e9t5b595djrfpttrxw9avp" timestamp="1526379343"&gt;278&lt;/key&gt;&lt;/foreign-keys&gt;&lt;ref-type name="Book"&gt;6&lt;/ref-type&gt;&lt;contributors&gt;&lt;authors&gt;&lt;author&gt;Kitzinger, Jenny&lt;/author&gt;&lt;/authors&gt;&lt;/contributors&gt;&lt;titles&gt;&lt;title&gt;The Methodology of Focus Groups: The Importance of Interaction Between Research Participants&lt;/title&gt;&lt;/titles&gt;&lt;pages&gt;103-121&lt;/pages&gt;&lt;volume&gt;16&lt;/volume&gt;&lt;dates&gt;&lt;year&gt;1994&lt;/year&gt;&lt;/dates&gt;&lt;urls&gt;&lt;/urls&gt;&lt;electronic-resource-num&gt;10.1111/1467-9566.ep11347023&lt;/electronic-resource-num&gt;&lt;/record&gt;&lt;/Cite&gt;&lt;Cite&gt;&lt;Author&gt;Abras&lt;/Author&gt;&lt;Year&gt;2004&lt;/Year&gt;&lt;RecNum&gt;110&lt;/RecNum&gt;&lt;record&gt;&lt;rec-number&gt;110&lt;/rec-number&gt;&lt;foreign-keys&gt;&lt;key app="EN" db-id="50wxdpzd9vd5r7e9t5b595djrfpttrxw9avp" timestamp="1525076334"&gt;110&lt;/key&gt;&lt;/foreign-keys&gt;&lt;ref-type name="Book"&gt;6&lt;/ref-type&gt;&lt;contributors&gt;&lt;authors&gt;&lt;author&gt;Abras, C., D. Maloney-Krichmar,&lt;/author&gt;&lt;author&gt;J. Preece&lt;/author&gt;&lt;/authors&gt;&lt;/contributors&gt;&lt;titles&gt;&lt;title&gt;User-centered design&lt;/title&gt;&lt;short-title&gt;Abras, C., D. Maloney-Krichmar, and J. Preece 2004 – User-centered design&lt;/short-title&gt;&lt;/titles&gt;&lt;num-vols&gt;37&lt;/num-vols&gt;&lt;edition&gt;4&lt;/edition&gt;&lt;dates&gt;&lt;year&gt;2004&lt;/year&gt;&lt;/dates&gt;&lt;publisher&gt;Thousand Oaks: Sage Publications&lt;/publisher&gt;&lt;urls&gt;&lt;/urls&gt;&lt;/record&gt;&lt;/Cite&gt;&lt;/EndNote&gt;</w:instrText>
      </w:r>
      <w:r w:rsidR="00B90BEE" w:rsidRPr="00C90AC9">
        <w:rPr>
          <w:rFonts w:eastAsiaTheme="minorHAnsi"/>
          <w:lang w:eastAsia="en-US"/>
        </w:rPr>
        <w:fldChar w:fldCharType="separate"/>
      </w:r>
      <w:r w:rsidR="00B90BEE" w:rsidRPr="00C90AC9">
        <w:rPr>
          <w:rFonts w:eastAsiaTheme="minorHAnsi"/>
          <w:lang w:eastAsia="en-US"/>
        </w:rPr>
        <w:t>(Abras &amp; Preece, 2004; Kitzinger, 1994)</w:t>
      </w:r>
      <w:r w:rsidR="00B90BEE" w:rsidRPr="00C90AC9">
        <w:rPr>
          <w:rFonts w:eastAsiaTheme="minorHAnsi"/>
          <w:lang w:eastAsia="en-US"/>
        </w:rPr>
        <w:fldChar w:fldCharType="end"/>
      </w:r>
      <w:r w:rsidRPr="00C90AC9">
        <w:rPr>
          <w:rFonts w:eastAsiaTheme="minorHAnsi"/>
          <w:lang w:eastAsia="en-US"/>
        </w:rPr>
        <w:t>.</w:t>
      </w:r>
    </w:p>
    <w:p w:rsidR="00582A8D" w:rsidRPr="00C90AC9" w:rsidRDefault="00582A8D" w:rsidP="00191BE1">
      <w:pPr>
        <w:pStyle w:val="BodyText"/>
        <w:spacing w:line="360" w:lineRule="auto"/>
        <w:rPr>
          <w:rFonts w:eastAsiaTheme="minorHAnsi"/>
          <w:lang w:eastAsia="en-US"/>
        </w:rPr>
      </w:pPr>
      <w:r w:rsidRPr="00C90AC9">
        <w:rPr>
          <w:rFonts w:eastAsiaTheme="minorHAnsi"/>
          <w:lang w:eastAsia="en-US"/>
        </w:rPr>
        <w:t>The novel nature of the STP control system as described in the previous chapter it is prudent to consider using the first four techniques as listed in Table 1.2 (e.g. by using questionnaires and focus groups. As the suggested STP system as detailed in Chapter 3 is to be employed in domestic buildings conducting a sequence of work interviews with questionnaires as well as on-site observations are of less relevance for this study. However, conducting interviews as well as conducting focus groups has to have direct applicability to this study.</w:t>
      </w:r>
    </w:p>
    <w:p w:rsidR="00EC14DF" w:rsidRPr="00C90AC9" w:rsidRDefault="00A16B8C" w:rsidP="00162965">
      <w:pPr>
        <w:pStyle w:val="BodyTextFirstIndent"/>
        <w:spacing w:line="360" w:lineRule="auto"/>
        <w:ind w:firstLine="357"/>
        <w:rPr>
          <w:rFonts w:eastAsiaTheme="minorHAnsi"/>
          <w:lang w:eastAsia="en-US"/>
        </w:rPr>
      </w:pPr>
      <w:r w:rsidRPr="00C90AC9">
        <w:rPr>
          <w:rFonts w:eastAsiaTheme="minorHAnsi"/>
          <w:lang w:eastAsia="en-US"/>
        </w:rPr>
        <w:t xml:space="preserve">At the same time as studies which have investigated improving the efficiency of </w:t>
      </w:r>
      <w:r w:rsidR="006518C0" w:rsidRPr="00C90AC9">
        <w:rPr>
          <w:rFonts w:eastAsiaTheme="minorHAnsi"/>
          <w:lang w:eastAsia="en-US"/>
        </w:rPr>
        <w:t>STPs</w:t>
      </w:r>
      <w:r w:rsidRPr="00C90AC9">
        <w:rPr>
          <w:rFonts w:eastAsiaTheme="minorHAnsi"/>
          <w:lang w:eastAsia="en-US"/>
        </w:rPr>
        <w:t xml:space="preserve"> there have also been investigations to assess potential consumer’s behavioural intention to use renewable technologies</w:t>
      </w:r>
      <w:r w:rsidR="00B90BEE" w:rsidRPr="00C90AC9">
        <w:rPr>
          <w:rFonts w:eastAsiaTheme="minorHAnsi"/>
          <w:lang w:eastAsia="en-US"/>
        </w:rPr>
        <w:t xml:space="preserve"> </w:t>
      </w:r>
      <w:r w:rsidR="00B90BEE" w:rsidRPr="00C90AC9">
        <w:rPr>
          <w:rFonts w:eastAsiaTheme="minorHAnsi"/>
          <w:lang w:eastAsia="en-US"/>
        </w:rPr>
        <w:fldChar w:fldCharType="begin"/>
      </w:r>
      <w:r w:rsidR="00B90BEE" w:rsidRPr="00C90AC9">
        <w:rPr>
          <w:rFonts w:eastAsiaTheme="minorHAnsi"/>
          <w:lang w:eastAsia="en-US"/>
        </w:rPr>
        <w:instrText xml:space="preserve"> ADDIN EN.CITE &lt;EndNote&gt;&lt;Cite&gt;&lt;Author&gt;Simcock&lt;/Author&gt;&lt;Year&gt;2014&lt;/Year&gt;&lt;RecNum&gt;271&lt;/RecNum&gt;&lt;DisplayText&gt;(Simcock et al., 2014)&lt;/DisplayText&gt;&lt;record&gt;&lt;rec-number&gt;271&lt;/rec-number&gt;&lt;foreign-keys&gt;&lt;key app="EN" db-id="50wxdpzd9vd5r7e9t5b595djrfpttrxw9avp" timestamp="1526109739"&gt;271&lt;/key&gt;&lt;/foreign-keys&gt;&lt;ref-type name="Journal Article"&gt;17&lt;/ref-type&gt;&lt;contributors&gt;&lt;authors&gt;&lt;author&gt;Simcock, Neil&lt;/author&gt;&lt;author&gt;MacGregor, Sherilyn&lt;/author&gt;&lt;author&gt;Catney, Philip&lt;/author&gt;&lt;author&gt;Dobson, Andrew&lt;/author&gt;&lt;author&gt;Ormerod, Mark&lt;/author&gt;&lt;author&gt;Robinson, Zoe&lt;/author&gt;&lt;author&gt;Ross, Simon&lt;/author&gt;&lt;author&gt;Royston, Sarah&lt;/author&gt;&lt;author&gt;Marie Hall, Sarah&lt;/author&gt;&lt;/authors&gt;&lt;/contributors&gt;&lt;titles&gt;&lt;title&gt;Factors influencing perceptions of domestic energy information: Content, source and process&lt;/title&gt;&lt;secondary-title&gt;Energy Policy&lt;/secondary-title&gt;&lt;/titles&gt;&lt;pages&gt;455-464&lt;/pages&gt;&lt;volume&gt;65&lt;/volume&gt;&lt;keywords&gt;&lt;keyword&gt;Domestic energy&lt;/keyword&gt;&lt;keyword&gt;Community&lt;/keyword&gt;&lt;keyword&gt;Energy consumption&lt;/keyword&gt;&lt;/keywords&gt;&lt;dates&gt;&lt;year&gt;2014&lt;/year&gt;&lt;pub-dates&gt;&lt;date&gt;2014/02/01/&lt;/date&gt;&lt;/pub-dates&gt;&lt;/dates&gt;&lt;isbn&gt;0301-4215&lt;/isbn&gt;&lt;urls&gt;&lt;related-urls&gt;&lt;url&gt;http://www.sciencedirect.com/science/article/pii/S0301421513010604&lt;/url&gt;&lt;/related-urls&gt;&lt;/urls&gt;&lt;electronic-resource-num&gt;https://doi.org/10.1016/j.enpol.2013.10.038&lt;/electronic-resource-num&gt;&lt;/record&gt;&lt;/Cite&gt;&lt;/EndNote&gt;</w:instrText>
      </w:r>
      <w:r w:rsidR="00B90BEE" w:rsidRPr="00C90AC9">
        <w:rPr>
          <w:rFonts w:eastAsiaTheme="minorHAnsi"/>
          <w:lang w:eastAsia="en-US"/>
        </w:rPr>
        <w:fldChar w:fldCharType="separate"/>
      </w:r>
      <w:r w:rsidR="00B90BEE" w:rsidRPr="00C90AC9">
        <w:rPr>
          <w:rFonts w:eastAsiaTheme="minorHAnsi"/>
          <w:lang w:eastAsia="en-US"/>
        </w:rPr>
        <w:t>(Simcock et al., 2014)</w:t>
      </w:r>
      <w:r w:rsidR="00B90BEE" w:rsidRPr="00C90AC9">
        <w:rPr>
          <w:rFonts w:eastAsiaTheme="minorHAnsi"/>
          <w:lang w:eastAsia="en-US"/>
        </w:rPr>
        <w:fldChar w:fldCharType="end"/>
      </w:r>
      <w:r w:rsidRPr="00C90AC9">
        <w:rPr>
          <w:rFonts w:eastAsiaTheme="minorHAnsi"/>
          <w:lang w:eastAsia="en-US"/>
        </w:rPr>
        <w:t xml:space="preserve">. There has been widespread analysis of technology adoption with regard to companies and technologies associated with the workplace, but there has been less focus paid to adoption of technologies in the home. As technologies are becoming more widespread and their utilisation in the home is becoming more prevalent there has been a corresponding mounting need to assess </w:t>
      </w:r>
      <w:r w:rsidR="00E76CAF" w:rsidRPr="00C90AC9">
        <w:rPr>
          <w:rFonts w:eastAsiaTheme="minorHAnsi"/>
          <w:lang w:eastAsia="en-US"/>
        </w:rPr>
        <w:t>end-user’s</w:t>
      </w:r>
      <w:r w:rsidRPr="00C90AC9">
        <w:rPr>
          <w:rFonts w:eastAsiaTheme="minorHAnsi"/>
          <w:lang w:eastAsia="en-US"/>
        </w:rPr>
        <w:t xml:space="preserve"> opinions of the technologies they are using. Recent investigations to assess the availability of domestic generation of electricity and heat in the UK was conducted in 2007 by Sauter and Watson  </w:t>
      </w:r>
      <w:r w:rsidR="00AE554A" w:rsidRPr="00C90AC9">
        <w:rPr>
          <w:rFonts w:eastAsiaTheme="minorHAnsi"/>
          <w:lang w:eastAsia="en-US"/>
        </w:rPr>
        <w:fldChar w:fldCharType="begin"/>
      </w:r>
      <w:r w:rsidR="00AE554A" w:rsidRPr="00C90AC9">
        <w:rPr>
          <w:rFonts w:eastAsiaTheme="minorHAnsi"/>
          <w:lang w:eastAsia="en-US"/>
        </w:rPr>
        <w:instrText xml:space="preserve"> ADDIN EN.CITE &lt;EndNote&gt;&lt;Cite&gt;&lt;Author&gt;Sauter&lt;/Author&gt;&lt;Year&gt;2007&lt;/Year&gt;&lt;RecNum&gt;225&lt;/RecNum&gt;&lt;DisplayText&gt;(Sauter &amp;amp; Watson, 2007)&lt;/DisplayText&gt;&lt;record&gt;&lt;rec-number&gt;225&lt;/rec-number&gt;&lt;foreign-keys&gt;&lt;key app="EN" db-id="50wxdpzd9vd5r7e9t5b595djrfpttrxw9avp" timestamp="1525593933"&gt;225&lt;/key&gt;&lt;/foreign-keys&gt;&lt;ref-type name="Journal Article"&gt;17&lt;/ref-type&gt;&lt;contributors&gt;&lt;authors&gt;&lt;author&gt;Sauter, Raphael&lt;/author&gt;&lt;author&gt;Watson, Jim&lt;/author&gt;&lt;/authors&gt;&lt;/contributors&gt;&lt;titles&gt;&lt;title&gt;Strategies for the deployment of micro-generation: Implications for social acceptance&lt;/title&gt;&lt;secondary-title&gt;Energy Policy&lt;/secondary-title&gt;&lt;/titles&gt;&lt;pages&gt;2770-2779&lt;/pages&gt;&lt;volume&gt;35&lt;/volume&gt;&lt;number&gt;5&lt;/number&gt;&lt;keywords&gt;&lt;keyword&gt;Micro-generation&lt;/keyword&gt;&lt;keyword&gt;Social acceptance&lt;/keyword&gt;&lt;keyword&gt;Deployment models&lt;/keyword&gt;&lt;/keywords&gt;&lt;dates&gt;&lt;year&gt;2007&lt;/year&gt;&lt;pub-dates&gt;&lt;date&gt;2007/05/01/&lt;/date&gt;&lt;/pub-dates&gt;&lt;/dates&gt;&lt;isbn&gt;0301-4215&lt;/isbn&gt;&lt;urls&gt;&lt;related-urls&gt;&lt;url&gt;http://www.sciencedirect.com/science/article/pii/S0301421506004903&lt;/url&gt;&lt;/related-urls&gt;&lt;/urls&gt;&lt;electronic-resource-num&gt;https://doi.org/10.1016/j.enpol.2006.12.006&lt;/electronic-resource-num&gt;&lt;/record&gt;&lt;/Cite&gt;&lt;/EndNote&gt;</w:instrText>
      </w:r>
      <w:r w:rsidR="00AE554A" w:rsidRPr="00C90AC9">
        <w:rPr>
          <w:rFonts w:eastAsiaTheme="minorHAnsi"/>
          <w:lang w:eastAsia="en-US"/>
        </w:rPr>
        <w:fldChar w:fldCharType="separate"/>
      </w:r>
      <w:r w:rsidR="00AE554A" w:rsidRPr="00C90AC9">
        <w:rPr>
          <w:rFonts w:eastAsiaTheme="minorHAnsi"/>
          <w:lang w:eastAsia="en-US"/>
        </w:rPr>
        <w:t>(Sauter &amp; Watson, 2007)</w:t>
      </w:r>
      <w:r w:rsidR="00AE554A" w:rsidRPr="00C90AC9">
        <w:rPr>
          <w:rFonts w:eastAsiaTheme="minorHAnsi"/>
          <w:lang w:eastAsia="en-US"/>
        </w:rPr>
        <w:fldChar w:fldCharType="end"/>
      </w:r>
      <w:r w:rsidRPr="00C90AC9">
        <w:rPr>
          <w:rFonts w:eastAsiaTheme="minorHAnsi"/>
          <w:lang w:eastAsia="en-US"/>
        </w:rPr>
        <w:t>. They argued that for adoption of new micro-generation technologies social acceptance was paramount</w:t>
      </w:r>
      <w:r w:rsidR="00F7423A" w:rsidRPr="00C90AC9">
        <w:rPr>
          <w:rFonts w:eastAsiaTheme="minorHAnsi"/>
          <w:lang w:eastAsia="en-US"/>
        </w:rPr>
        <w:t xml:space="preserve"> as without social acceptance, these technologies will re</w:t>
      </w:r>
      <w:r w:rsidR="00E82522" w:rsidRPr="00C90AC9">
        <w:rPr>
          <w:rFonts w:eastAsiaTheme="minorHAnsi"/>
          <w:lang w:eastAsia="en-US"/>
        </w:rPr>
        <w:t>main</w:t>
      </w:r>
      <w:r w:rsidR="00F7423A" w:rsidRPr="00C90AC9">
        <w:rPr>
          <w:rFonts w:eastAsiaTheme="minorHAnsi"/>
          <w:lang w:eastAsia="en-US"/>
        </w:rPr>
        <w:t xml:space="preserve"> underused if used at all</w:t>
      </w:r>
      <w:r w:rsidRPr="00C90AC9">
        <w:rPr>
          <w:rFonts w:eastAsiaTheme="minorHAnsi"/>
          <w:lang w:eastAsia="en-US"/>
        </w:rPr>
        <w:t xml:space="preserve"> </w:t>
      </w:r>
      <w:r w:rsidR="00AE554A" w:rsidRPr="00C90AC9">
        <w:rPr>
          <w:rFonts w:eastAsiaTheme="minorHAnsi"/>
          <w:lang w:eastAsia="en-US"/>
        </w:rPr>
        <w:fldChar w:fldCharType="begin"/>
      </w:r>
      <w:r w:rsidR="00AE554A" w:rsidRPr="00C90AC9">
        <w:rPr>
          <w:rFonts w:eastAsiaTheme="minorHAnsi"/>
          <w:lang w:eastAsia="en-US"/>
        </w:rPr>
        <w:instrText xml:space="preserve"> ADDIN EN.CITE &lt;EndNote&gt;&lt;Cite&gt;&lt;Author&gt;Sauter&lt;/Author&gt;&lt;Year&gt;2007&lt;/Year&gt;&lt;RecNum&gt;225&lt;/RecNum&gt;&lt;DisplayText&gt;(Sauter &amp;amp; Watson, 2007)&lt;/DisplayText&gt;&lt;record&gt;&lt;rec-number&gt;225&lt;/rec-number&gt;&lt;foreign-keys&gt;&lt;key app="EN" db-id="50wxdpzd9vd5r7e9t5b595djrfpttrxw9avp" timestamp="1525593933"&gt;225&lt;/key&gt;&lt;/foreign-keys&gt;&lt;ref-type name="Journal Article"&gt;17&lt;/ref-type&gt;&lt;contributors&gt;&lt;authors&gt;&lt;author&gt;Sauter, Raphael&lt;/author&gt;&lt;author&gt;Watson, Jim&lt;/author&gt;&lt;/authors&gt;&lt;/contributors&gt;&lt;titles&gt;&lt;title&gt;Strategies for the deployment of micro-generation: Implications for social acceptance&lt;/title&gt;&lt;secondary-title&gt;Energy Policy&lt;/secondary-title&gt;&lt;/titles&gt;&lt;pages&gt;2770-2779&lt;/pages&gt;&lt;volume&gt;35&lt;/volume&gt;&lt;number&gt;5&lt;/number&gt;&lt;keywords&gt;&lt;keyword&gt;Micro-generation&lt;/keyword&gt;&lt;keyword&gt;Social acceptance&lt;/keyword&gt;&lt;keyword&gt;Deployment models&lt;/keyword&gt;&lt;/keywords&gt;&lt;dates&gt;&lt;year&gt;2007&lt;/year&gt;&lt;pub-dates&gt;&lt;date&gt;2007/05/01/&lt;/date&gt;&lt;/pub-dates&gt;&lt;/dates&gt;&lt;isbn&gt;0301-4215&lt;/isbn&gt;&lt;urls&gt;&lt;related-urls&gt;&lt;url&gt;http://www.sciencedirect.com/science/article/pii/S0301421506004903&lt;/url&gt;&lt;/related-urls&gt;&lt;/urls&gt;&lt;electronic-resource-num&gt;https://doi.org/10.1016/j.enpol.2006.12.006&lt;/electronic-resource-num&gt;&lt;/record&gt;&lt;/Cite&gt;&lt;/EndNote&gt;</w:instrText>
      </w:r>
      <w:r w:rsidR="00AE554A" w:rsidRPr="00C90AC9">
        <w:rPr>
          <w:rFonts w:eastAsiaTheme="minorHAnsi"/>
          <w:lang w:eastAsia="en-US"/>
        </w:rPr>
        <w:fldChar w:fldCharType="separate"/>
      </w:r>
      <w:r w:rsidR="00AE554A" w:rsidRPr="00C90AC9">
        <w:rPr>
          <w:rFonts w:eastAsiaTheme="minorHAnsi"/>
          <w:lang w:eastAsia="en-US"/>
        </w:rPr>
        <w:t>(Sauter &amp; Watson, 2007)</w:t>
      </w:r>
      <w:r w:rsidR="00AE554A" w:rsidRPr="00C90AC9">
        <w:rPr>
          <w:rFonts w:eastAsiaTheme="minorHAnsi"/>
          <w:lang w:eastAsia="en-US"/>
        </w:rPr>
        <w:fldChar w:fldCharType="end"/>
      </w:r>
      <w:r w:rsidRPr="00C90AC9">
        <w:rPr>
          <w:rFonts w:eastAsiaTheme="minorHAnsi"/>
          <w:lang w:eastAsia="en-US"/>
        </w:rPr>
        <w:t xml:space="preserve">. </w:t>
      </w:r>
      <w:bookmarkStart w:id="26" w:name="_GoBack"/>
      <w:bookmarkEnd w:id="26"/>
    </w:p>
    <w:p w:rsidR="00EC14DF" w:rsidRPr="00C90AC9" w:rsidRDefault="00A16B8C" w:rsidP="00162965">
      <w:pPr>
        <w:pStyle w:val="BodyTextFirstIndent"/>
        <w:spacing w:line="360" w:lineRule="auto"/>
        <w:ind w:firstLine="357"/>
        <w:rPr>
          <w:rFonts w:eastAsiaTheme="minorHAnsi"/>
          <w:lang w:eastAsia="en-US"/>
        </w:rPr>
      </w:pPr>
      <w:r w:rsidRPr="00C90AC9">
        <w:rPr>
          <w:rFonts w:eastAsiaTheme="minorHAnsi"/>
          <w:lang w:eastAsia="en-US"/>
        </w:rPr>
        <w:t>The</w:t>
      </w:r>
      <w:r w:rsidR="00313E25" w:rsidRPr="00C90AC9">
        <w:rPr>
          <w:rFonts w:eastAsiaTheme="minorHAnsi"/>
          <w:lang w:eastAsia="en-US"/>
        </w:rPr>
        <w:t>ir work</w:t>
      </w:r>
      <w:r w:rsidRPr="00C90AC9">
        <w:rPr>
          <w:rFonts w:eastAsiaTheme="minorHAnsi"/>
          <w:lang w:eastAsia="en-US"/>
        </w:rPr>
        <w:t xml:space="preserve"> cite</w:t>
      </w:r>
      <w:r w:rsidR="00313E25" w:rsidRPr="00C90AC9">
        <w:rPr>
          <w:rFonts w:eastAsiaTheme="minorHAnsi"/>
          <w:lang w:eastAsia="en-US"/>
        </w:rPr>
        <w:t>s</w:t>
      </w:r>
      <w:r w:rsidRPr="00C90AC9">
        <w:rPr>
          <w:rFonts w:eastAsiaTheme="minorHAnsi"/>
          <w:lang w:eastAsia="en-US"/>
        </w:rPr>
        <w:t xml:space="preserve"> previous work that assessed the social acceptance of larger renewable energy projects </w:t>
      </w:r>
      <w:r w:rsidR="00313E25" w:rsidRPr="00C90AC9">
        <w:rPr>
          <w:rFonts w:eastAsiaTheme="minorHAnsi"/>
          <w:lang w:eastAsia="en-US"/>
        </w:rPr>
        <w:t xml:space="preserve">and the work has been expanded in more recent years </w:t>
      </w:r>
      <w:r w:rsidRPr="00C90AC9">
        <w:rPr>
          <w:rFonts w:eastAsiaTheme="minorHAnsi"/>
          <w:lang w:eastAsia="en-US"/>
        </w:rPr>
        <w:t>(see</w:t>
      </w:r>
      <w:r w:rsidR="00313E25" w:rsidRPr="00C90AC9">
        <w:rPr>
          <w:rFonts w:eastAsiaTheme="minorHAnsi"/>
          <w:lang w:eastAsia="en-US"/>
        </w:rPr>
        <w:t>:</w:t>
      </w:r>
      <w:r w:rsidRPr="00C90AC9">
        <w:rPr>
          <w:rFonts w:eastAsiaTheme="minorHAnsi"/>
          <w:lang w:eastAsia="en-US"/>
        </w:rPr>
        <w:t xml:space="preserve"> </w:t>
      </w:r>
      <w:r w:rsidR="00AE554A" w:rsidRPr="00C90AC9">
        <w:rPr>
          <w:rFonts w:eastAsiaTheme="minorHAnsi"/>
          <w:lang w:eastAsia="en-US"/>
        </w:rPr>
        <w:fldChar w:fldCharType="begin"/>
      </w:r>
      <w:r w:rsidR="00AE554A" w:rsidRPr="00C90AC9">
        <w:rPr>
          <w:rFonts w:eastAsiaTheme="minorHAnsi"/>
          <w:lang w:eastAsia="en-US"/>
        </w:rPr>
        <w:instrText xml:space="preserve"> ADDIN EN.CITE &lt;EndNote&gt;&lt;Cite&gt;&lt;Author&gt;Allen&lt;/Author&gt;&lt;Year&gt;2008&lt;/Year&gt;&lt;RecNum&gt;211&lt;/RecNum&gt;&lt;DisplayText&gt;(S. Allen et al., 2008)&lt;/DisplayText&gt;&lt;record&gt;&lt;rec-number&gt;211&lt;/rec-number&gt;&lt;foreign-keys&gt;&lt;key app="EN" db-id="50wxdpzd9vd5r7e9t5b595djrfpttrxw9avp" timestamp="1525464920"&gt;211&lt;/key&gt;&lt;/foreign-keys&gt;&lt;ref-type name="Book"&gt;6&lt;/ref-type&gt;&lt;contributors&gt;&lt;authors&gt;&lt;author&gt;Allen, Stephen&lt;/author&gt;&lt;author&gt;Hammond, Geoffrey&lt;/author&gt;&lt;author&gt;McManus, Marcelle&lt;/author&gt;&lt;/authors&gt;&lt;/contributors&gt;&lt;titles&gt;&lt;title&gt;Prospects for and barriers to domestic micro-generation: A United Kingdom perspective&lt;/title&gt;&lt;/titles&gt;&lt;pages&gt;528-544&lt;/pages&gt;&lt;volume&gt;85&lt;/volume&gt;&lt;dates&gt;&lt;year&gt;2008&lt;/year&gt;&lt;/dates&gt;&lt;urls&gt;&lt;/urls&gt;&lt;electronic-resource-num&gt;10.1016/j.apenergy.2007.09.006&lt;/electronic-resource-num&gt;&lt;/record&gt;&lt;/Cite&gt;&lt;/EndNote&gt;</w:instrText>
      </w:r>
      <w:r w:rsidR="00AE554A" w:rsidRPr="00C90AC9">
        <w:rPr>
          <w:rFonts w:eastAsiaTheme="minorHAnsi"/>
          <w:lang w:eastAsia="en-US"/>
        </w:rPr>
        <w:fldChar w:fldCharType="separate"/>
      </w:r>
      <w:r w:rsidR="00AE554A" w:rsidRPr="00C90AC9">
        <w:rPr>
          <w:rFonts w:eastAsiaTheme="minorHAnsi"/>
          <w:lang w:eastAsia="en-US"/>
        </w:rPr>
        <w:t>(</w:t>
      </w:r>
      <w:r w:rsidR="00432861" w:rsidRPr="00C90AC9">
        <w:rPr>
          <w:rFonts w:eastAsiaTheme="minorHAnsi"/>
          <w:lang w:eastAsia="en-US"/>
        </w:rPr>
        <w:t>S. R. Allen</w:t>
      </w:r>
      <w:r w:rsidR="00AE554A" w:rsidRPr="00C90AC9">
        <w:rPr>
          <w:rFonts w:eastAsiaTheme="minorHAnsi"/>
          <w:lang w:eastAsia="en-US"/>
        </w:rPr>
        <w:t xml:space="preserve"> et al., 2008)</w:t>
      </w:r>
      <w:r w:rsidR="00AE554A" w:rsidRPr="00C90AC9">
        <w:rPr>
          <w:rFonts w:eastAsiaTheme="minorHAnsi"/>
          <w:lang w:eastAsia="en-US"/>
        </w:rPr>
        <w:fldChar w:fldCharType="end"/>
      </w:r>
      <w:r w:rsidR="00313E25" w:rsidRPr="00C90AC9">
        <w:rPr>
          <w:rFonts w:eastAsiaTheme="minorHAnsi"/>
          <w:lang w:eastAsia="en-US"/>
        </w:rPr>
        <w:t>;</w:t>
      </w:r>
      <w:r w:rsidR="00AE554A" w:rsidRPr="00C90AC9">
        <w:rPr>
          <w:rFonts w:eastAsiaTheme="minorHAnsi"/>
          <w:lang w:eastAsia="en-US"/>
        </w:rPr>
        <w:t xml:space="preserve"> </w:t>
      </w:r>
      <w:r w:rsidR="00AE554A" w:rsidRPr="00C90AC9">
        <w:rPr>
          <w:rFonts w:eastAsiaTheme="minorHAnsi"/>
          <w:lang w:eastAsia="en-US"/>
        </w:rPr>
        <w:fldChar w:fldCharType="begin"/>
      </w:r>
      <w:r w:rsidR="00AE554A" w:rsidRPr="00C90AC9">
        <w:rPr>
          <w:rFonts w:eastAsiaTheme="minorHAnsi"/>
          <w:lang w:eastAsia="en-US"/>
        </w:rPr>
        <w:instrText xml:space="preserve"> ADDIN EN.CITE &lt;EndNote&gt;&lt;Cite&gt;&lt;Author&gt;Sauter&lt;/Author&gt;&lt;Year&gt;2007&lt;/Year&gt;&lt;RecNum&gt;225&lt;/RecNum&gt;&lt;DisplayText&gt;(Sauter &amp;amp; Watson, 2007)&lt;/DisplayText&gt;&lt;record&gt;&lt;rec-number&gt;225&lt;/rec-number&gt;&lt;foreign-keys&gt;&lt;key app="EN" db-id="50wxdpzd9vd5r7e9t5b595djrfpttrxw9avp" timestamp="1525593933"&gt;225&lt;/key&gt;&lt;/foreign-keys&gt;&lt;ref-type name="Journal Article"&gt;17&lt;/ref-type&gt;&lt;contributors&gt;&lt;authors&gt;&lt;author&gt;Sauter, Raphael&lt;/author&gt;&lt;author&gt;Watson, Jim&lt;/author&gt;&lt;/authors&gt;&lt;/contributors&gt;&lt;titles&gt;&lt;title&gt;Strategies for the deployment of micro-generation: Implications for social acceptance&lt;/title&gt;&lt;secondary-title&gt;Energy Policy&lt;/secondary-title&gt;&lt;/titles&gt;&lt;pages&gt;2770-2779&lt;/pages&gt;&lt;volume&gt;35&lt;/volume&gt;&lt;number&gt;5&lt;/number&gt;&lt;keywords&gt;&lt;keyword&gt;Micro-generation&lt;/keyword&gt;&lt;keyword&gt;Social acceptance&lt;/keyword&gt;&lt;keyword&gt;Deployment models&lt;/keyword&gt;&lt;/keywords&gt;&lt;dates&gt;&lt;year&gt;2007&lt;/year&gt;&lt;pub-dates&gt;&lt;date&gt;2007/05/01/&lt;/date&gt;&lt;/pub-dates&gt;&lt;/dates&gt;&lt;isbn&gt;0301-4215&lt;/isbn&gt;&lt;urls&gt;&lt;related-urls&gt;&lt;url&gt;http://www.sciencedirect.com/science/article/pii/S0301421506004903&lt;/url&gt;&lt;/related-urls&gt;&lt;/urls&gt;&lt;electronic-resource-num&gt;https://doi.org/10.1016/j.enpol.2006.12.006&lt;/electronic-resource-num&gt;&lt;/record&gt;&lt;/Cite&gt;&lt;/EndNote&gt;</w:instrText>
      </w:r>
      <w:r w:rsidR="00AE554A" w:rsidRPr="00C90AC9">
        <w:rPr>
          <w:rFonts w:eastAsiaTheme="minorHAnsi"/>
          <w:lang w:eastAsia="en-US"/>
        </w:rPr>
        <w:fldChar w:fldCharType="separate"/>
      </w:r>
      <w:r w:rsidR="00AE554A" w:rsidRPr="00C90AC9">
        <w:rPr>
          <w:rFonts w:eastAsiaTheme="minorHAnsi"/>
          <w:lang w:eastAsia="en-US"/>
        </w:rPr>
        <w:t>(Sauter &amp; Watson, 2007)</w:t>
      </w:r>
      <w:r w:rsidR="00AE554A" w:rsidRPr="00C90AC9">
        <w:rPr>
          <w:rFonts w:eastAsiaTheme="minorHAnsi"/>
          <w:lang w:eastAsia="en-US"/>
        </w:rPr>
        <w:fldChar w:fldCharType="end"/>
      </w:r>
      <w:r w:rsidR="00313E25" w:rsidRPr="00C90AC9">
        <w:rPr>
          <w:rFonts w:eastAsiaTheme="minorHAnsi"/>
          <w:lang w:eastAsia="en-US"/>
        </w:rPr>
        <w:t>;</w:t>
      </w:r>
      <w:r w:rsidR="00AE554A" w:rsidRPr="00C90AC9">
        <w:rPr>
          <w:rFonts w:eastAsiaTheme="minorHAnsi"/>
          <w:lang w:eastAsia="en-US"/>
        </w:rPr>
        <w:t xml:space="preserve"> </w:t>
      </w:r>
      <w:r w:rsidR="00AE554A" w:rsidRPr="00C90AC9">
        <w:rPr>
          <w:rFonts w:eastAsiaTheme="minorHAnsi"/>
          <w:lang w:eastAsia="en-US"/>
        </w:rPr>
        <w:fldChar w:fldCharType="begin"/>
      </w:r>
      <w:r w:rsidR="00AE554A" w:rsidRPr="00C90AC9">
        <w:rPr>
          <w:rFonts w:eastAsiaTheme="minorHAnsi"/>
          <w:lang w:eastAsia="en-US"/>
        </w:rPr>
        <w:instrText xml:space="preserve"> ADDIN EN.CITE &lt;EndNote&gt;&lt;Cite&gt;&lt;Author&gt;Kaldellis&lt;/Author&gt;&lt;Year&gt;2005&lt;/Year&gt;&lt;RecNum&gt;226&lt;/RecNum&gt;&lt;DisplayText&gt;(Kaldellis, 2005)&lt;/DisplayText&gt;&lt;record&gt;&lt;rec-number&gt;226&lt;/rec-number&gt;&lt;foreign-keys&gt;&lt;key app="EN" db-id="50wxdpzd9vd5r7e9t5b595djrfpttrxw9avp" timestamp="1525601022"&gt;226&lt;/key&gt;&lt;/foreign-keys&gt;&lt;ref-type name="Journal Article"&gt;17&lt;/ref-type&gt;&lt;contributors&gt;&lt;authors&gt;&lt;author&gt;Kaldellis, J. K.&lt;/author&gt;&lt;/authors&gt;&lt;/contributors&gt;&lt;titles&gt;&lt;title&gt;Social attitude towards wind energy applications in Greece&lt;/title&gt;&lt;secondary-title&gt;Energy Policy&lt;/secondary-title&gt;&lt;/titles&gt;&lt;pages&gt;595-602&lt;/pages&gt;&lt;volume&gt;33&lt;/volume&gt;&lt;number&gt;5&lt;/number&gt;&lt;keywords&gt;&lt;keyword&gt;Wind energy&lt;/keyword&gt;&lt;keyword&gt;Social attitude&lt;/keyword&gt;&lt;keyword&gt;Nimby&lt;/keyword&gt;&lt;keyword&gt;Public survey&lt;/keyword&gt;&lt;/keywords&gt;&lt;dates&gt;&lt;year&gt;2005&lt;/year&gt;&lt;pub-dates&gt;&lt;date&gt;2005/03/01/&lt;/date&gt;&lt;/pub-dates&gt;&lt;/dates&gt;&lt;isbn&gt;0301-4215&lt;/isbn&gt;&lt;urls&gt;&lt;related-urls&gt;&lt;url&gt;http://www.sciencedirect.com/science/article/pii/S0301421503002805&lt;/url&gt;&lt;/related-urls&gt;&lt;/urls&gt;&lt;electronic-resource-num&gt;https://doi.org/10.1016/j.enpol.2003.09.003&lt;/electronic-resource-num&gt;&lt;/record&gt;&lt;/Cite&gt;&lt;/EndNote&gt;</w:instrText>
      </w:r>
      <w:r w:rsidR="00AE554A" w:rsidRPr="00C90AC9">
        <w:rPr>
          <w:rFonts w:eastAsiaTheme="minorHAnsi"/>
          <w:lang w:eastAsia="en-US"/>
        </w:rPr>
        <w:fldChar w:fldCharType="separate"/>
      </w:r>
      <w:r w:rsidR="00AE554A" w:rsidRPr="00C90AC9">
        <w:rPr>
          <w:rFonts w:eastAsiaTheme="minorHAnsi"/>
          <w:lang w:eastAsia="en-US"/>
        </w:rPr>
        <w:t>(Kaldellis, 2005)</w:t>
      </w:r>
      <w:r w:rsidR="00AE554A" w:rsidRPr="00C90AC9">
        <w:rPr>
          <w:rFonts w:eastAsiaTheme="minorHAnsi"/>
          <w:lang w:eastAsia="en-US"/>
        </w:rPr>
        <w:fldChar w:fldCharType="end"/>
      </w:r>
      <w:r w:rsidRPr="00C90AC9">
        <w:rPr>
          <w:rFonts w:eastAsiaTheme="minorHAnsi"/>
          <w:lang w:eastAsia="en-US"/>
        </w:rPr>
        <w:t>)</w:t>
      </w:r>
      <w:r w:rsidR="00313E25" w:rsidRPr="00C90AC9">
        <w:rPr>
          <w:rFonts w:eastAsiaTheme="minorHAnsi"/>
          <w:lang w:eastAsia="en-US"/>
        </w:rPr>
        <w:t>; and</w:t>
      </w:r>
      <w:r w:rsidR="00AE554A" w:rsidRPr="00C90AC9">
        <w:rPr>
          <w:rFonts w:eastAsiaTheme="minorHAnsi"/>
          <w:lang w:eastAsia="en-US"/>
        </w:rPr>
        <w:t xml:space="preserve"> </w:t>
      </w:r>
      <w:r w:rsidR="00AE554A" w:rsidRPr="00C90AC9">
        <w:rPr>
          <w:rFonts w:eastAsiaTheme="minorHAnsi"/>
          <w:lang w:eastAsia="en-US"/>
        </w:rPr>
        <w:fldChar w:fldCharType="begin"/>
      </w:r>
      <w:r w:rsidR="00AE554A" w:rsidRPr="00C90AC9">
        <w:rPr>
          <w:rFonts w:eastAsiaTheme="minorHAnsi"/>
          <w:lang w:eastAsia="en-US"/>
        </w:rPr>
        <w:instrText xml:space="preserve"> ADDIN EN.CITE &lt;EndNote&gt;&lt;Cite&gt;&lt;Author&gt;Stigka&lt;/Author&gt;&lt;Year&gt;2014&lt;/Year&gt;&lt;RecNum&gt;227&lt;/RecNum&gt;&lt;DisplayText&gt;(Stigka, Paravantis, &amp;amp; Mihalakakou, 2014)&lt;/DisplayText&gt;&lt;record&gt;&lt;rec-number&gt;227&lt;/rec-number&gt;&lt;foreign-keys&gt;&lt;key app="EN" db-id="50wxdpzd9vd5r7e9t5b595djrfpttrxw9avp" timestamp="1525601127"&gt;227&lt;/key&gt;&lt;/foreign-keys&gt;&lt;ref-type name="Journal Article"&gt;17&lt;/ref-type&gt;&lt;contributors&gt;&lt;authors&gt;&lt;author&gt;Stigka, Eleni K.&lt;/author&gt;&lt;author&gt;Paravantis, John A.&lt;/author&gt;&lt;author&gt;Mihalakakou, Giouli K.&lt;/author&gt;&lt;/authors&gt;&lt;/contributors&gt;&lt;titles&gt;&lt;title&gt;Social acceptance of renewable energy sources: A review of contingent valuation applications&lt;/title&gt;&lt;secondary-title&gt;Renewable and Sustainable Energy Reviews&lt;/secondary-title&gt;&lt;/titles&gt;&lt;pages&gt;100-106&lt;/pages&gt;&lt;volume&gt;32&lt;/volume&gt;&lt;keywords&gt;&lt;keyword&gt;Sustainable development&lt;/keyword&gt;&lt;keyword&gt;Renewable energy sources (RES)&lt;/keyword&gt;&lt;keyword&gt;Contingent valuation (CV)&lt;/keyword&gt;&lt;keyword&gt;Willingness-to-pay (WTP)&lt;/keyword&gt;&lt;keyword&gt;Social acceptance&lt;/keyword&gt;&lt;keyword&gt;Green consumerism&lt;/keyword&gt;&lt;/keywords&gt;&lt;dates&gt;&lt;year&gt;2014&lt;/year&gt;&lt;pub-dates&gt;&lt;date&gt;2014/04/01/&lt;/date&gt;&lt;/pub-dates&gt;&lt;/dates&gt;&lt;isbn&gt;1364-0321&lt;/isbn&gt;&lt;urls&gt;&lt;related-urls&gt;&lt;url&gt;http://www.sciencedirect.com/science/article/pii/S136403211300840X&lt;/url&gt;&lt;/related-urls&gt;&lt;/urls&gt;&lt;electronic-resource-num&gt;https://doi.org/10.1016/j.rser.2013.12.026&lt;/electronic-resource-num&gt;&lt;/record&gt;&lt;/Cite&gt;&lt;/EndNote&gt;</w:instrText>
      </w:r>
      <w:r w:rsidR="00AE554A" w:rsidRPr="00C90AC9">
        <w:rPr>
          <w:rFonts w:eastAsiaTheme="minorHAnsi"/>
          <w:lang w:eastAsia="en-US"/>
        </w:rPr>
        <w:fldChar w:fldCharType="separate"/>
      </w:r>
      <w:r w:rsidR="00AE554A" w:rsidRPr="00C90AC9">
        <w:rPr>
          <w:rFonts w:eastAsiaTheme="minorHAnsi"/>
          <w:lang w:eastAsia="en-US"/>
        </w:rPr>
        <w:t>(Stigka, Paravantis, &amp; Mihalakakou, 2014)</w:t>
      </w:r>
      <w:r w:rsidR="00AE554A" w:rsidRPr="00C90AC9">
        <w:rPr>
          <w:rFonts w:eastAsiaTheme="minorHAnsi"/>
          <w:lang w:eastAsia="en-US"/>
        </w:rPr>
        <w:fldChar w:fldCharType="end"/>
      </w:r>
      <w:r w:rsidR="008313A0" w:rsidRPr="00C90AC9">
        <w:rPr>
          <w:rFonts w:eastAsiaTheme="minorHAnsi"/>
          <w:lang w:eastAsia="en-US"/>
        </w:rPr>
        <w:t xml:space="preserve">. The overall ability of these largescale projects to maximise their potential is shaped by the social acceptance of these technologies </w:t>
      </w:r>
      <w:r w:rsidR="008313A0" w:rsidRPr="00C90AC9">
        <w:rPr>
          <w:rFonts w:eastAsiaTheme="minorHAnsi"/>
          <w:lang w:eastAsia="en-US"/>
        </w:rPr>
        <w:fldChar w:fldCharType="begin"/>
      </w:r>
      <w:r w:rsidR="008313A0" w:rsidRPr="00C90AC9">
        <w:rPr>
          <w:rFonts w:eastAsiaTheme="minorHAnsi"/>
          <w:lang w:eastAsia="en-US"/>
        </w:rPr>
        <w:instrText xml:space="preserve"> ADDIN EN.CITE &lt;EndNote&gt;&lt;Cite&gt;&lt;Author&gt;Sauter&lt;/Author&gt;&lt;Year&gt;2007&lt;/Year&gt;&lt;RecNum&gt;225&lt;/RecNum&gt;&lt;DisplayText&gt;(Sauter &amp;amp; Watson, 2007)&lt;/DisplayText&gt;&lt;record&gt;&lt;rec-number&gt;225&lt;/rec-number&gt;&lt;foreign-keys&gt;&lt;key app="EN" db-id="50wxdpzd9vd5r7e9t5b595djrfpttrxw9avp" timestamp="1525593933"&gt;225&lt;/key&gt;&lt;/foreign-keys&gt;&lt;ref-type name="Journal Article"&gt;17&lt;/ref-type&gt;&lt;contributors&gt;&lt;authors&gt;&lt;author&gt;Sauter, Raphael&lt;/author&gt;&lt;author&gt;Watson, Jim&lt;/author&gt;&lt;/authors&gt;&lt;/contributors&gt;&lt;titles&gt;&lt;title&gt;Strategies for the deployment of micro-generation: Implications for social acceptance&lt;/title&gt;&lt;secondary-title&gt;Energy Policy&lt;/secondary-title&gt;&lt;/titles&gt;&lt;pages&gt;2770-2779&lt;/pages&gt;&lt;volume&gt;35&lt;/volume&gt;&lt;number&gt;5&lt;/number&gt;&lt;keywords&gt;&lt;keyword&gt;Micro-generation&lt;/keyword&gt;&lt;keyword&gt;Social acceptance&lt;/keyword&gt;&lt;keyword&gt;Deployment models&lt;/keyword&gt;&lt;/keywords&gt;&lt;dates&gt;&lt;year&gt;2007&lt;/year&gt;&lt;pub-dates&gt;&lt;date&gt;2007/05/01/&lt;/date&gt;&lt;/pub-dates&gt;&lt;/dates&gt;&lt;isbn&gt;0301-4215&lt;/isbn&gt;&lt;urls&gt;&lt;related-urls&gt;&lt;url&gt;http://www.sciencedirect.com/science/article/pii/S0301421506004903&lt;/url&gt;&lt;/related-urls&gt;&lt;/urls&gt;&lt;electronic-resource-num&gt;https://doi.org/10.1016/j.enpol.2006.12.006&lt;/electronic-resource-num&gt;&lt;/record&gt;&lt;/Cite&gt;&lt;/EndNote&gt;</w:instrText>
      </w:r>
      <w:r w:rsidR="008313A0" w:rsidRPr="00C90AC9">
        <w:rPr>
          <w:rFonts w:eastAsiaTheme="minorHAnsi"/>
          <w:lang w:eastAsia="en-US"/>
        </w:rPr>
        <w:fldChar w:fldCharType="separate"/>
      </w:r>
      <w:r w:rsidR="008313A0" w:rsidRPr="00C90AC9">
        <w:rPr>
          <w:rFonts w:eastAsiaTheme="minorHAnsi"/>
          <w:lang w:eastAsia="en-US"/>
        </w:rPr>
        <w:t>(Sauter &amp; Watson, 2007)</w:t>
      </w:r>
      <w:r w:rsidR="008313A0" w:rsidRPr="00C90AC9">
        <w:rPr>
          <w:rFonts w:eastAsiaTheme="minorHAnsi"/>
          <w:lang w:eastAsia="en-US"/>
        </w:rPr>
        <w:fldChar w:fldCharType="end"/>
      </w:r>
      <w:r w:rsidRPr="00C90AC9">
        <w:rPr>
          <w:rFonts w:eastAsiaTheme="minorHAnsi"/>
          <w:lang w:eastAsia="en-US"/>
        </w:rPr>
        <w:t xml:space="preserve">. </w:t>
      </w:r>
    </w:p>
    <w:p w:rsidR="008313A0" w:rsidRPr="00C90AC9" w:rsidRDefault="00A16B8C" w:rsidP="00162965">
      <w:pPr>
        <w:pStyle w:val="BodyTextFirstIndent"/>
        <w:spacing w:line="360" w:lineRule="auto"/>
        <w:ind w:firstLine="357"/>
        <w:rPr>
          <w:rFonts w:eastAsiaTheme="minorHAnsi"/>
          <w:lang w:eastAsia="en-US"/>
        </w:rPr>
      </w:pPr>
      <w:r w:rsidRPr="00C90AC9">
        <w:rPr>
          <w:rFonts w:eastAsiaTheme="minorHAnsi"/>
          <w:lang w:eastAsia="en-US"/>
        </w:rPr>
        <w:t xml:space="preserve">R. </w:t>
      </w:r>
      <w:proofErr w:type="spellStart"/>
      <w:r w:rsidRPr="00C90AC9">
        <w:rPr>
          <w:rFonts w:eastAsiaTheme="minorHAnsi"/>
          <w:lang w:eastAsia="en-US"/>
        </w:rPr>
        <w:t>Wüstenhagen</w:t>
      </w:r>
      <w:proofErr w:type="spellEnd"/>
      <w:r w:rsidRPr="00C90AC9">
        <w:rPr>
          <w:rFonts w:eastAsiaTheme="minorHAnsi"/>
          <w:lang w:eastAsia="en-US"/>
        </w:rPr>
        <w:t xml:space="preserve"> et al recognised </w:t>
      </w:r>
      <w:r w:rsidR="00AE554A" w:rsidRPr="00C90AC9">
        <w:rPr>
          <w:rFonts w:eastAsiaTheme="minorHAnsi"/>
          <w:lang w:eastAsia="en-US"/>
        </w:rPr>
        <w:t xml:space="preserve">in 2007 </w:t>
      </w:r>
      <w:r w:rsidRPr="00C90AC9">
        <w:rPr>
          <w:rFonts w:eastAsiaTheme="minorHAnsi"/>
          <w:lang w:eastAsia="en-US"/>
        </w:rPr>
        <w:t>that smaller scale renewable energy projects often have more siting issues because they are more numerous in num</w:t>
      </w:r>
      <w:r w:rsidR="00AE554A" w:rsidRPr="00C90AC9">
        <w:rPr>
          <w:rFonts w:eastAsiaTheme="minorHAnsi"/>
          <w:lang w:eastAsia="en-US"/>
        </w:rPr>
        <w:t xml:space="preserve">ber than larger scale projects </w:t>
      </w:r>
      <w:r w:rsidR="00AE554A" w:rsidRPr="00C90AC9">
        <w:rPr>
          <w:rFonts w:eastAsiaTheme="minorHAnsi"/>
          <w:lang w:eastAsia="en-US"/>
        </w:rPr>
        <w:fldChar w:fldCharType="begin"/>
      </w:r>
      <w:r w:rsidR="002C4A30" w:rsidRPr="00C90AC9">
        <w:rPr>
          <w:rFonts w:eastAsiaTheme="minorHAnsi"/>
          <w:lang w:eastAsia="en-US"/>
        </w:rPr>
        <w:instrText xml:space="preserve"> ADDIN EN.CITE &lt;EndNote&gt;&lt;Cite&gt;&lt;Author&gt;Wüstenhagen&lt;/Author&gt;&lt;Year&gt;2007&lt;/Year&gt;&lt;RecNum&gt;228&lt;/RecNum&gt;&lt;DisplayText&gt;(Wüstenhagen, Wolsink, &amp;amp; Bürer, 2007)&lt;/DisplayText&gt;&lt;record&gt;&lt;rec-number&gt;228&lt;/rec-number&gt;&lt;foreign-keys&gt;&lt;key app="EN" db-id="50wxdpzd9vd5r7e9t5b595djrfpttrxw9avp" timestamp="1525601201"&gt;228&lt;/key&gt;&lt;/foreign-keys&gt;&lt;ref-type name="Journal Article"&gt;17&lt;/ref-type&gt;&lt;contributors&gt;&lt;authors&gt;&lt;author&gt;Wüstenhagen, Rolf&lt;/author&gt;&lt;author&gt;Wolsink, Maarten&lt;/author&gt;&lt;author&gt;Bürer, Mary Jean&lt;/author&gt;&lt;/authors&gt;&lt;/contributors&gt;&lt;titles&gt;&lt;title&gt;Social acceptance of renewable energy innovation: An introduction to the concept&lt;/title&gt;&lt;secondary-title&gt;Energy Policy&lt;/secondary-title&gt;&lt;/titles&gt;&lt;pages&gt;2683-2691&lt;/pages&gt;&lt;volume&gt;35&lt;/volume&gt;&lt;number&gt;5&lt;/number&gt;&lt;keywords&gt;&lt;keyword&gt;Social acceptance&lt;/keyword&gt;&lt;keyword&gt;Wind energy&lt;/keyword&gt;&lt;keyword&gt;Diffusion of innovation&lt;/keyword&gt;&lt;/keywords&gt;&lt;dates&gt;&lt;year&gt;2007&lt;/year&gt;&lt;pub-dates&gt;&lt;date&gt;2007/05/01/&lt;/date&gt;&lt;/pub-dates&gt;&lt;/dates&gt;&lt;isbn&gt;0301-4215&lt;/isbn&gt;&lt;urls&gt;&lt;related-urls&gt;&lt;url&gt;&lt;style face="underline" font="default" size="100%"&gt;http://www.sciencedirect.com/science/article/pii/S0301421506004824&lt;/style&gt;&lt;/url&gt;&lt;/related-urls&gt;&lt;/urls&gt;&lt;electronic-resource-num&gt;&lt;style face="underline" font="default" size="100%"&gt;https://doi.org/10.1016/j.enpol.2006.12.001&lt;/style&gt;&lt;/electronic-resource-num&gt;&lt;/record&gt;&lt;/Cite&gt;&lt;/EndNote&gt;</w:instrText>
      </w:r>
      <w:r w:rsidR="00AE554A" w:rsidRPr="00C90AC9">
        <w:rPr>
          <w:rFonts w:eastAsiaTheme="minorHAnsi"/>
          <w:lang w:eastAsia="en-US"/>
        </w:rPr>
        <w:fldChar w:fldCharType="separate"/>
      </w:r>
      <w:r w:rsidR="00AE554A" w:rsidRPr="00C90AC9">
        <w:rPr>
          <w:rFonts w:eastAsiaTheme="minorHAnsi"/>
          <w:lang w:eastAsia="en-US"/>
        </w:rPr>
        <w:t>(Wüstenhagen, Wolsink, &amp; Bürer, 2007)</w:t>
      </w:r>
      <w:r w:rsidR="00AE554A" w:rsidRPr="00C90AC9">
        <w:rPr>
          <w:rFonts w:eastAsiaTheme="minorHAnsi"/>
          <w:lang w:eastAsia="en-US"/>
        </w:rPr>
        <w:fldChar w:fldCharType="end"/>
      </w:r>
      <w:r w:rsidR="00AE554A" w:rsidRPr="00C90AC9">
        <w:rPr>
          <w:rFonts w:eastAsiaTheme="minorHAnsi"/>
          <w:lang w:eastAsia="en-US"/>
        </w:rPr>
        <w:t>.</w:t>
      </w:r>
      <w:sdt>
        <w:sdtPr>
          <w:rPr>
            <w:rFonts w:eastAsiaTheme="minorHAnsi"/>
            <w:lang w:eastAsia="en-US"/>
          </w:rPr>
          <w:alias w:val="Don't edit this field"/>
          <w:tag w:val="CitaviPlaceholder#90bf3dce-5c88-400f-a3b6-18806569c6f7"/>
          <w:id w:val="1599515931"/>
        </w:sdtPr>
        <w:sdtEndPr/>
        <w:sdtContent>
          <w:r w:rsidR="00C05E2B" w:rsidRPr="00C90AC9">
            <w:rPr>
              <w:rFonts w:eastAsiaTheme="minorHAnsi"/>
              <w:lang w:eastAsia="en-US"/>
            </w:rPr>
            <w:fldChar w:fldCharType="begin"/>
          </w:r>
          <w:r w:rsidR="007835E8" w:rsidRPr="00C90AC9">
            <w:rPr>
              <w:rFonts w:eastAsiaTheme="minorHAnsi"/>
              <w:lang w:eastAsia="en-US"/>
            </w:rPr>
            <w:instrText>ADDIN CitaviPlaceholder{eyIkaWQiOiIxIiwiRW50cmllcyI6W3siJGlkIjoiMiIsIkhhc1RlbXBvcmFyeVJlZmVyZW5jZSI6dHJ1ZSwiSWQiOiJiMGY1MTgyNC1iZGQ1LTQwMjItYTIyMy1kMjFmZTNjZGY4YTYiLCJSYW5nZUxlbmd0aCI6ODIsIlJlZmVyZW5jZUlkIjoiZDAwZjU1YTMtMzcyMi00ODM4LThkNTAtZGFmNjQxNjJlZDM5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}</w:instrText>
          </w:r>
          <w:r w:rsidR="00C05E2B" w:rsidRPr="00C90AC9">
            <w:rPr>
              <w:rFonts w:eastAsiaTheme="minorHAnsi"/>
              <w:lang w:eastAsia="en-US"/>
            </w:rPr>
            <w:fldChar w:fldCharType="end"/>
          </w:r>
        </w:sdtContent>
      </w:sdt>
      <w:r w:rsidR="00F7423A" w:rsidRPr="00C90AC9">
        <w:rPr>
          <w:rFonts w:eastAsiaTheme="minorHAnsi"/>
          <w:lang w:eastAsia="en-US"/>
        </w:rPr>
        <w:t xml:space="preserve"> The siting of STPs is regarded as having fewer siting issues</w:t>
      </w:r>
      <w:r w:rsidR="008313A0" w:rsidRPr="00C90AC9">
        <w:rPr>
          <w:rFonts w:eastAsiaTheme="minorHAnsi"/>
          <w:lang w:eastAsia="en-US"/>
        </w:rPr>
        <w:t xml:space="preserve"> however</w:t>
      </w:r>
      <w:r w:rsidR="00F7423A" w:rsidRPr="00C90AC9">
        <w:rPr>
          <w:rFonts w:eastAsiaTheme="minorHAnsi"/>
          <w:lang w:eastAsia="en-US"/>
        </w:rPr>
        <w:t xml:space="preserve"> as the technology is visually unobtrusive being placed on the roofs of houses</w:t>
      </w:r>
      <w:r w:rsidR="008313A0" w:rsidRPr="00C90AC9">
        <w:rPr>
          <w:rFonts w:eastAsiaTheme="minorHAnsi"/>
          <w:lang w:eastAsia="en-US"/>
        </w:rPr>
        <w:t xml:space="preserve"> </w:t>
      </w:r>
      <w:r w:rsidR="008313A0" w:rsidRPr="00C90AC9">
        <w:rPr>
          <w:rFonts w:eastAsiaTheme="minorHAnsi"/>
          <w:lang w:eastAsia="en-US"/>
        </w:rPr>
        <w:fldChar w:fldCharType="begin"/>
      </w:r>
      <w:r w:rsidR="008313A0" w:rsidRPr="00C90AC9">
        <w:rPr>
          <w:rFonts w:eastAsiaTheme="minorHAnsi"/>
          <w:lang w:eastAsia="en-US"/>
        </w:rPr>
        <w:instrText xml:space="preserve"> ADDIN EN.CITE &lt;EndNote&gt;&lt;Cite&gt;&lt;Author&gt;Wüstenhagen&lt;/Author&gt;&lt;Year&gt;2007&lt;/Year&gt;&lt;RecNum&gt;228&lt;/RecNum&gt;&lt;DisplayText&gt;(Wüstenhagen et al., 2007)&lt;/DisplayText&gt;&lt;record&gt;&lt;rec-number&gt;228&lt;/rec-number&gt;&lt;foreign-keys&gt;&lt;key app="EN" db-id="50wxdpzd9vd5r7e9t5b595djrfpttrxw9avp" timestamp="1525601201"&gt;228&lt;/key&gt;&lt;/foreign-keys&gt;&lt;ref-type name="Journal Article"&gt;17&lt;/ref-type&gt;&lt;contributors&gt;&lt;authors&gt;&lt;author&gt;Wüstenhagen, Rolf&lt;/author&gt;&lt;author&gt;Wolsink, Maarten&lt;/author&gt;&lt;author&gt;Bürer, Mary Jean&lt;/author&gt;&lt;/authors&gt;&lt;/contributors&gt;&lt;titles&gt;&lt;title&gt;Social acceptance of renewable energy innovation: An introduction to the concept&lt;/title&gt;&lt;secondary-title&gt;Energy Policy&lt;/secondary-title&gt;&lt;/titles&gt;&lt;pages&gt;2683-2691&lt;/pages&gt;&lt;volume&gt;35&lt;/volume&gt;&lt;number&gt;5&lt;/number&gt;&lt;keywords&gt;&lt;keyword&gt;Social acceptance&lt;/keyword&gt;&lt;keyword&gt;Wind energy&lt;/keyword&gt;&lt;keyword&gt;Diffusion of innovation&lt;/keyword&gt;&lt;/keywords&gt;&lt;dates&gt;&lt;year&gt;2007&lt;/year&gt;&lt;pub-dates&gt;&lt;date&gt;2007/05/01/&lt;/date&gt;&lt;/pub-dates&gt;&lt;/dates&gt;&lt;isbn&gt;0301-4215&lt;/isbn&gt;&lt;urls&gt;&lt;related-urls&gt;&lt;url&gt;&lt;style face="underline" font="default" size="100%"&gt;http://www.sciencedirect.com/science/article/pii/S0301421506004824&lt;/style&gt;&lt;/url&gt;&lt;/related-urls&gt;&lt;/urls&gt;&lt;electronic-resource-num&gt;&lt;style face="underline" font="default" size="100%"&gt;https://doi.org/10.1016/j.enpol.2006.12.001&lt;/style&gt;&lt;/electronic-resource-num&gt;&lt;/record&gt;&lt;/Cite&gt;&lt;/EndNote&gt;</w:instrText>
      </w:r>
      <w:r w:rsidR="008313A0" w:rsidRPr="00C90AC9">
        <w:rPr>
          <w:rFonts w:eastAsiaTheme="minorHAnsi"/>
          <w:lang w:eastAsia="en-US"/>
        </w:rPr>
        <w:fldChar w:fldCharType="separate"/>
      </w:r>
      <w:r w:rsidR="008313A0" w:rsidRPr="00C90AC9">
        <w:rPr>
          <w:rFonts w:eastAsiaTheme="minorHAnsi"/>
          <w:lang w:eastAsia="en-US"/>
        </w:rPr>
        <w:t>(Wüstenhagen et al., 2007)</w:t>
      </w:r>
      <w:r w:rsidR="008313A0" w:rsidRPr="00C90AC9">
        <w:rPr>
          <w:rFonts w:eastAsiaTheme="minorHAnsi"/>
          <w:lang w:eastAsia="en-US"/>
        </w:rPr>
        <w:fldChar w:fldCharType="end"/>
      </w:r>
      <w:r w:rsidR="0026335B" w:rsidRPr="00C90AC9">
        <w:rPr>
          <w:rFonts w:eastAsiaTheme="minorHAnsi"/>
          <w:lang w:eastAsia="en-US"/>
        </w:rPr>
        <w:t xml:space="preserve"> </w:t>
      </w:r>
      <w:r w:rsidR="0026335B" w:rsidRPr="00C90AC9">
        <w:rPr>
          <w:rFonts w:eastAsiaTheme="minorHAnsi"/>
          <w:lang w:eastAsia="en-US"/>
        </w:rPr>
        <w:fldChar w:fldCharType="begin"/>
      </w:r>
      <w:r w:rsidR="0026335B" w:rsidRPr="00C90AC9">
        <w:rPr>
          <w:rFonts w:eastAsiaTheme="minorHAnsi"/>
          <w:lang w:eastAsia="en-US"/>
        </w:rPr>
        <w:instrText xml:space="preserve"> ADDIN EN.CITE &lt;EndNote&gt;&lt;Cite&gt;&lt;Author&gt;Sauter&lt;/Author&gt;&lt;Year&gt;2007&lt;/Year&gt;&lt;RecNum&gt;225&lt;/RecNum&gt;&lt;DisplayText&gt;(Sauter &amp;amp; Watson, 2007)&lt;/DisplayText&gt;&lt;record&gt;&lt;rec-number&gt;225&lt;/rec-number&gt;&lt;foreign-keys&gt;&lt;key app="EN" db-id="50wxdpzd9vd5r7e9t5b595djrfpttrxw9avp" timestamp="1525593933"&gt;225&lt;/key&gt;&lt;/foreign-keys&gt;&lt;ref-type name="Journal Article"&gt;17&lt;/ref-type&gt;&lt;contributors&gt;&lt;authors&gt;&lt;author&gt;Sauter, Raphael&lt;/author&gt;&lt;author&gt;Watson, Jim&lt;/author&gt;&lt;/authors&gt;&lt;/contributors&gt;&lt;titles&gt;&lt;title&gt;Strategies for the deployment of micro-generation: Implications for social acceptance&lt;/title&gt;&lt;secondary-title&gt;Energy Policy&lt;/secondary-title&gt;&lt;/titles&gt;&lt;pages&gt;2770-2779&lt;/pages&gt;&lt;volume&gt;35&lt;/volume&gt;&lt;number&gt;5&lt;/number&gt;&lt;keywords&gt;&lt;keyword&gt;Micro-generation&lt;/keyword&gt;&lt;keyword&gt;Social acceptance&lt;/keyword&gt;&lt;keyword&gt;Deployment models&lt;/keyword&gt;&lt;/keywords&gt;&lt;dates&gt;&lt;year&gt;2007&lt;/year&gt;&lt;pub-dates&gt;&lt;date&gt;2007/05/01/&lt;/date&gt;&lt;/pub-dates&gt;&lt;/dates&gt;&lt;isbn&gt;0301-4215&lt;/isbn&gt;&lt;urls&gt;&lt;related-urls&gt;&lt;url&gt;http://www.sciencedirect.com/science/article/pii/S0301421506004903&lt;/url&gt;&lt;/related-urls&gt;&lt;/urls&gt;&lt;electronic-resource-num&gt;https://doi.org/10.1016/j.enpol.2006.12.006&lt;/electronic-resource-num&gt;&lt;/record&gt;&lt;/Cite&gt;&lt;/EndNote&gt;</w:instrText>
      </w:r>
      <w:r w:rsidR="0026335B" w:rsidRPr="00C90AC9">
        <w:rPr>
          <w:rFonts w:eastAsiaTheme="minorHAnsi"/>
          <w:lang w:eastAsia="en-US"/>
        </w:rPr>
        <w:fldChar w:fldCharType="separate"/>
      </w:r>
      <w:r w:rsidR="0026335B" w:rsidRPr="00C90AC9">
        <w:rPr>
          <w:rFonts w:eastAsiaTheme="minorHAnsi"/>
          <w:lang w:eastAsia="en-US"/>
        </w:rPr>
        <w:t>(Sauter &amp; Watson, 2007)</w:t>
      </w:r>
      <w:r w:rsidR="0026335B" w:rsidRPr="00C90AC9">
        <w:rPr>
          <w:rFonts w:eastAsiaTheme="minorHAnsi"/>
          <w:lang w:eastAsia="en-US"/>
        </w:rPr>
        <w:fldChar w:fldCharType="end"/>
      </w:r>
      <w:r w:rsidR="008313A0" w:rsidRPr="00C90AC9">
        <w:rPr>
          <w:rFonts w:eastAsiaTheme="minorHAnsi"/>
          <w:lang w:eastAsia="en-US"/>
        </w:rPr>
        <w:t>.</w:t>
      </w:r>
      <w:r w:rsidR="00F7423A" w:rsidRPr="00C90AC9">
        <w:rPr>
          <w:rFonts w:eastAsiaTheme="minorHAnsi"/>
          <w:lang w:eastAsia="en-US"/>
        </w:rPr>
        <w:t xml:space="preserve"> </w:t>
      </w:r>
    </w:p>
    <w:p w:rsidR="00A16B8C" w:rsidRPr="00C90AC9" w:rsidRDefault="00A16B8C" w:rsidP="00162965">
      <w:pPr>
        <w:pStyle w:val="BodyTextFirstIndent"/>
        <w:spacing w:line="360" w:lineRule="auto"/>
        <w:ind w:firstLine="357"/>
        <w:rPr>
          <w:rFonts w:eastAsiaTheme="minorHAnsi"/>
          <w:lang w:eastAsia="en-US"/>
        </w:rPr>
      </w:pPr>
      <w:r w:rsidRPr="00C90AC9">
        <w:rPr>
          <w:rFonts w:eastAsiaTheme="minorHAnsi"/>
          <w:lang w:eastAsia="en-US"/>
        </w:rPr>
        <w:t xml:space="preserve">There have been </w:t>
      </w:r>
      <w:r w:rsidR="008313A0" w:rsidRPr="00C90AC9">
        <w:rPr>
          <w:rFonts w:eastAsiaTheme="minorHAnsi"/>
          <w:lang w:eastAsia="en-US"/>
        </w:rPr>
        <w:t>a number of psychological</w:t>
      </w:r>
      <w:r w:rsidRPr="00C90AC9">
        <w:rPr>
          <w:rFonts w:eastAsiaTheme="minorHAnsi"/>
          <w:lang w:eastAsia="en-US"/>
        </w:rPr>
        <w:t xml:space="preserve"> models </w:t>
      </w:r>
      <w:r w:rsidR="008313A0" w:rsidRPr="00C90AC9">
        <w:rPr>
          <w:rFonts w:eastAsiaTheme="minorHAnsi"/>
          <w:lang w:eastAsia="en-US"/>
        </w:rPr>
        <w:t>proposed in the last forty years which</w:t>
      </w:r>
      <w:r w:rsidRPr="00C90AC9">
        <w:rPr>
          <w:rFonts w:eastAsiaTheme="minorHAnsi"/>
          <w:lang w:eastAsia="en-US"/>
        </w:rPr>
        <w:t xml:space="preserve"> </w:t>
      </w:r>
      <w:r w:rsidR="008313A0" w:rsidRPr="00C90AC9">
        <w:rPr>
          <w:rFonts w:eastAsiaTheme="minorHAnsi"/>
          <w:lang w:eastAsia="en-US"/>
        </w:rPr>
        <w:t xml:space="preserve">describe </w:t>
      </w:r>
      <w:r w:rsidRPr="00C90AC9">
        <w:rPr>
          <w:rFonts w:eastAsiaTheme="minorHAnsi"/>
          <w:lang w:eastAsia="en-US"/>
        </w:rPr>
        <w:t>consumer adoption of technologies</w:t>
      </w:r>
      <w:r w:rsidR="008313A0" w:rsidRPr="00C90AC9">
        <w:rPr>
          <w:rFonts w:eastAsiaTheme="minorHAnsi"/>
          <w:lang w:eastAsia="en-US"/>
        </w:rPr>
        <w:t xml:space="preserve">. A review of these models is made in the next </w:t>
      </w:r>
      <w:r w:rsidR="008313A0" w:rsidRPr="00C90AC9">
        <w:rPr>
          <w:rFonts w:eastAsiaTheme="minorHAnsi"/>
          <w:lang w:eastAsia="en-US"/>
        </w:rPr>
        <w:lastRenderedPageBreak/>
        <w:t>section so that the model most applicable to the STP market in the UK can be selected for further investigation.</w:t>
      </w:r>
    </w:p>
    <w:p w:rsidR="00711039" w:rsidRPr="00C90AC9" w:rsidRDefault="00711039" w:rsidP="00B06779">
      <w:pPr>
        <w:rPr>
          <w:rFonts w:eastAsiaTheme="minorHAnsi"/>
          <w:lang w:eastAsia="en-US"/>
        </w:rPr>
      </w:pPr>
    </w:p>
    <w:p w:rsidR="00A16B8C" w:rsidRPr="00C90AC9" w:rsidRDefault="000F2059" w:rsidP="009601D8">
      <w:pPr>
        <w:pStyle w:val="Heading1"/>
        <w:rPr>
          <w:rStyle w:val="Emphasis"/>
          <w:rFonts w:ascii="Times New Roman" w:hAnsi="Times New Roman"/>
          <w:i w:val="0"/>
          <w:iCs/>
        </w:rPr>
      </w:pPr>
      <w:r w:rsidRPr="00C90AC9">
        <w:rPr>
          <w:rStyle w:val="Emphasis"/>
          <w:rFonts w:ascii="Times New Roman" w:hAnsi="Times New Roman"/>
          <w:i w:val="0"/>
          <w:iCs/>
        </w:rPr>
        <w:t xml:space="preserve">The </w:t>
      </w:r>
      <w:r w:rsidR="00A16B8C" w:rsidRPr="00C90AC9">
        <w:rPr>
          <w:rStyle w:val="Emphasis"/>
          <w:rFonts w:ascii="Times New Roman" w:hAnsi="Times New Roman"/>
          <w:i w:val="0"/>
          <w:iCs/>
        </w:rPr>
        <w:t xml:space="preserve">Theory of Planned Behaviour (TPB) </w:t>
      </w:r>
    </w:p>
    <w:p w:rsidR="00C0462B" w:rsidRPr="00C90AC9" w:rsidRDefault="00A16B8C" w:rsidP="00162965">
      <w:pPr>
        <w:pStyle w:val="BodyTextFirstIndent"/>
        <w:spacing w:line="360" w:lineRule="auto"/>
        <w:ind w:firstLine="357"/>
        <w:rPr>
          <w:rFonts w:eastAsiaTheme="minorHAnsi"/>
          <w:lang w:eastAsia="en-US"/>
        </w:rPr>
      </w:pPr>
      <w:r w:rsidRPr="00C90AC9">
        <w:rPr>
          <w:rFonts w:eastAsiaTheme="minorHAnsi"/>
          <w:lang w:eastAsia="en-US"/>
        </w:rPr>
        <w:t xml:space="preserve">The TPB explains how an individual could have their intention to perform a particular behaviour reinforced if they: have a positive attitude about performing the behaviour; believes that they can participate actively in the behaviour; if third parties whom the individual perceives as being influential has a positive </w:t>
      </w:r>
      <w:r w:rsidR="000A6409" w:rsidRPr="00C90AC9">
        <w:rPr>
          <w:rFonts w:eastAsiaTheme="minorHAnsi"/>
          <w:lang w:eastAsia="en-US"/>
        </w:rPr>
        <w:t>intention</w:t>
      </w:r>
      <w:r w:rsidRPr="00C90AC9">
        <w:rPr>
          <w:rFonts w:eastAsiaTheme="minorHAnsi"/>
          <w:lang w:eastAsia="en-US"/>
        </w:rPr>
        <w:t xml:space="preserve"> to performing that behaviour; and if the actual behavioural intention is specific to performing the behaviour</w:t>
      </w:r>
      <w:r w:rsidR="00C0462B" w:rsidRPr="00C90AC9">
        <w:rPr>
          <w:rFonts w:eastAsiaTheme="minorHAnsi"/>
          <w:lang w:eastAsia="en-US"/>
        </w:rPr>
        <w:t xml:space="preserve"> </w:t>
      </w:r>
      <w:r w:rsidR="00C0462B" w:rsidRPr="00C90AC9">
        <w:rPr>
          <w:rFonts w:eastAsiaTheme="minorHAnsi"/>
          <w:lang w:eastAsia="en-US"/>
        </w:rPr>
        <w:fldChar w:fldCharType="begin"/>
      </w:r>
      <w:r w:rsidR="00C0462B" w:rsidRPr="00C90AC9">
        <w:rPr>
          <w:rFonts w:eastAsiaTheme="minorHAnsi"/>
          <w:lang w:eastAsia="en-US"/>
        </w:rPr>
        <w:instrText xml:space="preserve"> ADDIN EN.CITE &lt;EndNote&gt;&lt;Cite&gt;&lt;Author&gt;Ajzen&lt;/Author&gt;&lt;Year&gt;1991&lt;/Year&gt;&lt;RecNum&gt;231&lt;/RecNum&gt;&lt;DisplayText&gt;(Ajzen, 1991)&lt;/DisplayText&gt;&lt;record&gt;&lt;rec-number&gt;231&lt;/rec-number&gt;&lt;foreign-keys&gt;&lt;key app="EN" db-id="50wxdpzd9vd5r7e9t5b595djrfpttrxw9avp" timestamp="1525604840"&gt;231&lt;/key&gt;&lt;/foreign-keys&gt;&lt;ref-type name="Journal Article"&gt;17&lt;/ref-type&gt;&lt;contributors&gt;&lt;authors&gt;&lt;author&gt;Ajzen, Icek&lt;/author&gt;&lt;/authors&gt;&lt;/contributors&gt;&lt;titles&gt;&lt;title&gt;The theory of planned behavior&lt;/title&gt;&lt;secondary-title&gt;Organizational Behavior and Human Decision Processes&lt;/secondary-title&gt;&lt;/titles&gt;&lt;pages&gt;179-211&lt;/pages&gt;&lt;volume&gt;50&lt;/volume&gt;&lt;number&gt;2&lt;/number&gt;&lt;dates&gt;&lt;year&gt;1991&lt;/year&gt;&lt;pub-dates&gt;&lt;date&gt;1991/12/01/&lt;/date&gt;&lt;/pub-dates&gt;&lt;/dates&gt;&lt;isbn&gt;0749-5978&lt;/isbn&gt;&lt;urls&gt;&lt;related-urls&gt;&lt;url&gt;http://www.sciencedirect.com/science/article/pii/074959789190020T&lt;/url&gt;&lt;/related-urls&gt;&lt;/urls&gt;&lt;electronic-resource-num&gt;https://doi.org/10.1016/0749-5978(91)90020-T&lt;/electronic-resource-num&gt;&lt;/record&gt;&lt;/Cite&gt;&lt;/EndNote&gt;</w:instrText>
      </w:r>
      <w:r w:rsidR="00C0462B" w:rsidRPr="00C90AC9">
        <w:rPr>
          <w:rFonts w:eastAsiaTheme="minorHAnsi"/>
          <w:lang w:eastAsia="en-US"/>
        </w:rPr>
        <w:fldChar w:fldCharType="separate"/>
      </w:r>
      <w:r w:rsidR="00C0462B" w:rsidRPr="00C90AC9">
        <w:rPr>
          <w:rFonts w:eastAsiaTheme="minorHAnsi"/>
          <w:lang w:eastAsia="en-US"/>
        </w:rPr>
        <w:t>(Ajzen, 1991)</w:t>
      </w:r>
      <w:r w:rsidR="00C0462B" w:rsidRPr="00C90AC9">
        <w:rPr>
          <w:rFonts w:eastAsiaTheme="minorHAnsi"/>
          <w:lang w:eastAsia="en-US"/>
        </w:rPr>
        <w:fldChar w:fldCharType="end"/>
      </w:r>
    </w:p>
    <w:p w:rsidR="00A16B8C" w:rsidRPr="00C90AC9" w:rsidRDefault="00A16B8C" w:rsidP="00162965">
      <w:pPr>
        <w:pStyle w:val="BodyTextFirstIndent"/>
        <w:spacing w:line="360" w:lineRule="auto"/>
        <w:ind w:firstLine="357"/>
        <w:rPr>
          <w:rFonts w:eastAsiaTheme="minorHAnsi"/>
          <w:lang w:eastAsia="en-US"/>
        </w:rPr>
      </w:pPr>
      <w:r w:rsidRPr="00C90AC9">
        <w:rPr>
          <w:rFonts w:eastAsiaTheme="minorHAnsi"/>
          <w:lang w:eastAsia="en-US"/>
        </w:rPr>
        <w:t>.</w:t>
      </w:r>
    </w:p>
    <w:p w:rsidR="00365DAF" w:rsidRPr="00C90AC9" w:rsidRDefault="00A16B8C" w:rsidP="00B06779">
      <w:pPr>
        <w:pStyle w:val="BodyText"/>
        <w:rPr>
          <w:rFonts w:eastAsiaTheme="minorHAnsi"/>
          <w:lang w:eastAsia="en-US"/>
        </w:rPr>
        <w:sectPr w:rsidR="00365DAF" w:rsidRPr="00C90AC9" w:rsidSect="00A16B8C">
          <w:footerReference w:type="default" r:id="rId33"/>
          <w:type w:val="continuous"/>
          <w:pgSz w:w="11906" w:h="16838"/>
          <w:pgMar w:top="1440" w:right="1416" w:bottom="1440" w:left="1440" w:header="708" w:footer="708" w:gutter="0"/>
          <w:cols w:space="708"/>
          <w:docGrid w:linePitch="360"/>
        </w:sectPr>
      </w:pPr>
      <w:r w:rsidRPr="00C90AC9">
        <w:rPr>
          <w:rFonts w:eastAsiaTheme="minorHAnsi"/>
          <w:lang w:eastAsia="en-US"/>
        </w:rPr>
        <w:t>Figure 2.1</w:t>
      </w:r>
      <w:r w:rsidR="00045804" w:rsidRPr="00C90AC9">
        <w:rPr>
          <w:rFonts w:eastAsiaTheme="minorHAnsi"/>
          <w:lang w:eastAsia="en-US"/>
        </w:rPr>
        <w:t>2</w:t>
      </w:r>
      <w:r w:rsidRPr="00C90AC9">
        <w:rPr>
          <w:rFonts w:eastAsiaTheme="minorHAnsi"/>
          <w:lang w:eastAsia="en-US"/>
        </w:rPr>
        <w:t xml:space="preserve">. </w:t>
      </w:r>
      <w:r w:rsidR="004A6BE0" w:rsidRPr="00C90AC9">
        <w:rPr>
          <w:rFonts w:eastAsiaTheme="minorHAnsi"/>
          <w:lang w:eastAsia="en-US"/>
        </w:rPr>
        <w:t>T</w:t>
      </w:r>
      <w:r w:rsidRPr="00C90AC9">
        <w:rPr>
          <w:rFonts w:eastAsiaTheme="minorHAnsi"/>
          <w:lang w:eastAsia="en-US"/>
        </w:rPr>
        <w:t xml:space="preserve">he Theory of Planned Behaviour (TPB) </w:t>
      </w:r>
      <w:r w:rsidR="00FF1220" w:rsidRPr="00C90AC9">
        <w:rPr>
          <w:rFonts w:eastAsiaTheme="minorHAnsi"/>
          <w:lang w:eastAsia="en-US"/>
        </w:rPr>
        <w:fldChar w:fldCharType="begin">
          <w:fldData xml:space="preserve">PEVuZE5vdGU+PENpdGU+PEF1dGhvcj5BanplbjwvQXV0aG9yPjxZZWFyPjE5OTE8L1llYXI+PFJl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==
</w:fldData>
        </w:fldChar>
      </w:r>
      <w:r w:rsidR="00FF1220" w:rsidRPr="00C90AC9">
        <w:rPr>
          <w:rFonts w:eastAsiaTheme="minorHAnsi"/>
          <w:lang w:eastAsia="en-US"/>
        </w:rPr>
        <w:instrText xml:space="preserve"> ADDIN EN.CITE </w:instrText>
      </w:r>
      <w:r w:rsidR="00FF1220" w:rsidRPr="00C90AC9">
        <w:rPr>
          <w:rFonts w:eastAsiaTheme="minorHAnsi"/>
          <w:lang w:eastAsia="en-US"/>
        </w:rPr>
        <w:fldChar w:fldCharType="begin">
          <w:fldData xml:space="preserve">PEVuZE5vdGU+PENpdGU+PEF1dGhvcj5BanplbjwvQXV0aG9yPjxZZWFyPjE5OTE8L1llYXI+PFJl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==
</w:fldData>
        </w:fldChar>
      </w:r>
      <w:r w:rsidR="00FF1220" w:rsidRPr="00C90AC9">
        <w:rPr>
          <w:rFonts w:eastAsiaTheme="minorHAnsi"/>
          <w:lang w:eastAsia="en-US"/>
        </w:rPr>
        <w:instrText xml:space="preserve"> ADDIN EN.CITE.DATA </w:instrText>
      </w:r>
      <w:r w:rsidR="00FF1220" w:rsidRPr="00C90AC9">
        <w:rPr>
          <w:rFonts w:eastAsiaTheme="minorHAnsi"/>
          <w:lang w:eastAsia="en-US"/>
        </w:rPr>
      </w:r>
      <w:r w:rsidR="00FF1220" w:rsidRPr="00C90AC9">
        <w:rPr>
          <w:rFonts w:eastAsiaTheme="minorHAnsi"/>
          <w:lang w:eastAsia="en-US"/>
        </w:rPr>
        <w:fldChar w:fldCharType="end"/>
      </w:r>
      <w:r w:rsidR="00FF1220" w:rsidRPr="00C90AC9">
        <w:rPr>
          <w:rFonts w:eastAsiaTheme="minorHAnsi"/>
          <w:lang w:eastAsia="en-US"/>
        </w:rPr>
      </w:r>
      <w:r w:rsidR="00FF1220" w:rsidRPr="00C90AC9">
        <w:rPr>
          <w:rFonts w:eastAsiaTheme="minorHAnsi"/>
          <w:lang w:eastAsia="en-US"/>
        </w:rPr>
        <w:fldChar w:fldCharType="separate"/>
      </w:r>
      <w:r w:rsidR="00FF1220" w:rsidRPr="00C90AC9">
        <w:rPr>
          <w:rFonts w:eastAsiaTheme="minorHAnsi"/>
          <w:lang w:eastAsia="en-US"/>
        </w:rPr>
        <w:t>(Ajzen, 1991; J. &amp; Mark, 2001)</w:t>
      </w:r>
      <w:r w:rsidR="00FF1220" w:rsidRPr="00C90AC9">
        <w:rPr>
          <w:rFonts w:eastAsiaTheme="minorHAnsi"/>
          <w:lang w:eastAsia="en-US"/>
        </w:rPr>
        <w:fldChar w:fldCharType="end"/>
      </w:r>
    </w:p>
    <w:p w:rsidR="00AE554A" w:rsidRPr="00C90AC9" w:rsidRDefault="00FF1220" w:rsidP="00B06779">
      <w:pPr>
        <w:pStyle w:val="BodyText"/>
        <w:rPr>
          <w:rFonts w:eastAsiaTheme="minorHAnsi"/>
          <w:lang w:eastAsia="en-US"/>
        </w:rPr>
      </w:pPr>
      <w:r w:rsidRPr="00C90AC9">
        <w:rPr>
          <w:rFonts w:eastAsiaTheme="minorHAnsi"/>
          <w:noProof/>
        </w:rPr>
        <mc:AlternateContent>
          <mc:Choice Requires="wpg">
            <w:drawing>
              <wp:anchor distT="0" distB="0" distL="114300" distR="114300" simplePos="0" relativeHeight="251749376" behindDoc="0" locked="0" layoutInCell="1" allowOverlap="1" wp14:anchorId="66AC1891" wp14:editId="733756DA">
                <wp:simplePos x="0" y="0"/>
                <wp:positionH relativeFrom="column">
                  <wp:posOffset>-74930</wp:posOffset>
                </wp:positionH>
                <wp:positionV relativeFrom="paragraph">
                  <wp:posOffset>210820</wp:posOffset>
                </wp:positionV>
                <wp:extent cx="5829300" cy="2533650"/>
                <wp:effectExtent l="0" t="0" r="19050" b="19050"/>
                <wp:wrapNone/>
                <wp:docPr id="500" name="Group 500"/>
                <wp:cNvGraphicFramePr/>
                <a:graphic xmlns:a="http://schemas.openxmlformats.org/drawingml/2006/main">
                  <a:graphicData uri="http://schemas.microsoft.com/office/word/2010/wordprocessingGroup">
                    <wpg:wgp>
                      <wpg:cNvGrpSpPr/>
                      <wpg:grpSpPr>
                        <a:xfrm>
                          <a:off x="0" y="0"/>
                          <a:ext cx="5829300" cy="2533650"/>
                          <a:chOff x="0" y="0"/>
                          <a:chExt cx="5829300" cy="2533650"/>
                        </a:xfrm>
                      </wpg:grpSpPr>
                      <wps:wsp>
                        <wps:cNvPr id="310" name="Straight Arrow Connector 310"/>
                        <wps:cNvCnPr>
                          <a:cxnSpLocks noChangeShapeType="1"/>
                        </wps:cNvCnPr>
                        <wps:spPr bwMode="auto">
                          <a:xfrm flipV="1">
                            <a:off x="3572540" y="1488558"/>
                            <a:ext cx="102116" cy="414379"/>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295" name="Straight Arrow Connector 295"/>
                        <wps:cNvCnPr>
                          <a:cxnSpLocks noChangeShapeType="1"/>
                        </wps:cNvCnPr>
                        <wps:spPr bwMode="auto">
                          <a:xfrm>
                            <a:off x="2753833" y="1222744"/>
                            <a:ext cx="515620" cy="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311" name="Rectangle 311"/>
                        <wps:cNvSpPr>
                          <a:spLocks/>
                        </wps:cNvSpPr>
                        <wps:spPr>
                          <a:xfrm>
                            <a:off x="0" y="0"/>
                            <a:ext cx="5829300" cy="25336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726C212" id="Group 500" o:spid="_x0000_s1026" style="position:absolute;margin-left:-5.9pt;margin-top:16.6pt;width:459pt;height:199.5pt;z-index:251749376" coordsize="58293,25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">
                <v:shape id="Straight Arrow Connector 310" o:spid="_x0000_s1027" type="#_x0000_t32" style="position:absolute;left:35725;top:14885;width:1021;height:41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">
                  <v:stroke endarrow="block"/>
                </v:shape>
                <v:shape id="Straight Arrow Connector 295" o:spid="_x0000_s1028" type="#_x0000_t32" style="position:absolute;left:27538;top:12227;width:51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">
                  <v:stroke endarrow="block"/>
                </v:shape>
                <v:rect id="Rectangle 311" o:spid="_x0000_s1029" style="position:absolute;width:58293;height:25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" filled="f" strokecolor="windowText" strokeweight="1pt">
                  <v:path arrowok="t"/>
                </v:rect>
              </v:group>
            </w:pict>
          </mc:Fallback>
        </mc:AlternateContent>
      </w:r>
    </w:p>
    <w:p w:rsidR="00A16B8C" w:rsidRPr="00C90AC9" w:rsidRDefault="00813CC1" w:rsidP="00B06779">
      <w:pPr>
        <w:rPr>
          <w:rFonts w:eastAsiaTheme="minorHAnsi"/>
          <w:lang w:eastAsia="en-US"/>
        </w:rPr>
      </w:pPr>
      <w:r w:rsidRPr="00C90AC9">
        <w:rPr>
          <w:rFonts w:eastAsiaTheme="minorHAnsi"/>
          <w:noProof/>
        </w:rPr>
        <mc:AlternateContent>
          <mc:Choice Requires="wpg">
            <w:drawing>
              <wp:anchor distT="0" distB="0" distL="114300" distR="114300" simplePos="0" relativeHeight="251653119" behindDoc="0" locked="0" layoutInCell="1" allowOverlap="1" wp14:anchorId="2D0BE3C8" wp14:editId="3C2E296D">
                <wp:simplePos x="0" y="0"/>
                <wp:positionH relativeFrom="column">
                  <wp:posOffset>169545</wp:posOffset>
                </wp:positionH>
                <wp:positionV relativeFrom="paragraph">
                  <wp:posOffset>155575</wp:posOffset>
                </wp:positionV>
                <wp:extent cx="5347335" cy="2243455"/>
                <wp:effectExtent l="0" t="0" r="24765" b="23495"/>
                <wp:wrapNone/>
                <wp:docPr id="499" name="Group 499"/>
                <wp:cNvGraphicFramePr/>
                <a:graphic xmlns:a="http://schemas.openxmlformats.org/drawingml/2006/main">
                  <a:graphicData uri="http://schemas.microsoft.com/office/word/2010/wordprocessingGroup">
                    <wpg:wgp>
                      <wpg:cNvGrpSpPr/>
                      <wpg:grpSpPr>
                        <a:xfrm>
                          <a:off x="0" y="0"/>
                          <a:ext cx="5347335" cy="2243455"/>
                          <a:chOff x="0" y="0"/>
                          <a:chExt cx="5347674" cy="2243856"/>
                        </a:xfrm>
                      </wpg:grpSpPr>
                      <wps:wsp>
                        <wps:cNvPr id="312" name="Straight Arrow Connector 312"/>
                        <wps:cNvCnPr>
                          <a:cxnSpLocks noChangeShapeType="1"/>
                        </wps:cNvCnPr>
                        <wps:spPr bwMode="auto">
                          <a:xfrm>
                            <a:off x="2222205" y="1977655"/>
                            <a:ext cx="515620" cy="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g:grpSp>
                        <wpg:cNvPr id="498" name="Group 498"/>
                        <wpg:cNvGrpSpPr/>
                        <wpg:grpSpPr>
                          <a:xfrm>
                            <a:off x="0" y="0"/>
                            <a:ext cx="5347674" cy="2243856"/>
                            <a:chOff x="0" y="0"/>
                            <a:chExt cx="5347674" cy="2243856"/>
                          </a:xfrm>
                        </wpg:grpSpPr>
                        <wps:wsp>
                          <wps:cNvPr id="300" name="Straight Arrow Connector 300"/>
                          <wps:cNvCnPr>
                            <a:cxnSpLocks noChangeShapeType="1"/>
                          </wps:cNvCnPr>
                          <wps:spPr bwMode="auto">
                            <a:xfrm>
                              <a:off x="903767" y="1052623"/>
                              <a:ext cx="515620" cy="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299" name="Straight Arrow Connector 299"/>
                          <wps:cNvCnPr>
                            <a:cxnSpLocks noChangeShapeType="1"/>
                          </wps:cNvCnPr>
                          <wps:spPr bwMode="auto">
                            <a:xfrm>
                              <a:off x="765544" y="244548"/>
                              <a:ext cx="515620" cy="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298" name="Straight Arrow Connector 298"/>
                          <wps:cNvCnPr>
                            <a:cxnSpLocks noChangeShapeType="1"/>
                          </wps:cNvCnPr>
                          <wps:spPr bwMode="auto">
                            <a:xfrm>
                              <a:off x="988828" y="1871330"/>
                              <a:ext cx="515620" cy="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g:grpSp>
                          <wpg:cNvPr id="497" name="Group 497"/>
                          <wpg:cNvGrpSpPr/>
                          <wpg:grpSpPr>
                            <a:xfrm>
                              <a:off x="0" y="0"/>
                              <a:ext cx="5347674" cy="2243856"/>
                              <a:chOff x="0" y="0"/>
                              <a:chExt cx="5347674" cy="2243856"/>
                            </a:xfrm>
                          </wpg:grpSpPr>
                          <wps:wsp>
                            <wps:cNvPr id="292" name="Straight Arrow Connector 292"/>
                            <wps:cNvCnPr>
                              <a:cxnSpLocks noChangeShapeType="1"/>
                            </wps:cNvCnPr>
                            <wps:spPr bwMode="auto">
                              <a:xfrm>
                                <a:off x="4210493" y="978195"/>
                                <a:ext cx="295275" cy="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304" name="Text Box 304"/>
                            <wps:cNvSpPr txBox="1">
                              <a:spLocks noChangeArrowheads="1"/>
                            </wps:cNvSpPr>
                            <wps:spPr bwMode="auto">
                              <a:xfrm>
                                <a:off x="31897" y="1584251"/>
                                <a:ext cx="962025" cy="499110"/>
                              </a:xfrm>
                              <a:prstGeom prst="rect">
                                <a:avLst/>
                              </a:prstGeom>
                              <a:solidFill>
                                <a:srgbClr val="FFFFFF"/>
                              </a:solidFill>
                              <a:ln w="9525">
                                <a:solidFill>
                                  <a:srgbClr val="000000"/>
                                </a:solidFill>
                                <a:miter lim="800000"/>
                                <a:headEnd/>
                                <a:tailEnd/>
                              </a:ln>
                            </wps:spPr>
                            <wps:txbx>
                              <w:txbxContent>
                                <w:p w:rsidR="00521573" w:rsidRDefault="00521573" w:rsidP="00AE554A">
                                  <w:pPr>
                                    <w:jc w:val="center"/>
                                  </w:pPr>
                                  <w:r>
                                    <w:t xml:space="preserve">Control </w:t>
                                  </w:r>
                                  <w:r>
                                    <w:br/>
                                    <w:t>Beliefs</w:t>
                                  </w:r>
                                </w:p>
                              </w:txbxContent>
                            </wps:txbx>
                            <wps:bodyPr rot="0" vert="horz" wrap="square" lIns="91440" tIns="45720" rIns="91440" bIns="45720" anchor="t" anchorCtr="0" upright="1">
                              <a:noAutofit/>
                            </wps:bodyPr>
                          </wps:wsp>
                          <wps:wsp>
                            <wps:cNvPr id="302" name="Text Box 302"/>
                            <wps:cNvSpPr txBox="1">
                              <a:spLocks noChangeArrowheads="1"/>
                            </wps:cNvSpPr>
                            <wps:spPr bwMode="auto">
                              <a:xfrm>
                                <a:off x="4508204" y="786809"/>
                                <a:ext cx="839470" cy="344805"/>
                              </a:xfrm>
                              <a:prstGeom prst="rect">
                                <a:avLst/>
                              </a:prstGeom>
                              <a:solidFill>
                                <a:srgbClr val="FFFFFF"/>
                              </a:solidFill>
                              <a:ln w="9525">
                                <a:solidFill>
                                  <a:srgbClr val="000000"/>
                                </a:solidFill>
                                <a:miter lim="800000"/>
                                <a:headEnd/>
                                <a:tailEnd/>
                              </a:ln>
                            </wps:spPr>
                            <wps:txbx>
                              <w:txbxContent>
                                <w:p w:rsidR="00521573" w:rsidRDefault="00521573" w:rsidP="00365DAF">
                                  <w:pPr>
                                    <w:jc w:val="center"/>
                                  </w:pPr>
                                  <w:r>
                                    <w:t>Behaviour</w:t>
                                  </w:r>
                                </w:p>
                              </w:txbxContent>
                            </wps:txbx>
                            <wps:bodyPr rot="0" vert="horz" wrap="square" lIns="91440" tIns="45720" rIns="91440" bIns="45720" anchor="t" anchorCtr="0" upright="1">
                              <a:noAutofit/>
                            </wps:bodyPr>
                          </wps:wsp>
                          <wps:wsp>
                            <wps:cNvPr id="301" name="Text Box 301"/>
                            <wps:cNvSpPr txBox="1">
                              <a:spLocks noChangeArrowheads="1"/>
                            </wps:cNvSpPr>
                            <wps:spPr bwMode="auto">
                              <a:xfrm>
                                <a:off x="2732567" y="1679944"/>
                                <a:ext cx="1586865" cy="452120"/>
                              </a:xfrm>
                              <a:prstGeom prst="rect">
                                <a:avLst/>
                              </a:prstGeom>
                              <a:solidFill>
                                <a:schemeClr val="bg1"/>
                              </a:solidFill>
                              <a:ln w="9525">
                                <a:solidFill>
                                  <a:sysClr val="windowText" lastClr="000000">
                                    <a:lumMod val="100000"/>
                                    <a:lumOff val="0"/>
                                  </a:sysClr>
                                </a:solidFill>
                                <a:miter lim="800000"/>
                                <a:headEnd/>
                                <a:tailEnd/>
                              </a:ln>
                            </wps:spPr>
                            <wps:txbx>
                              <w:txbxContent>
                                <w:p w:rsidR="00521573" w:rsidRDefault="00521573" w:rsidP="00AE554A">
                                  <w:pPr>
                                    <w:jc w:val="center"/>
                                  </w:pPr>
                                  <w:r>
                                    <w:t>Actual Behavioural Control</w:t>
                                  </w:r>
                                </w:p>
                              </w:txbxContent>
                            </wps:txbx>
                            <wps:bodyPr rot="0" vert="horz" wrap="square" lIns="91440" tIns="45720" rIns="91440" bIns="45720" anchor="t" anchorCtr="0" upright="1">
                              <a:noAutofit/>
                            </wps:bodyPr>
                          </wps:wsp>
                          <wps:wsp>
                            <wps:cNvPr id="291" name="Straight Arrow Connector 291"/>
                            <wps:cNvCnPr>
                              <a:cxnSpLocks noChangeShapeType="1"/>
                            </wps:cNvCnPr>
                            <wps:spPr bwMode="auto">
                              <a:xfrm flipV="1">
                                <a:off x="2509283" y="1233376"/>
                                <a:ext cx="515620" cy="43307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305" name="Text Box 305"/>
                            <wps:cNvSpPr txBox="1">
                              <a:spLocks noChangeArrowheads="1"/>
                            </wps:cNvSpPr>
                            <wps:spPr bwMode="auto">
                              <a:xfrm>
                                <a:off x="1509823" y="1456659"/>
                                <a:ext cx="1019175" cy="787197"/>
                              </a:xfrm>
                              <a:prstGeom prst="rect">
                                <a:avLst/>
                              </a:prstGeom>
                              <a:solidFill>
                                <a:srgbClr val="FFFFFF"/>
                              </a:solidFill>
                              <a:ln w="9525">
                                <a:solidFill>
                                  <a:srgbClr val="000000"/>
                                </a:solidFill>
                                <a:miter lim="800000"/>
                                <a:headEnd/>
                                <a:tailEnd/>
                              </a:ln>
                            </wps:spPr>
                            <wps:txbx>
                              <w:txbxContent>
                                <w:p w:rsidR="00521573" w:rsidRDefault="00521573" w:rsidP="00AE554A">
                                  <w:pPr>
                                    <w:jc w:val="center"/>
                                  </w:pPr>
                                  <w:r>
                                    <w:t>Perceived Behavioural Control</w:t>
                                  </w:r>
                                </w:p>
                              </w:txbxContent>
                            </wps:txbx>
                            <wps:bodyPr rot="0" vert="horz" wrap="square" lIns="91440" tIns="45720" rIns="91440" bIns="45720" anchor="t" anchorCtr="0" upright="1">
                              <a:noAutofit/>
                            </wps:bodyPr>
                          </wps:wsp>
                          <wps:wsp>
                            <wps:cNvPr id="309" name="Text Box 309"/>
                            <wps:cNvSpPr txBox="1">
                              <a:spLocks noChangeArrowheads="1"/>
                            </wps:cNvSpPr>
                            <wps:spPr bwMode="auto">
                              <a:xfrm>
                                <a:off x="0" y="74427"/>
                                <a:ext cx="971550" cy="499110"/>
                              </a:xfrm>
                              <a:prstGeom prst="rect">
                                <a:avLst/>
                              </a:prstGeom>
                              <a:solidFill>
                                <a:srgbClr val="FFFFFF"/>
                              </a:solidFill>
                              <a:ln w="9525">
                                <a:solidFill>
                                  <a:srgbClr val="000000"/>
                                </a:solidFill>
                                <a:miter lim="800000"/>
                                <a:headEnd/>
                                <a:tailEnd/>
                              </a:ln>
                            </wps:spPr>
                            <wps:txbx>
                              <w:txbxContent>
                                <w:p w:rsidR="00521573" w:rsidRDefault="00521573" w:rsidP="00AE554A">
                                  <w:pPr>
                                    <w:jc w:val="center"/>
                                  </w:pPr>
                                  <w:r>
                                    <w:t>Behavioural Beliefs</w:t>
                                  </w:r>
                                </w:p>
                              </w:txbxContent>
                            </wps:txbx>
                            <wps:bodyPr rot="0" vert="horz" wrap="square" lIns="91440" tIns="45720" rIns="91440" bIns="45720" anchor="t" anchorCtr="0" upright="1">
                              <a:noAutofit/>
                            </wps:bodyPr>
                          </wps:wsp>
                          <wps:wsp>
                            <wps:cNvPr id="307" name="Text Box 307"/>
                            <wps:cNvSpPr txBox="1">
                              <a:spLocks noChangeArrowheads="1"/>
                            </wps:cNvSpPr>
                            <wps:spPr bwMode="auto">
                              <a:xfrm>
                                <a:off x="0" y="818707"/>
                                <a:ext cx="1028700" cy="499110"/>
                              </a:xfrm>
                              <a:prstGeom prst="rect">
                                <a:avLst/>
                              </a:prstGeom>
                              <a:solidFill>
                                <a:srgbClr val="FFFFFF"/>
                              </a:solidFill>
                              <a:ln w="9525">
                                <a:solidFill>
                                  <a:srgbClr val="000000"/>
                                </a:solidFill>
                                <a:miter lim="800000"/>
                                <a:headEnd/>
                                <a:tailEnd/>
                              </a:ln>
                            </wps:spPr>
                            <wps:txbx>
                              <w:txbxContent>
                                <w:p w:rsidR="00521573" w:rsidRDefault="00521573" w:rsidP="00AE554A">
                                  <w:pPr>
                                    <w:jc w:val="center"/>
                                  </w:pPr>
                                  <w:r>
                                    <w:t xml:space="preserve">Normative </w:t>
                                  </w:r>
                                  <w:r>
                                    <w:br/>
                                    <w:t>Beliefs</w:t>
                                  </w:r>
                                </w:p>
                              </w:txbxContent>
                            </wps:txbx>
                            <wps:bodyPr rot="0" vert="horz" wrap="square" lIns="91440" tIns="45720" rIns="91440" bIns="45720" anchor="t" anchorCtr="0" upright="1">
                              <a:noAutofit/>
                            </wps:bodyPr>
                          </wps:wsp>
                          <wpg:grpSp>
                            <wpg:cNvPr id="496" name="Group 496"/>
                            <wpg:cNvGrpSpPr/>
                            <wpg:grpSpPr>
                              <a:xfrm>
                                <a:off x="1275907" y="0"/>
                                <a:ext cx="3008497" cy="1307184"/>
                                <a:chOff x="0" y="0"/>
                                <a:chExt cx="3008497" cy="1307184"/>
                              </a:xfrm>
                            </wpg:grpSpPr>
                            <wps:wsp>
                              <wps:cNvPr id="303" name="Text Box 303"/>
                              <wps:cNvSpPr txBox="1">
                                <a:spLocks noChangeArrowheads="1"/>
                              </wps:cNvSpPr>
                              <wps:spPr bwMode="auto">
                                <a:xfrm>
                                  <a:off x="1754372" y="765544"/>
                                  <a:ext cx="1254125" cy="499110"/>
                                </a:xfrm>
                                <a:prstGeom prst="rect">
                                  <a:avLst/>
                                </a:prstGeom>
                                <a:solidFill>
                                  <a:srgbClr val="FFFFFF"/>
                                </a:solidFill>
                                <a:ln w="9525">
                                  <a:solidFill>
                                    <a:srgbClr val="000000"/>
                                  </a:solidFill>
                                  <a:miter lim="800000"/>
                                  <a:headEnd/>
                                  <a:tailEnd/>
                                </a:ln>
                              </wps:spPr>
                              <wps:txbx>
                                <w:txbxContent>
                                  <w:p w:rsidR="00521573" w:rsidRDefault="00521573" w:rsidP="00AE554A">
                                    <w:pPr>
                                      <w:jc w:val="center"/>
                                    </w:pPr>
                                    <w:r>
                                      <w:t>Behavioural Beliefs</w:t>
                                    </w:r>
                                  </w:p>
                                </w:txbxContent>
                              </wps:txbx>
                              <wps:bodyPr rot="0" vert="horz" wrap="square" lIns="91440" tIns="45720" rIns="91440" bIns="45720" anchor="t" anchorCtr="0" upright="1">
                                <a:noAutofit/>
                              </wps:bodyPr>
                            </wps:wsp>
                            <wps:wsp>
                              <wps:cNvPr id="1" name="Straight Arrow Connector 1"/>
                              <wps:cNvCnPr>
                                <a:cxnSpLocks noChangeShapeType="1"/>
                              </wps:cNvCnPr>
                              <wps:spPr bwMode="auto">
                                <a:xfrm>
                                  <a:off x="1127051" y="116958"/>
                                  <a:ext cx="626745" cy="64770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306" name="Text Box 306"/>
                              <wps:cNvSpPr txBox="1">
                                <a:spLocks noChangeArrowheads="1"/>
                              </wps:cNvSpPr>
                              <wps:spPr bwMode="auto">
                                <a:xfrm>
                                  <a:off x="148855" y="808074"/>
                                  <a:ext cx="1181100" cy="499110"/>
                                </a:xfrm>
                                <a:prstGeom prst="rect">
                                  <a:avLst/>
                                </a:prstGeom>
                                <a:solidFill>
                                  <a:srgbClr val="FFFFFF"/>
                                </a:solidFill>
                                <a:ln w="9525">
                                  <a:solidFill>
                                    <a:srgbClr val="000000"/>
                                  </a:solidFill>
                                  <a:miter lim="800000"/>
                                  <a:headEnd/>
                                  <a:tailEnd/>
                                </a:ln>
                              </wps:spPr>
                              <wps:txbx>
                                <w:txbxContent>
                                  <w:p w:rsidR="00521573" w:rsidRDefault="00521573" w:rsidP="00AE554A">
                                    <w:pPr>
                                      <w:jc w:val="center"/>
                                    </w:pPr>
                                    <w:r>
                                      <w:t xml:space="preserve">Subjective </w:t>
                                    </w:r>
                                    <w:r>
                                      <w:br/>
                                      <w:t>Norm</w:t>
                                    </w:r>
                                  </w:p>
                                </w:txbxContent>
                              </wps:txbx>
                              <wps:bodyPr rot="0" vert="horz" wrap="square" lIns="91440" tIns="45720" rIns="91440" bIns="45720" anchor="t" anchorCtr="0" upright="1">
                                <a:noAutofit/>
                              </wps:bodyPr>
                            </wps:wsp>
                            <wps:wsp>
                              <wps:cNvPr id="308" name="Text Box 308"/>
                              <wps:cNvSpPr txBox="1">
                                <a:spLocks noChangeArrowheads="1"/>
                              </wps:cNvSpPr>
                              <wps:spPr bwMode="auto">
                                <a:xfrm>
                                  <a:off x="0" y="0"/>
                                  <a:ext cx="1295400" cy="499110"/>
                                </a:xfrm>
                                <a:prstGeom prst="rect">
                                  <a:avLst/>
                                </a:prstGeom>
                                <a:solidFill>
                                  <a:srgbClr val="FFFFFF"/>
                                </a:solidFill>
                                <a:ln w="9525">
                                  <a:solidFill>
                                    <a:srgbClr val="000000"/>
                                  </a:solidFill>
                                  <a:miter lim="800000"/>
                                  <a:headEnd/>
                                  <a:tailEnd/>
                                </a:ln>
                              </wps:spPr>
                              <wps:txbx>
                                <w:txbxContent>
                                  <w:p w:rsidR="00521573" w:rsidRDefault="00521573" w:rsidP="00AE554A">
                                    <w:pPr>
                                      <w:jc w:val="center"/>
                                    </w:pPr>
                                    <w:r>
                                      <w:t>Attitude toward the Behaviour</w:t>
                                    </w:r>
                                  </w:p>
                                </w:txbxContent>
                              </wps:txbx>
                              <wps:bodyPr rot="0" vert="horz" wrap="square" lIns="91440" tIns="45720" rIns="91440" bIns="45720" anchor="t" anchorCtr="0" upright="1">
                                <a:noAutofit/>
                              </wps:bodyPr>
                            </wps:wsp>
                          </wpg:grpSp>
                        </wpg:grpSp>
                      </wpg:grpSp>
                    </wpg:wgp>
                  </a:graphicData>
                </a:graphic>
                <wp14:sizeRelV relativeFrom="margin">
                  <wp14:pctHeight>0</wp14:pctHeight>
                </wp14:sizeRelV>
              </wp:anchor>
            </w:drawing>
          </mc:Choice>
          <mc:Fallback>
            <w:pict>
              <v:group w14:anchorId="2D0BE3C8" id="Group 499" o:spid="_x0000_s1026" style="position:absolute;left:0;text-align:left;margin-left:13.35pt;margin-top:12.25pt;width:421.05pt;height:176.65pt;z-index:251653119;mso-height-relative:margin" coordsize="53476,22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">
                <v:shapetype id="_x0000_t32" coordsize="21600,21600" o:spt="32" o:oned="t" path="m,l21600,21600e" filled="f">
                  <v:path arrowok="t" fillok="f" o:connecttype="none"/>
                  <o:lock v:ext="edit" shapetype="t"/>
                </v:shapetype>
                <v:shape id="Straight Arrow Connector 312" o:spid="_x0000_s1027" type="#_x0000_t32" style="position:absolute;left:22222;top:19776;width:51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">
                  <v:stroke endarrow="block"/>
                </v:shape>
                <v:group id="Group 498" o:spid="_x0000_s1028" style="position:absolute;width:53476;height:22438" coordsize="53476,2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">
                  <v:shape id="Straight Arrow Connector 300" o:spid="_x0000_s1029" type="#_x0000_t32" style="position:absolute;left:9037;top:10526;width:51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">
                    <v:stroke endarrow="block"/>
                  </v:shape>
                  <v:shape id="Straight Arrow Connector 299" o:spid="_x0000_s1030" type="#_x0000_t32" style="position:absolute;left:7655;top:2445;width:51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">
                    <v:stroke endarrow="block"/>
                  </v:shape>
                  <v:shape id="Straight Arrow Connector 298" o:spid="_x0000_s1031" type="#_x0000_t32" style="position:absolute;left:9888;top:18713;width:51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">
                    <v:stroke endarrow="block"/>
                  </v:shape>
                  <v:group id="Group 497" o:spid="_x0000_s1032" style="position:absolute;width:53476;height:22438" coordsize="53476,2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">
                    <v:shape id="Straight Arrow Connector 292" o:spid="_x0000_s1033" type="#_x0000_t32" style="position:absolute;left:42104;top:9781;width:29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">
                      <v:stroke endarrow="block"/>
                    </v:shape>
                    <v:shapetype id="_x0000_t202" coordsize="21600,21600" o:spt="202" path="m,l,21600r21600,l21600,xe">
                      <v:stroke joinstyle="miter"/>
                      <v:path gradientshapeok="t" o:connecttype="rect"/>
                    </v:shapetype>
                    <v:shape id="Text Box 304" o:spid="_x0000_s1034" type="#_x0000_t202" style="position:absolute;left:318;top:15842;width:9621;height:4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">
                      <v:textbox>
                        <w:txbxContent>
                          <w:p w:rsidR="00521573" w:rsidRDefault="00521573" w:rsidP="00AE554A">
                            <w:pPr>
                              <w:jc w:val="center"/>
                            </w:pPr>
                            <w:r>
                              <w:t xml:space="preserve">Control </w:t>
                            </w:r>
                            <w:r>
                              <w:br/>
                              <w:t>Beliefs</w:t>
                            </w:r>
                          </w:p>
                        </w:txbxContent>
                      </v:textbox>
                    </v:shape>
                    <v:shape id="Text Box 302" o:spid="_x0000_s1035" type="#_x0000_t202" style="position:absolute;left:45082;top:7868;width:8394;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">
                      <v:textbox>
                        <w:txbxContent>
                          <w:p w:rsidR="00521573" w:rsidRDefault="00521573" w:rsidP="00365DAF">
                            <w:pPr>
                              <w:jc w:val="center"/>
                            </w:pPr>
                            <w:r>
                              <w:t>Behaviour</w:t>
                            </w:r>
                          </w:p>
                        </w:txbxContent>
                      </v:textbox>
                    </v:shape>
                    <v:shape id="Text Box 301" o:spid="_x0000_s1036" type="#_x0000_t202" style="position:absolute;left:27325;top:16799;width:15869;height:4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" fillcolor="white [3212]">
                      <v:textbox>
                        <w:txbxContent>
                          <w:p w:rsidR="00521573" w:rsidRDefault="00521573" w:rsidP="00AE554A">
                            <w:pPr>
                              <w:jc w:val="center"/>
                            </w:pPr>
                            <w:r>
                              <w:t>Actual Behavioural Control</w:t>
                            </w:r>
                          </w:p>
                        </w:txbxContent>
                      </v:textbox>
                    </v:shape>
                    <v:shape id="Straight Arrow Connector 291" o:spid="_x0000_s1037" type="#_x0000_t32" style="position:absolute;left:25092;top:12333;width:5157;height:43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">
                      <v:stroke endarrow="block"/>
                    </v:shape>
                    <v:shape id="Text Box 305" o:spid="_x0000_s1038" type="#_x0000_t202" style="position:absolute;left:15098;top:14566;width:10191;height:7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">
                      <v:textbox>
                        <w:txbxContent>
                          <w:p w:rsidR="00521573" w:rsidRDefault="00521573" w:rsidP="00AE554A">
                            <w:pPr>
                              <w:jc w:val="center"/>
                            </w:pPr>
                            <w:r>
                              <w:t>Perceived Behavioural Control</w:t>
                            </w:r>
                          </w:p>
                        </w:txbxContent>
                      </v:textbox>
                    </v:shape>
                    <v:shape id="Text Box 309" o:spid="_x0000_s1039" type="#_x0000_t202" style="position:absolute;top:744;width:9715;height:4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">
                      <v:textbox>
                        <w:txbxContent>
                          <w:p w:rsidR="00521573" w:rsidRDefault="00521573" w:rsidP="00AE554A">
                            <w:pPr>
                              <w:jc w:val="center"/>
                            </w:pPr>
                            <w:r>
                              <w:t>Behavioural Beliefs</w:t>
                            </w:r>
                          </w:p>
                        </w:txbxContent>
                      </v:textbox>
                    </v:shape>
                    <v:shape id="Text Box 307" o:spid="_x0000_s1040" type="#_x0000_t202" style="position:absolute;top:8187;width:10287;height:4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">
                      <v:textbox>
                        <w:txbxContent>
                          <w:p w:rsidR="00521573" w:rsidRDefault="00521573" w:rsidP="00AE554A">
                            <w:pPr>
                              <w:jc w:val="center"/>
                            </w:pPr>
                            <w:r>
                              <w:t xml:space="preserve">Normative </w:t>
                            </w:r>
                            <w:r>
                              <w:br/>
                              <w:t>Beliefs</w:t>
                            </w:r>
                          </w:p>
                        </w:txbxContent>
                      </v:textbox>
                    </v:shape>
                    <v:group id="Group 496" o:spid="_x0000_s1041" style="position:absolute;left:12759;width:30085;height:13071" coordsize="30084,13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">
                      <v:shape id="Text Box 303" o:spid="_x0000_s1042" type="#_x0000_t202" style="position:absolute;left:17543;top:7655;width:12541;height:4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">
                        <v:textbox>
                          <w:txbxContent>
                            <w:p w:rsidR="00521573" w:rsidRDefault="00521573" w:rsidP="00AE554A">
                              <w:pPr>
                                <w:jc w:val="center"/>
                              </w:pPr>
                              <w:r>
                                <w:t>Behavioural Beliefs</w:t>
                              </w:r>
                            </w:p>
                          </w:txbxContent>
                        </v:textbox>
                      </v:shape>
                      <v:shape id="Straight Arrow Connector 1" o:spid="_x0000_s1043" type="#_x0000_t32" style="position:absolute;left:11270;top:1169;width:6267;height:6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">
                        <v:stroke endarrow="block"/>
                      </v:shape>
                      <v:shape id="Text Box 306" o:spid="_x0000_s1044" type="#_x0000_t202" style="position:absolute;left:1488;top:8080;width:11811;height:4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">
                        <v:textbox>
                          <w:txbxContent>
                            <w:p w:rsidR="00521573" w:rsidRDefault="00521573" w:rsidP="00AE554A">
                              <w:pPr>
                                <w:jc w:val="center"/>
                              </w:pPr>
                              <w:r>
                                <w:t xml:space="preserve">Subjective </w:t>
                              </w:r>
                              <w:r>
                                <w:br/>
                                <w:t>Norm</w:t>
                              </w:r>
                            </w:p>
                          </w:txbxContent>
                        </v:textbox>
                      </v:shape>
                      <v:shape id="Text Box 308" o:spid="_x0000_s1045" type="#_x0000_t202" style="position:absolute;width:12954;height:4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">
                        <v:textbox>
                          <w:txbxContent>
                            <w:p w:rsidR="00521573" w:rsidRDefault="00521573" w:rsidP="00AE554A">
                              <w:pPr>
                                <w:jc w:val="center"/>
                              </w:pPr>
                              <w:r>
                                <w:t>Attitude toward the Behaviour</w:t>
                              </w:r>
                            </w:p>
                          </w:txbxContent>
                        </v:textbox>
                      </v:shape>
                    </v:group>
                  </v:group>
                </v:group>
              </v:group>
            </w:pict>
          </mc:Fallback>
        </mc:AlternateContent>
      </w:r>
    </w:p>
    <w:p w:rsidR="00A16B8C" w:rsidRPr="00C90AC9" w:rsidRDefault="00A16B8C" w:rsidP="00B06779">
      <w:pPr>
        <w:rPr>
          <w:rFonts w:eastAsiaTheme="minorHAnsi"/>
          <w:lang w:eastAsia="en-US"/>
        </w:rPr>
      </w:pPr>
    </w:p>
    <w:p w:rsidR="00B97E46" w:rsidRPr="00C90AC9" w:rsidRDefault="00B97E46" w:rsidP="00B06779">
      <w:pPr>
        <w:rPr>
          <w:rFonts w:eastAsiaTheme="minorHAnsi"/>
          <w:lang w:eastAsia="en-US"/>
        </w:rPr>
      </w:pP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711039" w:rsidRPr="00C90AC9" w:rsidRDefault="00711039" w:rsidP="00B06779">
      <w:pPr>
        <w:rPr>
          <w:rFonts w:eastAsiaTheme="minorHAnsi"/>
          <w:lang w:eastAsia="en-US"/>
        </w:rPr>
      </w:pPr>
    </w:p>
    <w:p w:rsidR="00365DAF" w:rsidRPr="00C90AC9" w:rsidRDefault="00365DAF" w:rsidP="00B06779">
      <w:pPr>
        <w:pStyle w:val="BodyText"/>
        <w:rPr>
          <w:rFonts w:eastAsiaTheme="minorHAnsi"/>
          <w:lang w:eastAsia="en-US"/>
        </w:rPr>
        <w:sectPr w:rsidR="00365DAF" w:rsidRPr="00C90AC9" w:rsidSect="00A16B8C">
          <w:type w:val="continuous"/>
          <w:pgSz w:w="11906" w:h="16838"/>
          <w:pgMar w:top="1440" w:right="1416" w:bottom="1440" w:left="1440" w:header="708" w:footer="708" w:gutter="0"/>
          <w:cols w:space="708"/>
          <w:docGrid w:linePitch="360"/>
        </w:sectPr>
      </w:pPr>
    </w:p>
    <w:p w:rsidR="00162965" w:rsidRPr="00C90AC9" w:rsidRDefault="00162965" w:rsidP="00B06779">
      <w:pPr>
        <w:pStyle w:val="BodyText"/>
        <w:rPr>
          <w:rFonts w:eastAsiaTheme="minorHAnsi"/>
          <w:lang w:eastAsia="en-US"/>
        </w:rPr>
      </w:pPr>
    </w:p>
    <w:p w:rsidR="00A16B8C" w:rsidRPr="00C90AC9" w:rsidRDefault="00FF1220" w:rsidP="005A06E3">
      <w:pPr>
        <w:pStyle w:val="BodyText"/>
        <w:spacing w:line="360" w:lineRule="auto"/>
        <w:rPr>
          <w:rFonts w:eastAsiaTheme="minorHAnsi"/>
          <w:lang w:eastAsia="en-US"/>
        </w:rPr>
      </w:pPr>
      <w:r w:rsidRPr="00C90AC9">
        <w:rPr>
          <w:rFonts w:eastAsiaTheme="minorHAnsi"/>
          <w:lang w:eastAsia="en-US"/>
        </w:rPr>
        <w:tab/>
      </w:r>
      <w:r w:rsidR="00A16B8C" w:rsidRPr="00C90AC9">
        <w:rPr>
          <w:rFonts w:eastAsiaTheme="minorHAnsi"/>
          <w:lang w:eastAsia="en-US"/>
        </w:rPr>
        <w:t>The TPB</w:t>
      </w:r>
      <w:r w:rsidR="003369B2" w:rsidRPr="00C90AC9">
        <w:rPr>
          <w:rFonts w:eastAsiaTheme="minorHAnsi"/>
          <w:lang w:eastAsia="en-US"/>
        </w:rPr>
        <w:t xml:space="preserve"> as shown in Figure 2.12.</w:t>
      </w:r>
      <w:r w:rsidR="00A16B8C" w:rsidRPr="00C90AC9">
        <w:rPr>
          <w:rFonts w:eastAsiaTheme="minorHAnsi"/>
          <w:lang w:eastAsia="en-US"/>
        </w:rPr>
        <w:t xml:space="preserve"> shows that if </w:t>
      </w:r>
      <w:r w:rsidR="00045804" w:rsidRPr="00C90AC9">
        <w:rPr>
          <w:rFonts w:eastAsiaTheme="minorHAnsi"/>
          <w:lang w:eastAsia="en-US"/>
        </w:rPr>
        <w:t>a person has</w:t>
      </w:r>
      <w:r w:rsidR="00A16B8C" w:rsidRPr="00C90AC9">
        <w:rPr>
          <w:rFonts w:eastAsiaTheme="minorHAnsi"/>
          <w:lang w:eastAsia="en-US"/>
        </w:rPr>
        <w:t xml:space="preserve"> a positive belief towards using a product they will form a positive attitude toward using that product and that attitude will positively affect their behaviour</w:t>
      </w:r>
      <w:r w:rsidR="005A06E3" w:rsidRPr="00C90AC9">
        <w:rPr>
          <w:rFonts w:eastAsiaTheme="minorHAnsi"/>
          <w:lang w:eastAsia="en-US"/>
        </w:rPr>
        <w:t xml:space="preserve">  </w:t>
      </w:r>
      <w:r w:rsidR="005A06E3" w:rsidRPr="00C90AC9">
        <w:rPr>
          <w:rFonts w:eastAsiaTheme="minorHAnsi"/>
          <w:lang w:eastAsia="en-US"/>
        </w:rPr>
        <w:fldChar w:fldCharType="begin">
          <w:fldData xml:space="preserve">PEVuZE5vdGU+PENpdGU+PEF1dGhvcj5BanplbjwvQXV0aG9yPjxZZWFyPjE5OTE8L1llYXI+PFJl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==
</w:fldData>
        </w:fldChar>
      </w:r>
      <w:r w:rsidR="005A06E3" w:rsidRPr="00C90AC9">
        <w:rPr>
          <w:rFonts w:eastAsiaTheme="minorHAnsi"/>
          <w:lang w:eastAsia="en-US"/>
        </w:rPr>
        <w:instrText xml:space="preserve"> ADDIN EN.CITE </w:instrText>
      </w:r>
      <w:r w:rsidR="005A06E3" w:rsidRPr="00C90AC9">
        <w:rPr>
          <w:rFonts w:eastAsiaTheme="minorHAnsi"/>
          <w:lang w:eastAsia="en-US"/>
        </w:rPr>
        <w:fldChar w:fldCharType="begin">
          <w:fldData xml:space="preserve">PEVuZE5vdGU+PENpdGU+PEF1dGhvcj5BanplbjwvQXV0aG9yPjxZZWFyPjE5OTE8L1llYXI+PFJl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==
</w:fldData>
        </w:fldChar>
      </w:r>
      <w:r w:rsidR="005A06E3" w:rsidRPr="00C90AC9">
        <w:rPr>
          <w:rFonts w:eastAsiaTheme="minorHAnsi"/>
          <w:lang w:eastAsia="en-US"/>
        </w:rPr>
        <w:instrText xml:space="preserve"> ADDIN EN.CITE.DATA </w:instrText>
      </w:r>
      <w:r w:rsidR="005A06E3" w:rsidRPr="00C90AC9">
        <w:rPr>
          <w:rFonts w:eastAsiaTheme="minorHAnsi"/>
          <w:lang w:eastAsia="en-US"/>
        </w:rPr>
      </w:r>
      <w:r w:rsidR="005A06E3" w:rsidRPr="00C90AC9">
        <w:rPr>
          <w:rFonts w:eastAsiaTheme="minorHAnsi"/>
          <w:lang w:eastAsia="en-US"/>
        </w:rPr>
        <w:fldChar w:fldCharType="end"/>
      </w:r>
      <w:r w:rsidR="005A06E3" w:rsidRPr="00C90AC9">
        <w:rPr>
          <w:rFonts w:eastAsiaTheme="minorHAnsi"/>
          <w:lang w:eastAsia="en-US"/>
        </w:rPr>
      </w:r>
      <w:r w:rsidR="005A06E3" w:rsidRPr="00C90AC9">
        <w:rPr>
          <w:rFonts w:eastAsiaTheme="minorHAnsi"/>
          <w:lang w:eastAsia="en-US"/>
        </w:rPr>
        <w:fldChar w:fldCharType="separate"/>
      </w:r>
      <w:r w:rsidR="005A06E3" w:rsidRPr="00C90AC9">
        <w:rPr>
          <w:rFonts w:eastAsiaTheme="minorHAnsi"/>
          <w:lang w:eastAsia="en-US"/>
        </w:rPr>
        <w:t>(Ajzen, 1991; J. &amp; Mark, 2001)</w:t>
      </w:r>
      <w:r w:rsidR="005A06E3" w:rsidRPr="00C90AC9">
        <w:rPr>
          <w:rFonts w:eastAsiaTheme="minorHAnsi"/>
          <w:lang w:eastAsia="en-US"/>
        </w:rPr>
        <w:fldChar w:fldCharType="end"/>
      </w:r>
      <w:r w:rsidR="005A06E3" w:rsidRPr="00C90AC9">
        <w:rPr>
          <w:rFonts w:eastAsiaTheme="minorHAnsi"/>
          <w:lang w:eastAsia="en-US"/>
        </w:rPr>
        <w:t xml:space="preserve">. </w:t>
      </w:r>
      <w:r w:rsidR="00A16B8C" w:rsidRPr="00C90AC9">
        <w:rPr>
          <w:rFonts w:eastAsiaTheme="minorHAnsi"/>
          <w:lang w:eastAsia="en-US"/>
        </w:rPr>
        <w:t xml:space="preserve"> The Theory of Planned Behaviour (TPB) has been described as one of the most influential and well-established theories of social behaviour even when applied in the context of environmental behaviour </w:t>
      </w:r>
      <w:r w:rsidRPr="00C90AC9">
        <w:rPr>
          <w:rFonts w:eastAsiaTheme="minorHAnsi"/>
          <w:lang w:eastAsia="en-US"/>
        </w:rPr>
        <w:fldChar w:fldCharType="begin"/>
      </w:r>
      <w:r w:rsidRPr="00C90AC9">
        <w:rPr>
          <w:rFonts w:eastAsiaTheme="minorHAnsi"/>
          <w:lang w:eastAsia="en-US"/>
        </w:rPr>
        <w:instrText xml:space="preserve"> ADDIN EN.CITE &lt;EndNote&gt;&lt;Cite&gt;&lt;Author&gt;J.&lt;/Author&gt;&lt;Year&gt;2001&lt;/Year&gt;&lt;RecNum&gt;230&lt;/RecNum&gt;&lt;DisplayText&gt;(J. &amp;amp; Mark, 2001)&lt;/DisplayText&gt;&lt;record&gt;&lt;rec-number&gt;230&lt;/rec-number&gt;&lt;foreign-keys&gt;&lt;key app="EN" db-id="50wxdpzd9vd5r7e9t5b595djrfpttrxw9avp" timestamp="1525604820"&gt;230&lt;/key&gt;&lt;/foreign-keys&gt;&lt;ref-type name="Journal Article"&gt;17&lt;/ref-type&gt;&lt;contributors&gt;&lt;authors&gt;&lt;author&gt;Armitage Christopher J.&lt;/author&gt;&lt;author&gt;Conner Mark&lt;/author&gt;&lt;/authors&gt;&lt;/contributors&gt;&lt;titles&gt;&lt;title&gt;Efficacy of the Theory of Planned Behaviour: A meta</w:instrText>
      </w:r>
      <w:r w:rsidRPr="00C90AC9">
        <w:rPr>
          <w:rFonts w:ascii="Cambria Math" w:eastAsiaTheme="minorHAnsi" w:hAnsi="Cambria Math" w:cs="Cambria Math"/>
          <w:lang w:eastAsia="en-US"/>
        </w:rPr>
        <w:instrText>‐</w:instrText>
      </w:r>
      <w:r w:rsidRPr="00C90AC9">
        <w:rPr>
          <w:rFonts w:eastAsiaTheme="minorHAnsi"/>
          <w:lang w:eastAsia="en-US"/>
        </w:rPr>
        <w:instrText>analytic review&lt;/title&gt;&lt;secondary-title&gt;British Journal of Social Psychology&lt;/secondary-title&gt;&lt;/titles&gt;&lt;pages&gt;471-499&lt;/pages&gt;&lt;volume&gt;40&lt;/volume&gt;&lt;number&gt;4&lt;/number&gt;&lt;dates&gt;&lt;year&gt;2001&lt;/year&gt;&lt;/dates&gt;&lt;urls&gt;&lt;related-urls&gt;&lt;url&gt;https://onlinelibrary.wiley.com/doi/abs/10.1348/014466601164939&lt;/url&gt;&lt;/related-urls&gt;&lt;/urls&gt;&lt;electronic-resource-num&gt;doi:10.1348/014466601164939&lt;/electronic-resource-num&gt;&lt;/record&gt;&lt;/Cite&gt;&lt;/EndNote&gt;</w:instrText>
      </w:r>
      <w:r w:rsidRPr="00C90AC9">
        <w:rPr>
          <w:rFonts w:eastAsiaTheme="minorHAnsi"/>
          <w:lang w:eastAsia="en-US"/>
        </w:rPr>
        <w:fldChar w:fldCharType="separate"/>
      </w:r>
      <w:r w:rsidRPr="00C90AC9">
        <w:rPr>
          <w:rFonts w:eastAsiaTheme="minorHAnsi"/>
          <w:lang w:eastAsia="en-US"/>
        </w:rPr>
        <w:t>(J. &amp; Mark, 2001)</w:t>
      </w:r>
      <w:r w:rsidRPr="00C90AC9">
        <w:rPr>
          <w:rFonts w:eastAsiaTheme="minorHAnsi"/>
          <w:lang w:eastAsia="en-US"/>
        </w:rPr>
        <w:fldChar w:fldCharType="end"/>
      </w:r>
      <w:r w:rsidR="00A16B8C" w:rsidRPr="00C90AC9">
        <w:rPr>
          <w:rFonts w:eastAsiaTheme="minorHAnsi"/>
          <w:lang w:eastAsia="en-US"/>
        </w:rPr>
        <w:t xml:space="preserve">. The TPB has been applied to a number of different situations within the energy sector, including within the context of a domestic setting. The TPB has been applied to wind farms transportation </w:t>
      </w:r>
      <w:r w:rsidR="00325112" w:rsidRPr="00C90AC9">
        <w:rPr>
          <w:rFonts w:eastAsiaTheme="minorHAnsi"/>
          <w:lang w:eastAsia="en-US"/>
        </w:rPr>
        <w:fldChar w:fldCharType="begin"/>
      </w:r>
      <w:r w:rsidR="00325112" w:rsidRPr="00C90AC9">
        <w:rPr>
          <w:rFonts w:eastAsiaTheme="minorHAnsi"/>
          <w:lang w:eastAsia="en-US"/>
        </w:rPr>
        <w:instrText xml:space="preserve"> ADDIN EN.CITE &lt;EndNote&gt;&lt;Cite&gt;&lt;Author&gt;Donald&lt;/Author&gt;&lt;Year&gt;2014&lt;/Year&gt;&lt;RecNum&gt;264&lt;/RecNum&gt;&lt;DisplayText&gt;(Donald, Cooper, &amp;amp; Conchie, 2014)&lt;/DisplayText&gt;&lt;record&gt;&lt;rec-number&gt;264&lt;/rec-number&gt;&lt;foreign-keys&gt;&lt;key app="EN" db-id="50wxdpzd9vd5r7e9t5b595djrfpttrxw9avp" timestamp="1526106044"&gt;264&lt;/key&gt;&lt;/foreign-keys&gt;&lt;ref-type name="Journal Article"&gt;17&lt;/ref-type&gt;&lt;contributors&gt;&lt;authors&gt;&lt;author&gt;Donald, I. J.&lt;/author&gt;&lt;author&gt;Cooper, S. R.&lt;/author&gt;&lt;author&gt;Conchie, S. M.&lt;/author&gt;&lt;/authors&gt;&lt;/contributors&gt;&lt;titles&gt;&lt;title&gt;An extended theory of planned behaviour model of the psychological factors affecting commuters&amp;apos; transport mode use&lt;/title&gt;&lt;secondary-title&gt;Journal of Environmental Psychology&lt;/secondary-title&gt;&lt;/titles&gt;&lt;pages&gt;39-48&lt;/pages&gt;&lt;volume&gt;40&lt;/volume&gt;&lt;keywords&gt;&lt;keyword&gt;Habit&lt;/keyword&gt;&lt;keyword&gt;Pro-environmental behaviour&lt;/keyword&gt;&lt;keyword&gt;Theory of planned behaviour&lt;/keyword&gt;&lt;keyword&gt;Transport mode choice&lt;/keyword&gt;&lt;/keywords&gt;&lt;dates&gt;&lt;year&gt;2014&lt;/year&gt;&lt;pub-dates&gt;&lt;date&gt;2014/12/01/&lt;/date&gt;&lt;/pub-dates&gt;&lt;/dates&gt;&lt;isbn&gt;0272-4944&lt;/isbn&gt;&lt;urls&gt;&lt;related-urls&gt;&lt;url&gt;http://www.sciencedirect.com/science/article/pii/S027249441400022X&lt;/url&gt;&lt;/related-urls&gt;&lt;/urls&gt;&lt;electronic-resource-num&gt;https://doi.org/10.1016/j.jenvp.2014.03.003&lt;/electronic-resource-num&gt;&lt;/record&gt;&lt;/Cite&gt;&lt;/EndNote&gt;</w:instrText>
      </w:r>
      <w:r w:rsidR="00325112" w:rsidRPr="00C90AC9">
        <w:rPr>
          <w:rFonts w:eastAsiaTheme="minorHAnsi"/>
          <w:lang w:eastAsia="en-US"/>
        </w:rPr>
        <w:fldChar w:fldCharType="separate"/>
      </w:r>
      <w:r w:rsidR="00325112" w:rsidRPr="00C90AC9">
        <w:rPr>
          <w:rFonts w:eastAsiaTheme="minorHAnsi"/>
          <w:lang w:eastAsia="en-US"/>
        </w:rPr>
        <w:t>(Donald, Cooper, &amp; Conchie, 2014)</w:t>
      </w:r>
      <w:r w:rsidR="00325112" w:rsidRPr="00C90AC9">
        <w:rPr>
          <w:rFonts w:eastAsiaTheme="minorHAnsi"/>
          <w:lang w:eastAsia="en-US"/>
        </w:rPr>
        <w:fldChar w:fldCharType="end"/>
      </w:r>
      <w:r w:rsidR="00A16B8C" w:rsidRPr="00C90AC9">
        <w:rPr>
          <w:rFonts w:eastAsiaTheme="minorHAnsi"/>
          <w:lang w:eastAsia="en-US"/>
        </w:rPr>
        <w:t>, dome</w:t>
      </w:r>
      <w:r w:rsidR="00813CC1" w:rsidRPr="00C90AC9">
        <w:rPr>
          <w:rFonts w:eastAsiaTheme="minorHAnsi"/>
          <w:lang w:eastAsia="en-US"/>
        </w:rPr>
        <w:t xml:space="preserve">stic electricity consumption </w:t>
      </w:r>
      <w:r w:rsidR="00A16B8C" w:rsidRPr="00C90AC9">
        <w:rPr>
          <w:rFonts w:eastAsiaTheme="minorHAnsi"/>
          <w:lang w:eastAsia="en-US"/>
        </w:rPr>
        <w:t xml:space="preserve">and household energy efficiency interventions </w:t>
      </w:r>
      <w:r w:rsidRPr="00C90AC9">
        <w:rPr>
          <w:rFonts w:eastAsiaTheme="minorHAnsi"/>
          <w:lang w:eastAsia="en-US"/>
        </w:rPr>
        <w:fldChar w:fldCharType="begin"/>
      </w:r>
      <w:r w:rsidRPr="00C90AC9">
        <w:rPr>
          <w:rFonts w:eastAsiaTheme="minorHAnsi"/>
          <w:lang w:eastAsia="en-US"/>
        </w:rPr>
        <w:instrText xml:space="preserve"> ADDIN EN.CITE &lt;EndNote&gt;&lt;Cite&gt;&lt;Author&gt;Scott&lt;/Author&gt;&lt;Year&gt;2014&lt;/Year&gt;&lt;RecNum&gt;233&lt;/RecNum&gt;&lt;DisplayText&gt;(Scott, Jones, &amp;amp; Webb, 2014)&lt;/DisplayText&gt;&lt;record&gt;&lt;rec-number&gt;233&lt;/rec-number&gt;&lt;foreign-keys&gt;&lt;key app="EN" db-id="50wxdpzd9vd5r7e9t5b595djrfpttrxw9avp" timestamp="1525605215"&gt;233&lt;/key&gt;&lt;/foreign-keys&gt;&lt;ref-type name="Journal Article"&gt;17&lt;/ref-type&gt;&lt;contributors&gt;&lt;authors&gt;&lt;author&gt;Scott, Fiona L.&lt;/author&gt;&lt;author&gt;Jones, Christopher R.&lt;/author&gt;&lt;author&gt;Webb, Thomas L.&lt;/author&gt;&lt;/authors&gt;&lt;/contributors&gt;&lt;titles&gt;&lt;title&gt;What do people living in deprived communities in the UK think about household energy efficiency interventions?&lt;/title&gt;&lt;secondary-title&gt;Energy Policy&lt;/secondary-title&gt;&lt;/titles&gt;&lt;pages&gt;335-349&lt;/pages&gt;&lt;volume&gt;66&lt;/volume&gt;&lt;keywords&gt;&lt;keyword&gt;Energy efficiency&lt;/keyword&gt;&lt;keyword&gt;Deprived communities&lt;/keyword&gt;&lt;keyword&gt;Beliefs&lt;/keyword&gt;&lt;keyword&gt;Theory of Planned Behaviour&lt;/keyword&gt;&lt;/keywords&gt;&lt;dates&gt;&lt;year&gt;2014&lt;/year&gt;&lt;pub-dates&gt;&lt;date&gt;2014/03/01/&lt;/date&gt;&lt;/pub-dates&gt;&lt;/dates&gt;&lt;isbn&gt;0301-4215&lt;/isbn&gt;&lt;urls&gt;&lt;related-urls&gt;&lt;url&gt;http://www.sciencedirect.com/science/article/pii/S0301421513011130&lt;/url&gt;&lt;/related-urls&gt;&lt;/urls&gt;&lt;electronic-resource-num&gt;https://doi.org/10.1016/j.enpol.2013.10.084&lt;/electronic-resource-num&gt;&lt;/record&gt;&lt;/Cite&gt;&lt;/EndNote&gt;</w:instrText>
      </w:r>
      <w:r w:rsidRPr="00C90AC9">
        <w:rPr>
          <w:rFonts w:eastAsiaTheme="minorHAnsi"/>
          <w:lang w:eastAsia="en-US"/>
        </w:rPr>
        <w:fldChar w:fldCharType="separate"/>
      </w:r>
      <w:r w:rsidRPr="00C90AC9">
        <w:rPr>
          <w:rFonts w:eastAsiaTheme="minorHAnsi"/>
          <w:lang w:eastAsia="en-US"/>
        </w:rPr>
        <w:t>(Scott, Jones, &amp; Webb, 2014)</w:t>
      </w:r>
      <w:r w:rsidRPr="00C90AC9">
        <w:rPr>
          <w:rFonts w:eastAsiaTheme="minorHAnsi"/>
          <w:lang w:eastAsia="en-US"/>
        </w:rPr>
        <w:fldChar w:fldCharType="end"/>
      </w:r>
      <w:r w:rsidR="00C0462B" w:rsidRPr="00C90AC9">
        <w:rPr>
          <w:rFonts w:eastAsiaTheme="minorHAnsi"/>
          <w:lang w:eastAsia="en-US"/>
        </w:rPr>
        <w:t>.</w:t>
      </w:r>
    </w:p>
    <w:p w:rsidR="00A16B8C" w:rsidRPr="00C90AC9" w:rsidRDefault="00A16B8C" w:rsidP="009601D8">
      <w:pPr>
        <w:pStyle w:val="Heading1"/>
        <w:rPr>
          <w:rStyle w:val="Emphasis"/>
          <w:rFonts w:ascii="Times New Roman" w:hAnsi="Times New Roman"/>
          <w:i w:val="0"/>
          <w:iCs/>
        </w:rPr>
      </w:pPr>
      <w:r w:rsidRPr="00C90AC9">
        <w:rPr>
          <w:rStyle w:val="Emphasis"/>
          <w:rFonts w:ascii="Times New Roman" w:hAnsi="Times New Roman"/>
          <w:i w:val="0"/>
          <w:iCs/>
        </w:rPr>
        <w:lastRenderedPageBreak/>
        <w:t xml:space="preserve">The Model of Adoption of Technology in Households </w:t>
      </w:r>
      <w:r w:rsidR="000F2059" w:rsidRPr="00C90AC9">
        <w:rPr>
          <w:rStyle w:val="Emphasis"/>
          <w:rFonts w:ascii="Times New Roman" w:hAnsi="Times New Roman"/>
          <w:i w:val="0"/>
          <w:iCs/>
        </w:rPr>
        <w:t>(MATH)</w:t>
      </w:r>
    </w:p>
    <w:p w:rsidR="00A16B8C" w:rsidRPr="00C90AC9" w:rsidRDefault="00C0462B" w:rsidP="007B01CA">
      <w:pPr>
        <w:pStyle w:val="BodyTextFirstIndent"/>
        <w:spacing w:line="360" w:lineRule="auto"/>
        <w:ind w:firstLine="357"/>
        <w:rPr>
          <w:rFonts w:eastAsiaTheme="minorHAnsi"/>
          <w:lang w:eastAsia="en-US"/>
        </w:rPr>
      </w:pPr>
      <w:r w:rsidRPr="00C90AC9">
        <w:rPr>
          <w:rFonts w:eastAsiaTheme="minorHAnsi"/>
          <w:lang w:eastAsia="en-US"/>
        </w:rPr>
        <w:t>There have been further models which have been formulated to describe the adoption of technologies specifically in homes</w:t>
      </w:r>
      <w:r w:rsidR="0026335B" w:rsidRPr="00C90AC9">
        <w:rPr>
          <w:rFonts w:eastAsiaTheme="minorHAnsi"/>
          <w:lang w:eastAsia="en-US"/>
        </w:rPr>
        <w:t xml:space="preserve"> rather than a more general evaluation of technologies</w:t>
      </w:r>
      <w:r w:rsidRPr="00C90AC9">
        <w:rPr>
          <w:rFonts w:eastAsiaTheme="minorHAnsi"/>
          <w:lang w:eastAsia="en-US"/>
        </w:rPr>
        <w:t xml:space="preserve">. </w:t>
      </w:r>
      <w:r w:rsidR="00A16B8C" w:rsidRPr="00C90AC9">
        <w:rPr>
          <w:rFonts w:eastAsiaTheme="minorHAnsi"/>
          <w:lang w:eastAsia="en-US"/>
        </w:rPr>
        <w:t>The Model of Adoption of Technology in Households (MATH) incorporates the The</w:t>
      </w:r>
      <w:r w:rsidR="00FF1220" w:rsidRPr="00C90AC9">
        <w:rPr>
          <w:rFonts w:eastAsiaTheme="minorHAnsi"/>
          <w:lang w:eastAsia="en-US"/>
        </w:rPr>
        <w:t xml:space="preserve">ory of Planned Behaviour (TPB) </w:t>
      </w:r>
      <w:r w:rsidR="00A16B8C" w:rsidRPr="00C90AC9">
        <w:rPr>
          <w:rFonts w:eastAsiaTheme="minorHAnsi"/>
          <w:lang w:eastAsia="en-US"/>
        </w:rPr>
        <w:t xml:space="preserve">and was designed to address the lack of consumer models of adoption that overtly concentrates on the home </w:t>
      </w:r>
      <w:r w:rsidR="00FF1220" w:rsidRPr="00C90AC9">
        <w:rPr>
          <w:rFonts w:eastAsiaTheme="minorHAnsi"/>
          <w:lang w:eastAsia="en-US"/>
        </w:rPr>
        <w:fldChar w:fldCharType="begin"/>
      </w:r>
      <w:r w:rsidR="00FF1220" w:rsidRPr="00C90AC9">
        <w:rPr>
          <w:rFonts w:eastAsiaTheme="minorHAnsi"/>
          <w:lang w:eastAsia="en-US"/>
        </w:rPr>
        <w:instrText xml:space="preserve"> ADDIN EN.CITE &lt;EndNote&gt;&lt;Cite&gt;&lt;Author&gt;Brown&lt;/Author&gt;&lt;Year&gt;2005&lt;/Year&gt;&lt;RecNum&gt;234&lt;/RecNum&gt;&lt;DisplayText&gt;(S. A. Brown &amp;amp; Venkatesh, 2005)&lt;/DisplayText&gt;&lt;record&gt;&lt;rec-number&gt;234&lt;/rec-number&gt;&lt;foreign-keys&gt;&lt;key app="EN" db-id="50wxdpzd9vd5r7e9t5b595djrfpttrxw9avp" timestamp="1525605519"&gt;234&lt;/key&gt;&lt;/foreign-keys&gt;&lt;ref-type name="Journal Article"&gt;17&lt;/ref-type&gt;&lt;contributors&gt;&lt;authors&gt;&lt;author&gt;Brown, Susan A.&lt;/author&gt;&lt;author&gt;Venkatesh, Viswanath&lt;/author&gt;&lt;/authors&gt;&lt;/contributors&gt;&lt;titles&gt;&lt;title&gt;Model of Adoption of Technology in Households: A Baseline Model Test and Extension Incorporating Household Life Cycle&lt;/title&gt;&lt;secondary-title&gt;MIS Quarterly&lt;/secondary-title&gt;&lt;/titles&gt;&lt;pages&gt;399-426&lt;/pages&gt;&lt;volume&gt;29&lt;/volume&gt;&lt;number&gt;3&lt;/number&gt;&lt;dates&gt;&lt;year&gt;2005&lt;/year&gt;&lt;/dates&gt;&lt;publisher&gt;Management Information Systems Research Center, University of Minnesota&lt;/publisher&gt;&lt;isbn&gt;02767783&lt;/isbn&gt;&lt;urls&gt;&lt;related-urls&gt;&lt;url&gt;http://www.jstor.org/stable/25148690&lt;/url&gt;&lt;/related-urls&gt;&lt;/urls&gt;&lt;custom1&gt;Full publication date: Sep., 2005&lt;/custom1&gt;&lt;electronic-resource-num&gt;10.2307/25148690&lt;/electronic-resource-num&gt;&lt;/record&gt;&lt;/Cite&gt;&lt;/EndNote&gt;</w:instrText>
      </w:r>
      <w:r w:rsidR="00FF1220" w:rsidRPr="00C90AC9">
        <w:rPr>
          <w:rFonts w:eastAsiaTheme="minorHAnsi"/>
          <w:lang w:eastAsia="en-US"/>
        </w:rPr>
        <w:fldChar w:fldCharType="separate"/>
      </w:r>
      <w:r w:rsidR="00FF1220" w:rsidRPr="00C90AC9">
        <w:rPr>
          <w:rFonts w:eastAsiaTheme="minorHAnsi"/>
          <w:lang w:eastAsia="en-US"/>
        </w:rPr>
        <w:t>(S. A. Brown &amp; Venkatesh, 2005)</w:t>
      </w:r>
      <w:r w:rsidR="00FF1220" w:rsidRPr="00C90AC9">
        <w:rPr>
          <w:rFonts w:eastAsiaTheme="minorHAnsi"/>
          <w:lang w:eastAsia="en-US"/>
        </w:rPr>
        <w:fldChar w:fldCharType="end"/>
      </w:r>
      <w:r w:rsidR="00FF1220" w:rsidRPr="00C90AC9">
        <w:rPr>
          <w:rFonts w:eastAsiaTheme="minorHAnsi"/>
          <w:lang w:eastAsia="en-US"/>
        </w:rPr>
        <w:t>.</w:t>
      </w:r>
      <w:r w:rsidR="00A16B8C" w:rsidRPr="00C90AC9">
        <w:rPr>
          <w:rFonts w:eastAsiaTheme="minorHAnsi"/>
          <w:lang w:eastAsia="en-US"/>
        </w:rPr>
        <w:t xml:space="preserve"> </w:t>
      </w:r>
      <w:r w:rsidR="003369B2" w:rsidRPr="00C90AC9">
        <w:rPr>
          <w:rFonts w:eastAsiaTheme="minorHAnsi"/>
          <w:lang w:eastAsia="en-US"/>
        </w:rPr>
        <w:t xml:space="preserve">The MATH is shown in Figure 2.13. </w:t>
      </w:r>
      <w:r w:rsidR="00A16B8C" w:rsidRPr="00C90AC9">
        <w:rPr>
          <w:rFonts w:eastAsiaTheme="minorHAnsi"/>
          <w:lang w:eastAsia="en-US"/>
        </w:rPr>
        <w:t>There are a number of significant differences between the interactions and intentions that are made within an organisation such as a company and a household, and it is these differences which therefore require a different model to explain the decisions that are made. These differences range from: the interactions between the actors (in this case the members of the family and their bargaining and compr</w:t>
      </w:r>
      <w:r w:rsidRPr="00C90AC9">
        <w:rPr>
          <w:rFonts w:eastAsiaTheme="minorHAnsi"/>
          <w:lang w:eastAsia="en-US"/>
        </w:rPr>
        <w:t>omises made at different times);</w:t>
      </w:r>
      <w:r w:rsidR="00A16B8C" w:rsidRPr="00C90AC9">
        <w:rPr>
          <w:rFonts w:eastAsiaTheme="minorHAnsi"/>
          <w:lang w:eastAsia="en-US"/>
        </w:rPr>
        <w:t xml:space="preserve"> the complex and varying tasks needed to be completed in a ‘full functioning home’; </w:t>
      </w:r>
      <w:r w:rsidRPr="00C90AC9">
        <w:rPr>
          <w:rFonts w:eastAsiaTheme="minorHAnsi"/>
          <w:lang w:eastAsia="en-US"/>
        </w:rPr>
        <w:t xml:space="preserve">and </w:t>
      </w:r>
      <w:r w:rsidR="00A16B8C" w:rsidRPr="00C90AC9">
        <w:rPr>
          <w:rFonts w:eastAsiaTheme="minorHAnsi"/>
          <w:lang w:eastAsia="en-US"/>
        </w:rPr>
        <w:t>the varying lifecycle of a household (due to external factors such as family income</w:t>
      </w:r>
      <w:r w:rsidR="00FF1220" w:rsidRPr="00C90AC9">
        <w:rPr>
          <w:rFonts w:eastAsiaTheme="minorHAnsi"/>
          <w:lang w:eastAsia="en-US"/>
        </w:rPr>
        <w:t xml:space="preserve"> </w:t>
      </w:r>
      <w:r w:rsidR="001604DB" w:rsidRPr="00C90AC9">
        <w:rPr>
          <w:rFonts w:eastAsiaTheme="minorHAnsi"/>
          <w:lang w:eastAsia="en-US"/>
        </w:rPr>
        <w:fldChar w:fldCharType="begin"/>
      </w:r>
      <w:r w:rsidR="001604DB" w:rsidRPr="00C90AC9">
        <w:rPr>
          <w:rFonts w:eastAsiaTheme="minorHAnsi"/>
          <w:lang w:eastAsia="en-US"/>
        </w:rPr>
        <w:instrText xml:space="preserve"> ADDIN EN.CITE &lt;EndNote&gt;&lt;Cite&gt;&lt;Author&gt;Brown&lt;/Author&gt;&lt;Year&gt;2005&lt;/Year&gt;&lt;RecNum&gt;234&lt;/RecNum&gt;&lt;DisplayText&gt;(S. A. Brown &amp;amp; Venkatesh, 2005)&lt;/DisplayText&gt;&lt;record&gt;&lt;rec-number&gt;234&lt;/rec-number&gt;&lt;foreign-keys&gt;&lt;key app="EN" db-id="50wxdpzd9vd5r7e9t5b595djrfpttrxw9avp" timestamp="1525605519"&gt;234&lt;/key&gt;&lt;/foreign-keys&gt;&lt;ref-type name="Journal Article"&gt;17&lt;/ref-type&gt;&lt;contributors&gt;&lt;authors&gt;&lt;author&gt;Brown, Susan A.&lt;/author&gt;&lt;author&gt;Venkatesh, Viswanath&lt;/author&gt;&lt;/authors&gt;&lt;/contributors&gt;&lt;titles&gt;&lt;title&gt;Model of Adoption of Technology in Households: A Baseline Model Test and Extension Incorporating Household Life Cycle&lt;/title&gt;&lt;secondary-title&gt;MIS Quarterly&lt;/secondary-title&gt;&lt;/titles&gt;&lt;pages&gt;399-426&lt;/pages&gt;&lt;volume&gt;29&lt;/volume&gt;&lt;number&gt;3&lt;/number&gt;&lt;dates&gt;&lt;year&gt;2005&lt;/year&gt;&lt;/dates&gt;&lt;publisher&gt;Management Information Systems Research Center, University of Minnesota&lt;/publisher&gt;&lt;isbn&gt;02767783&lt;/isbn&gt;&lt;urls&gt;&lt;related-urls&gt;&lt;url&gt;http://www.jstor.org/stable/25148690&lt;/url&gt;&lt;/related-urls&gt;&lt;/urls&gt;&lt;custom1&gt;Full publication date: Sep., 2005&lt;/custom1&gt;&lt;electronic-resource-num&gt;10.2307/25148690&lt;/electronic-resource-num&gt;&lt;/record&gt;&lt;/Cite&gt;&lt;/EndNote&gt;</w:instrText>
      </w:r>
      <w:r w:rsidR="001604DB" w:rsidRPr="00C90AC9">
        <w:rPr>
          <w:rFonts w:eastAsiaTheme="minorHAnsi"/>
          <w:lang w:eastAsia="en-US"/>
        </w:rPr>
        <w:fldChar w:fldCharType="separate"/>
      </w:r>
      <w:r w:rsidR="001604DB" w:rsidRPr="00C90AC9">
        <w:rPr>
          <w:rFonts w:eastAsiaTheme="minorHAnsi"/>
          <w:lang w:eastAsia="en-US"/>
        </w:rPr>
        <w:t>(S. A. Brown &amp; Venkatesh, 2005)</w:t>
      </w:r>
      <w:r w:rsidR="001604DB" w:rsidRPr="00C90AC9">
        <w:rPr>
          <w:rFonts w:eastAsiaTheme="minorHAnsi"/>
          <w:lang w:eastAsia="en-US"/>
        </w:rPr>
        <w:fldChar w:fldCharType="end"/>
      </w:r>
      <w:r w:rsidR="00A16B8C" w:rsidRPr="00C90AC9">
        <w:rPr>
          <w:rFonts w:eastAsiaTheme="minorHAnsi"/>
          <w:lang w:eastAsia="en-US"/>
        </w:rPr>
        <w:t xml:space="preserve">. </w:t>
      </w:r>
    </w:p>
    <w:p w:rsidR="00C0462B" w:rsidRPr="00C90AC9" w:rsidRDefault="00C0462B" w:rsidP="007B01CA">
      <w:pPr>
        <w:pStyle w:val="BodyTextFirstIndent"/>
        <w:spacing w:line="360" w:lineRule="auto"/>
        <w:ind w:firstLine="357"/>
        <w:rPr>
          <w:rFonts w:eastAsiaTheme="minorHAnsi"/>
          <w:lang w:eastAsia="en-US"/>
        </w:rPr>
      </w:pPr>
      <w:r w:rsidRPr="00C90AC9">
        <w:rPr>
          <w:rFonts w:eastAsiaTheme="minorHAnsi"/>
          <w:lang w:eastAsia="en-US"/>
        </w:rPr>
        <w:t xml:space="preserve">The MATH has been researched extensively when applied to other household technologies such as high-speed broadband (see </w:t>
      </w:r>
      <w:r w:rsidRPr="00C90AC9">
        <w:rPr>
          <w:rFonts w:eastAsiaTheme="minorHAnsi"/>
          <w:lang w:eastAsia="en-US"/>
        </w:rPr>
        <w:fldChar w:fldCharType="begin">
          <w:fldData xml:space="preserve">PEVuZE5vdGU+PENpdGU+PEF1dGhvcj5BZGFtczwvQXV0aG9yPjxZZWFyPjIwMTc8L1llYXI+PFJl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==
</w:fldData>
        </w:fldChar>
      </w:r>
      <w:r w:rsidRPr="00C90AC9">
        <w:rPr>
          <w:rFonts w:eastAsiaTheme="minorHAnsi"/>
          <w:lang w:eastAsia="en-US"/>
        </w:rPr>
        <w:instrText xml:space="preserve"> ADDIN EN.CITE </w:instrText>
      </w:r>
      <w:r w:rsidRPr="00C90AC9">
        <w:rPr>
          <w:rFonts w:eastAsiaTheme="minorHAnsi"/>
          <w:lang w:eastAsia="en-US"/>
        </w:rPr>
        <w:fldChar w:fldCharType="begin">
          <w:fldData xml:space="preserve">PEVuZE5vdGU+PENpdGU+PEF1dGhvcj5BZGFtczwvQXV0aG9yPjxZZWFyPjIwMTc8L1llYXI+PFJl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==
</w:fldData>
        </w:fldChar>
      </w:r>
      <w:r w:rsidRPr="00C90AC9">
        <w:rPr>
          <w:rFonts w:eastAsiaTheme="minorHAnsi"/>
          <w:lang w:eastAsia="en-US"/>
        </w:rPr>
        <w:instrText xml:space="preserve"> ADDIN EN.CITE.DATA </w:instrText>
      </w:r>
      <w:r w:rsidRPr="00C90AC9">
        <w:rPr>
          <w:rFonts w:eastAsiaTheme="minorHAnsi"/>
          <w:lang w:eastAsia="en-US"/>
        </w:rPr>
      </w:r>
      <w:r w:rsidRPr="00C90AC9">
        <w:rPr>
          <w:rFonts w:eastAsiaTheme="minorHAnsi"/>
          <w:lang w:eastAsia="en-US"/>
        </w:rPr>
        <w:fldChar w:fldCharType="end"/>
      </w:r>
      <w:r w:rsidRPr="00C90AC9">
        <w:rPr>
          <w:rFonts w:eastAsiaTheme="minorHAnsi"/>
          <w:lang w:eastAsia="en-US"/>
        </w:rPr>
      </w:r>
      <w:r w:rsidRPr="00C90AC9">
        <w:rPr>
          <w:rFonts w:eastAsiaTheme="minorHAnsi"/>
          <w:lang w:eastAsia="en-US"/>
        </w:rPr>
        <w:fldChar w:fldCharType="separate"/>
      </w:r>
      <w:r w:rsidRPr="00C90AC9">
        <w:rPr>
          <w:rFonts w:eastAsiaTheme="minorHAnsi"/>
          <w:lang w:eastAsia="en-US"/>
        </w:rPr>
        <w:t>(Adams, Farrell, Dalgarno, &amp; Oczkowski, 2017; Tsai &amp; LaRose, 2015; Weiner, Puniello, Noland, Ciemnecki, &amp; Turakhia, 2012)</w:t>
      </w:r>
      <w:r w:rsidRPr="00C90AC9">
        <w:rPr>
          <w:rFonts w:eastAsiaTheme="minorHAnsi"/>
          <w:lang w:eastAsia="en-US"/>
        </w:rPr>
        <w:fldChar w:fldCharType="end"/>
      </w:r>
      <w:r w:rsidRPr="00C90AC9">
        <w:rPr>
          <w:rFonts w:eastAsiaTheme="minorHAnsi"/>
          <w:lang w:eastAsia="en-US"/>
        </w:rPr>
        <w:t xml:space="preserve"> and the adoption of other highly technical systems such as computers (see</w:t>
      </w:r>
      <w:r w:rsidRPr="00C90AC9">
        <w:rPr>
          <w:rFonts w:eastAsiaTheme="minorHAnsi"/>
          <w:lang w:eastAsia="en-US"/>
        </w:rPr>
        <w:fldChar w:fldCharType="begin"/>
      </w:r>
      <w:r w:rsidRPr="00C90AC9">
        <w:rPr>
          <w:rFonts w:eastAsiaTheme="minorHAnsi"/>
          <w:lang w:eastAsia="en-US"/>
        </w:rPr>
        <w:instrText xml:space="preserve"> ADDIN EN.CITE &lt;EndNote&gt;&lt;Cite&gt;&lt;Author&gt;Peng&lt;/Author&gt;&lt;Year&gt;2011&lt;/Year&gt;&lt;RecNum&gt;254&lt;/RecNum&gt;&lt;DisplayText&gt;(Peng, Fan, &amp;amp; Dey, 2011)&lt;/DisplayText&gt;&lt;record&gt;&lt;rec-number&gt;254&lt;/rec-number&gt;&lt;foreign-keys&gt;&lt;key app="EN" db-id="50wxdpzd9vd5r7e9t5b595djrfpttrxw9avp" timestamp="1526023758"&gt;254&lt;/key&gt;&lt;/foreign-keys&gt;&lt;ref-type name="Journal Article"&gt;17&lt;/ref-type&gt;&lt;contributors&gt;&lt;authors&gt;&lt;author&gt;Peng, Gang&lt;/author&gt;&lt;author&gt;Fan, Ming&lt;/author&gt;&lt;author&gt;Dey, Debabrata&lt;/author&gt;&lt;/authors&gt;&lt;/contributors&gt;&lt;titles&gt;&lt;title&gt;Impact of network effects and diffusion channels on home computer adoption&lt;/title&gt;&lt;secondary-title&gt;Decision Support Systems&lt;/secondary-title&gt;&lt;/titles&gt;&lt;pages&gt;384-393&lt;/pages&gt;&lt;volume&gt;51&lt;/volume&gt;&lt;number&gt;3&lt;/number&gt;&lt;keywords&gt;&lt;keyword&gt;Household computer adoption&lt;/keyword&gt;&lt;keyword&gt;Network effects&lt;/keyword&gt;&lt;keyword&gt;Social learning&lt;/keyword&gt;&lt;keyword&gt;Diffusion channels&lt;/keyword&gt;&lt;keyword&gt;Repeat purchases&lt;/keyword&gt;&lt;/keywords&gt;&lt;dates&gt;&lt;year&gt;2011&lt;/year&gt;&lt;pub-dates&gt;&lt;date&gt;2011/06/01/&lt;/date&gt;&lt;/pub-dates&gt;&lt;/dates&gt;&lt;isbn&gt;0167-9236&lt;/isbn&gt;&lt;urls&gt;&lt;related-urls&gt;&lt;url&gt;http://www.sciencedirect.com/science/article/pii/S0167923611000297&lt;/url&gt;&lt;/related-urls&gt;&lt;/urls&gt;&lt;electronic-resource-num&gt;https://doi.org/10.1016/j.dss.2011.01.004&lt;/electronic-resource-num&gt;&lt;/record&gt;&lt;/Cite&gt;&lt;/EndNote&gt;</w:instrText>
      </w:r>
      <w:r w:rsidRPr="00C90AC9">
        <w:rPr>
          <w:rFonts w:eastAsiaTheme="minorHAnsi"/>
          <w:lang w:eastAsia="en-US"/>
        </w:rPr>
        <w:fldChar w:fldCharType="separate"/>
      </w:r>
      <w:r w:rsidR="003369B2" w:rsidRPr="00C90AC9">
        <w:rPr>
          <w:rFonts w:eastAsiaTheme="minorHAnsi"/>
          <w:lang w:eastAsia="en-US"/>
        </w:rPr>
        <w:t xml:space="preserve"> </w:t>
      </w:r>
      <w:r w:rsidRPr="00C90AC9">
        <w:rPr>
          <w:rFonts w:eastAsiaTheme="minorHAnsi"/>
          <w:lang w:eastAsia="en-US"/>
        </w:rPr>
        <w:t>Peng, Fan, &amp; Dey, 2011)</w:t>
      </w:r>
      <w:r w:rsidRPr="00C90AC9">
        <w:rPr>
          <w:rFonts w:eastAsiaTheme="minorHAnsi"/>
          <w:lang w:eastAsia="en-US"/>
        </w:rPr>
        <w:fldChar w:fldCharType="end"/>
      </w:r>
      <w:r w:rsidRPr="00C90AC9">
        <w:rPr>
          <w:rFonts w:eastAsiaTheme="minorHAnsi"/>
          <w:lang w:eastAsia="en-US"/>
        </w:rPr>
        <w:t xml:space="preserve">. These technologies used in households are in the IT sector and not in the renewable sector, which means that the applicability of the MATH to this research is diminished as there is no precedent of the MATH being applied in </w:t>
      </w:r>
      <w:r w:rsidR="00481AED" w:rsidRPr="00C90AC9">
        <w:rPr>
          <w:rFonts w:eastAsiaTheme="minorHAnsi"/>
          <w:lang w:eastAsia="en-US"/>
        </w:rPr>
        <w:t>the renewable</w:t>
      </w:r>
      <w:r w:rsidRPr="00C90AC9">
        <w:rPr>
          <w:rFonts w:eastAsiaTheme="minorHAnsi"/>
          <w:lang w:eastAsia="en-US"/>
        </w:rPr>
        <w:t xml:space="preserve"> sector.</w:t>
      </w:r>
    </w:p>
    <w:p w:rsidR="00C0462B" w:rsidRPr="00C90AC9" w:rsidRDefault="00C0462B">
      <w:pPr>
        <w:rPr>
          <w:rFonts w:eastAsiaTheme="minorHAnsi"/>
          <w:lang w:eastAsia="en-US"/>
        </w:rPr>
      </w:pPr>
      <w:r w:rsidRPr="00C90AC9">
        <w:rPr>
          <w:rFonts w:eastAsiaTheme="minorHAnsi"/>
          <w:lang w:eastAsia="en-US"/>
        </w:rPr>
        <w:br w:type="page"/>
      </w:r>
    </w:p>
    <w:p w:rsidR="00E86649" w:rsidRPr="00C90AC9" w:rsidRDefault="00FB46DB" w:rsidP="00FF1220">
      <w:pPr>
        <w:pStyle w:val="BodyText"/>
        <w:rPr>
          <w:rFonts w:eastAsiaTheme="minorHAnsi"/>
          <w:lang w:eastAsia="en-US"/>
        </w:rPr>
      </w:pPr>
      <w:r w:rsidRPr="00C90AC9">
        <w:rPr>
          <w:rFonts w:eastAsiaTheme="minorHAnsi"/>
          <w:lang w:eastAsia="en-US"/>
        </w:rPr>
        <w:lastRenderedPageBreak/>
        <w:t>Figure 2.1</w:t>
      </w:r>
      <w:r w:rsidR="002302CC" w:rsidRPr="00C90AC9">
        <w:rPr>
          <w:rFonts w:eastAsiaTheme="minorHAnsi"/>
          <w:lang w:eastAsia="en-US"/>
        </w:rPr>
        <w:t>3.</w:t>
      </w:r>
      <w:r w:rsidR="00A16B8C" w:rsidRPr="00C90AC9">
        <w:rPr>
          <w:rFonts w:eastAsiaTheme="minorHAnsi"/>
          <w:lang w:eastAsia="en-US"/>
        </w:rPr>
        <w:t xml:space="preserve"> </w:t>
      </w:r>
      <w:r w:rsidRPr="00C90AC9">
        <w:rPr>
          <w:rFonts w:eastAsiaTheme="minorHAnsi"/>
          <w:lang w:eastAsia="en-US"/>
        </w:rPr>
        <w:t>T</w:t>
      </w:r>
      <w:r w:rsidR="00A16B8C" w:rsidRPr="00C90AC9">
        <w:rPr>
          <w:rFonts w:eastAsiaTheme="minorHAnsi"/>
          <w:lang w:eastAsia="en-US"/>
        </w:rPr>
        <w:t xml:space="preserve">he </w:t>
      </w:r>
      <w:r w:rsidR="002302CC" w:rsidRPr="00C90AC9">
        <w:rPr>
          <w:rFonts w:eastAsiaTheme="minorHAnsi"/>
          <w:lang w:eastAsia="en-US"/>
        </w:rPr>
        <w:t>Model of Adoption in Households (</w:t>
      </w:r>
      <w:r w:rsidR="0057156D" w:rsidRPr="00C90AC9">
        <w:rPr>
          <w:rFonts w:eastAsiaTheme="minorHAnsi"/>
          <w:lang w:eastAsia="en-US"/>
        </w:rPr>
        <w:t>MATH</w:t>
      </w:r>
      <w:r w:rsidR="002302CC" w:rsidRPr="00C90AC9">
        <w:rPr>
          <w:rFonts w:eastAsiaTheme="minorHAnsi"/>
          <w:lang w:eastAsia="en-US"/>
        </w:rPr>
        <w:t>)</w:t>
      </w:r>
      <w:r w:rsidR="001604DB" w:rsidRPr="00C90AC9">
        <w:rPr>
          <w:rFonts w:eastAsiaTheme="minorHAnsi"/>
          <w:lang w:eastAsia="en-US"/>
        </w:rPr>
        <w:t xml:space="preserve"> </w:t>
      </w:r>
      <w:r w:rsidR="001604DB" w:rsidRPr="00C90AC9">
        <w:rPr>
          <w:rFonts w:eastAsiaTheme="minorHAnsi"/>
          <w:lang w:eastAsia="en-US"/>
        </w:rPr>
        <w:fldChar w:fldCharType="begin"/>
      </w:r>
      <w:r w:rsidR="001604DB" w:rsidRPr="00C90AC9">
        <w:rPr>
          <w:rFonts w:eastAsiaTheme="minorHAnsi"/>
          <w:lang w:eastAsia="en-US"/>
        </w:rPr>
        <w:instrText xml:space="preserve"> ADDIN EN.CITE &lt;EndNote&gt;&lt;Cite&gt;&lt;Author&gt;Brown&lt;/Author&gt;&lt;Year&gt;2005&lt;/Year&gt;&lt;RecNum&gt;234&lt;/RecNum&gt;&lt;DisplayText&gt;(S. A. Brown &amp;amp; Venkatesh, 2005)&lt;/DisplayText&gt;&lt;record&gt;&lt;rec-number&gt;234&lt;/rec-number&gt;&lt;foreign-keys&gt;&lt;key app="EN" db-id="50wxdpzd9vd5r7e9t5b595djrfpttrxw9avp" timestamp="1525605519"&gt;234&lt;/key&gt;&lt;/foreign-keys&gt;&lt;ref-type name="Journal Article"&gt;17&lt;/ref-type&gt;&lt;contributors&gt;&lt;authors&gt;&lt;author&gt;Brown, Susan A.&lt;/author&gt;&lt;author&gt;Venkatesh, Viswanath&lt;/author&gt;&lt;/authors&gt;&lt;/contributors&gt;&lt;titles&gt;&lt;title&gt;Model of Adoption of Technology in Households: A Baseline Model Test and Extension Incorporating Household Life Cycle&lt;/title&gt;&lt;secondary-title&gt;MIS Quarterly&lt;/secondary-title&gt;&lt;/titles&gt;&lt;pages&gt;399-426&lt;/pages&gt;&lt;volume&gt;29&lt;/volume&gt;&lt;number&gt;3&lt;/number&gt;&lt;dates&gt;&lt;year&gt;2005&lt;/year&gt;&lt;/dates&gt;&lt;publisher&gt;Management Information Systems Research Center, University of Minnesota&lt;/publisher&gt;&lt;isbn&gt;02767783&lt;/isbn&gt;&lt;urls&gt;&lt;related-urls&gt;&lt;url&gt;http://www.jstor.org/stable/25148690&lt;/url&gt;&lt;/related-urls&gt;&lt;/urls&gt;&lt;custom1&gt;Full publication date: Sep., 2005&lt;/custom1&gt;&lt;electronic-resource-num&gt;10.2307/25148690&lt;/electronic-resource-num&gt;&lt;/record&gt;&lt;/Cite&gt;&lt;/EndNote&gt;</w:instrText>
      </w:r>
      <w:r w:rsidR="001604DB" w:rsidRPr="00C90AC9">
        <w:rPr>
          <w:rFonts w:eastAsiaTheme="minorHAnsi"/>
          <w:lang w:eastAsia="en-US"/>
        </w:rPr>
        <w:fldChar w:fldCharType="separate"/>
      </w:r>
      <w:r w:rsidR="001604DB" w:rsidRPr="00C90AC9">
        <w:rPr>
          <w:rFonts w:eastAsiaTheme="minorHAnsi"/>
          <w:lang w:eastAsia="en-US"/>
        </w:rPr>
        <w:t>(S. A. Brown &amp; Venkatesh, 2005)</w:t>
      </w:r>
      <w:r w:rsidR="001604DB" w:rsidRPr="00C90AC9">
        <w:rPr>
          <w:rFonts w:eastAsiaTheme="minorHAnsi"/>
          <w:lang w:eastAsia="en-US"/>
        </w:rPr>
        <w:fldChar w:fldCharType="end"/>
      </w:r>
      <w:r w:rsidR="00A16B8C" w:rsidRPr="00C90AC9">
        <w:rPr>
          <w:rFonts w:eastAsiaTheme="minorHAnsi"/>
          <w:lang w:eastAsia="en-US"/>
        </w:rPr>
        <w:t xml:space="preserve"> </w:t>
      </w:r>
    </w:p>
    <w:p w:rsidR="00FB46DB" w:rsidRPr="00C90AC9" w:rsidRDefault="003324F9" w:rsidP="00E86649">
      <w:pPr>
        <w:pStyle w:val="BodyText"/>
        <w:jc w:val="left"/>
        <w:rPr>
          <w:rFonts w:eastAsiaTheme="minorHAnsi"/>
          <w:lang w:eastAsia="en-US"/>
        </w:rPr>
      </w:pPr>
      <w:r w:rsidRPr="00C90AC9">
        <w:rPr>
          <w:rFonts w:eastAsiaTheme="minorHAnsi"/>
          <w:noProof/>
          <w:lang w:eastAsia="en-US"/>
        </w:rPr>
        <w:drawing>
          <wp:inline distT="0" distB="0" distL="0" distR="0">
            <wp:extent cx="6134986" cy="8546902"/>
            <wp:effectExtent l="0" t="0" r="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de1.JPG"/>
                    <pic:cNvPicPr/>
                  </pic:nvPicPr>
                  <pic:blipFill>
                    <a:blip r:embed="rId34">
                      <a:extLst>
                        <a:ext uri="{28A0092B-C50C-407E-A947-70E740481C1C}">
                          <a14:useLocalDpi xmlns:a14="http://schemas.microsoft.com/office/drawing/2010/main" val="0"/>
                        </a:ext>
                      </a:extLst>
                    </a:blip>
                    <a:stretch>
                      <a:fillRect/>
                    </a:stretch>
                  </pic:blipFill>
                  <pic:spPr>
                    <a:xfrm>
                      <a:off x="0" y="0"/>
                      <a:ext cx="6145370" cy="8561369"/>
                    </a:xfrm>
                    <a:prstGeom prst="rect">
                      <a:avLst/>
                    </a:prstGeom>
                  </pic:spPr>
                </pic:pic>
              </a:graphicData>
            </a:graphic>
          </wp:inline>
        </w:drawing>
      </w:r>
      <w:r w:rsidR="00FB46DB" w:rsidRPr="00C90AC9">
        <w:rPr>
          <w:rFonts w:eastAsiaTheme="minorHAnsi"/>
          <w:lang w:eastAsia="en-US"/>
        </w:rPr>
        <w:br w:type="page"/>
      </w:r>
    </w:p>
    <w:p w:rsidR="00813CC1" w:rsidRPr="00C90AC9" w:rsidRDefault="000F2059" w:rsidP="00813CC1">
      <w:pPr>
        <w:pStyle w:val="Heading1"/>
        <w:rPr>
          <w:rStyle w:val="Emphasis"/>
          <w:rFonts w:ascii="Times New Roman" w:eastAsiaTheme="minorHAnsi" w:hAnsi="Times New Roman"/>
          <w:i w:val="0"/>
          <w:iCs/>
          <w:lang w:eastAsia="en-US"/>
        </w:rPr>
      </w:pPr>
      <w:r w:rsidRPr="00C90AC9">
        <w:rPr>
          <w:rStyle w:val="Emphasis"/>
          <w:rFonts w:ascii="Times New Roman" w:hAnsi="Times New Roman"/>
          <w:i w:val="0"/>
        </w:rPr>
        <w:lastRenderedPageBreak/>
        <w:t xml:space="preserve">The </w:t>
      </w:r>
      <w:r w:rsidR="00A16B8C" w:rsidRPr="00C90AC9">
        <w:rPr>
          <w:rStyle w:val="Emphasis"/>
          <w:rFonts w:ascii="Times New Roman" w:hAnsi="Times New Roman"/>
          <w:i w:val="0"/>
        </w:rPr>
        <w:t xml:space="preserve">Unified Theory of </w:t>
      </w:r>
      <w:r w:rsidR="00A16B8C" w:rsidRPr="00C90AC9">
        <w:rPr>
          <w:rStyle w:val="SubtleEmphasis"/>
        </w:rPr>
        <w:t>Acceptance</w:t>
      </w:r>
      <w:r w:rsidR="00A16B8C" w:rsidRPr="00C90AC9">
        <w:rPr>
          <w:rStyle w:val="Emphasis"/>
          <w:rFonts w:ascii="Times New Roman" w:hAnsi="Times New Roman"/>
          <w:i w:val="0"/>
        </w:rPr>
        <w:t xml:space="preserve"> and Use of Technology (UTAUT)</w:t>
      </w:r>
    </w:p>
    <w:p w:rsidR="001604DB" w:rsidRPr="00C90AC9" w:rsidRDefault="00C0462B" w:rsidP="00E3686B">
      <w:pPr>
        <w:pStyle w:val="Heading1"/>
        <w:numPr>
          <w:ilvl w:val="0"/>
          <w:numId w:val="0"/>
        </w:numPr>
        <w:spacing w:line="360" w:lineRule="auto"/>
        <w:jc w:val="both"/>
        <w:rPr>
          <w:rFonts w:eastAsiaTheme="minorHAnsi"/>
          <w:sz w:val="24"/>
          <w:lang w:eastAsia="en-US"/>
        </w:rPr>
      </w:pPr>
      <w:r w:rsidRPr="00C90AC9">
        <w:rPr>
          <w:rFonts w:eastAsiaTheme="minorHAnsi"/>
          <w:sz w:val="24"/>
          <w:lang w:eastAsia="en-US"/>
        </w:rPr>
        <w:tab/>
      </w:r>
      <w:r w:rsidR="00A16B8C" w:rsidRPr="00C90AC9">
        <w:rPr>
          <w:rFonts w:eastAsiaTheme="minorHAnsi"/>
          <w:sz w:val="24"/>
          <w:lang w:eastAsia="en-US"/>
        </w:rPr>
        <w:t>The Unified Theory of Acceptance and Use of Technology (UTAUT) was formulated to describe not only user intention to use a technology but also the user’s</w:t>
      </w:r>
      <w:r w:rsidR="003369B2" w:rsidRPr="00C90AC9">
        <w:rPr>
          <w:rFonts w:eastAsiaTheme="minorHAnsi"/>
          <w:sz w:val="24"/>
          <w:lang w:eastAsia="en-US"/>
        </w:rPr>
        <w:t xml:space="preserve"> use of a technology. I</w:t>
      </w:r>
      <w:r w:rsidR="00A16B8C" w:rsidRPr="00C90AC9">
        <w:rPr>
          <w:rFonts w:eastAsiaTheme="minorHAnsi"/>
          <w:sz w:val="24"/>
          <w:lang w:eastAsia="en-US"/>
        </w:rPr>
        <w:t xml:space="preserve">t was developed by V. </w:t>
      </w:r>
      <w:proofErr w:type="spellStart"/>
      <w:r w:rsidR="00A16B8C" w:rsidRPr="00C90AC9">
        <w:rPr>
          <w:rFonts w:eastAsiaTheme="minorHAnsi"/>
          <w:sz w:val="24"/>
          <w:lang w:eastAsia="en-US"/>
        </w:rPr>
        <w:t>Venkatech</w:t>
      </w:r>
      <w:proofErr w:type="spellEnd"/>
      <w:r w:rsidR="00A16B8C" w:rsidRPr="00C90AC9">
        <w:rPr>
          <w:rFonts w:eastAsiaTheme="minorHAnsi"/>
          <w:sz w:val="24"/>
          <w:vertAlign w:val="subscript"/>
          <w:lang w:eastAsia="en-US"/>
        </w:rPr>
        <w:t xml:space="preserve"> </w:t>
      </w:r>
      <w:r w:rsidR="00A16B8C" w:rsidRPr="00C90AC9">
        <w:rPr>
          <w:rFonts w:eastAsiaTheme="minorHAnsi"/>
          <w:sz w:val="24"/>
          <w:lang w:eastAsia="en-US"/>
        </w:rPr>
        <w:t xml:space="preserve">as a result of trying to unify the existing models that described this behaviour and into one single model. The UTAUT has four core variables: Performance Expectancy; Effort Expectancy; Social Influence; and Facilitating Conditions </w:t>
      </w:r>
      <w:r w:rsidR="0026335B" w:rsidRPr="00C90AC9">
        <w:rPr>
          <w:rFonts w:eastAsiaTheme="minorHAnsi"/>
          <w:sz w:val="24"/>
          <w:lang w:eastAsia="en-US"/>
        </w:rPr>
        <w:fldChar w:fldCharType="begin"/>
      </w:r>
      <w:r w:rsidR="0026335B" w:rsidRPr="00C90AC9">
        <w:rPr>
          <w:rFonts w:eastAsiaTheme="minorHAnsi"/>
          <w:sz w:val="24"/>
          <w:lang w:eastAsia="en-US"/>
        </w:rPr>
        <w:instrText xml:space="preserve"> ADDIN EN.CITE &lt;EndNote&gt;&lt;Cite&gt;&lt;Author&gt;Venkatesh&lt;/Author&gt;&lt;Year&gt;2003&lt;/Year&gt;&lt;RecNum&gt;235&lt;/RecNum&gt;&lt;DisplayText&gt;(Venkatesh, Morris, Davis, &amp;amp; Davis, 2003)&lt;/DisplayText&gt;&lt;record&gt;&lt;rec-number&gt;235&lt;/rec-number&gt;&lt;foreign-keys&gt;&lt;key app="EN" db-id="50wxdpzd9vd5r7e9t5b595djrfpttrxw9avp" timestamp="1525605743"&gt;235&lt;/key&gt;&lt;/foreign-keys&gt;&lt;ref-type name="Journal Article"&gt;17&lt;/ref-type&gt;&lt;contributors&gt;&lt;authors&gt;&lt;author&gt;Venkatesh, Viswanath&lt;/author&gt;&lt;author&gt;Morris, Michael G.&lt;/author&gt;&lt;author&gt;Davis, Gordon B.&lt;/author&gt;&lt;author&gt;Davis, Fred D.&lt;/author&gt;&lt;/authors&gt;&lt;/contributors&gt;&lt;titles&gt;&lt;title&gt;User Acceptance of Information Technology: Toward a Unified View&lt;/title&gt;&lt;secondary-title&gt;MIS Quarterly&lt;/secondary-title&gt;&lt;/titles&gt;&lt;pages&gt;425-478&lt;/pages&gt;&lt;volume&gt;27&lt;/volume&gt;&lt;number&gt;3&lt;/number&gt;&lt;dates&gt;&lt;year&gt;2003&lt;/year&gt;&lt;/dates&gt;&lt;publisher&gt;Management Information Systems Research Center, University of Minnesota&lt;/publisher&gt;&lt;isbn&gt;02767783&lt;/isbn&gt;&lt;urls&gt;&lt;related-urls&gt;&lt;url&gt;http://www.jstor.org/stable/30036540&lt;/url&gt;&lt;/related-urls&gt;&lt;/urls&gt;&lt;custom1&gt;Full publication date: Sep., 2003&lt;/custom1&gt;&lt;electronic-resource-num&gt;10.2307/30036540&lt;/electronic-resource-num&gt;&lt;/record&gt;&lt;/Cite&gt;&lt;/EndNote&gt;</w:instrText>
      </w:r>
      <w:r w:rsidR="0026335B" w:rsidRPr="00C90AC9">
        <w:rPr>
          <w:rFonts w:eastAsiaTheme="minorHAnsi"/>
          <w:sz w:val="24"/>
          <w:lang w:eastAsia="en-US"/>
        </w:rPr>
        <w:fldChar w:fldCharType="separate"/>
      </w:r>
      <w:r w:rsidR="0026335B" w:rsidRPr="00C90AC9">
        <w:rPr>
          <w:rFonts w:eastAsiaTheme="minorHAnsi"/>
          <w:sz w:val="24"/>
          <w:lang w:eastAsia="en-US"/>
        </w:rPr>
        <w:t>(Venkatesh, Morris, Davis, &amp; Davis, 2003)</w:t>
      </w:r>
      <w:r w:rsidR="0026335B" w:rsidRPr="00C90AC9">
        <w:rPr>
          <w:rFonts w:eastAsiaTheme="minorHAnsi"/>
          <w:sz w:val="24"/>
          <w:lang w:eastAsia="en-US"/>
        </w:rPr>
        <w:fldChar w:fldCharType="end"/>
      </w:r>
      <w:r w:rsidR="00A16B8C" w:rsidRPr="00C90AC9">
        <w:rPr>
          <w:rFonts w:eastAsiaTheme="minorHAnsi"/>
          <w:sz w:val="24"/>
          <w:lang w:eastAsia="en-US"/>
        </w:rPr>
        <w:t>. The model also has four moderating variables: Gender; Age; Experi</w:t>
      </w:r>
      <w:r w:rsidR="00813CC1" w:rsidRPr="00C90AC9">
        <w:rPr>
          <w:rFonts w:eastAsiaTheme="minorHAnsi"/>
          <w:sz w:val="24"/>
          <w:lang w:eastAsia="en-US"/>
        </w:rPr>
        <w:t xml:space="preserve">ence; and Voluntariness of Use </w:t>
      </w:r>
      <w:r w:rsidR="00813CC1" w:rsidRPr="00C90AC9">
        <w:rPr>
          <w:rFonts w:eastAsiaTheme="minorHAnsi"/>
          <w:sz w:val="24"/>
          <w:lang w:eastAsia="en-US"/>
        </w:rPr>
        <w:fldChar w:fldCharType="begin"/>
      </w:r>
      <w:r w:rsidR="0026335B" w:rsidRPr="00C90AC9">
        <w:rPr>
          <w:rFonts w:eastAsiaTheme="minorHAnsi"/>
          <w:sz w:val="24"/>
          <w:lang w:eastAsia="en-US"/>
        </w:rPr>
        <w:instrText xml:space="preserve"> ADDIN EN.CITE &lt;EndNote&gt;&lt;Cite&gt;&lt;Author&gt;Venkatesh&lt;/Author&gt;&lt;Year&gt;2003&lt;/Year&gt;&lt;RecNum&gt;235&lt;/RecNum&gt;&lt;DisplayText&gt;(Venkatesh et al., 2003)&lt;/DisplayText&gt;&lt;record&gt;&lt;rec-number&gt;235&lt;/rec-number&gt;&lt;foreign-keys&gt;&lt;key app="EN" db-id="50wxdpzd9vd5r7e9t5b595djrfpttrxw9avp" timestamp="1525605743"&gt;235&lt;/key&gt;&lt;/foreign-keys&gt;&lt;ref-type name="Journal Article"&gt;17&lt;/ref-type&gt;&lt;contributors&gt;&lt;authors&gt;&lt;author&gt;Venkatesh, Viswanath&lt;/author&gt;&lt;author&gt;Morris, Michael G.&lt;/author&gt;&lt;author&gt;Davis, Gordon B.&lt;/author&gt;&lt;author&gt;Davis, Fred D.&lt;/author&gt;&lt;/authors&gt;&lt;/contributors&gt;&lt;titles&gt;&lt;title&gt;User Acceptance of Information Technology: Toward a Unified View&lt;/title&gt;&lt;secondary-title&gt;MIS Quarterly&lt;/secondary-title&gt;&lt;/titles&gt;&lt;pages&gt;425-478&lt;/pages&gt;&lt;volume&gt;27&lt;/volume&gt;&lt;number&gt;3&lt;/number&gt;&lt;dates&gt;&lt;year&gt;2003&lt;/year&gt;&lt;/dates&gt;&lt;publisher&gt;Management Information Systems Research Center, University of Minnesota&lt;/publisher&gt;&lt;isbn&gt;02767783&lt;/isbn&gt;&lt;urls&gt;&lt;related-urls&gt;&lt;url&gt;http://www.jstor.org/stable/30036540&lt;/url&gt;&lt;/related-urls&gt;&lt;/urls&gt;&lt;custom1&gt;Full publication date: Sep., 2003&lt;/custom1&gt;&lt;electronic-resource-num&gt;10.2307/30036540&lt;/electronic-resource-num&gt;&lt;/record&gt;&lt;/Cite&gt;&lt;/EndNote&gt;</w:instrText>
      </w:r>
      <w:r w:rsidR="00813CC1" w:rsidRPr="00C90AC9">
        <w:rPr>
          <w:rFonts w:eastAsiaTheme="minorHAnsi"/>
          <w:sz w:val="24"/>
          <w:lang w:eastAsia="en-US"/>
        </w:rPr>
        <w:fldChar w:fldCharType="separate"/>
      </w:r>
      <w:r w:rsidR="0026335B" w:rsidRPr="00C90AC9">
        <w:rPr>
          <w:rFonts w:eastAsiaTheme="minorHAnsi"/>
          <w:sz w:val="24"/>
          <w:lang w:eastAsia="en-US"/>
        </w:rPr>
        <w:t>(Venkatesh et al., 2003)</w:t>
      </w:r>
      <w:r w:rsidR="00813CC1" w:rsidRPr="00C90AC9">
        <w:rPr>
          <w:rFonts w:eastAsiaTheme="minorHAnsi"/>
          <w:sz w:val="24"/>
          <w:lang w:eastAsia="en-US"/>
        </w:rPr>
        <w:fldChar w:fldCharType="end"/>
      </w:r>
      <w:r w:rsidR="00813CC1" w:rsidRPr="00C90AC9">
        <w:rPr>
          <w:rFonts w:eastAsiaTheme="minorHAnsi"/>
          <w:sz w:val="24"/>
          <w:lang w:eastAsia="en-US"/>
        </w:rPr>
        <w:t>.</w:t>
      </w:r>
      <w:r w:rsidR="00A16B8C" w:rsidRPr="00C90AC9">
        <w:rPr>
          <w:rFonts w:eastAsiaTheme="minorHAnsi"/>
          <w:sz w:val="24"/>
          <w:lang w:eastAsia="en-US"/>
        </w:rPr>
        <w:t>The variables and their interactions are shown in Figure 2.1</w:t>
      </w:r>
      <w:r w:rsidR="003369B2" w:rsidRPr="00C90AC9">
        <w:rPr>
          <w:rFonts w:eastAsiaTheme="minorHAnsi"/>
          <w:sz w:val="24"/>
          <w:lang w:eastAsia="en-US"/>
        </w:rPr>
        <w:t>4</w:t>
      </w:r>
      <w:r w:rsidR="00A16B8C" w:rsidRPr="00C90AC9">
        <w:rPr>
          <w:rFonts w:eastAsiaTheme="minorHAnsi"/>
          <w:sz w:val="24"/>
          <w:lang w:eastAsia="en-US"/>
        </w:rPr>
        <w:t>.</w:t>
      </w:r>
    </w:p>
    <w:p w:rsidR="00A16B8C" w:rsidRPr="00C90AC9" w:rsidRDefault="00A16B8C" w:rsidP="001604DB">
      <w:pPr>
        <w:pStyle w:val="BodyTextFirstIndent"/>
        <w:ind w:firstLine="0"/>
        <w:rPr>
          <w:rFonts w:eastAsiaTheme="minorHAnsi"/>
          <w:lang w:eastAsia="en-US"/>
        </w:rPr>
      </w:pPr>
      <w:r w:rsidRPr="00C90AC9">
        <w:rPr>
          <w:rFonts w:eastAsiaTheme="minorHAnsi"/>
          <w:lang w:eastAsia="en-US"/>
        </w:rPr>
        <w:t xml:space="preserve"> </w:t>
      </w:r>
    </w:p>
    <w:p w:rsidR="00A16B8C" w:rsidRPr="00C90AC9" w:rsidRDefault="000B2E93" w:rsidP="00B06779">
      <w:pPr>
        <w:pStyle w:val="BodyText"/>
        <w:rPr>
          <w:rFonts w:eastAsiaTheme="minorHAnsi"/>
          <w:lang w:eastAsia="en-US"/>
        </w:rPr>
      </w:pPr>
      <w:r w:rsidRPr="00C90AC9">
        <w:rPr>
          <w:rFonts w:eastAsiaTheme="minorHAnsi"/>
          <w:lang w:eastAsia="en-US"/>
        </w:rPr>
        <w:t>Figure 2.1</w:t>
      </w:r>
      <w:r w:rsidR="002302CC" w:rsidRPr="00C90AC9">
        <w:rPr>
          <w:rFonts w:eastAsiaTheme="minorHAnsi"/>
          <w:lang w:eastAsia="en-US"/>
        </w:rPr>
        <w:t>4</w:t>
      </w:r>
      <w:r w:rsidR="00A16B8C" w:rsidRPr="00C90AC9">
        <w:rPr>
          <w:rFonts w:eastAsiaTheme="minorHAnsi"/>
          <w:lang w:eastAsia="en-US"/>
        </w:rPr>
        <w:t xml:space="preserve"> </w:t>
      </w:r>
      <w:r w:rsidRPr="00C90AC9">
        <w:rPr>
          <w:rFonts w:eastAsiaTheme="minorHAnsi"/>
          <w:lang w:eastAsia="en-US"/>
        </w:rPr>
        <w:t>T</w:t>
      </w:r>
      <w:r w:rsidR="00A16B8C" w:rsidRPr="00C90AC9">
        <w:rPr>
          <w:rFonts w:eastAsiaTheme="minorHAnsi"/>
          <w:lang w:eastAsia="en-US"/>
        </w:rPr>
        <w:t>he U</w:t>
      </w:r>
      <w:r w:rsidR="00417CCD" w:rsidRPr="00C90AC9">
        <w:rPr>
          <w:rFonts w:eastAsiaTheme="minorHAnsi"/>
          <w:lang w:eastAsia="en-US"/>
        </w:rPr>
        <w:t xml:space="preserve">nified </w:t>
      </w:r>
      <w:r w:rsidR="00A16B8C" w:rsidRPr="00C90AC9">
        <w:rPr>
          <w:rFonts w:eastAsiaTheme="minorHAnsi"/>
          <w:lang w:eastAsia="en-US"/>
        </w:rPr>
        <w:t>T</w:t>
      </w:r>
      <w:r w:rsidR="00417CCD" w:rsidRPr="00C90AC9">
        <w:rPr>
          <w:rFonts w:eastAsiaTheme="minorHAnsi"/>
          <w:lang w:eastAsia="en-US"/>
        </w:rPr>
        <w:t xml:space="preserve">heory of </w:t>
      </w:r>
      <w:r w:rsidR="00A16B8C" w:rsidRPr="00C90AC9">
        <w:rPr>
          <w:rFonts w:eastAsiaTheme="minorHAnsi"/>
          <w:lang w:eastAsia="en-US"/>
        </w:rPr>
        <w:t>A</w:t>
      </w:r>
      <w:r w:rsidR="00417CCD" w:rsidRPr="00C90AC9">
        <w:rPr>
          <w:rFonts w:eastAsiaTheme="minorHAnsi"/>
          <w:lang w:eastAsia="en-US"/>
        </w:rPr>
        <w:t xml:space="preserve">cceptance and </w:t>
      </w:r>
      <w:r w:rsidR="00A16B8C" w:rsidRPr="00C90AC9">
        <w:rPr>
          <w:rFonts w:eastAsiaTheme="minorHAnsi"/>
          <w:lang w:eastAsia="en-US"/>
        </w:rPr>
        <w:t>U</w:t>
      </w:r>
      <w:r w:rsidR="00417CCD" w:rsidRPr="00C90AC9">
        <w:rPr>
          <w:rFonts w:eastAsiaTheme="minorHAnsi"/>
          <w:lang w:eastAsia="en-US"/>
        </w:rPr>
        <w:t xml:space="preserve">se of </w:t>
      </w:r>
      <w:r w:rsidR="00A16B8C" w:rsidRPr="00C90AC9">
        <w:rPr>
          <w:rFonts w:eastAsiaTheme="minorHAnsi"/>
          <w:lang w:eastAsia="en-US"/>
        </w:rPr>
        <w:t>T</w:t>
      </w:r>
      <w:r w:rsidR="00417CCD" w:rsidRPr="00C90AC9">
        <w:rPr>
          <w:rFonts w:eastAsiaTheme="minorHAnsi"/>
          <w:lang w:eastAsia="en-US"/>
        </w:rPr>
        <w:t>echnology (UTAUT)</w:t>
      </w:r>
      <w:r w:rsidR="00A16B8C" w:rsidRPr="00C90AC9">
        <w:rPr>
          <w:rFonts w:eastAsiaTheme="minorHAnsi"/>
          <w:lang w:eastAsia="en-US"/>
        </w:rPr>
        <w:t xml:space="preserve"> </w:t>
      </w:r>
      <w:r w:rsidR="001604DB" w:rsidRPr="00C90AC9">
        <w:rPr>
          <w:rFonts w:eastAsiaTheme="minorHAnsi"/>
          <w:lang w:eastAsia="en-US"/>
        </w:rPr>
        <w:fldChar w:fldCharType="begin"/>
      </w:r>
      <w:r w:rsidR="00813CC1" w:rsidRPr="00C90AC9">
        <w:rPr>
          <w:rFonts w:eastAsiaTheme="minorHAnsi"/>
          <w:lang w:eastAsia="en-US"/>
        </w:rPr>
        <w:instrText xml:space="preserve"> ADDIN EN.CITE &lt;EndNote&gt;&lt;Cite&gt;&lt;Author&gt;Venkatesh&lt;/Author&gt;&lt;Year&gt;2003&lt;/Year&gt;&lt;RecNum&gt;235&lt;/RecNum&gt;&lt;DisplayText&gt;(Venkatesh et al., 2003)&lt;/DisplayText&gt;&lt;record&gt;&lt;rec-number&gt;235&lt;/rec-number&gt;&lt;foreign-keys&gt;&lt;key app="EN" db-id="50wxdpzd9vd5r7e9t5b595djrfpttrxw9avp" timestamp="1525605743"&gt;235&lt;/key&gt;&lt;/foreign-keys&gt;&lt;ref-type name="Journal Article"&gt;17&lt;/ref-type&gt;&lt;contributors&gt;&lt;authors&gt;&lt;author&gt;Venkatesh, Viswanath&lt;/author&gt;&lt;author&gt;Morris, Michael G.&lt;/author&gt;&lt;author&gt;Davis, Gordon B.&lt;/author&gt;&lt;author&gt;Davis, Fred D.&lt;/author&gt;&lt;/authors&gt;&lt;/contributors&gt;&lt;titles&gt;&lt;title&gt;User Acceptance of Information Technology: Toward a Unified View&lt;/title&gt;&lt;secondary-title&gt;MIS Quarterly&lt;/secondary-title&gt;&lt;/titles&gt;&lt;pages&gt;425-478&lt;/pages&gt;&lt;volume&gt;27&lt;/volume&gt;&lt;number&gt;3&lt;/number&gt;&lt;dates&gt;&lt;year&gt;2003&lt;/year&gt;&lt;/dates&gt;&lt;publisher&gt;Management Information Systems Research Center, University of Minnesota&lt;/publisher&gt;&lt;isbn&gt;02767783&lt;/isbn&gt;&lt;urls&gt;&lt;related-urls&gt;&lt;url&gt;http://www.jstor.org/stable/30036540&lt;/url&gt;&lt;/related-urls&gt;&lt;/urls&gt;&lt;custom1&gt;Full publication date: Sep., 2003&lt;/custom1&gt;&lt;electronic-resource-num&gt;10.2307/30036540&lt;/electronic-resource-num&gt;&lt;/record&gt;&lt;/Cite&gt;&lt;/EndNote&gt;</w:instrText>
      </w:r>
      <w:r w:rsidR="001604DB" w:rsidRPr="00C90AC9">
        <w:rPr>
          <w:rFonts w:eastAsiaTheme="minorHAnsi"/>
          <w:lang w:eastAsia="en-US"/>
        </w:rPr>
        <w:fldChar w:fldCharType="separate"/>
      </w:r>
      <w:r w:rsidR="00813CC1" w:rsidRPr="00C90AC9">
        <w:rPr>
          <w:rFonts w:eastAsiaTheme="minorHAnsi"/>
          <w:lang w:eastAsia="en-US"/>
        </w:rPr>
        <w:t>(Venkatesh et al., 2003)</w:t>
      </w:r>
      <w:r w:rsidR="001604DB" w:rsidRPr="00C90AC9">
        <w:rPr>
          <w:rFonts w:eastAsiaTheme="minorHAnsi"/>
          <w:lang w:eastAsia="en-US"/>
        </w:rPr>
        <w:fldChar w:fldCharType="end"/>
      </w:r>
    </w:p>
    <w:p w:rsidR="00813CC1" w:rsidRPr="00C90AC9" w:rsidRDefault="00813CC1" w:rsidP="00813CC1">
      <w:pPr>
        <w:pStyle w:val="BodyText"/>
        <w:jc w:val="center"/>
        <w:rPr>
          <w:rFonts w:eastAsiaTheme="minorHAnsi"/>
          <w:lang w:eastAsia="en-US"/>
        </w:rPr>
      </w:pPr>
      <w:r w:rsidRPr="00C90AC9">
        <w:rPr>
          <w:noProof/>
        </w:rPr>
        <w:drawing>
          <wp:inline distT="0" distB="0" distL="0" distR="0" wp14:anchorId="3096CC4C" wp14:editId="24285674">
            <wp:extent cx="5709683" cy="3157869"/>
            <wp:effectExtent l="0" t="0" r="5715" b="444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59074" t="30582" r="6167" b="37780"/>
                    <a:stretch/>
                  </pic:blipFill>
                  <pic:spPr bwMode="auto">
                    <a:xfrm>
                      <a:off x="0" y="0"/>
                      <a:ext cx="5734023" cy="3171331"/>
                    </a:xfrm>
                    <a:prstGeom prst="rect">
                      <a:avLst/>
                    </a:prstGeom>
                    <a:ln>
                      <a:noFill/>
                    </a:ln>
                    <a:extLst>
                      <a:ext uri="{53640926-AAD7-44D8-BBD7-CCE9431645EC}">
                        <a14:shadowObscured xmlns:a14="http://schemas.microsoft.com/office/drawing/2010/main"/>
                      </a:ext>
                    </a:extLst>
                  </pic:spPr>
                </pic:pic>
              </a:graphicData>
            </a:graphic>
          </wp:inline>
        </w:drawing>
      </w:r>
    </w:p>
    <w:p w:rsidR="00813CC1" w:rsidRPr="00C90AC9" w:rsidRDefault="00C0462B" w:rsidP="00191BE1">
      <w:pPr>
        <w:pStyle w:val="BodyText"/>
        <w:spacing w:line="360" w:lineRule="auto"/>
        <w:rPr>
          <w:rFonts w:eastAsiaTheme="minorHAnsi"/>
          <w:lang w:eastAsia="en-US"/>
        </w:rPr>
      </w:pPr>
      <w:r w:rsidRPr="00C90AC9">
        <w:rPr>
          <w:rFonts w:eastAsiaTheme="minorHAnsi"/>
          <w:lang w:eastAsia="en-US"/>
        </w:rPr>
        <w:t>The UTAUT has been applied to technologies used in the renewable sector with some success but the UTAUT has not been applied in this se</w:t>
      </w:r>
      <w:r w:rsidR="003369B2" w:rsidRPr="00C90AC9">
        <w:rPr>
          <w:rFonts w:eastAsiaTheme="minorHAnsi"/>
          <w:lang w:eastAsia="en-US"/>
        </w:rPr>
        <w:t>c</w:t>
      </w:r>
      <w:r w:rsidRPr="00C90AC9">
        <w:rPr>
          <w:rFonts w:eastAsiaTheme="minorHAnsi"/>
          <w:lang w:eastAsia="en-US"/>
        </w:rPr>
        <w:t>tor</w:t>
      </w:r>
      <w:r w:rsidR="003369B2" w:rsidRPr="00C90AC9">
        <w:rPr>
          <w:rFonts w:eastAsiaTheme="minorHAnsi"/>
          <w:lang w:eastAsia="en-US"/>
        </w:rPr>
        <w:t>,</w:t>
      </w:r>
      <w:r w:rsidR="00E3686B" w:rsidRPr="00C90AC9">
        <w:rPr>
          <w:rFonts w:eastAsiaTheme="minorHAnsi"/>
          <w:lang w:eastAsia="en-US"/>
        </w:rPr>
        <w:t xml:space="preserve"> specifically</w:t>
      </w:r>
      <w:r w:rsidRPr="00C90AC9">
        <w:rPr>
          <w:rFonts w:eastAsiaTheme="minorHAnsi"/>
          <w:lang w:eastAsia="en-US"/>
        </w:rPr>
        <w:t xml:space="preserve"> in the UK </w:t>
      </w:r>
      <w:r w:rsidRPr="00C90AC9">
        <w:rPr>
          <w:rFonts w:eastAsiaTheme="minorHAnsi"/>
          <w:lang w:eastAsia="en-US"/>
        </w:rPr>
        <w:fldChar w:fldCharType="begin"/>
      </w:r>
      <w:r w:rsidRPr="00C90AC9">
        <w:rPr>
          <w:rFonts w:eastAsiaTheme="minorHAnsi"/>
          <w:lang w:eastAsia="en-US"/>
        </w:rPr>
        <w:instrText xml:space="preserve"> ADDIN EN.CITE &lt;EndNote&gt;&lt;Cite&gt;&lt;Author&gt;Rezaei&lt;/Author&gt;&lt;Year&gt;2018&lt;/Year&gt;&lt;RecNum&gt;255&lt;/RecNum&gt;&lt;DisplayText&gt;(Rezaei &amp;amp; Ghofranfarid, 2018)&lt;/DisplayText&gt;&lt;record&gt;&lt;rec-number&gt;255&lt;/rec-number&gt;&lt;foreign-keys&gt;&lt;key app="EN" db-id="50wxdpzd9vd5r7e9t5b595djrfpttrxw9avp" timestamp="1526027747"&gt;255&lt;/key&gt;&lt;/foreign-keys&gt;&lt;ref-type name="Journal Article"&gt;17&lt;/ref-type&gt;&lt;contributors&gt;&lt;authors&gt;&lt;author&gt;Rezaei, Rohollah&lt;/author&gt;&lt;author&gt;Ghofranfarid, Marjan&lt;/author&gt;&lt;/authors&gt;&lt;/contributors&gt;&lt;titles&gt;&lt;title&gt;Rural households&amp;apos; renewable energy usage intention in Iran: Extending the unified theory of acceptance and use of technology&lt;/title&gt;&lt;secondary-title&gt;Renewable Energy&lt;/secondary-title&gt;&lt;/titles&gt;&lt;pages&gt;382-391&lt;/pages&gt;&lt;volume&gt;122&lt;/volume&gt;&lt;keywords&gt;&lt;keyword&gt;Renewable energy&lt;/keyword&gt;&lt;keyword&gt;Usage intention&lt;/keyword&gt;&lt;keyword&gt;Rural areas&lt;/keyword&gt;&lt;keyword&gt;Iran&lt;/keyword&gt;&lt;/keywords&gt;&lt;dates&gt;&lt;year&gt;2018&lt;/year&gt;&lt;pub-dates&gt;&lt;date&gt;2018/07/01/&lt;/date&gt;&lt;/pub-dates&gt;&lt;/dates&gt;&lt;isbn&gt;0960-1481&lt;/isbn&gt;&lt;urls&gt;&lt;related-urls&gt;&lt;url&gt;http://www.sciencedirect.com/science/article/pii/S096014811830154X&lt;/url&gt;&lt;/related-urls&gt;&lt;/urls&gt;&lt;electronic-resource-num&gt;https://doi.org/10.1016/j.renene.2018.02.011&lt;/electronic-resource-num&gt;&lt;/record&gt;&lt;/Cite&gt;&lt;/EndNote&gt;</w:instrText>
      </w:r>
      <w:r w:rsidRPr="00C90AC9">
        <w:rPr>
          <w:rFonts w:eastAsiaTheme="minorHAnsi"/>
          <w:lang w:eastAsia="en-US"/>
        </w:rPr>
        <w:fldChar w:fldCharType="separate"/>
      </w:r>
      <w:r w:rsidRPr="00C90AC9">
        <w:rPr>
          <w:rFonts w:eastAsiaTheme="minorHAnsi"/>
          <w:lang w:eastAsia="en-US"/>
        </w:rPr>
        <w:t>(Rezaei &amp; Ghofranfarid, 2018)</w:t>
      </w:r>
      <w:r w:rsidRPr="00C90AC9">
        <w:rPr>
          <w:rFonts w:eastAsiaTheme="minorHAnsi"/>
          <w:lang w:eastAsia="en-US"/>
        </w:rPr>
        <w:fldChar w:fldCharType="end"/>
      </w:r>
      <w:r w:rsidRPr="00C90AC9">
        <w:rPr>
          <w:rFonts w:eastAsiaTheme="minorHAnsi"/>
          <w:lang w:eastAsia="en-US"/>
        </w:rPr>
        <w:t xml:space="preserve"> </w:t>
      </w:r>
      <w:r w:rsidRPr="00C90AC9">
        <w:rPr>
          <w:rFonts w:eastAsiaTheme="minorHAnsi"/>
          <w:lang w:eastAsia="en-US"/>
        </w:rPr>
        <w:fldChar w:fldCharType="begin"/>
      </w:r>
      <w:r w:rsidRPr="00C90AC9">
        <w:rPr>
          <w:rFonts w:eastAsiaTheme="minorHAnsi"/>
          <w:lang w:eastAsia="en-US"/>
        </w:rPr>
        <w:instrText xml:space="preserve"> ADDIN EN.CITE &lt;EndNote&gt;&lt;Cite&gt;&lt;Author&gt;Elmustapha&lt;/Author&gt;&lt;Year&gt;2018&lt;/Year&gt;&lt;RecNum&gt;256&lt;/RecNum&gt;&lt;DisplayText&gt;(Elmustapha, Hoppe, &amp;amp; Bressers, 2018)&lt;/DisplayText&gt;&lt;record&gt;&lt;rec-number&gt;256&lt;/rec-number&gt;&lt;foreign-keys&gt;&lt;key app="EN" db-id="50wxdpzd9vd5r7e9t5b595djrfpttrxw9avp" timestamp="1526027805"&gt;256&lt;/key&gt;&lt;/foreign-keys&gt;&lt;ref-type name="Journal Article"&gt;17&lt;/ref-type&gt;&lt;contributors&gt;&lt;authors&gt;&lt;author&gt;Elmustapha, Houda&lt;/author&gt;&lt;author&gt;Hoppe, Thomas&lt;/author&gt;&lt;author&gt;Bressers, Hans&lt;/author&gt;&lt;/authors&gt;&lt;/contributors&gt;&lt;titles&gt;&lt;title&gt;Consumer renewable energy technology adoption decision-making; comparing models on perceived attributes and attitudinal constructs in the case of solar water heaters in Lebanon&lt;/title&gt;&lt;secondary-title&gt;Journal of Cleaner Production&lt;/secondary-title&gt;&lt;/titles&gt;&lt;pages&gt;347-357&lt;/pages&gt;&lt;volume&gt;172&lt;/volume&gt;&lt;dates&gt;&lt;year&gt;2018&lt;/year&gt;&lt;pub-dates&gt;&lt;date&gt;2018/01/20/&lt;/date&gt;&lt;/pub-dates&gt;&lt;/dates&gt;&lt;isbn&gt;0959-6526&lt;/isbn&gt;&lt;urls&gt;&lt;related-urls&gt;&lt;url&gt;http://www.sciencedirect.com/science/article/pii/S0959652617323478&lt;/url&gt;&lt;/related-urls&gt;&lt;/urls&gt;&lt;electronic-resource-num&gt;https://doi.org/10.1016/j.jclepro.2017.10.131&lt;/electronic-resource-num&gt;&lt;/record&gt;&lt;/Cite&gt;&lt;/EndNote&gt;</w:instrText>
      </w:r>
      <w:r w:rsidRPr="00C90AC9">
        <w:rPr>
          <w:rFonts w:eastAsiaTheme="minorHAnsi"/>
          <w:lang w:eastAsia="en-US"/>
        </w:rPr>
        <w:fldChar w:fldCharType="separate"/>
      </w:r>
      <w:r w:rsidRPr="00C90AC9">
        <w:rPr>
          <w:rFonts w:eastAsiaTheme="minorHAnsi"/>
          <w:lang w:eastAsia="en-US"/>
        </w:rPr>
        <w:t>(Elmustapha, Hoppe, &amp; Bressers, 2018)</w:t>
      </w:r>
      <w:r w:rsidRPr="00C90AC9">
        <w:rPr>
          <w:rFonts w:eastAsiaTheme="minorHAnsi"/>
          <w:lang w:eastAsia="en-US"/>
        </w:rPr>
        <w:fldChar w:fldCharType="end"/>
      </w:r>
      <w:r w:rsidRPr="00C90AC9">
        <w:rPr>
          <w:rFonts w:eastAsiaTheme="minorHAnsi"/>
          <w:lang w:eastAsia="en-US"/>
        </w:rPr>
        <w:t>. In the same way that the MATH is less applicable to this research due to the model not having a precedence of being applied to renewable energy in the UK so too is the UTAUT.</w:t>
      </w:r>
    </w:p>
    <w:p w:rsidR="00C0462B" w:rsidRPr="00C90AC9" w:rsidRDefault="00C0462B">
      <w:pPr>
        <w:rPr>
          <w:rStyle w:val="Emphasis"/>
          <w:rFonts w:ascii="Times New Roman" w:hAnsi="Times New Roman" w:cs="Times New Roman"/>
          <w:i w:val="0"/>
          <w:color w:val="000000" w:themeColor="text1"/>
          <w:szCs w:val="24"/>
        </w:rPr>
      </w:pPr>
      <w:r w:rsidRPr="00C90AC9">
        <w:rPr>
          <w:rStyle w:val="Emphasis"/>
          <w:rFonts w:ascii="Times New Roman" w:hAnsi="Times New Roman"/>
          <w:i w:val="0"/>
          <w:iCs w:val="0"/>
        </w:rPr>
        <w:br w:type="page"/>
      </w:r>
    </w:p>
    <w:p w:rsidR="00A16B8C" w:rsidRPr="00C90AC9" w:rsidRDefault="00A16B8C" w:rsidP="009601D8">
      <w:pPr>
        <w:pStyle w:val="Heading1"/>
        <w:rPr>
          <w:rStyle w:val="Emphasis"/>
          <w:rFonts w:ascii="Times New Roman" w:hAnsi="Times New Roman"/>
          <w:i w:val="0"/>
          <w:iCs/>
        </w:rPr>
      </w:pPr>
      <w:r w:rsidRPr="00C90AC9">
        <w:rPr>
          <w:rStyle w:val="Emphasis"/>
          <w:rFonts w:ascii="Times New Roman" w:hAnsi="Times New Roman"/>
          <w:i w:val="0"/>
          <w:iCs/>
        </w:rPr>
        <w:lastRenderedPageBreak/>
        <w:t xml:space="preserve">The Technology </w:t>
      </w:r>
      <w:r w:rsidRPr="00C90AC9">
        <w:rPr>
          <w:rStyle w:val="SubtleEmphasis"/>
          <w:iCs w:val="0"/>
        </w:rPr>
        <w:t>Adoption</w:t>
      </w:r>
      <w:r w:rsidRPr="00C90AC9">
        <w:rPr>
          <w:rStyle w:val="Emphasis"/>
          <w:rFonts w:ascii="Times New Roman" w:hAnsi="Times New Roman"/>
          <w:i w:val="0"/>
          <w:iCs/>
        </w:rPr>
        <w:t xml:space="preserve"> Model (TAM)</w:t>
      </w:r>
    </w:p>
    <w:p w:rsidR="00A16B8C" w:rsidRPr="00C90AC9" w:rsidRDefault="00A16B8C" w:rsidP="00D1482C">
      <w:pPr>
        <w:pStyle w:val="BodyTextFirstIndent"/>
        <w:spacing w:line="360" w:lineRule="auto"/>
        <w:ind w:firstLine="357"/>
        <w:rPr>
          <w:rFonts w:eastAsiaTheme="minorHAnsi"/>
          <w:lang w:eastAsia="en-US"/>
        </w:rPr>
      </w:pPr>
      <w:r w:rsidRPr="00C90AC9">
        <w:rPr>
          <w:rFonts w:eastAsiaTheme="minorHAnsi"/>
          <w:lang w:eastAsia="en-US"/>
        </w:rPr>
        <w:t xml:space="preserve">In 1989 Davis proposed the Technology Adoption Model to describe consumer adoption of technologies based on two predictive factors: </w:t>
      </w:r>
      <w:r w:rsidR="00E76CAF" w:rsidRPr="00C90AC9">
        <w:rPr>
          <w:rFonts w:eastAsiaTheme="minorHAnsi"/>
          <w:lang w:eastAsia="en-US"/>
        </w:rPr>
        <w:t>The</w:t>
      </w:r>
      <w:r w:rsidRPr="00C90AC9">
        <w:rPr>
          <w:rFonts w:eastAsiaTheme="minorHAnsi"/>
          <w:lang w:eastAsia="en-US"/>
        </w:rPr>
        <w:t xml:space="preserve"> Perceived Usefulness (PU) and the Perceived Ease of Use (PEOU) </w:t>
      </w:r>
      <w:r w:rsidR="00343D85" w:rsidRPr="00C90AC9">
        <w:rPr>
          <w:rFonts w:eastAsiaTheme="minorHAnsi"/>
          <w:lang w:eastAsia="en-US"/>
        </w:rPr>
        <w:t xml:space="preserve">as </w:t>
      </w:r>
      <w:r w:rsidR="00D55BC3" w:rsidRPr="00C90AC9">
        <w:rPr>
          <w:rFonts w:eastAsiaTheme="minorHAnsi"/>
          <w:lang w:eastAsia="en-US"/>
        </w:rPr>
        <w:t>shown in Figure 2.1</w:t>
      </w:r>
      <w:r w:rsidR="003369B2" w:rsidRPr="00C90AC9">
        <w:rPr>
          <w:rFonts w:eastAsiaTheme="minorHAnsi"/>
          <w:lang w:eastAsia="en-US"/>
        </w:rPr>
        <w:t>5</w:t>
      </w:r>
      <w:r w:rsidR="00227E3F" w:rsidRPr="00C90AC9">
        <w:rPr>
          <w:rFonts w:eastAsiaTheme="minorHAnsi"/>
          <w:lang w:eastAsia="en-US"/>
        </w:rPr>
        <w:t>.</w:t>
      </w:r>
      <w:r w:rsidR="00227E3F" w:rsidRPr="00C90AC9">
        <w:rPr>
          <w:rFonts w:eastAsiaTheme="minorHAnsi"/>
          <w:lang w:eastAsia="en-US"/>
        </w:rPr>
        <w:fldChar w:fldCharType="begin"/>
      </w:r>
      <w:r w:rsidR="00227E3F" w:rsidRPr="00C90AC9">
        <w:rPr>
          <w:rFonts w:eastAsiaTheme="minorHAnsi"/>
          <w:lang w:eastAsia="en-US"/>
        </w:rPr>
        <w:instrText xml:space="preserve"> ADDIN EN.CITE &lt;EndNote&gt;&lt;Cite&gt;&lt;Author&gt;Davis&lt;/Author&gt;&lt;Year&gt;1989&lt;/Year&gt;&lt;RecNum&gt;237&lt;/RecNum&gt;&lt;DisplayText&gt;(Davis, 1989)&lt;/DisplayText&gt;&lt;record&gt;&lt;rec-number&gt;237&lt;/rec-number&gt;&lt;foreign-keys&gt;&lt;key app="EN" db-id="50wxdpzd9vd5r7e9t5b595djrfpttrxw9avp" timestamp="1525621035"&gt;237&lt;/key&gt;&lt;/foreign-keys&gt;&lt;ref-type name="Journal Article"&gt;17&lt;/ref-type&gt;&lt;contributors&gt;&lt;authors&gt;&lt;author&gt;Davis, Fred D.&lt;/author&gt;&lt;/authors&gt;&lt;/contributors&gt;&lt;titles&gt;&lt;title&gt;Perceived Usefulness, Perceived Ease of Use, and User Acceptance of Information Technology&lt;/title&gt;&lt;secondary-title&gt;MIS Quarterly&lt;/secondary-title&gt;&lt;/titles&gt;&lt;pages&gt;319-340&lt;/pages&gt;&lt;volume&gt;13&lt;/volume&gt;&lt;number&gt;3&lt;/number&gt;&lt;dates&gt;&lt;year&gt;1989&lt;/year&gt;&lt;/dates&gt;&lt;publisher&gt;Management Information Systems Research Center, University of Minnesota&lt;/publisher&gt;&lt;isbn&gt;02767783&lt;/isbn&gt;&lt;urls&gt;&lt;related-urls&gt;&lt;url&gt;http://www.jstor.org/stable/249008&lt;/url&gt;&lt;/related-urls&gt;&lt;/urls&gt;&lt;custom1&gt;Full publication date: Sep., 1989&lt;/custom1&gt;&lt;electronic-resource-num&gt;10.2307/249008&lt;/electronic-resource-num&gt;&lt;/record&gt;&lt;/Cite&gt;&lt;/EndNote&gt;</w:instrText>
      </w:r>
      <w:r w:rsidR="00227E3F" w:rsidRPr="00C90AC9">
        <w:rPr>
          <w:rFonts w:eastAsiaTheme="minorHAnsi"/>
          <w:lang w:eastAsia="en-US"/>
        </w:rPr>
        <w:fldChar w:fldCharType="separate"/>
      </w:r>
      <w:r w:rsidR="00227E3F" w:rsidRPr="00C90AC9">
        <w:rPr>
          <w:rFonts w:eastAsiaTheme="minorHAnsi"/>
          <w:lang w:eastAsia="en-US"/>
        </w:rPr>
        <w:t>(Davis, 1989)</w:t>
      </w:r>
      <w:r w:rsidR="00227E3F" w:rsidRPr="00C90AC9">
        <w:rPr>
          <w:rFonts w:eastAsiaTheme="minorHAnsi"/>
          <w:lang w:eastAsia="en-US"/>
        </w:rPr>
        <w:fldChar w:fldCharType="end"/>
      </w:r>
      <w:r w:rsidRPr="00C90AC9">
        <w:rPr>
          <w:rFonts w:eastAsiaTheme="minorHAnsi"/>
          <w:lang w:eastAsia="en-US"/>
        </w:rPr>
        <w:t xml:space="preserve">. The model is based on the Theory of Reasoned Action (TRA) which was proposed by </w:t>
      </w:r>
      <w:proofErr w:type="spellStart"/>
      <w:r w:rsidRPr="00C90AC9">
        <w:rPr>
          <w:rFonts w:eastAsiaTheme="minorHAnsi"/>
          <w:lang w:eastAsia="en-US"/>
        </w:rPr>
        <w:t>Ajzen</w:t>
      </w:r>
      <w:proofErr w:type="spellEnd"/>
      <w:r w:rsidRPr="00C90AC9">
        <w:rPr>
          <w:rFonts w:eastAsiaTheme="minorHAnsi"/>
          <w:lang w:eastAsia="en-US"/>
        </w:rPr>
        <w:t xml:space="preserve"> and Fishbein in 1975 </w:t>
      </w:r>
      <w:r w:rsidR="00227E3F" w:rsidRPr="00C90AC9">
        <w:rPr>
          <w:rFonts w:eastAsiaTheme="minorHAnsi"/>
          <w:lang w:eastAsia="en-US"/>
        </w:rPr>
        <w:fldChar w:fldCharType="begin"/>
      </w:r>
      <w:r w:rsidR="00227E3F" w:rsidRPr="00C90AC9">
        <w:rPr>
          <w:rFonts w:eastAsiaTheme="minorHAnsi"/>
          <w:lang w:eastAsia="en-US"/>
        </w:rPr>
        <w:instrText xml:space="preserve"> ADDIN EN.CITE &lt;EndNote&gt;&lt;Cite&gt;&lt;Author&gt;Fishbein&lt;/Author&gt;&lt;Year&gt;1975&lt;/Year&gt;&lt;RecNum&gt;238&lt;/RecNum&gt;&lt;DisplayText&gt;(Fishbein, 1975)&lt;/DisplayText&gt;&lt;record&gt;&lt;rec-number&gt;238&lt;/rec-number&gt;&lt;foreign-keys&gt;&lt;key app="EN" db-id="50wxdpzd9vd5r7e9t5b595djrfpttrxw9avp" timestamp="1525621790"&gt;238&lt;/key&gt;&lt;/foreign-keys&gt;&lt;ref-type name="Book"&gt;6&lt;/ref-type&gt;&lt;contributors&gt;&lt;authors&gt;&lt;author&gt;Fishbein, Martin and Ajzen, Icek&lt;/author&gt;&lt;/authors&gt;&lt;/contributors&gt;&lt;titles&gt;&lt;title&gt;Belief, attitude, intention, and behavior : an introduction to theory and research&lt;/title&gt;&lt;/titles&gt;&lt;dates&gt;&lt;year&gt;1975&lt;/year&gt;&lt;/dates&gt;&lt;pub-location&gt;Reading&lt;/pub-location&gt;&lt;publisher&gt;Addison-Wesley Pub. Co&lt;/publisher&gt;&lt;urls&gt;&lt;/urls&gt;&lt;/record&gt;&lt;/Cite&gt;&lt;/EndNote&gt;</w:instrText>
      </w:r>
      <w:r w:rsidR="00227E3F" w:rsidRPr="00C90AC9">
        <w:rPr>
          <w:rFonts w:eastAsiaTheme="minorHAnsi"/>
          <w:lang w:eastAsia="en-US"/>
        </w:rPr>
        <w:fldChar w:fldCharType="separate"/>
      </w:r>
      <w:r w:rsidR="00227E3F" w:rsidRPr="00C90AC9">
        <w:rPr>
          <w:rFonts w:eastAsiaTheme="minorHAnsi"/>
          <w:lang w:eastAsia="en-US"/>
        </w:rPr>
        <w:t>(Fishbein, 1975)</w:t>
      </w:r>
      <w:r w:rsidR="00227E3F" w:rsidRPr="00C90AC9">
        <w:rPr>
          <w:rFonts w:eastAsiaTheme="minorHAnsi"/>
          <w:lang w:eastAsia="en-US"/>
        </w:rPr>
        <w:fldChar w:fldCharType="end"/>
      </w:r>
      <w:r w:rsidRPr="00C90AC9">
        <w:rPr>
          <w:rFonts w:eastAsiaTheme="minorHAnsi"/>
          <w:lang w:eastAsia="en-US"/>
        </w:rPr>
        <w:t xml:space="preserve"> and describes how PU and PEOU influence consumers Attitude (AT) to use a technology and their Behavioural Intention to Use that technology. The TAM describes how consumers A and BI will influence the actual system Use (U) of the technology </w:t>
      </w:r>
      <w:r w:rsidR="0026335B" w:rsidRPr="00C90AC9">
        <w:rPr>
          <w:rFonts w:eastAsiaTheme="minorHAnsi"/>
          <w:lang w:eastAsia="en-US"/>
        </w:rPr>
        <w:fldChar w:fldCharType="begin"/>
      </w:r>
      <w:r w:rsidR="0026335B" w:rsidRPr="00C90AC9">
        <w:rPr>
          <w:rFonts w:eastAsiaTheme="minorHAnsi"/>
          <w:lang w:eastAsia="en-US"/>
        </w:rPr>
        <w:instrText xml:space="preserve"> ADDIN EN.CITE &lt;EndNote&gt;&lt;Cite&gt;&lt;Author&gt;Davis&lt;/Author&gt;&lt;Year&gt;1989&lt;/Year&gt;&lt;RecNum&gt;237&lt;/RecNum&gt;&lt;DisplayText&gt;(Davis, 1989)&lt;/DisplayText&gt;&lt;record&gt;&lt;rec-number&gt;237&lt;/rec-number&gt;&lt;foreign-keys&gt;&lt;key app="EN" db-id="50wxdpzd9vd5r7e9t5b595djrfpttrxw9avp" timestamp="1525621035"&gt;237&lt;/key&gt;&lt;/foreign-keys&gt;&lt;ref-type name="Journal Article"&gt;17&lt;/ref-type&gt;&lt;contributors&gt;&lt;authors&gt;&lt;author&gt;Davis, Fred D.&lt;/author&gt;&lt;/authors&gt;&lt;/contributors&gt;&lt;titles&gt;&lt;title&gt;Perceived Usefulness, Perceived Ease of Use, and User Acceptance of Information Technology&lt;/title&gt;&lt;secondary-title&gt;MIS Quarterly&lt;/secondary-title&gt;&lt;/titles&gt;&lt;pages&gt;319-340&lt;/pages&gt;&lt;volume&gt;13&lt;/volume&gt;&lt;number&gt;3&lt;/number&gt;&lt;dates&gt;&lt;year&gt;1989&lt;/year&gt;&lt;/dates&gt;&lt;publisher&gt;Management Information Systems Research Center, University of Minnesota&lt;/publisher&gt;&lt;isbn&gt;02767783&lt;/isbn&gt;&lt;urls&gt;&lt;related-urls&gt;&lt;url&gt;http://www.jstor.org/stable/249008&lt;/url&gt;&lt;/related-urls&gt;&lt;/urls&gt;&lt;custom1&gt;Full publication date: Sep., 1989&lt;/custom1&gt;&lt;electronic-resource-num&gt;10.2307/249008&lt;/electronic-resource-num&gt;&lt;/record&gt;&lt;/Cite&gt;&lt;/EndNote&gt;</w:instrText>
      </w:r>
      <w:r w:rsidR="0026335B" w:rsidRPr="00C90AC9">
        <w:rPr>
          <w:rFonts w:eastAsiaTheme="minorHAnsi"/>
          <w:lang w:eastAsia="en-US"/>
        </w:rPr>
        <w:fldChar w:fldCharType="separate"/>
      </w:r>
      <w:r w:rsidR="0026335B" w:rsidRPr="00C90AC9">
        <w:rPr>
          <w:rFonts w:eastAsiaTheme="minorHAnsi"/>
          <w:lang w:eastAsia="en-US"/>
        </w:rPr>
        <w:t>(Davis, 1989)</w:t>
      </w:r>
      <w:r w:rsidR="0026335B" w:rsidRPr="00C90AC9">
        <w:rPr>
          <w:rFonts w:eastAsiaTheme="minorHAnsi"/>
          <w:lang w:eastAsia="en-US"/>
        </w:rPr>
        <w:fldChar w:fldCharType="end"/>
      </w:r>
      <w:r w:rsidR="0026335B" w:rsidRPr="00C90AC9">
        <w:rPr>
          <w:rFonts w:eastAsiaTheme="minorHAnsi"/>
          <w:lang w:eastAsia="en-US"/>
        </w:rPr>
        <w:t>.</w:t>
      </w:r>
      <w:r w:rsidRPr="00C90AC9">
        <w:rPr>
          <w:rFonts w:eastAsiaTheme="minorHAnsi"/>
          <w:lang w:eastAsia="en-US"/>
        </w:rPr>
        <w:t xml:space="preserve"> The TAM shows how:</w:t>
      </w:r>
    </w:p>
    <w:p w:rsidR="00A16B8C" w:rsidRPr="00C90AC9" w:rsidRDefault="00A16B8C" w:rsidP="00CA6E35">
      <w:pPr>
        <w:pStyle w:val="ListBullet3"/>
        <w:numPr>
          <w:ilvl w:val="0"/>
          <w:numId w:val="10"/>
        </w:numPr>
        <w:rPr>
          <w:rFonts w:eastAsiaTheme="minorHAnsi"/>
          <w:lang w:eastAsia="en-US"/>
        </w:rPr>
      </w:pPr>
      <w:r w:rsidRPr="00C90AC9">
        <w:rPr>
          <w:rFonts w:eastAsiaTheme="minorHAnsi"/>
          <w:lang w:eastAsia="en-US"/>
        </w:rPr>
        <w:t>PEOU has a significant positive influence on PU;</w:t>
      </w:r>
    </w:p>
    <w:p w:rsidR="00A16B8C" w:rsidRPr="00C90AC9" w:rsidRDefault="00A16B8C" w:rsidP="00CA6E35">
      <w:pPr>
        <w:pStyle w:val="ListBullet3"/>
        <w:numPr>
          <w:ilvl w:val="0"/>
          <w:numId w:val="10"/>
        </w:numPr>
        <w:rPr>
          <w:rFonts w:eastAsiaTheme="minorHAnsi"/>
          <w:lang w:eastAsia="en-US"/>
        </w:rPr>
      </w:pPr>
      <w:r w:rsidRPr="00C90AC9">
        <w:rPr>
          <w:rFonts w:eastAsiaTheme="minorHAnsi"/>
          <w:lang w:eastAsia="en-US"/>
        </w:rPr>
        <w:t>PU has a significant positive influence on AT;</w:t>
      </w:r>
    </w:p>
    <w:p w:rsidR="00A16B8C" w:rsidRPr="00C90AC9" w:rsidRDefault="00A16B8C" w:rsidP="00CA6E35">
      <w:pPr>
        <w:pStyle w:val="ListBullet3"/>
        <w:numPr>
          <w:ilvl w:val="0"/>
          <w:numId w:val="10"/>
        </w:numPr>
        <w:rPr>
          <w:rFonts w:eastAsiaTheme="minorHAnsi"/>
          <w:lang w:eastAsia="en-US"/>
        </w:rPr>
      </w:pPr>
      <w:r w:rsidRPr="00C90AC9">
        <w:rPr>
          <w:rFonts w:eastAsiaTheme="minorHAnsi"/>
          <w:lang w:eastAsia="en-US"/>
        </w:rPr>
        <w:t xml:space="preserve">PEOU has a significant positive influence on AT; </w:t>
      </w:r>
    </w:p>
    <w:p w:rsidR="00A16B8C" w:rsidRPr="00C90AC9" w:rsidRDefault="00A16B8C" w:rsidP="00CA6E35">
      <w:pPr>
        <w:pStyle w:val="ListBullet3"/>
        <w:numPr>
          <w:ilvl w:val="0"/>
          <w:numId w:val="10"/>
        </w:numPr>
        <w:rPr>
          <w:rFonts w:eastAsiaTheme="minorHAnsi"/>
          <w:lang w:eastAsia="en-US"/>
        </w:rPr>
      </w:pPr>
      <w:r w:rsidRPr="00C90AC9">
        <w:rPr>
          <w:rFonts w:eastAsiaTheme="minorHAnsi"/>
          <w:lang w:eastAsia="en-US"/>
        </w:rPr>
        <w:t>PU has a significant positive influence on BI; and</w:t>
      </w:r>
    </w:p>
    <w:p w:rsidR="00724F19" w:rsidRPr="00C90AC9" w:rsidRDefault="00A16B8C" w:rsidP="00CA6E35">
      <w:pPr>
        <w:pStyle w:val="ListBullet3"/>
        <w:numPr>
          <w:ilvl w:val="0"/>
          <w:numId w:val="10"/>
        </w:numPr>
        <w:rPr>
          <w:rFonts w:eastAsiaTheme="minorHAnsi"/>
          <w:lang w:eastAsia="en-US"/>
        </w:rPr>
      </w:pPr>
      <w:r w:rsidRPr="00C90AC9">
        <w:rPr>
          <w:rFonts w:eastAsiaTheme="minorHAnsi"/>
          <w:lang w:eastAsia="en-US"/>
        </w:rPr>
        <w:t>A has a significant positive influence on B</w:t>
      </w:r>
      <w:r w:rsidR="00724F19" w:rsidRPr="00C90AC9">
        <w:rPr>
          <w:rFonts w:eastAsiaTheme="minorHAnsi"/>
          <w:lang w:eastAsia="en-US"/>
        </w:rPr>
        <w:t>I to use a technology.</w:t>
      </w:r>
    </w:p>
    <w:p w:rsidR="00724F19" w:rsidRPr="00C90AC9" w:rsidRDefault="00724F19" w:rsidP="00724F19">
      <w:pPr>
        <w:pStyle w:val="ListBullet3"/>
        <w:numPr>
          <w:ilvl w:val="0"/>
          <w:numId w:val="0"/>
        </w:numPr>
        <w:ind w:left="720"/>
        <w:rPr>
          <w:rFonts w:eastAsiaTheme="minorHAnsi"/>
          <w:lang w:eastAsia="en-US"/>
        </w:rPr>
      </w:pPr>
    </w:p>
    <w:p w:rsidR="00227E3F" w:rsidRPr="00C90AC9" w:rsidRDefault="00724F19" w:rsidP="00724F19">
      <w:pPr>
        <w:pStyle w:val="ListBullet3"/>
        <w:numPr>
          <w:ilvl w:val="0"/>
          <w:numId w:val="0"/>
        </w:numPr>
        <w:ind w:left="720"/>
        <w:rPr>
          <w:rFonts w:eastAsiaTheme="minorHAnsi"/>
          <w:lang w:eastAsia="en-US"/>
        </w:rPr>
      </w:pPr>
      <w:r w:rsidRPr="00C90AC9">
        <w:rPr>
          <w:rFonts w:eastAsiaTheme="minorHAnsi"/>
          <w:lang w:eastAsia="en-US"/>
        </w:rPr>
        <w:tab/>
      </w:r>
      <w:r w:rsidRPr="00C90AC9">
        <w:rPr>
          <w:rFonts w:eastAsiaTheme="minorHAnsi"/>
          <w:lang w:eastAsia="en-US"/>
        </w:rPr>
        <w:tab/>
      </w:r>
      <w:r w:rsidRPr="00C90AC9">
        <w:rPr>
          <w:rFonts w:eastAsiaTheme="minorHAnsi"/>
          <w:lang w:eastAsia="en-US"/>
        </w:rPr>
        <w:tab/>
      </w:r>
      <w:r w:rsidRPr="00C90AC9">
        <w:rPr>
          <w:rFonts w:eastAsiaTheme="minorHAnsi"/>
          <w:lang w:eastAsia="en-US"/>
        </w:rPr>
        <w:tab/>
      </w:r>
      <w:r w:rsidRPr="00C90AC9">
        <w:rPr>
          <w:rFonts w:eastAsiaTheme="minorHAnsi"/>
          <w:lang w:eastAsia="en-US"/>
        </w:rPr>
        <w:tab/>
      </w:r>
      <w:r w:rsidRPr="00C90AC9">
        <w:rPr>
          <w:rFonts w:eastAsiaTheme="minorHAnsi"/>
          <w:lang w:eastAsia="en-US"/>
        </w:rPr>
        <w:tab/>
      </w:r>
      <w:r w:rsidRPr="00C90AC9">
        <w:rPr>
          <w:rFonts w:eastAsiaTheme="minorHAnsi"/>
          <w:lang w:eastAsia="en-US"/>
        </w:rPr>
        <w:tab/>
      </w:r>
      <w:r w:rsidR="00227E3F" w:rsidRPr="00C90AC9">
        <w:rPr>
          <w:rFonts w:eastAsiaTheme="minorHAnsi"/>
          <w:lang w:eastAsia="en-US"/>
        </w:rPr>
        <w:fldChar w:fldCharType="begin">
          <w:fldData xml:space="preserve">PEVuZE5vdGU+PENpdGU+PEF1dGhvcj5EYXZpczwvQXV0aG9yPjxZZWFyPjE5ODk8L1llYXI+PFJl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</w:fldData>
        </w:fldChar>
      </w:r>
      <w:r w:rsidRPr="00C90AC9">
        <w:rPr>
          <w:rFonts w:eastAsiaTheme="minorHAnsi"/>
          <w:lang w:eastAsia="en-US"/>
        </w:rPr>
        <w:instrText xml:space="preserve"> ADDIN EN.CITE </w:instrText>
      </w:r>
      <w:r w:rsidRPr="00C90AC9">
        <w:rPr>
          <w:rFonts w:eastAsiaTheme="minorHAnsi"/>
          <w:lang w:eastAsia="en-US"/>
        </w:rPr>
        <w:fldChar w:fldCharType="begin">
          <w:fldData xml:space="preserve">PEVuZE5vdGU+PENpdGU+PEF1dGhvcj5EYXZpczwvQXV0aG9yPjxZZWFyPjE5ODk8L1llYXI+PFJl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</w:fldData>
        </w:fldChar>
      </w:r>
      <w:r w:rsidRPr="00C90AC9">
        <w:rPr>
          <w:rFonts w:eastAsiaTheme="minorHAnsi"/>
          <w:lang w:eastAsia="en-US"/>
        </w:rPr>
        <w:instrText xml:space="preserve"> ADDIN EN.CITE.DATA </w:instrText>
      </w:r>
      <w:r w:rsidRPr="00C90AC9">
        <w:rPr>
          <w:rFonts w:eastAsiaTheme="minorHAnsi"/>
          <w:lang w:eastAsia="en-US"/>
        </w:rPr>
      </w:r>
      <w:r w:rsidRPr="00C90AC9">
        <w:rPr>
          <w:rFonts w:eastAsiaTheme="minorHAnsi"/>
          <w:lang w:eastAsia="en-US"/>
        </w:rPr>
        <w:fldChar w:fldCharType="end"/>
      </w:r>
      <w:r w:rsidR="00227E3F" w:rsidRPr="00C90AC9">
        <w:rPr>
          <w:rFonts w:eastAsiaTheme="minorHAnsi"/>
          <w:lang w:eastAsia="en-US"/>
        </w:rPr>
      </w:r>
      <w:r w:rsidR="00227E3F" w:rsidRPr="00C90AC9">
        <w:rPr>
          <w:rFonts w:eastAsiaTheme="minorHAnsi"/>
          <w:lang w:eastAsia="en-US"/>
        </w:rPr>
        <w:fldChar w:fldCharType="separate"/>
      </w:r>
      <w:r w:rsidRPr="00C90AC9">
        <w:rPr>
          <w:rFonts w:eastAsiaTheme="minorHAnsi"/>
          <w:lang w:eastAsia="en-US"/>
        </w:rPr>
        <w:t>(Davis, 1989; King &amp; He, 2006)</w:t>
      </w:r>
      <w:r w:rsidR="00227E3F" w:rsidRPr="00C90AC9">
        <w:rPr>
          <w:rFonts w:eastAsiaTheme="minorHAnsi"/>
          <w:lang w:eastAsia="en-US"/>
        </w:rPr>
        <w:fldChar w:fldCharType="end"/>
      </w:r>
      <w:r w:rsidR="005675E9" w:rsidRPr="00C90AC9">
        <w:rPr>
          <w:rFonts w:eastAsiaTheme="minorHAnsi"/>
          <w:lang w:eastAsia="en-US"/>
        </w:rPr>
        <w:br/>
      </w:r>
    </w:p>
    <w:p w:rsidR="0063274C" w:rsidRPr="00C90AC9" w:rsidRDefault="00227E3F" w:rsidP="00227E3F">
      <w:pPr>
        <w:pStyle w:val="ListBullet3"/>
        <w:numPr>
          <w:ilvl w:val="0"/>
          <w:numId w:val="0"/>
        </w:numPr>
        <w:spacing w:line="360" w:lineRule="auto"/>
        <w:rPr>
          <w:rFonts w:eastAsiaTheme="minorHAnsi"/>
          <w:lang w:eastAsia="en-US"/>
        </w:rPr>
      </w:pPr>
      <w:r w:rsidRPr="00C90AC9">
        <w:rPr>
          <w:rFonts w:eastAsiaTheme="minorHAnsi"/>
          <w:lang w:eastAsia="en-US"/>
        </w:rPr>
        <w:tab/>
      </w:r>
      <w:r w:rsidR="00A16B8C" w:rsidRPr="00C90AC9">
        <w:rPr>
          <w:rFonts w:eastAsiaTheme="minorHAnsi"/>
          <w:lang w:eastAsia="en-US"/>
        </w:rPr>
        <w:t xml:space="preserve">In the 25 years since the TAM was first proposed it has been applied to a wide range of technologies, at different times, settings and populations </w:t>
      </w:r>
      <w:r w:rsidRPr="00C90AC9">
        <w:rPr>
          <w:rFonts w:eastAsiaTheme="minorHAnsi"/>
          <w:lang w:eastAsia="en-US"/>
        </w:rPr>
        <w:fldChar w:fldCharType="begin"/>
      </w:r>
      <w:r w:rsidRPr="00C90AC9">
        <w:rPr>
          <w:rFonts w:eastAsiaTheme="minorHAnsi"/>
          <w:lang w:eastAsia="en-US"/>
        </w:rPr>
        <w:instrText xml:space="preserve"> ADDIN EN.CITE &lt;EndNote&gt;&lt;Cite&gt;&lt;Author&gt;Liao&lt;/Author&gt;&lt;Year&gt;2009&lt;/Year&gt;&lt;RecNum&gt;239&lt;/RecNum&gt;&lt;DisplayText&gt;(Liao, Palvia, &amp;amp; Chen, 2009)&lt;/DisplayText&gt;&lt;record&gt;&lt;rec-number&gt;239&lt;/rec-number&gt;&lt;foreign-keys&gt;&lt;key app="EN" db-id="50wxdpzd9vd5r7e9t5b595djrfpttrxw9avp" timestamp="1525622013"&gt;239&lt;/key&gt;&lt;/foreign-keys&gt;&lt;ref-type name="Journal Article"&gt;17&lt;/ref-type&gt;&lt;contributors&gt;&lt;authors&gt;&lt;author&gt;Chechen Liao&lt;/author&gt;&lt;author&gt;Prashant Palvia&lt;/author&gt;&lt;author&gt;Jain-Liang Chen&lt;/author&gt;&lt;/authors&gt;&lt;/contributors&gt;&lt;titles&gt;&lt;title&gt;Information technology adoption behavior life cycle: Toward a Technology Continuance Theory (TCT)&lt;/title&gt;&lt;secondary-title&gt;Int. J. Inf. Manag.&lt;/secondary-title&gt;&lt;/titles&gt;&lt;pages&gt;309-320&lt;/pages&gt;&lt;volume&gt;29&lt;/volume&gt;&lt;number&gt;4&lt;/number&gt;&lt;dates&gt;&lt;year&gt;2009&lt;/year&gt;&lt;/dates&gt;&lt;isbn&gt;0268-4012&lt;/isbn&gt;&lt;urls&gt;&lt;/urls&gt;&lt;custom1&gt;2297722&lt;/custom1&gt;&lt;electronic-resource-num&gt;10.1016/j.ijinfomgt.2009.03.004&lt;/electronic-resource-num&gt;&lt;/record&gt;&lt;/Cite&gt;&lt;/EndNote&gt;</w:instrText>
      </w:r>
      <w:r w:rsidRPr="00C90AC9">
        <w:rPr>
          <w:rFonts w:eastAsiaTheme="minorHAnsi"/>
          <w:lang w:eastAsia="en-US"/>
        </w:rPr>
        <w:fldChar w:fldCharType="separate"/>
      </w:r>
      <w:r w:rsidRPr="00C90AC9">
        <w:rPr>
          <w:rFonts w:eastAsiaTheme="minorHAnsi"/>
          <w:lang w:eastAsia="en-US"/>
        </w:rPr>
        <w:t>(Liao, Palvia, &amp; Chen, 2009)</w:t>
      </w:r>
      <w:r w:rsidRPr="00C90AC9">
        <w:rPr>
          <w:rFonts w:eastAsiaTheme="minorHAnsi"/>
          <w:lang w:eastAsia="en-US"/>
        </w:rPr>
        <w:fldChar w:fldCharType="end"/>
      </w:r>
      <w:r w:rsidR="00C207A7" w:rsidRPr="00C90AC9">
        <w:rPr>
          <w:rFonts w:eastAsiaTheme="minorHAnsi"/>
          <w:lang w:eastAsia="en-US"/>
        </w:rPr>
        <w:t>.</w:t>
      </w:r>
      <w:r w:rsidR="00A16B8C" w:rsidRPr="00C90AC9">
        <w:rPr>
          <w:rFonts w:eastAsiaTheme="minorHAnsi"/>
          <w:lang w:eastAsia="en-US"/>
        </w:rPr>
        <w:t xml:space="preserve"> The TAM is gr</w:t>
      </w:r>
      <w:r w:rsidR="00C207A7" w:rsidRPr="00C90AC9">
        <w:rPr>
          <w:rFonts w:eastAsiaTheme="minorHAnsi"/>
          <w:lang w:eastAsia="en-US"/>
        </w:rPr>
        <w:t xml:space="preserve">ounded in psychological theory </w:t>
      </w:r>
      <w:r w:rsidRPr="00C90AC9">
        <w:rPr>
          <w:rFonts w:eastAsiaTheme="minorHAnsi"/>
          <w:lang w:eastAsia="en-US"/>
        </w:rPr>
        <w:fldChar w:fldCharType="begin"/>
      </w:r>
      <w:r w:rsidRPr="00C90AC9">
        <w:rPr>
          <w:rFonts w:eastAsiaTheme="minorHAnsi"/>
          <w:lang w:eastAsia="en-US"/>
        </w:rPr>
        <w:instrText xml:space="preserve"> ADDIN EN.CITE &lt;EndNote&gt;&lt;Cite&gt;&lt;Author&gt;Venkatesh&lt;/Author&gt;&lt;Year&gt;2003&lt;/Year&gt;&lt;RecNum&gt;235&lt;/RecNum&gt;&lt;DisplayText&gt;(Venkatesh et al., 2003)&lt;/DisplayText&gt;&lt;record&gt;&lt;rec-number&gt;235&lt;/rec-number&gt;&lt;foreign-keys&gt;&lt;key app="EN" db-id="50wxdpzd9vd5r7e9t5b595djrfpttrxw9avp" timestamp="1525605743"&gt;235&lt;/key&gt;&lt;/foreign-keys&gt;&lt;ref-type name="Journal Article"&gt;17&lt;/ref-type&gt;&lt;contributors&gt;&lt;authors&gt;&lt;author&gt;Venkatesh, Viswanath&lt;/author&gt;&lt;author&gt;Morris, Michael G.&lt;/author&gt;&lt;author&gt;Davis, Gordon B.&lt;/author&gt;&lt;author&gt;Davis, Fred D.&lt;/author&gt;&lt;/authors&gt;&lt;/contributors&gt;&lt;titles&gt;&lt;title&gt;User Acceptance of Information Technology: Toward a Unified View&lt;/title&gt;&lt;secondary-title&gt;MIS Quarterly&lt;/secondary-title&gt;&lt;/titles&gt;&lt;pages&gt;425-478&lt;/pages&gt;&lt;volume&gt;27&lt;/volume&gt;&lt;number&gt;3&lt;/number&gt;&lt;dates&gt;&lt;year&gt;2003&lt;/year&gt;&lt;/dates&gt;&lt;publisher&gt;Management Information Systems Research Center, University of Minnesota&lt;/publisher&gt;&lt;isbn&gt;02767783&lt;/isbn&gt;&lt;urls&gt;&lt;related-urls&gt;&lt;url&gt;http://www.jstor.org/stable/30036540&lt;/url&gt;&lt;/related-urls&gt;&lt;/urls&gt;&lt;custom1&gt;Full publication date: Sep., 2003&lt;/custom1&gt;&lt;electronic-resource-num&gt;10.2307/30036540&lt;/electronic-resource-num&gt;&lt;/record&gt;&lt;/Cite&gt;&lt;/EndNote&gt;</w:instrText>
      </w:r>
      <w:r w:rsidRPr="00C90AC9">
        <w:rPr>
          <w:rFonts w:eastAsiaTheme="minorHAnsi"/>
          <w:lang w:eastAsia="en-US"/>
        </w:rPr>
        <w:fldChar w:fldCharType="separate"/>
      </w:r>
      <w:r w:rsidRPr="00C90AC9">
        <w:rPr>
          <w:rFonts w:eastAsiaTheme="minorHAnsi"/>
          <w:lang w:eastAsia="en-US"/>
        </w:rPr>
        <w:t>(Venkatesh et al., 2003)</w:t>
      </w:r>
      <w:r w:rsidRPr="00C90AC9">
        <w:rPr>
          <w:rFonts w:eastAsiaTheme="minorHAnsi"/>
          <w:lang w:eastAsia="en-US"/>
        </w:rPr>
        <w:fldChar w:fldCharType="end"/>
      </w:r>
      <w:r w:rsidR="00C207A7" w:rsidRPr="00C90AC9">
        <w:rPr>
          <w:rFonts w:eastAsiaTheme="minorHAnsi"/>
          <w:lang w:eastAsia="en-US"/>
        </w:rPr>
        <w:t xml:space="preserve"> </w:t>
      </w:r>
      <w:r w:rsidR="00A16B8C" w:rsidRPr="00C90AC9">
        <w:rPr>
          <w:rFonts w:eastAsiaTheme="minorHAnsi"/>
          <w:lang w:eastAsia="en-US"/>
        </w:rPr>
        <w:t>and whilst being prudent with its variables it has the capability of being expand</w:t>
      </w:r>
      <w:r w:rsidRPr="00C90AC9">
        <w:rPr>
          <w:rFonts w:eastAsiaTheme="minorHAnsi"/>
          <w:lang w:eastAsia="en-US"/>
        </w:rPr>
        <w:t>ed into more expansive theories</w:t>
      </w:r>
      <w:r w:rsidR="00A16B8C" w:rsidRPr="00C90AC9">
        <w:rPr>
          <w:rFonts w:eastAsiaTheme="minorHAnsi"/>
          <w:lang w:eastAsia="en-US"/>
        </w:rPr>
        <w:t xml:space="preserve">, yet the TAM has not been assessed with regards to </w:t>
      </w:r>
      <w:r w:rsidR="006518C0" w:rsidRPr="00C90AC9">
        <w:rPr>
          <w:rFonts w:eastAsiaTheme="minorHAnsi"/>
          <w:lang w:eastAsia="en-US"/>
        </w:rPr>
        <w:t>STPs</w:t>
      </w:r>
      <w:r w:rsidR="0063274C" w:rsidRPr="00C90AC9">
        <w:rPr>
          <w:rFonts w:eastAsiaTheme="minorHAnsi"/>
          <w:lang w:eastAsia="en-US"/>
        </w:rPr>
        <w:t xml:space="preserve"> in the UK</w:t>
      </w:r>
      <w:r w:rsidRPr="00C90AC9">
        <w:rPr>
          <w:rFonts w:eastAsiaTheme="minorHAnsi"/>
          <w:lang w:eastAsia="en-US"/>
        </w:rPr>
        <w:t xml:space="preserve"> </w:t>
      </w:r>
      <w:r w:rsidRPr="00C90AC9">
        <w:rPr>
          <w:rFonts w:eastAsiaTheme="minorHAnsi"/>
          <w:lang w:eastAsia="en-US"/>
        </w:rPr>
        <w:fldChar w:fldCharType="begin"/>
      </w:r>
      <w:r w:rsidRPr="00C90AC9">
        <w:rPr>
          <w:rFonts w:eastAsiaTheme="minorHAnsi"/>
          <w:lang w:eastAsia="en-US"/>
        </w:rPr>
        <w:instrText xml:space="preserve"> ADDIN EN.CITE &lt;EndNote&gt;&lt;Cite&gt;&lt;Author&gt;Venkatesh&lt;/Author&gt;&lt;Year&gt;2003&lt;/Year&gt;&lt;RecNum&gt;235&lt;/RecNum&gt;&lt;DisplayText&gt;(Venkatesh et al., 2003)&lt;/DisplayText&gt;&lt;record&gt;&lt;rec-number&gt;235&lt;/rec-number&gt;&lt;foreign-keys&gt;&lt;key app="EN" db-id="50wxdpzd9vd5r7e9t5b595djrfpttrxw9avp" timestamp="1525605743"&gt;235&lt;/key&gt;&lt;/foreign-keys&gt;&lt;ref-type name="Journal Article"&gt;17&lt;/ref-type&gt;&lt;contributors&gt;&lt;authors&gt;&lt;author&gt;Venkatesh, Viswanath&lt;/author&gt;&lt;author&gt;Morris, Michael G.&lt;/author&gt;&lt;author&gt;Davis, Gordon B.&lt;/author&gt;&lt;author&gt;Davis, Fred D.&lt;/author&gt;&lt;/authors&gt;&lt;/contributors&gt;&lt;titles&gt;&lt;title&gt;User Acceptance of Information Technology: Toward a Unified View&lt;/title&gt;&lt;secondary-title&gt;MIS Quarterly&lt;/secondary-title&gt;&lt;/titles&gt;&lt;pages&gt;425-478&lt;/pages&gt;&lt;volume&gt;27&lt;/volume&gt;&lt;number&gt;3&lt;/number&gt;&lt;dates&gt;&lt;year&gt;2003&lt;/year&gt;&lt;/dates&gt;&lt;publisher&gt;Management Information Systems Research Center, University of Minnesota&lt;/publisher&gt;&lt;isbn&gt;02767783&lt;/isbn&gt;&lt;urls&gt;&lt;related-urls&gt;&lt;url&gt;http://www.jstor.org/stable/30036540&lt;/url&gt;&lt;/related-urls&gt;&lt;/urls&gt;&lt;custom1&gt;Full publication date: Sep., 2003&lt;/custom1&gt;&lt;electronic-resource-num&gt;10.2307/30036540&lt;/electronic-resource-num&gt;&lt;/record&gt;&lt;/Cite&gt;&lt;/EndNote&gt;</w:instrText>
      </w:r>
      <w:r w:rsidRPr="00C90AC9">
        <w:rPr>
          <w:rFonts w:eastAsiaTheme="minorHAnsi"/>
          <w:lang w:eastAsia="en-US"/>
        </w:rPr>
        <w:fldChar w:fldCharType="separate"/>
      </w:r>
      <w:r w:rsidRPr="00C90AC9">
        <w:rPr>
          <w:rFonts w:eastAsiaTheme="minorHAnsi"/>
          <w:lang w:eastAsia="en-US"/>
        </w:rPr>
        <w:t>(Venkatesh et al., 2003)</w:t>
      </w:r>
      <w:r w:rsidRPr="00C90AC9">
        <w:rPr>
          <w:rFonts w:eastAsiaTheme="minorHAnsi"/>
          <w:lang w:eastAsia="en-US"/>
        </w:rPr>
        <w:fldChar w:fldCharType="end"/>
      </w:r>
      <w:r w:rsidR="00A16B8C" w:rsidRPr="00C90AC9">
        <w:rPr>
          <w:rFonts w:eastAsiaTheme="minorHAnsi"/>
          <w:lang w:eastAsia="en-US"/>
        </w:rPr>
        <w:t xml:space="preserve">. The TAM has however been assessed in a domestic setting with respect to renewable technologies such as Smart Grids </w:t>
      </w:r>
      <w:r w:rsidR="0026335B" w:rsidRPr="00C90AC9">
        <w:rPr>
          <w:rFonts w:eastAsiaTheme="minorHAnsi"/>
          <w:lang w:eastAsia="en-US"/>
        </w:rPr>
        <w:fldChar w:fldCharType="begin"/>
      </w:r>
      <w:r w:rsidR="0026335B" w:rsidRPr="00C90AC9">
        <w:rPr>
          <w:rFonts w:eastAsiaTheme="minorHAnsi"/>
          <w:lang w:eastAsia="en-US"/>
        </w:rPr>
        <w:instrText xml:space="preserve"> ADDIN EN.CITE &lt;EndNote&gt;&lt;Cite&gt;&lt;Author&gt;Stragier&lt;/Author&gt;&lt;Year&gt;2010&lt;/Year&gt;&lt;RecNum&gt;240&lt;/RecNum&gt;&lt;DisplayText&gt;(Stragier, Hauttekeete, &amp;amp; Marez, 2010)&lt;/DisplayText&gt;&lt;record&gt;&lt;rec-number&gt;240&lt;/rec-number&gt;&lt;foreign-keys&gt;&lt;key app="EN" db-id="50wxdpzd9vd5r7e9t5b595djrfpttrxw9avp" timestamp="1525622396"&gt;240&lt;/key&gt;&lt;/foreign-keys&gt;&lt;ref-type name="Conference Proceedings"&gt;10&lt;/ref-type&gt;&lt;contributors&gt;&lt;authors&gt;&lt;author&gt;J. Stragier&lt;/author&gt;&lt;author&gt;L. Hauttekeete&lt;/author&gt;&lt;author&gt;L. De Marez&lt;/author&gt;&lt;/authors&gt;&lt;/contributors&gt;&lt;titles&gt;&lt;title&gt;Introducing Smart grids in residential contexts: Consumers&amp;apos; perception of smart household appliances&lt;/title&gt;&lt;secondary-title&gt;2010 IEEE Conference on Innovative Technologies for an Efficient and Reliable Electricity Supply&lt;/secondary-title&gt;&lt;alt-title&gt;2010 IEEE Conference on Innovative Technologies for an Efficient and Reliable Electricity Supply&lt;/alt-title&gt;&lt;/titles&gt;&lt;pages&gt;135-142&lt;/pages&gt;&lt;keywords&gt;&lt;keyword&gt;consumer behaviour&lt;/keyword&gt;&lt;keyword&gt;demand side management&lt;/keyword&gt;&lt;keyword&gt;domestic appliances&lt;/keyword&gt;&lt;keyword&gt;power system economics&lt;/keyword&gt;&lt;keyword&gt;smart power grids&lt;/keyword&gt;&lt;keyword&gt;Flanders Belgium&lt;/keyword&gt;&lt;keyword&gt;consumers perception&lt;/keyword&gt;&lt;keyword&gt;smart grids&lt;/keyword&gt;&lt;keyword&gt;smart household appliances&lt;/keyword&gt;&lt;keyword&gt;Biological system modeling&lt;/keyword&gt;&lt;keyword&gt;Energy consumption&lt;/keyword&gt;&lt;keyword&gt;Energy efficiency&lt;/keyword&gt;&lt;keyword&gt;Home appliances&lt;/keyword&gt;&lt;keyword&gt;Indexes&lt;/keyword&gt;&lt;keyword&gt;Safety&lt;/keyword&gt;&lt;keyword&gt;consumer behavior&lt;/keyword&gt;&lt;keyword&gt;smart appliances&lt;/keyword&gt;&lt;keyword&gt;smart grid&lt;/keyword&gt;&lt;/keywords&gt;&lt;dates&gt;&lt;year&gt;2010&lt;/year&gt;&lt;pub-dates&gt;&lt;date&gt;27-29 Sept. 2010&lt;/date&gt;&lt;/pub-dates&gt;&lt;/dates&gt;&lt;urls&gt;&lt;/urls&gt;&lt;electronic-resource-num&gt;10.1109/CITRES.2010.5619864&lt;/electronic-resource-num&gt;&lt;/record&gt;&lt;/Cite&gt;&lt;/EndNote&gt;</w:instrText>
      </w:r>
      <w:r w:rsidR="0026335B" w:rsidRPr="00C90AC9">
        <w:rPr>
          <w:rFonts w:eastAsiaTheme="minorHAnsi"/>
          <w:lang w:eastAsia="en-US"/>
        </w:rPr>
        <w:fldChar w:fldCharType="separate"/>
      </w:r>
      <w:r w:rsidR="0026335B" w:rsidRPr="00C90AC9">
        <w:rPr>
          <w:rFonts w:eastAsiaTheme="minorHAnsi"/>
          <w:lang w:eastAsia="en-US"/>
        </w:rPr>
        <w:t>(Stragier, Hauttekeete, &amp; Marez, 2010)</w:t>
      </w:r>
      <w:r w:rsidR="0026335B" w:rsidRPr="00C90AC9">
        <w:rPr>
          <w:rFonts w:eastAsiaTheme="minorHAnsi"/>
          <w:lang w:eastAsia="en-US"/>
        </w:rPr>
        <w:fldChar w:fldCharType="end"/>
      </w:r>
      <w:r w:rsidR="0026335B" w:rsidRPr="00C90AC9">
        <w:rPr>
          <w:rFonts w:eastAsiaTheme="minorHAnsi"/>
          <w:lang w:eastAsia="en-US"/>
        </w:rPr>
        <w:t xml:space="preserve">. </w:t>
      </w:r>
      <w:r w:rsidR="00A16B8C" w:rsidRPr="00C90AC9">
        <w:rPr>
          <w:rFonts w:eastAsiaTheme="minorHAnsi"/>
          <w:lang w:eastAsia="en-US"/>
        </w:rPr>
        <w:t>In th</w:t>
      </w:r>
      <w:r w:rsidRPr="00C90AC9">
        <w:rPr>
          <w:rFonts w:eastAsiaTheme="minorHAnsi"/>
          <w:lang w:eastAsia="en-US"/>
        </w:rPr>
        <w:t>is</w:t>
      </w:r>
      <w:r w:rsidR="00A16B8C" w:rsidRPr="00C90AC9">
        <w:rPr>
          <w:rFonts w:eastAsiaTheme="minorHAnsi"/>
          <w:lang w:eastAsia="en-US"/>
        </w:rPr>
        <w:t xml:space="preserve"> study by </w:t>
      </w:r>
      <w:proofErr w:type="spellStart"/>
      <w:r w:rsidR="00A16B8C" w:rsidRPr="00C90AC9">
        <w:rPr>
          <w:rFonts w:eastAsiaTheme="minorHAnsi"/>
          <w:lang w:eastAsia="en-US"/>
        </w:rPr>
        <w:t>Stragier</w:t>
      </w:r>
      <w:proofErr w:type="spellEnd"/>
      <w:r w:rsidR="00A16B8C" w:rsidRPr="00C90AC9">
        <w:rPr>
          <w:rFonts w:eastAsiaTheme="minorHAnsi"/>
          <w:lang w:eastAsia="en-US"/>
        </w:rPr>
        <w:t xml:space="preserve"> et al they showed the applicability of the TAM at measuring the perception, attitude and intention to use Smart Grids</w:t>
      </w:r>
      <w:r w:rsidR="0026335B" w:rsidRPr="00C90AC9">
        <w:rPr>
          <w:rFonts w:eastAsiaTheme="minorHAnsi"/>
          <w:lang w:eastAsia="en-US"/>
        </w:rPr>
        <w:t xml:space="preserve"> </w:t>
      </w:r>
      <w:r w:rsidR="0026335B" w:rsidRPr="00C90AC9">
        <w:rPr>
          <w:rFonts w:eastAsiaTheme="minorHAnsi"/>
          <w:lang w:eastAsia="en-US"/>
        </w:rPr>
        <w:fldChar w:fldCharType="begin"/>
      </w:r>
      <w:r w:rsidR="0026335B" w:rsidRPr="00C90AC9">
        <w:rPr>
          <w:rFonts w:eastAsiaTheme="minorHAnsi"/>
          <w:lang w:eastAsia="en-US"/>
        </w:rPr>
        <w:instrText xml:space="preserve"> ADDIN EN.CITE &lt;EndNote&gt;&lt;Cite&gt;&lt;Author&gt;Stragier&lt;/Author&gt;&lt;Year&gt;2010&lt;/Year&gt;&lt;RecNum&gt;240&lt;/RecNum&gt;&lt;DisplayText&gt;(Stragier et al., 2010)&lt;/DisplayText&gt;&lt;record&gt;&lt;rec-number&gt;240&lt;/rec-number&gt;&lt;foreign-keys&gt;&lt;key app="EN" db-id="50wxdpzd9vd5r7e9t5b595djrfpttrxw9avp" timestamp="1525622396"&gt;240&lt;/key&gt;&lt;/foreign-keys&gt;&lt;ref-type name="Conference Proceedings"&gt;10&lt;/ref-type&gt;&lt;contributors&gt;&lt;authors&gt;&lt;author&gt;J. Stragier&lt;/author&gt;&lt;author&gt;L. Hauttekeete&lt;/author&gt;&lt;author&gt;L. De Marez&lt;/author&gt;&lt;/authors&gt;&lt;/contributors&gt;&lt;titles&gt;&lt;title&gt;Introducing Smart grids in residential contexts: Consumers&amp;apos; perception of smart household appliances&lt;/title&gt;&lt;secondary-title&gt;2010 IEEE Conference on Innovative Technologies for an Efficient and Reliable Electricity Supply&lt;/secondary-title&gt;&lt;alt-title&gt;2010 IEEE Conference on Innovative Technologies for an Efficient and Reliable Electricity Supply&lt;/alt-title&gt;&lt;/titles&gt;&lt;pages&gt;135-142&lt;/pages&gt;&lt;keywords&gt;&lt;keyword&gt;consumer behaviour&lt;/keyword&gt;&lt;keyword&gt;demand side management&lt;/keyword&gt;&lt;keyword&gt;domestic appliances&lt;/keyword&gt;&lt;keyword&gt;power system economics&lt;/keyword&gt;&lt;keyword&gt;smart power grids&lt;/keyword&gt;&lt;keyword&gt;Flanders Belgium&lt;/keyword&gt;&lt;keyword&gt;consumers perception&lt;/keyword&gt;&lt;keyword&gt;smart grids&lt;/keyword&gt;&lt;keyword&gt;smart household appliances&lt;/keyword&gt;&lt;keyword&gt;Biological system modeling&lt;/keyword&gt;&lt;keyword&gt;Energy consumption&lt;/keyword&gt;&lt;keyword&gt;Energy efficiency&lt;/keyword&gt;&lt;keyword&gt;Home appliances&lt;/keyword&gt;&lt;keyword&gt;Indexes&lt;/keyword&gt;&lt;keyword&gt;Safety&lt;/keyword&gt;&lt;keyword&gt;consumer behavior&lt;/keyword&gt;&lt;keyword&gt;smart appliances&lt;/keyword&gt;&lt;keyword&gt;smart grid&lt;/keyword&gt;&lt;/keywords&gt;&lt;dates&gt;&lt;year&gt;2010&lt;/year&gt;&lt;pub-dates&gt;&lt;date&gt;27-29 Sept. 2010&lt;/date&gt;&lt;/pub-dates&gt;&lt;/dates&gt;&lt;urls&gt;&lt;/urls&gt;&lt;electronic-resource-num&gt;10.1109/CITRES.2010.5619864&lt;/electronic-resource-num&gt;&lt;/record&gt;&lt;/Cite&gt;&lt;/EndNote&gt;</w:instrText>
      </w:r>
      <w:r w:rsidR="0026335B" w:rsidRPr="00C90AC9">
        <w:rPr>
          <w:rFonts w:eastAsiaTheme="minorHAnsi"/>
          <w:lang w:eastAsia="en-US"/>
        </w:rPr>
        <w:fldChar w:fldCharType="separate"/>
      </w:r>
      <w:r w:rsidR="0026335B" w:rsidRPr="00C90AC9">
        <w:rPr>
          <w:rFonts w:eastAsiaTheme="minorHAnsi"/>
          <w:lang w:eastAsia="en-US"/>
        </w:rPr>
        <w:t>(Stragier et al., 2010)</w:t>
      </w:r>
      <w:r w:rsidR="0026335B" w:rsidRPr="00C90AC9">
        <w:rPr>
          <w:rFonts w:eastAsiaTheme="minorHAnsi"/>
          <w:lang w:eastAsia="en-US"/>
        </w:rPr>
        <w:fldChar w:fldCharType="end"/>
      </w:r>
      <w:r w:rsidR="00A16B8C" w:rsidRPr="00C90AC9">
        <w:rPr>
          <w:rFonts w:eastAsiaTheme="minorHAnsi"/>
          <w:lang w:eastAsia="en-US"/>
        </w:rPr>
        <w:t xml:space="preserve">. </w:t>
      </w:r>
    </w:p>
    <w:p w:rsidR="00A16B8C" w:rsidRPr="00C90AC9" w:rsidRDefault="00A16B8C" w:rsidP="007B01CA">
      <w:pPr>
        <w:pStyle w:val="BodyText"/>
        <w:spacing w:line="360" w:lineRule="auto"/>
        <w:rPr>
          <w:rFonts w:eastAsiaTheme="minorHAnsi"/>
          <w:lang w:eastAsia="en-US"/>
        </w:rPr>
      </w:pPr>
      <w:r w:rsidRPr="00C90AC9">
        <w:rPr>
          <w:rFonts w:eastAsiaTheme="minorHAnsi"/>
          <w:lang w:eastAsia="en-US"/>
        </w:rPr>
        <w:t xml:space="preserve">Using a quantitative survey with 500 responses the study determined that consumers PEOU and PU of Smart household technology had a strong influence on their Attitude towards using the technology </w:t>
      </w:r>
      <w:r w:rsidR="00227E3F" w:rsidRPr="00C90AC9">
        <w:rPr>
          <w:rFonts w:eastAsiaTheme="minorHAnsi"/>
          <w:lang w:eastAsia="en-US"/>
        </w:rPr>
        <w:fldChar w:fldCharType="begin"/>
      </w:r>
      <w:r w:rsidR="00227E3F" w:rsidRPr="00C90AC9">
        <w:rPr>
          <w:rFonts w:eastAsiaTheme="minorHAnsi"/>
          <w:lang w:eastAsia="en-US"/>
        </w:rPr>
        <w:instrText xml:space="preserve"> ADDIN EN.CITE &lt;EndNote&gt;&lt;Cite&gt;&lt;Author&gt;Stragier&lt;/Author&gt;&lt;Year&gt;2010&lt;/Year&gt;&lt;RecNum&gt;240&lt;/RecNum&gt;&lt;DisplayText&gt;(Stragier et al., 2010)&lt;/DisplayText&gt;&lt;record&gt;&lt;rec-number&gt;240&lt;/rec-number&gt;&lt;foreign-keys&gt;&lt;key app="EN" db-id="50wxdpzd9vd5r7e9t5b595djrfpttrxw9avp" timestamp="1525622396"&gt;240&lt;/key&gt;&lt;/foreign-keys&gt;&lt;ref-type name="Conference Proceedings"&gt;10&lt;/ref-type&gt;&lt;contributors&gt;&lt;authors&gt;&lt;author&gt;J. Stragier&lt;/author&gt;&lt;author&gt;L. Hauttekeete&lt;/author&gt;&lt;author&gt;L. De Marez&lt;/author&gt;&lt;/authors&gt;&lt;/contributors&gt;&lt;titles&gt;&lt;title&gt;Introducing Smart grids in residential contexts: Consumers&amp;apos; perception of smart household appliances&lt;/title&gt;&lt;secondary-title&gt;2010 IEEE Conference on Innovative Technologies for an Efficient and Reliable Electricity Supply&lt;/secondary-title&gt;&lt;alt-title&gt;2010 IEEE Conference on Innovative Technologies for an Efficient and Reliable Electricity Supply&lt;/alt-title&gt;&lt;/titles&gt;&lt;pages&gt;135-142&lt;/pages&gt;&lt;keywords&gt;&lt;keyword&gt;consumer behaviour&lt;/keyword&gt;&lt;keyword&gt;demand side management&lt;/keyword&gt;&lt;keyword&gt;domestic appliances&lt;/keyword&gt;&lt;keyword&gt;power system economics&lt;/keyword&gt;&lt;keyword&gt;smart power grids&lt;/keyword&gt;&lt;keyword&gt;Flanders Belgium&lt;/keyword&gt;&lt;keyword&gt;consumers perception&lt;/keyword&gt;&lt;keyword&gt;smart grids&lt;/keyword&gt;&lt;keyword&gt;smart household appliances&lt;/keyword&gt;&lt;keyword&gt;Biological system modeling&lt;/keyword&gt;&lt;keyword&gt;Energy consumption&lt;/keyword&gt;&lt;keyword&gt;Energy efficiency&lt;/keyword&gt;&lt;keyword&gt;Home appliances&lt;/keyword&gt;&lt;keyword&gt;Indexes&lt;/keyword&gt;&lt;keyword&gt;Safety&lt;/keyword&gt;&lt;keyword&gt;consumer behavior&lt;/keyword&gt;&lt;keyword&gt;smart appliances&lt;/keyword&gt;&lt;keyword&gt;smart grid&lt;/keyword&gt;&lt;/keywords&gt;&lt;dates&gt;&lt;year&gt;2010&lt;/year&gt;&lt;pub-dates&gt;&lt;date&gt;27-29 Sept. 2010&lt;/date&gt;&lt;/pub-dates&gt;&lt;/dates&gt;&lt;urls&gt;&lt;/urls&gt;&lt;electronic-resource-num&gt;10.1109/CITRES.2010.5619864&lt;/electronic-resource-num&gt;&lt;/record&gt;&lt;/Cite&gt;&lt;/EndNote&gt;</w:instrText>
      </w:r>
      <w:r w:rsidR="00227E3F" w:rsidRPr="00C90AC9">
        <w:rPr>
          <w:rFonts w:eastAsiaTheme="minorHAnsi"/>
          <w:lang w:eastAsia="en-US"/>
        </w:rPr>
        <w:fldChar w:fldCharType="separate"/>
      </w:r>
      <w:r w:rsidR="00227E3F" w:rsidRPr="00C90AC9">
        <w:rPr>
          <w:rFonts w:eastAsiaTheme="minorHAnsi"/>
          <w:lang w:eastAsia="en-US"/>
        </w:rPr>
        <w:t>(Stragier et al., 2010)</w:t>
      </w:r>
      <w:r w:rsidR="00227E3F" w:rsidRPr="00C90AC9">
        <w:rPr>
          <w:rFonts w:eastAsiaTheme="minorHAnsi"/>
          <w:lang w:eastAsia="en-US"/>
        </w:rPr>
        <w:fldChar w:fldCharType="end"/>
      </w:r>
      <w:r w:rsidRPr="00C90AC9">
        <w:rPr>
          <w:rFonts w:eastAsiaTheme="minorHAnsi"/>
          <w:lang w:eastAsia="en-US"/>
        </w:rPr>
        <w:t>.</w:t>
      </w:r>
      <w:r w:rsidR="00227E3F" w:rsidRPr="00C90AC9">
        <w:rPr>
          <w:rFonts w:eastAsiaTheme="minorHAnsi"/>
          <w:lang w:eastAsia="en-US"/>
        </w:rPr>
        <w:t xml:space="preserve"> </w:t>
      </w:r>
      <w:r w:rsidRPr="00C90AC9">
        <w:rPr>
          <w:rFonts w:eastAsiaTheme="minorHAnsi"/>
          <w:lang w:eastAsia="en-US"/>
        </w:rPr>
        <w:t xml:space="preserve">Additionally it was shown that Attitude had a significant positive effect on Behavioural Intention to use the technology </w:t>
      </w:r>
      <w:r w:rsidR="00227E3F" w:rsidRPr="00C90AC9">
        <w:rPr>
          <w:rFonts w:eastAsiaTheme="minorHAnsi"/>
          <w:lang w:eastAsia="en-US"/>
        </w:rPr>
        <w:fldChar w:fldCharType="begin"/>
      </w:r>
      <w:r w:rsidR="00227E3F" w:rsidRPr="00C90AC9">
        <w:rPr>
          <w:rFonts w:eastAsiaTheme="minorHAnsi"/>
          <w:lang w:eastAsia="en-US"/>
        </w:rPr>
        <w:instrText xml:space="preserve"> ADDIN EN.CITE &lt;EndNote&gt;&lt;Cite&gt;&lt;Author&gt;Stragier&lt;/Author&gt;&lt;Year&gt;2010&lt;/Year&gt;&lt;RecNum&gt;240&lt;/RecNum&gt;&lt;DisplayText&gt;(Stragier et al., 2010)&lt;/DisplayText&gt;&lt;record&gt;&lt;rec-number&gt;240&lt;/rec-number&gt;&lt;foreign-keys&gt;&lt;key app="EN" db-id="50wxdpzd9vd5r7e9t5b595djrfpttrxw9avp" timestamp="1525622396"&gt;240&lt;/key&gt;&lt;/foreign-keys&gt;&lt;ref-type name="Conference Proceedings"&gt;10&lt;/ref-type&gt;&lt;contributors&gt;&lt;authors&gt;&lt;author&gt;J. Stragier&lt;/author&gt;&lt;author&gt;L. Hauttekeete&lt;/author&gt;&lt;author&gt;L. De Marez&lt;/author&gt;&lt;/authors&gt;&lt;/contributors&gt;&lt;titles&gt;&lt;title&gt;Introducing Smart grids in residential contexts: Consumers&amp;apos; perception of smart household appliances&lt;/title&gt;&lt;secondary-title&gt;2010 IEEE Conference on Innovative Technologies for an Efficient and Reliable Electricity Supply&lt;/secondary-title&gt;&lt;alt-title&gt;2010 IEEE Conference on Innovative Technologies for an Efficient and Reliable Electricity Supply&lt;/alt-title&gt;&lt;/titles&gt;&lt;pages&gt;135-142&lt;/pages&gt;&lt;keywords&gt;&lt;keyword&gt;consumer behaviour&lt;/keyword&gt;&lt;keyword&gt;demand side management&lt;/keyword&gt;&lt;keyword&gt;domestic appliances&lt;/keyword&gt;&lt;keyword&gt;power system economics&lt;/keyword&gt;&lt;keyword&gt;smart power grids&lt;/keyword&gt;&lt;keyword&gt;Flanders Belgium&lt;/keyword&gt;&lt;keyword&gt;consumers perception&lt;/keyword&gt;&lt;keyword&gt;smart grids&lt;/keyword&gt;&lt;keyword&gt;smart household appliances&lt;/keyword&gt;&lt;keyword&gt;Biological system modeling&lt;/keyword&gt;&lt;keyword&gt;Energy consumption&lt;/keyword&gt;&lt;keyword&gt;Energy efficiency&lt;/keyword&gt;&lt;keyword&gt;Home appliances&lt;/keyword&gt;&lt;keyword&gt;Indexes&lt;/keyword&gt;&lt;keyword&gt;Safety&lt;/keyword&gt;&lt;keyword&gt;consumer behavior&lt;/keyword&gt;&lt;keyword&gt;smart appliances&lt;/keyword&gt;&lt;keyword&gt;smart grid&lt;/keyword&gt;&lt;/keywords&gt;&lt;dates&gt;&lt;year&gt;2010&lt;/year&gt;&lt;pub-dates&gt;&lt;date&gt;27-29 Sept. 2010&lt;/date&gt;&lt;/pub-dates&gt;&lt;/dates&gt;&lt;urls&gt;&lt;/urls&gt;&lt;electronic-resource-num&gt;10.1109/CITRES.2010.5619864&lt;/electronic-resource-num&gt;&lt;/record&gt;&lt;/Cite&gt;&lt;/EndNote&gt;</w:instrText>
      </w:r>
      <w:r w:rsidR="00227E3F" w:rsidRPr="00C90AC9">
        <w:rPr>
          <w:rFonts w:eastAsiaTheme="minorHAnsi"/>
          <w:lang w:eastAsia="en-US"/>
        </w:rPr>
        <w:fldChar w:fldCharType="separate"/>
      </w:r>
      <w:r w:rsidR="00227E3F" w:rsidRPr="00C90AC9">
        <w:rPr>
          <w:rFonts w:eastAsiaTheme="minorHAnsi"/>
          <w:lang w:eastAsia="en-US"/>
        </w:rPr>
        <w:t>(Stragier et al., 2010)</w:t>
      </w:r>
      <w:r w:rsidR="00227E3F" w:rsidRPr="00C90AC9">
        <w:rPr>
          <w:rFonts w:eastAsiaTheme="minorHAnsi"/>
          <w:lang w:eastAsia="en-US"/>
        </w:rPr>
        <w:fldChar w:fldCharType="end"/>
      </w:r>
      <w:r w:rsidRPr="00C90AC9">
        <w:rPr>
          <w:rFonts w:eastAsiaTheme="minorHAnsi"/>
          <w:lang w:eastAsia="en-US"/>
        </w:rPr>
        <w:t>.</w:t>
      </w:r>
    </w:p>
    <w:p w:rsidR="00D1482C" w:rsidRPr="00C90AC9" w:rsidRDefault="00D1482C">
      <w:pPr>
        <w:rPr>
          <w:rFonts w:eastAsiaTheme="minorHAnsi"/>
        </w:rPr>
      </w:pPr>
      <w:r w:rsidRPr="00C90AC9">
        <w:rPr>
          <w:rFonts w:eastAsiaTheme="minorHAnsi"/>
        </w:rPr>
        <w:br w:type="page"/>
      </w:r>
    </w:p>
    <w:p w:rsidR="00A16B8C" w:rsidRPr="00C90AC9" w:rsidRDefault="0074402A" w:rsidP="00B06779">
      <w:pPr>
        <w:pStyle w:val="BodyText"/>
        <w:rPr>
          <w:rFonts w:eastAsiaTheme="minorHAnsi"/>
          <w:lang w:eastAsia="en-US"/>
        </w:rPr>
      </w:pPr>
      <w:r w:rsidRPr="00C90AC9">
        <w:rPr>
          <w:rFonts w:eastAsiaTheme="minorHAnsi"/>
          <w:noProof/>
        </w:rPr>
        <w:lastRenderedPageBreak/>
        <mc:AlternateContent>
          <mc:Choice Requires="wps">
            <w:drawing>
              <wp:anchor distT="0" distB="0" distL="114300" distR="114300" simplePos="0" relativeHeight="251692032" behindDoc="0" locked="0" layoutInCell="1" allowOverlap="1" wp14:anchorId="3A89679F" wp14:editId="4459238A">
                <wp:simplePos x="0" y="0"/>
                <wp:positionH relativeFrom="column">
                  <wp:posOffset>-95693</wp:posOffset>
                </wp:positionH>
                <wp:positionV relativeFrom="paragraph">
                  <wp:posOffset>212651</wp:posOffset>
                </wp:positionV>
                <wp:extent cx="5975498" cy="2000250"/>
                <wp:effectExtent l="0" t="0" r="25400" b="1905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5498" cy="20002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4BFB6F" id="Rectangle 28" o:spid="_x0000_s1026" style="position:absolute;margin-left:-7.55pt;margin-top:16.75pt;width:470.5pt;height:15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" filled="f" strokecolor="windowText" strokeweight="1pt">
                <v:path arrowok="t"/>
              </v:rect>
            </w:pict>
          </mc:Fallback>
        </mc:AlternateContent>
      </w:r>
      <w:r w:rsidR="000B2E93" w:rsidRPr="00C90AC9">
        <w:rPr>
          <w:rFonts w:eastAsiaTheme="minorHAnsi"/>
        </w:rPr>
        <w:t>Figure 2.15</w:t>
      </w:r>
      <w:r w:rsidR="00A16B8C" w:rsidRPr="00C90AC9">
        <w:rPr>
          <w:rFonts w:eastAsiaTheme="minorHAnsi"/>
        </w:rPr>
        <w:t>.</w:t>
      </w:r>
      <w:r w:rsidR="00A16B8C" w:rsidRPr="00C90AC9">
        <w:rPr>
          <w:rFonts w:eastAsiaTheme="minorHAnsi"/>
          <w:lang w:eastAsia="en-US"/>
        </w:rPr>
        <w:t xml:space="preserve"> </w:t>
      </w:r>
      <w:r w:rsidR="00FF1220" w:rsidRPr="00C90AC9">
        <w:rPr>
          <w:rFonts w:eastAsiaTheme="minorHAnsi"/>
          <w:lang w:eastAsia="en-US"/>
        </w:rPr>
        <w:t>T</w:t>
      </w:r>
      <w:r w:rsidR="00A16B8C" w:rsidRPr="00C90AC9">
        <w:rPr>
          <w:rFonts w:eastAsiaTheme="minorHAnsi"/>
          <w:lang w:eastAsia="en-US"/>
        </w:rPr>
        <w:t xml:space="preserve">he Technology Adoption Model (TAM) </w:t>
      </w:r>
      <w:r w:rsidR="003C7525" w:rsidRPr="00C90AC9">
        <w:rPr>
          <w:rFonts w:eastAsiaTheme="minorHAnsi"/>
          <w:lang w:eastAsia="en-US"/>
        </w:rPr>
        <w:fldChar w:fldCharType="begin"/>
      </w:r>
      <w:r w:rsidR="003C7525" w:rsidRPr="00C90AC9">
        <w:rPr>
          <w:rFonts w:eastAsiaTheme="minorHAnsi"/>
          <w:lang w:eastAsia="en-US"/>
        </w:rPr>
        <w:instrText xml:space="preserve"> ADDIN EN.CITE &lt;EndNote&gt;&lt;Cite&gt;&lt;Author&gt;Davis&lt;/Author&gt;&lt;Year&gt;1989&lt;/Year&gt;&lt;RecNum&gt;237&lt;/RecNum&gt;&lt;DisplayText&gt;(Davis, 1989)&lt;/DisplayText&gt;&lt;record&gt;&lt;rec-number&gt;237&lt;/rec-number&gt;&lt;foreign-keys&gt;&lt;key app="EN" db-id="50wxdpzd9vd5r7e9t5b595djrfpttrxw9avp" timestamp="1525621035"&gt;237&lt;/key&gt;&lt;/foreign-keys&gt;&lt;ref-type name="Journal Article"&gt;17&lt;/ref-type&gt;&lt;contributors&gt;&lt;authors&gt;&lt;author&gt;Davis, Fred D.&lt;/author&gt;&lt;/authors&gt;&lt;/contributors&gt;&lt;titles&gt;&lt;title&gt;Perceived Usefulness, Perceived Ease of Use, and User Acceptance of Information Technology&lt;/title&gt;&lt;secondary-title&gt;MIS Quarterly&lt;/secondary-title&gt;&lt;/titles&gt;&lt;pages&gt;319-340&lt;/pages&gt;&lt;volume&gt;13&lt;/volume&gt;&lt;number&gt;3&lt;/number&gt;&lt;dates&gt;&lt;year&gt;1989&lt;/year&gt;&lt;/dates&gt;&lt;publisher&gt;Management Information Systems Research Center, University of Minnesota&lt;/publisher&gt;&lt;isbn&gt;02767783&lt;/isbn&gt;&lt;urls&gt;&lt;related-urls&gt;&lt;url&gt;http://www.jstor.org/stable/249008&lt;/url&gt;&lt;/related-urls&gt;&lt;/urls&gt;&lt;custom1&gt;Full publication date: Sep., 1989&lt;/custom1&gt;&lt;electronic-resource-num&gt;10.2307/249008&lt;/electronic-resource-num&gt;&lt;/record&gt;&lt;/Cite&gt;&lt;/EndNote&gt;</w:instrText>
      </w:r>
      <w:r w:rsidR="003C7525" w:rsidRPr="00C90AC9">
        <w:rPr>
          <w:rFonts w:eastAsiaTheme="minorHAnsi"/>
          <w:lang w:eastAsia="en-US"/>
        </w:rPr>
        <w:fldChar w:fldCharType="separate"/>
      </w:r>
      <w:r w:rsidR="003C7525" w:rsidRPr="00C90AC9">
        <w:rPr>
          <w:rFonts w:eastAsiaTheme="minorHAnsi"/>
          <w:lang w:eastAsia="en-US"/>
        </w:rPr>
        <w:t>(Davis, 1989)</w:t>
      </w:r>
      <w:r w:rsidR="003C7525" w:rsidRPr="00C90AC9">
        <w:rPr>
          <w:rFonts w:eastAsiaTheme="minorHAnsi"/>
          <w:lang w:eastAsia="en-US"/>
        </w:rPr>
        <w:fldChar w:fldCharType="end"/>
      </w:r>
    </w:p>
    <w:p w:rsidR="00A16B8C" w:rsidRPr="00C90AC9" w:rsidRDefault="003D1805"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1656189" behindDoc="0" locked="0" layoutInCell="1" allowOverlap="1" wp14:anchorId="2AB54ABD" wp14:editId="0800F3D4">
                <wp:simplePos x="0" y="0"/>
                <wp:positionH relativeFrom="column">
                  <wp:posOffset>495300</wp:posOffset>
                </wp:positionH>
                <wp:positionV relativeFrom="paragraph">
                  <wp:posOffset>151130</wp:posOffset>
                </wp:positionV>
                <wp:extent cx="914400" cy="370840"/>
                <wp:effectExtent l="0" t="38100" r="57150" b="29210"/>
                <wp:wrapNone/>
                <wp:docPr id="20"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14400" cy="3708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46B9B9" id="Straight Arrow Connector 20" o:spid="_x0000_s1026" type="#_x0000_t32" style="position:absolute;margin-left:39pt;margin-top:11.9pt;width:1in;height:29.2pt;flip:y;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">
                <v:stroke endarrow="block"/>
              </v:shape>
            </w:pict>
          </mc:Fallback>
        </mc:AlternateContent>
      </w:r>
      <w:r w:rsidR="00021EF8" w:rsidRPr="00C90AC9">
        <w:rPr>
          <w:rFonts w:eastAsiaTheme="minorHAnsi"/>
          <w:bCs/>
          <w:noProof/>
        </w:rPr>
        <mc:AlternateContent>
          <mc:Choice Requires="wps">
            <w:drawing>
              <wp:anchor distT="0" distB="0" distL="114300" distR="114300" simplePos="0" relativeHeight="251685888" behindDoc="0" locked="0" layoutInCell="1" allowOverlap="1" wp14:anchorId="2796C437" wp14:editId="5DF22E4C">
                <wp:simplePos x="0" y="0"/>
                <wp:positionH relativeFrom="column">
                  <wp:posOffset>2430618</wp:posOffset>
                </wp:positionH>
                <wp:positionV relativeFrom="paragraph">
                  <wp:posOffset>143510</wp:posOffset>
                </wp:positionV>
                <wp:extent cx="1447800" cy="428625"/>
                <wp:effectExtent l="0" t="0" r="76200" b="66675"/>
                <wp:wrapNone/>
                <wp:docPr id="321" name="Straight Arrow Connector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428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E07624" id="Straight Arrow Connector 321" o:spid="_x0000_s1026" type="#_x0000_t32" style="position:absolute;margin-left:191.4pt;margin-top:11.3pt;width:114pt;height:33.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">
                <v:stroke endarrow="block"/>
              </v:shape>
            </w:pict>
          </mc:Fallback>
        </mc:AlternateContent>
      </w:r>
      <w:r w:rsidR="00021EF8" w:rsidRPr="00C90AC9">
        <w:rPr>
          <w:rFonts w:eastAsiaTheme="minorHAnsi"/>
          <w:bCs/>
          <w:noProof/>
        </w:rPr>
        <mc:AlternateContent>
          <mc:Choice Requires="wpg">
            <w:drawing>
              <wp:anchor distT="0" distB="0" distL="114300" distR="114300" simplePos="0" relativeHeight="251687936" behindDoc="0" locked="0" layoutInCell="1" allowOverlap="1" wp14:anchorId="2EE6FBEB" wp14:editId="6E5B25D5">
                <wp:simplePos x="0" y="0"/>
                <wp:positionH relativeFrom="column">
                  <wp:posOffset>42530</wp:posOffset>
                </wp:positionH>
                <wp:positionV relativeFrom="paragraph">
                  <wp:posOffset>9584</wp:posOffset>
                </wp:positionV>
                <wp:extent cx="3658870" cy="1857375"/>
                <wp:effectExtent l="0" t="0" r="17780" b="28575"/>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8870" cy="1857375"/>
                          <a:chOff x="1213" y="6003"/>
                          <a:chExt cx="5762" cy="2925"/>
                        </a:xfrm>
                      </wpg:grpSpPr>
                      <wps:wsp>
                        <wps:cNvPr id="23" name="Text Box 9"/>
                        <wps:cNvSpPr txBox="1">
                          <a:spLocks noChangeArrowheads="1"/>
                        </wps:cNvSpPr>
                        <wps:spPr bwMode="auto">
                          <a:xfrm>
                            <a:off x="3403" y="6003"/>
                            <a:ext cx="1742" cy="712"/>
                          </a:xfrm>
                          <a:prstGeom prst="rect">
                            <a:avLst/>
                          </a:prstGeom>
                          <a:solidFill>
                            <a:srgbClr val="FFFFFF"/>
                          </a:solidFill>
                          <a:ln w="9525">
                            <a:solidFill>
                              <a:srgbClr val="000000"/>
                            </a:solidFill>
                            <a:miter lim="800000"/>
                            <a:headEnd/>
                            <a:tailEnd/>
                          </a:ln>
                        </wps:spPr>
                        <wps:txbx>
                          <w:txbxContent>
                            <w:p w:rsidR="00521573" w:rsidRDefault="00521573" w:rsidP="00021EF8">
                              <w:pPr>
                                <w:jc w:val="center"/>
                              </w:pPr>
                              <w:r>
                                <w:t>Perceived Usefulness (PU)</w:t>
                              </w:r>
                            </w:p>
                          </w:txbxContent>
                        </wps:txbx>
                        <wps:bodyPr rot="0" vert="horz" wrap="square" lIns="91440" tIns="45720" rIns="91440" bIns="45720" anchor="t" anchorCtr="0" upright="1">
                          <a:noAutofit/>
                        </wps:bodyPr>
                      </wps:wsp>
                      <wps:wsp>
                        <wps:cNvPr id="24" name="AutoShape 10"/>
                        <wps:cNvCnPr>
                          <a:cxnSpLocks noChangeShapeType="1"/>
                        </wps:cNvCnPr>
                        <wps:spPr bwMode="auto">
                          <a:xfrm flipV="1">
                            <a:off x="4678" y="7938"/>
                            <a:ext cx="467" cy="2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Text Box 13"/>
                        <wps:cNvSpPr txBox="1">
                          <a:spLocks noChangeArrowheads="1"/>
                        </wps:cNvSpPr>
                        <wps:spPr bwMode="auto">
                          <a:xfrm>
                            <a:off x="5053" y="6888"/>
                            <a:ext cx="1922" cy="1050"/>
                          </a:xfrm>
                          <a:prstGeom prst="rect">
                            <a:avLst/>
                          </a:prstGeom>
                          <a:solidFill>
                            <a:srgbClr val="FFFFFF"/>
                          </a:solidFill>
                          <a:ln w="9525">
                            <a:solidFill>
                              <a:srgbClr val="000000"/>
                            </a:solidFill>
                            <a:miter lim="800000"/>
                            <a:headEnd/>
                            <a:tailEnd/>
                          </a:ln>
                        </wps:spPr>
                        <wps:txbx>
                          <w:txbxContent>
                            <w:p w:rsidR="00521573" w:rsidRPr="009C3F52" w:rsidRDefault="00521573" w:rsidP="00021EF8">
                              <w:pPr>
                                <w:jc w:val="center"/>
                              </w:pPr>
                              <w:r w:rsidRPr="009C3F52">
                                <w:t>Attitude Toward Using the Technology (A)</w:t>
                              </w:r>
                            </w:p>
                          </w:txbxContent>
                        </wps:txbx>
                        <wps:bodyPr rot="0" vert="horz" wrap="square" lIns="91440" tIns="45720" rIns="91440" bIns="45720" anchor="t" anchorCtr="0" upright="1">
                          <a:noAutofit/>
                        </wps:bodyPr>
                      </wps:wsp>
                      <wps:wsp>
                        <wps:cNvPr id="26" name="Text Box 12"/>
                        <wps:cNvSpPr txBox="1">
                          <a:spLocks noChangeArrowheads="1"/>
                        </wps:cNvSpPr>
                        <wps:spPr bwMode="auto">
                          <a:xfrm>
                            <a:off x="1213" y="6813"/>
                            <a:ext cx="1335" cy="881"/>
                          </a:xfrm>
                          <a:prstGeom prst="rect">
                            <a:avLst/>
                          </a:prstGeom>
                          <a:solidFill>
                            <a:sysClr val="window" lastClr="FFFFFF"/>
                          </a:solidFill>
                          <a:ln w="9525">
                            <a:solidFill>
                              <a:srgbClr val="000000"/>
                            </a:solidFill>
                            <a:miter lim="800000"/>
                            <a:headEnd/>
                            <a:tailEnd/>
                          </a:ln>
                        </wps:spPr>
                        <wps:txbx>
                          <w:txbxContent>
                            <w:p w:rsidR="00521573" w:rsidRDefault="00521573" w:rsidP="00021EF8">
                              <w:pPr>
                                <w:jc w:val="center"/>
                              </w:pPr>
                              <w:r>
                                <w:t>External Variables</w:t>
                              </w:r>
                            </w:p>
                          </w:txbxContent>
                        </wps:txbx>
                        <wps:bodyPr rot="0" vert="horz" wrap="square" lIns="91440" tIns="45720" rIns="91440" bIns="45720" anchor="t" anchorCtr="0" upright="1">
                          <a:noAutofit/>
                        </wps:bodyPr>
                      </wps:wsp>
                      <wps:wsp>
                        <wps:cNvPr id="25" name="Text Box 11"/>
                        <wps:cNvSpPr txBox="1">
                          <a:spLocks noChangeArrowheads="1"/>
                        </wps:cNvSpPr>
                        <wps:spPr bwMode="auto">
                          <a:xfrm>
                            <a:off x="3433" y="8208"/>
                            <a:ext cx="1849" cy="720"/>
                          </a:xfrm>
                          <a:prstGeom prst="rect">
                            <a:avLst/>
                          </a:prstGeom>
                          <a:solidFill>
                            <a:srgbClr val="FFFFFF"/>
                          </a:solidFill>
                          <a:ln w="9525">
                            <a:solidFill>
                              <a:srgbClr val="000000"/>
                            </a:solidFill>
                            <a:miter lim="800000"/>
                            <a:headEnd/>
                            <a:tailEnd/>
                          </a:ln>
                        </wps:spPr>
                        <wps:txbx>
                          <w:txbxContent>
                            <w:p w:rsidR="00521573" w:rsidRDefault="00521573" w:rsidP="00021EF8">
                              <w:pPr>
                                <w:jc w:val="center"/>
                              </w:pPr>
                              <w:r>
                                <w:t>Perceived Ease of Use (PEOU)</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E6FBEB" id="Group 22" o:spid="_x0000_s1046" style="position:absolute;left:0;text-align:left;margin-left:3.35pt;margin-top:.75pt;width:288.1pt;height:146.25pt;z-index:251687936" coordorigin="1213,6003" coordsize="5762,2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">
                <v:shape id="Text Box 9" o:spid="_x0000_s1047" type="#_x0000_t202" style="position:absolute;left:3403;top:6003;width:1742;height: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">
                  <v:textbox>
                    <w:txbxContent>
                      <w:p w:rsidR="00521573" w:rsidRDefault="00521573" w:rsidP="00021EF8">
                        <w:pPr>
                          <w:jc w:val="center"/>
                        </w:pPr>
                        <w:r>
                          <w:t>Perceived Usefulness (PU)</w:t>
                        </w:r>
                      </w:p>
                    </w:txbxContent>
                  </v:textbox>
                </v:shape>
                <v:shape id="AutoShape 10" o:spid="_x0000_s1048" type="#_x0000_t32" style="position:absolute;left:4678;top:7938;width:467;height:2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">
                  <v:stroke endarrow="block"/>
                </v:shape>
                <v:shape id="Text Box 13" o:spid="_x0000_s1049" type="#_x0000_t202" style="position:absolute;left:5053;top:6888;width:1922;height: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">
                  <v:textbox>
                    <w:txbxContent>
                      <w:p w:rsidR="00521573" w:rsidRPr="009C3F52" w:rsidRDefault="00521573" w:rsidP="00021EF8">
                        <w:pPr>
                          <w:jc w:val="center"/>
                        </w:pPr>
                        <w:r w:rsidRPr="009C3F52">
                          <w:t>Attitude Toward Using the Technology (A)</w:t>
                        </w:r>
                      </w:p>
                    </w:txbxContent>
                  </v:textbox>
                </v:shape>
                <v:shape id="Text Box 12" o:spid="_x0000_s1050" type="#_x0000_t202" style="position:absolute;left:1213;top:6813;width:1335;height: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" fillcolor="window">
                  <v:textbox>
                    <w:txbxContent>
                      <w:p w:rsidR="00521573" w:rsidRDefault="00521573" w:rsidP="00021EF8">
                        <w:pPr>
                          <w:jc w:val="center"/>
                        </w:pPr>
                        <w:r>
                          <w:t>External Variables</w:t>
                        </w:r>
                      </w:p>
                    </w:txbxContent>
                  </v:textbox>
                </v:shape>
                <v:shape id="Text Box 11" o:spid="_x0000_s1051" type="#_x0000_t202" style="position:absolute;left:3433;top:8208;width:1849;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">
                  <v:textbox>
                    <w:txbxContent>
                      <w:p w:rsidR="00521573" w:rsidRDefault="00521573" w:rsidP="00021EF8">
                        <w:pPr>
                          <w:jc w:val="center"/>
                        </w:pPr>
                        <w:r>
                          <w:t>Perceived Ease of Use (PEOU)</w:t>
                        </w:r>
                      </w:p>
                    </w:txbxContent>
                  </v:textbox>
                </v:shape>
              </v:group>
            </w:pict>
          </mc:Fallback>
        </mc:AlternateContent>
      </w:r>
      <w:r w:rsidR="0074402A" w:rsidRPr="00C90AC9">
        <w:rPr>
          <w:rFonts w:eastAsiaTheme="minorHAnsi"/>
          <w:noProof/>
        </w:rPr>
        <mc:AlternateContent>
          <mc:Choice Requires="wps">
            <w:drawing>
              <wp:anchor distT="0" distB="0" distL="114300" distR="114300" simplePos="0" relativeHeight="251683840" behindDoc="0" locked="0" layoutInCell="1" allowOverlap="1" wp14:anchorId="39C756D0" wp14:editId="2F5A3BC3">
                <wp:simplePos x="0" y="0"/>
                <wp:positionH relativeFrom="column">
                  <wp:posOffset>2238375</wp:posOffset>
                </wp:positionH>
                <wp:positionV relativeFrom="paragraph">
                  <wp:posOffset>172085</wp:posOffset>
                </wp:positionV>
                <wp:extent cx="238125" cy="123825"/>
                <wp:effectExtent l="0" t="0" r="47625" b="28575"/>
                <wp:wrapNone/>
                <wp:docPr id="21"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123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5F1200" id="Straight Arrow Connector 21" o:spid="_x0000_s1026" type="#_x0000_t32" style="position:absolute;margin-left:176.25pt;margin-top:13.55pt;width:18.75pt;height:9.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">
                <v:stroke endarrow="block"/>
              </v:shape>
            </w:pict>
          </mc:Fallback>
        </mc:AlternateContent>
      </w:r>
      <w:r w:rsidR="0074402A" w:rsidRPr="00C90AC9">
        <w:rPr>
          <w:rFonts w:eastAsiaTheme="minorHAnsi"/>
          <w:noProof/>
        </w:rPr>
        <mc:AlternateContent>
          <mc:Choice Requires="wps">
            <w:drawing>
              <wp:anchor distT="0" distB="0" distL="114300" distR="114300" simplePos="0" relativeHeight="251686912" behindDoc="0" locked="0" layoutInCell="1" allowOverlap="1" wp14:anchorId="33B36548" wp14:editId="044152E7">
                <wp:simplePos x="0" y="0"/>
                <wp:positionH relativeFrom="column">
                  <wp:posOffset>3876675</wp:posOffset>
                </wp:positionH>
                <wp:positionV relativeFrom="paragraph">
                  <wp:posOffset>162560</wp:posOffset>
                </wp:positionV>
                <wp:extent cx="971550" cy="1133475"/>
                <wp:effectExtent l="0" t="0" r="0" b="9525"/>
                <wp:wrapNone/>
                <wp:docPr id="322"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1133475"/>
                        </a:xfrm>
                        <a:prstGeom prst="rect">
                          <a:avLst/>
                        </a:prstGeom>
                        <a:solidFill>
                          <a:sysClr val="window" lastClr="FFFFFF"/>
                        </a:solidFill>
                        <a:ln w="9525">
                          <a:solidFill>
                            <a:srgbClr val="000000"/>
                          </a:solidFill>
                          <a:miter lim="800000"/>
                          <a:headEnd/>
                          <a:tailEnd/>
                        </a:ln>
                      </wps:spPr>
                      <wps:txbx>
                        <w:txbxContent>
                          <w:p w:rsidR="00521573" w:rsidRPr="009C3F52" w:rsidRDefault="00521573" w:rsidP="00021EF8">
                            <w:pPr>
                              <w:jc w:val="center"/>
                            </w:pPr>
                            <w:r w:rsidRPr="009C3F52">
                              <w:t>Behavioural Intention to Use the Technology (BI)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B36548" id="Text Box 322" o:spid="_x0000_s1052" type="#_x0000_t202" style="position:absolute;left:0;text-align:left;margin-left:305.25pt;margin-top:12.8pt;width:76.5pt;height:89.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" fillcolor="window">
                <v:textbox>
                  <w:txbxContent>
                    <w:p w:rsidR="00521573" w:rsidRPr="009C3F52" w:rsidRDefault="00521573" w:rsidP="00021EF8">
                      <w:pPr>
                        <w:jc w:val="center"/>
                      </w:pPr>
                      <w:r w:rsidRPr="009C3F52">
                        <w:t>Behavioural Intention to Use the Technology (BI)</w:t>
                      </w:r>
                    </w:p>
                  </w:txbxContent>
                </v:textbox>
              </v:shape>
            </w:pict>
          </mc:Fallback>
        </mc:AlternateContent>
      </w:r>
    </w:p>
    <w:p w:rsidR="00A16B8C" w:rsidRPr="00C90AC9" w:rsidRDefault="00021EF8" w:rsidP="00B06779">
      <w:pPr>
        <w:rPr>
          <w:rFonts w:eastAsiaTheme="minorHAnsi"/>
          <w:lang w:eastAsia="en-US"/>
        </w:rPr>
      </w:pPr>
      <w:r w:rsidRPr="00C90AC9">
        <w:rPr>
          <w:rFonts w:eastAsiaTheme="minorHAnsi"/>
          <w:noProof/>
        </w:rPr>
        <mc:AlternateContent>
          <mc:Choice Requires="wps">
            <w:drawing>
              <wp:anchor distT="0" distB="0" distL="114299" distR="114299" simplePos="0" relativeHeight="251657214" behindDoc="0" locked="0" layoutInCell="1" allowOverlap="1" wp14:anchorId="59160FEE" wp14:editId="3E6DF727">
                <wp:simplePos x="0" y="0"/>
                <wp:positionH relativeFrom="column">
                  <wp:posOffset>1892773</wp:posOffset>
                </wp:positionH>
                <wp:positionV relativeFrom="paragraph">
                  <wp:posOffset>180340</wp:posOffset>
                </wp:positionV>
                <wp:extent cx="0" cy="1119505"/>
                <wp:effectExtent l="76200" t="38100" r="57150" b="23495"/>
                <wp:wrapNone/>
                <wp:docPr id="324" name="Straight Arrow Connector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195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F97363" id="Straight Arrow Connector 324" o:spid="_x0000_s1026" type="#_x0000_t32" style="position:absolute;margin-left:149.05pt;margin-top:14.2pt;width:0;height:88.15pt;flip:y;z-index:25165721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">
                <v:stroke endarrow="block"/>
              </v:shape>
            </w:pict>
          </mc:Fallback>
        </mc:AlternateContent>
      </w:r>
      <w:r w:rsidRPr="00C90AC9">
        <w:rPr>
          <w:rFonts w:eastAsiaTheme="minorHAnsi"/>
          <w:noProof/>
        </w:rPr>
        <mc:AlternateContent>
          <mc:Choice Requires="wps">
            <w:drawing>
              <wp:anchor distT="0" distB="0" distL="114300" distR="114300" simplePos="0" relativeHeight="251688960" behindDoc="0" locked="0" layoutInCell="1" allowOverlap="1" wp14:anchorId="1BAF56E8" wp14:editId="30A5BD8D">
                <wp:simplePos x="0" y="0"/>
                <wp:positionH relativeFrom="column">
                  <wp:posOffset>5071729</wp:posOffset>
                </wp:positionH>
                <wp:positionV relativeFrom="paragraph">
                  <wp:posOffset>39798</wp:posOffset>
                </wp:positionV>
                <wp:extent cx="699977" cy="666750"/>
                <wp:effectExtent l="0" t="0" r="24130" b="19050"/>
                <wp:wrapNone/>
                <wp:docPr id="323"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977" cy="666750"/>
                        </a:xfrm>
                        <a:prstGeom prst="rect">
                          <a:avLst/>
                        </a:prstGeom>
                        <a:solidFill>
                          <a:srgbClr val="FFFFFF"/>
                        </a:solidFill>
                        <a:ln w="9525">
                          <a:solidFill>
                            <a:srgbClr val="000000"/>
                          </a:solidFill>
                          <a:miter lim="800000"/>
                          <a:headEnd/>
                          <a:tailEnd/>
                        </a:ln>
                      </wps:spPr>
                      <wps:txbx>
                        <w:txbxContent>
                          <w:p w:rsidR="00521573" w:rsidRDefault="00521573" w:rsidP="00021EF8">
                            <w:pPr>
                              <w:jc w:val="center"/>
                            </w:pPr>
                            <w:r>
                              <w:t>Actual System Use (U)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AF56E8" id="Text Box 323" o:spid="_x0000_s1053" type="#_x0000_t202" style="position:absolute;left:0;text-align:left;margin-left:399.35pt;margin-top:3.15pt;width:55.1pt;height:5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">
                <v:textbox>
                  <w:txbxContent>
                    <w:p w:rsidR="00521573" w:rsidRDefault="00521573" w:rsidP="00021EF8">
                      <w:pPr>
                        <w:jc w:val="center"/>
                      </w:pPr>
                      <w:r>
                        <w:t>Actual System Use (U)</w:t>
                      </w:r>
                    </w:p>
                  </w:txbxContent>
                </v:textbox>
              </v:shape>
            </w:pict>
          </mc:Fallback>
        </mc:AlternateContent>
      </w:r>
    </w:p>
    <w:p w:rsidR="00A16B8C" w:rsidRPr="00C90AC9" w:rsidRDefault="0074402A" w:rsidP="00B06779">
      <w:pPr>
        <w:rPr>
          <w:rFonts w:eastAsiaTheme="minorHAnsi"/>
          <w:lang w:eastAsia="en-US"/>
        </w:rPr>
      </w:pPr>
      <w:r w:rsidRPr="00C90AC9">
        <w:rPr>
          <w:rFonts w:eastAsiaTheme="minorHAnsi"/>
          <w:noProof/>
        </w:rPr>
        <mc:AlternateContent>
          <mc:Choice Requires="wps">
            <w:drawing>
              <wp:anchor distT="4294967295" distB="4294967295" distL="114300" distR="114300" simplePos="0" relativeHeight="251670528" behindDoc="0" locked="0" layoutInCell="1" allowOverlap="1" wp14:anchorId="616597B2" wp14:editId="117980D4">
                <wp:simplePos x="0" y="0"/>
                <wp:positionH relativeFrom="column">
                  <wp:posOffset>4848225</wp:posOffset>
                </wp:positionH>
                <wp:positionV relativeFrom="paragraph">
                  <wp:posOffset>69849</wp:posOffset>
                </wp:positionV>
                <wp:extent cx="209550" cy="0"/>
                <wp:effectExtent l="0" t="76200" r="0" b="76200"/>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7367D4" id="Straight Arrow Connector 11" o:spid="_x0000_s1026" type="#_x0000_t32" style="position:absolute;margin-left:381.75pt;margin-top:5.5pt;width:16.5pt;height:0;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">
                <v:stroke endarrow="block"/>
              </v:shape>
            </w:pict>
          </mc:Fallback>
        </mc:AlternateContent>
      </w:r>
    </w:p>
    <w:p w:rsidR="00A16B8C" w:rsidRPr="00C90AC9" w:rsidRDefault="00021EF8" w:rsidP="00B06779">
      <w:pPr>
        <w:rPr>
          <w:rFonts w:eastAsiaTheme="minorHAnsi"/>
          <w:lang w:eastAsia="en-US"/>
        </w:rPr>
      </w:pPr>
      <w:r w:rsidRPr="00C90AC9">
        <w:rPr>
          <w:rFonts w:eastAsiaTheme="minorHAnsi"/>
          <w:noProof/>
        </w:rPr>
        <mc:AlternateContent>
          <mc:Choice Requires="wps">
            <w:drawing>
              <wp:anchor distT="4294967295" distB="4294967295" distL="114300" distR="114300" simplePos="0" relativeHeight="251684864" behindDoc="0" locked="0" layoutInCell="1" allowOverlap="1" wp14:anchorId="7D4FED79" wp14:editId="7E563E74">
                <wp:simplePos x="0" y="0"/>
                <wp:positionH relativeFrom="column">
                  <wp:posOffset>3446780</wp:posOffset>
                </wp:positionH>
                <wp:positionV relativeFrom="paragraph">
                  <wp:posOffset>6350</wp:posOffset>
                </wp:positionV>
                <wp:extent cx="438150" cy="0"/>
                <wp:effectExtent l="0" t="76200" r="19050" b="95250"/>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1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EF87E2" id="Straight Arrow Connector 10" o:spid="_x0000_s1026" type="#_x0000_t32" style="position:absolute;margin-left:271.4pt;margin-top:.5pt;width:34.5pt;height:0;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">
                <v:stroke endarrow="block"/>
              </v:shape>
            </w:pict>
          </mc:Fallback>
        </mc:AlternateContent>
      </w:r>
      <w:r w:rsidR="00D1482C" w:rsidRPr="00C90AC9">
        <w:rPr>
          <w:rFonts w:eastAsiaTheme="minorHAnsi"/>
          <w:noProof/>
        </w:rPr>
        <mc:AlternateContent>
          <mc:Choice Requires="wps">
            <w:drawing>
              <wp:anchor distT="0" distB="0" distL="114300" distR="114300" simplePos="0" relativeHeight="251669504" behindDoc="0" locked="0" layoutInCell="1" allowOverlap="1" wp14:anchorId="4DA6DFF3" wp14:editId="15EA5834">
                <wp:simplePos x="0" y="0"/>
                <wp:positionH relativeFrom="column">
                  <wp:posOffset>617220</wp:posOffset>
                </wp:positionH>
                <wp:positionV relativeFrom="paragraph">
                  <wp:posOffset>245745</wp:posOffset>
                </wp:positionV>
                <wp:extent cx="799465" cy="532130"/>
                <wp:effectExtent l="0" t="0" r="76835" b="58420"/>
                <wp:wrapNone/>
                <wp:docPr id="325" name="Straight Arrow Connector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9465" cy="5321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1387C5" id="Straight Arrow Connector 325" o:spid="_x0000_s1026" type="#_x0000_t32" style="position:absolute;margin-left:48.6pt;margin-top:19.35pt;width:62.95pt;height:41.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">
                <v:stroke endarrow="block"/>
              </v:shape>
            </w:pict>
          </mc:Fallback>
        </mc:AlternateContent>
      </w:r>
    </w:p>
    <w:p w:rsidR="00A16B8C" w:rsidRPr="00C90AC9" w:rsidRDefault="00A16B8C" w:rsidP="00B06779">
      <w:pPr>
        <w:rPr>
          <w:rFonts w:eastAsiaTheme="minorHAnsi"/>
          <w:lang w:eastAsia="en-US"/>
        </w:rPr>
      </w:pPr>
    </w:p>
    <w:p w:rsidR="007B01CA" w:rsidRPr="00C90AC9" w:rsidRDefault="007B01CA" w:rsidP="00B06779">
      <w:pPr>
        <w:rPr>
          <w:rFonts w:eastAsiaTheme="minorHAnsi"/>
          <w:lang w:eastAsia="en-US"/>
        </w:rPr>
      </w:pPr>
    </w:p>
    <w:p w:rsidR="007B01CA" w:rsidRPr="00C90AC9" w:rsidRDefault="007B01CA" w:rsidP="00B06779">
      <w:pPr>
        <w:rPr>
          <w:rFonts w:eastAsiaTheme="minorHAnsi"/>
          <w:lang w:eastAsia="en-US"/>
        </w:rPr>
      </w:pPr>
    </w:p>
    <w:p w:rsidR="007B01CA" w:rsidRPr="00C90AC9" w:rsidRDefault="007B01CA" w:rsidP="00B06779">
      <w:pPr>
        <w:rPr>
          <w:rFonts w:eastAsiaTheme="minorHAnsi"/>
          <w:lang w:eastAsia="en-US"/>
        </w:rPr>
      </w:pPr>
    </w:p>
    <w:p w:rsidR="00A16B8C" w:rsidRPr="00C90AC9" w:rsidRDefault="0057156D" w:rsidP="007B01CA">
      <w:pPr>
        <w:pStyle w:val="BodyText"/>
        <w:spacing w:line="360" w:lineRule="auto"/>
        <w:rPr>
          <w:rFonts w:eastAsiaTheme="minorHAnsi"/>
          <w:lang w:eastAsia="en-US"/>
        </w:rPr>
      </w:pPr>
      <w:r w:rsidRPr="00C90AC9">
        <w:rPr>
          <w:rFonts w:eastAsiaTheme="minorHAnsi"/>
          <w:lang w:eastAsia="en-US"/>
        </w:rPr>
        <w:tab/>
      </w:r>
      <w:r w:rsidR="00A16B8C" w:rsidRPr="00C90AC9">
        <w:rPr>
          <w:rFonts w:eastAsiaTheme="minorHAnsi"/>
          <w:lang w:eastAsia="en-US"/>
        </w:rPr>
        <w:t xml:space="preserve">The two constructs of the TAM, PEOU and PU, are formed prior to the utilisation of the technology and so are independent of the technologies actual ability to perform the given task. The TAM has been become one of the most widely used models in Information Studies (IS) due in part to its simplicity but also due to the model’s ability to be expanded upon and developed to include additional factors which make it more relevant to specific technologies </w:t>
      </w:r>
      <w:r w:rsidR="003C7525" w:rsidRPr="00C90AC9">
        <w:rPr>
          <w:rFonts w:eastAsiaTheme="minorHAnsi"/>
          <w:lang w:eastAsia="en-US"/>
        </w:rPr>
        <w:fldChar w:fldCharType="begin"/>
      </w:r>
      <w:r w:rsidR="003C7525" w:rsidRPr="00C90AC9">
        <w:rPr>
          <w:rFonts w:eastAsiaTheme="minorHAnsi"/>
          <w:lang w:eastAsia="en-US"/>
        </w:rPr>
        <w:instrText xml:space="preserve"> ADDIN EN.CITE &lt;EndNote&gt;&lt;Cite&gt;&lt;Author&gt;King&lt;/Author&gt;&lt;Year&gt;2006&lt;/Year&gt;&lt;RecNum&gt;241&lt;/RecNum&gt;&lt;DisplayText&gt;(King &amp;amp; He, 2006)&lt;/DisplayText&gt;&lt;record&gt;&lt;rec-number&gt;241&lt;/rec-number&gt;&lt;foreign-keys&gt;&lt;key app="EN" db-id="50wxdpzd9vd5r7e9t5b595djrfpttrxw9avp" timestamp="1525622743"&gt;241&lt;/key&gt;&lt;/foreign-keys&gt;&lt;ref-type name="Journal Article"&gt;17&lt;/ref-type&gt;&lt;contributors&gt;&lt;authors&gt;&lt;author&gt;King, William R.&lt;/author&gt;&lt;author&gt;He, Jun&lt;/author&gt;&lt;/authors&gt;&lt;/contributors&gt;&lt;titles&gt;&lt;title&gt;A meta-analysis of the technology acceptance model&lt;/title&gt;&lt;secondary-title&gt;Information &amp;amp; Management&lt;/secondary-title&gt;&lt;/titles&gt;&lt;pages&gt;740-755&lt;/pages&gt;&lt;volume&gt;43&lt;/volume&gt;&lt;number&gt;6&lt;/number&gt;&lt;keywords&gt;&lt;keyword&gt;Technology acceptance model&lt;/keyword&gt;&lt;keyword&gt;TAM&lt;/keyword&gt;&lt;keyword&gt;Meta-analysis&lt;/keyword&gt;&lt;keyword&gt;Perceived usefulness&lt;/keyword&gt;&lt;keyword&gt;Ease of use&lt;/keyword&gt;&lt;keyword&gt;Behavioral intention&lt;/keyword&gt;&lt;/keywords&gt;&lt;dates&gt;&lt;year&gt;2006&lt;/year&gt;&lt;pub-dates&gt;&lt;date&gt;2006/09/01/&lt;/date&gt;&lt;/pub-dates&gt;&lt;/dates&gt;&lt;isbn&gt;0378-7206&lt;/isbn&gt;&lt;urls&gt;&lt;related-urls&gt;&lt;url&gt;http://www.sciencedirect.com/science/article/pii/S0378720606000528&lt;/url&gt;&lt;/related-urls&gt;&lt;/urls&gt;&lt;electronic-resource-num&gt;https://doi.org/10.1016/j.im.2006.05.003&lt;/electronic-resource-num&gt;&lt;/record&gt;&lt;/Cite&gt;&lt;/EndNote&gt;</w:instrText>
      </w:r>
      <w:r w:rsidR="003C7525" w:rsidRPr="00C90AC9">
        <w:rPr>
          <w:rFonts w:eastAsiaTheme="minorHAnsi"/>
          <w:lang w:eastAsia="en-US"/>
        </w:rPr>
        <w:fldChar w:fldCharType="separate"/>
      </w:r>
      <w:r w:rsidR="003C7525" w:rsidRPr="00C90AC9">
        <w:rPr>
          <w:rFonts w:eastAsiaTheme="minorHAnsi"/>
          <w:lang w:eastAsia="en-US"/>
        </w:rPr>
        <w:t>(King &amp; He, 2006)</w:t>
      </w:r>
      <w:r w:rsidR="003C7525" w:rsidRPr="00C90AC9">
        <w:rPr>
          <w:rFonts w:eastAsiaTheme="minorHAnsi"/>
          <w:lang w:eastAsia="en-US"/>
        </w:rPr>
        <w:fldChar w:fldCharType="end"/>
      </w:r>
      <w:r w:rsidR="00A16B8C" w:rsidRPr="00C90AC9">
        <w:rPr>
          <w:rFonts w:eastAsiaTheme="minorHAnsi"/>
          <w:lang w:eastAsia="en-US"/>
        </w:rPr>
        <w:t xml:space="preserve">. These “modifications” from other models have included the inclusion of: trust </w:t>
      </w:r>
      <w:r w:rsidR="003C7525" w:rsidRPr="00C90AC9">
        <w:rPr>
          <w:rFonts w:eastAsiaTheme="minorHAnsi"/>
          <w:lang w:eastAsia="en-US"/>
        </w:rPr>
        <w:fldChar w:fldCharType="begin"/>
      </w:r>
      <w:r w:rsidR="003C7525" w:rsidRPr="00C90AC9">
        <w:rPr>
          <w:rFonts w:eastAsiaTheme="minorHAnsi"/>
          <w:lang w:eastAsia="en-US"/>
        </w:rPr>
        <w:instrText xml:space="preserve"> ADDIN EN.CITE &lt;EndNote&gt;&lt;Cite&gt;&lt;Author&gt;Gefen&lt;/Author&gt;&lt;Year&gt;2004&lt;/Year&gt;&lt;RecNum&gt;242&lt;/RecNum&gt;&lt;DisplayText&gt;(Gefen, 2004)&lt;/DisplayText&gt;&lt;record&gt;&lt;rec-number&gt;242&lt;/rec-number&gt;&lt;foreign-keys&gt;&lt;key app="EN" db-id="50wxdpzd9vd5r7e9t5b595djrfpttrxw9avp" timestamp="1525622834"&gt;242&lt;/key&gt;&lt;/foreign-keys&gt;&lt;ref-type name="Journal Article"&gt;17&lt;/ref-type&gt;&lt;contributors&gt;&lt;authors&gt;&lt;author&gt;Gefen, David&lt;/author&gt;&lt;/authors&gt;&lt;/contributors&gt;&lt;titles&gt;&lt;title&gt;What Makes an ERP Implementation Relationship Worthwhile: Linking Trust Mechanisms and ERP Usefulness&lt;/title&gt;&lt;secondary-title&gt;Journal of Management Information Systems&lt;/secondary-title&gt;&lt;/titles&gt;&lt;pages&gt;263-288&lt;/pages&gt;&lt;volume&gt;21&lt;/volume&gt;&lt;number&gt;1&lt;/number&gt;&lt;dates&gt;&lt;year&gt;2004&lt;/year&gt;&lt;pub-dates&gt;&lt;date&gt;2004/01/01&lt;/date&gt;&lt;/pub-dates&gt;&lt;/dates&gt;&lt;publisher&gt;Routledge&lt;/publisher&gt;&lt;isbn&gt;0742-1222&lt;/isbn&gt;&lt;urls&gt;&lt;related-urls&gt;&lt;url&gt;https://doi.org/10.1080/07421222.2004.11045792&lt;/url&gt;&lt;/related-urls&gt;&lt;/urls&gt;&lt;electronic-resource-num&gt;10.1080/07421222.2004.11045792&lt;/electronic-resource-num&gt;&lt;/record&gt;&lt;/Cite&gt;&lt;/EndNote&gt;</w:instrText>
      </w:r>
      <w:r w:rsidR="003C7525" w:rsidRPr="00C90AC9">
        <w:rPr>
          <w:rFonts w:eastAsiaTheme="minorHAnsi"/>
          <w:lang w:eastAsia="en-US"/>
        </w:rPr>
        <w:fldChar w:fldCharType="separate"/>
      </w:r>
      <w:r w:rsidR="003C7525" w:rsidRPr="00C90AC9">
        <w:rPr>
          <w:rFonts w:eastAsiaTheme="minorHAnsi"/>
          <w:lang w:eastAsia="en-US"/>
        </w:rPr>
        <w:t>(Gefen, 2004)</w:t>
      </w:r>
      <w:r w:rsidR="003C7525" w:rsidRPr="00C90AC9">
        <w:rPr>
          <w:rFonts w:eastAsiaTheme="minorHAnsi"/>
          <w:lang w:eastAsia="en-US"/>
        </w:rPr>
        <w:fldChar w:fldCharType="end"/>
      </w:r>
      <w:r w:rsidR="00A16B8C" w:rsidRPr="00C90AC9">
        <w:rPr>
          <w:rFonts w:eastAsiaTheme="minorHAnsi"/>
          <w:lang w:eastAsia="en-US"/>
        </w:rPr>
        <w:t xml:space="preserve">; risk </w:t>
      </w:r>
      <w:r w:rsidR="009264DF" w:rsidRPr="00C90AC9">
        <w:rPr>
          <w:rFonts w:eastAsiaTheme="minorHAnsi"/>
          <w:lang w:eastAsia="en-US"/>
        </w:rPr>
        <w:fldChar w:fldCharType="begin"/>
      </w:r>
      <w:r w:rsidR="009264DF" w:rsidRPr="00C90AC9">
        <w:rPr>
          <w:rFonts w:eastAsiaTheme="minorHAnsi"/>
          <w:lang w:eastAsia="en-US"/>
        </w:rPr>
        <w:instrText xml:space="preserve"> ADDIN EN.CITE &lt;EndNote&gt;&lt;Cite&gt;&lt;Author&gt;Featherman&lt;/Author&gt;&lt;Year&gt;2003&lt;/Year&gt;&lt;RecNum&gt;243&lt;/RecNum&gt;&lt;DisplayText&gt;(Featherman &amp;amp; Pavlou, 2003)&lt;/DisplayText&gt;&lt;record&gt;&lt;rec-number&gt;243&lt;/rec-number&gt;&lt;foreign-keys&gt;&lt;key app="EN" db-id="50wxdpzd9vd5r7e9t5b595djrfpttrxw9avp" timestamp="1525623243"&gt;243&lt;/key&gt;&lt;/foreign-keys&gt;&lt;ref-type name="Book"&gt;6&lt;/ref-type&gt;&lt;contributors&gt;&lt;authors&gt;&lt;author&gt;Featherman, Mauricio&lt;/author&gt;&lt;author&gt;Pavlou, Paul&lt;/author&gt;&lt;/authors&gt;&lt;/contributors&gt;&lt;titles&gt;&lt;title&gt;Predicting E-Services Adoption: A Perceived Risk Facets Perspective&lt;/title&gt;&lt;/titles&gt;&lt;pages&gt;451-474&lt;/pages&gt;&lt;volume&gt;59&lt;/volume&gt;&lt;dates&gt;&lt;year&gt;2003&lt;/year&gt;&lt;/dates&gt;&lt;urls&gt;&lt;/urls&gt;&lt;electronic-resource-num&gt;10.1016/S1071-5819(03)00111-3&lt;/electronic-resource-num&gt;&lt;/record&gt;&lt;/Cite&gt;&lt;/EndNote&gt;</w:instrText>
      </w:r>
      <w:r w:rsidR="009264DF" w:rsidRPr="00C90AC9">
        <w:rPr>
          <w:rFonts w:eastAsiaTheme="minorHAnsi"/>
          <w:lang w:eastAsia="en-US"/>
        </w:rPr>
        <w:fldChar w:fldCharType="separate"/>
      </w:r>
      <w:r w:rsidR="009264DF" w:rsidRPr="00C90AC9">
        <w:rPr>
          <w:rFonts w:eastAsiaTheme="minorHAnsi"/>
          <w:lang w:eastAsia="en-US"/>
        </w:rPr>
        <w:t>(Featherman &amp; Pavlou, 2003)</w:t>
      </w:r>
      <w:r w:rsidR="009264DF" w:rsidRPr="00C90AC9">
        <w:rPr>
          <w:rFonts w:eastAsiaTheme="minorHAnsi"/>
          <w:lang w:eastAsia="en-US"/>
        </w:rPr>
        <w:fldChar w:fldCharType="end"/>
      </w:r>
      <w:r w:rsidR="00A16B8C" w:rsidRPr="00C90AC9">
        <w:rPr>
          <w:rFonts w:eastAsiaTheme="minorHAnsi"/>
          <w:lang w:eastAsia="en-US"/>
        </w:rPr>
        <w:t xml:space="preserve">; subjective norm; and expectation </w:t>
      </w:r>
      <w:r w:rsidR="009264DF" w:rsidRPr="00C90AC9">
        <w:rPr>
          <w:rFonts w:eastAsiaTheme="minorHAnsi"/>
          <w:lang w:eastAsia="en-US"/>
        </w:rPr>
        <w:fldChar w:fldCharType="begin"/>
      </w:r>
      <w:r w:rsidR="009264DF" w:rsidRPr="00C90AC9">
        <w:rPr>
          <w:rFonts w:eastAsiaTheme="minorHAnsi"/>
          <w:lang w:eastAsia="en-US"/>
        </w:rPr>
        <w:instrText xml:space="preserve"> ADDIN EN.CITE &lt;EndNote&gt;&lt;Cite&gt;&lt;Author&gt;Liao&lt;/Author&gt;&lt;Year&gt;2009&lt;/Year&gt;&lt;RecNum&gt;239&lt;/RecNum&gt;&lt;DisplayText&gt;(Liao et al., 2009)&lt;/DisplayText&gt;&lt;record&gt;&lt;rec-number&gt;239&lt;/rec-number&gt;&lt;foreign-keys&gt;&lt;key app="EN" db-id="50wxdpzd9vd5r7e9t5b595djrfpttrxw9avp" timestamp="1525622013"&gt;239&lt;/key&gt;&lt;/foreign-keys&gt;&lt;ref-type name="Journal Article"&gt;17&lt;/ref-type&gt;&lt;contributors&gt;&lt;authors&gt;&lt;author&gt;Chechen Liao&lt;/author&gt;&lt;author&gt;Prashant Palvia&lt;/author&gt;&lt;author&gt;Jain-Liang Chen&lt;/author&gt;&lt;/authors&gt;&lt;/contributors&gt;&lt;titles&gt;&lt;title&gt;Information technology adoption behavior life cycle: Toward a Technology Continuance Theory (TCT)&lt;/title&gt;&lt;secondary-title&gt;Int. J. Inf. Manag.&lt;/secondary-title&gt;&lt;/titles&gt;&lt;pages&gt;309-320&lt;/pages&gt;&lt;volume&gt;29&lt;/volume&gt;&lt;number&gt;4&lt;/number&gt;&lt;dates&gt;&lt;year&gt;2009&lt;/year&gt;&lt;/dates&gt;&lt;isbn&gt;0268-4012&lt;/isbn&gt;&lt;urls&gt;&lt;/urls&gt;&lt;custom1&gt;2297722&lt;/custom1&gt;&lt;electronic-resource-num&gt;10.1016/j.ijinfomgt.2009.03.004&lt;/electronic-resource-num&gt;&lt;/record&gt;&lt;/Cite&gt;&lt;/EndNote&gt;</w:instrText>
      </w:r>
      <w:r w:rsidR="009264DF" w:rsidRPr="00C90AC9">
        <w:rPr>
          <w:rFonts w:eastAsiaTheme="minorHAnsi"/>
          <w:lang w:eastAsia="en-US"/>
        </w:rPr>
        <w:fldChar w:fldCharType="separate"/>
      </w:r>
      <w:r w:rsidR="009264DF" w:rsidRPr="00C90AC9">
        <w:rPr>
          <w:rFonts w:eastAsiaTheme="minorHAnsi"/>
          <w:lang w:eastAsia="en-US"/>
        </w:rPr>
        <w:t>(Liao et al., 2009)</w:t>
      </w:r>
      <w:r w:rsidR="009264DF" w:rsidRPr="00C90AC9">
        <w:rPr>
          <w:rFonts w:eastAsiaTheme="minorHAnsi"/>
          <w:lang w:eastAsia="en-US"/>
        </w:rPr>
        <w:fldChar w:fldCharType="end"/>
      </w:r>
      <w:r w:rsidR="003C7525" w:rsidRPr="00C90AC9">
        <w:rPr>
          <w:rFonts w:eastAsiaTheme="minorHAnsi"/>
          <w:lang w:eastAsia="en-US"/>
        </w:rPr>
        <w:t xml:space="preserve">. </w:t>
      </w:r>
      <w:r w:rsidR="00A16B8C" w:rsidRPr="00C90AC9">
        <w:rPr>
          <w:rFonts w:eastAsiaTheme="minorHAnsi"/>
          <w:lang w:eastAsia="en-US"/>
        </w:rPr>
        <w:t xml:space="preserve">The TAM has also been assessed with regard to potential moderating effects such as: gender </w:t>
      </w:r>
      <w:r w:rsidR="009264DF" w:rsidRPr="00C90AC9">
        <w:rPr>
          <w:rFonts w:eastAsiaTheme="minorHAnsi"/>
          <w:lang w:eastAsia="en-US"/>
        </w:rPr>
        <w:fldChar w:fldCharType="begin"/>
      </w:r>
      <w:r w:rsidR="009264DF" w:rsidRPr="00C90AC9">
        <w:rPr>
          <w:rFonts w:eastAsiaTheme="minorHAnsi"/>
          <w:lang w:eastAsia="en-US"/>
        </w:rPr>
        <w:instrText xml:space="preserve"> ADDIN EN.CITE &lt;EndNote&gt;&lt;Cite&gt;&lt;Author&gt;Rejón-Guardia&lt;/Author&gt;&lt;Year&gt;2013&lt;/Year&gt;&lt;RecNum&gt;244&lt;/RecNum&gt;&lt;DisplayText&gt;(Rejón-Guardia, Sánchez-Fernández, &amp;amp; Muñoz-Leiva, 2013)&lt;/DisplayText&gt;&lt;record&gt;&lt;rec-number&gt;244&lt;/rec-number&gt;&lt;foreign-keys&gt;&lt;key app="EN" db-id="50wxdpzd9vd5r7e9t5b595djrfpttrxw9avp" timestamp="1525625439"&gt;244&lt;/key&gt;&lt;/foreign-keys&gt;&lt;ref-type name="Journal Article"&gt;17&lt;/ref-type&gt;&lt;contributors&gt;&lt;authors&gt;&lt;author&gt;Rejón-Guardia, Francisco&lt;/author&gt;&lt;author&gt;Sánchez-Fernández, Juan&lt;/author&gt;&lt;author&gt;Muñoz-Leiva, Francisco&lt;/author&gt;&lt;/authors&gt;&lt;/contributors&gt;&lt;titles&gt;&lt;title&gt;The acceptance of microblogging in the learning process: The µBAM model&lt;/title&gt;&lt;secondary-title&gt;2013&lt;/secondary-title&gt;&lt;short-title&gt;The acceptance of microblogging in the learning process: The µBAM model&lt;/short-title&gt;&lt;/titles&gt;&lt;pages&gt;18&lt;/pages&gt;&lt;volume&gt;3&lt;/volume&gt;&lt;number&gt;1&lt;/number&gt;&lt;edition&gt;2013-03-19&lt;/edition&gt;&lt;section&gt;31&lt;/section&gt;&lt;keywords&gt;&lt;keyword&gt;self e-learning&lt;/keyword&gt;&lt;keyword&gt;TAM&lt;/keyword&gt;&lt;keyword&gt;µBAM&lt;/keyword&gt;&lt;keyword&gt;microblogging&lt;/keyword&gt;&lt;keyword&gt;social networks&lt;/keyword&gt;&lt;/keywords&gt;&lt;dates&gt;&lt;year&gt;2013&lt;/year&gt;&lt;pub-dates&gt;&lt;date&gt;2013-02-27&lt;/date&gt;&lt;/pub-dates&gt;&lt;/dates&gt;&lt;isbn&gt;2013-6374&lt;/isbn&gt;&lt;work-type&gt;self e-learning; TAM; µBAM; microblogging; social networks&lt;/work-type&gt;&lt;urls&gt;&lt;related-urls&gt;&lt;url&gt;http://www.jotse.org/index.php/jotse/article/view/65&lt;/url&gt;&lt;/related-urls&gt;&lt;/urls&gt;&lt;electronic-resource-num&gt;10.3926/jotse.65&lt;/electronic-resource-num&gt;&lt;/record&gt;&lt;/Cite&gt;&lt;/EndNote&gt;</w:instrText>
      </w:r>
      <w:r w:rsidR="009264DF" w:rsidRPr="00C90AC9">
        <w:rPr>
          <w:rFonts w:eastAsiaTheme="minorHAnsi"/>
          <w:lang w:eastAsia="en-US"/>
        </w:rPr>
        <w:fldChar w:fldCharType="separate"/>
      </w:r>
      <w:r w:rsidR="009264DF" w:rsidRPr="00C90AC9">
        <w:rPr>
          <w:rFonts w:eastAsiaTheme="minorHAnsi"/>
          <w:lang w:eastAsia="en-US"/>
        </w:rPr>
        <w:t>(Rejón-Guardia, Sánchez-Fernández, &amp; Muñoz-Leiva, 2013)</w:t>
      </w:r>
      <w:r w:rsidR="009264DF" w:rsidRPr="00C90AC9">
        <w:rPr>
          <w:rFonts w:eastAsiaTheme="minorHAnsi"/>
          <w:lang w:eastAsia="en-US"/>
        </w:rPr>
        <w:fldChar w:fldCharType="end"/>
      </w:r>
      <w:r w:rsidR="00A16B8C" w:rsidRPr="00C90AC9">
        <w:rPr>
          <w:rFonts w:eastAsiaTheme="minorHAnsi"/>
          <w:lang w:eastAsia="en-US"/>
        </w:rPr>
        <w:t xml:space="preserve">; culture </w:t>
      </w:r>
      <w:r w:rsidR="009264DF" w:rsidRPr="00C90AC9">
        <w:rPr>
          <w:rFonts w:eastAsiaTheme="minorHAnsi"/>
          <w:lang w:eastAsia="en-US"/>
        </w:rPr>
        <w:fldChar w:fldCharType="begin"/>
      </w:r>
      <w:r w:rsidR="009264DF" w:rsidRPr="00C90AC9">
        <w:rPr>
          <w:rFonts w:eastAsiaTheme="minorHAnsi"/>
          <w:lang w:eastAsia="en-US"/>
        </w:rPr>
        <w:instrText xml:space="preserve"> ADDIN EN.CITE &lt;EndNote&gt;&lt;Cite&gt;&lt;Author&gt;Straub&lt;/Author&gt;&lt;Year&gt;1997&lt;/Year&gt;&lt;RecNum&gt;245&lt;/RecNum&gt;&lt;DisplayText&gt;(Straub, Keil, &amp;amp; Brenner, 1997)&lt;/DisplayText&gt;&lt;record&gt;&lt;rec-number&gt;245&lt;/rec-number&gt;&lt;foreign-keys&gt;&lt;key app="EN" db-id="50wxdpzd9vd5r7e9t5b595djrfpttrxw9avp" timestamp="1525625546"&gt;245&lt;/key&gt;&lt;/foreign-keys&gt;&lt;ref-type name="Journal Article"&gt;17&lt;/ref-type&gt;&lt;contributors&gt;&lt;authors&gt;&lt;author&gt;Straub, Detmar&lt;/author&gt;&lt;author&gt;Keil, Mark&lt;/author&gt;&lt;author&gt;Brenner, Walter&lt;/author&gt;&lt;/authors&gt;&lt;/contributors&gt;&lt;titles&gt;&lt;title&gt;Testing the technology acceptance model across cultures: A three country study&lt;/title&gt;&lt;secondary-title&gt;Information &amp;amp; Management&lt;/secondary-title&gt;&lt;/titles&gt;&lt;pages&gt;1-11&lt;/pages&gt;&lt;volume&gt;33&lt;/volume&gt;&lt;number&gt;1&lt;/number&gt;&lt;keywords&gt;&lt;keyword&gt;Technology acceptance model&lt;/keyword&gt;&lt;keyword&gt;Cross-cultural studies&lt;/keyword&gt;&lt;keyword&gt;E-mail&lt;/keyword&gt;&lt;keyword&gt;Information technology (IT) acceptance&lt;/keyword&gt;&lt;keyword&gt;IT diffusion&lt;/keyword&gt;&lt;keyword&gt;IT adoption&lt;/keyword&gt;&lt;keyword&gt;IT use&lt;/keyword&gt;&lt;/keywords&gt;&lt;dates&gt;&lt;year&gt;1997&lt;/year&gt;&lt;pub-dates&gt;&lt;date&gt;1997/11/07/&lt;/date&gt;&lt;/pub-dates&gt;&lt;/dates&gt;&lt;isbn&gt;0378-7206&lt;/isbn&gt;&lt;urls&gt;&lt;related-urls&gt;&lt;url&gt;http://www.sciencedirect.com/science/article/pii/S0378720697000268&lt;/url&gt;&lt;/related-urls&gt;&lt;/urls&gt;&lt;electronic-resource-num&gt;https://doi.org/10.1016/S0378-7206(97)00026-8&lt;/electronic-resource-num&gt;&lt;/record&gt;&lt;/Cite&gt;&lt;/EndNote&gt;</w:instrText>
      </w:r>
      <w:r w:rsidR="009264DF" w:rsidRPr="00C90AC9">
        <w:rPr>
          <w:rFonts w:eastAsiaTheme="minorHAnsi"/>
          <w:lang w:eastAsia="en-US"/>
        </w:rPr>
        <w:fldChar w:fldCharType="separate"/>
      </w:r>
      <w:r w:rsidR="009264DF" w:rsidRPr="00C90AC9">
        <w:rPr>
          <w:rFonts w:eastAsiaTheme="minorHAnsi"/>
          <w:lang w:eastAsia="en-US"/>
        </w:rPr>
        <w:t>(Straub, Keil, &amp; Brenner, 1997)</w:t>
      </w:r>
      <w:r w:rsidR="009264DF" w:rsidRPr="00C90AC9">
        <w:rPr>
          <w:rFonts w:eastAsiaTheme="minorHAnsi"/>
          <w:lang w:eastAsia="en-US"/>
        </w:rPr>
        <w:fldChar w:fldCharType="end"/>
      </w:r>
      <w:r w:rsidR="009264DF" w:rsidRPr="00C90AC9">
        <w:rPr>
          <w:rFonts w:eastAsiaTheme="minorHAnsi"/>
          <w:lang w:eastAsia="en-US"/>
        </w:rPr>
        <w:t xml:space="preserve">; </w:t>
      </w:r>
      <w:r w:rsidR="001953A7" w:rsidRPr="00C90AC9">
        <w:rPr>
          <w:rFonts w:eastAsiaTheme="minorHAnsi"/>
          <w:lang w:eastAsia="en-US"/>
        </w:rPr>
        <w:t>and varying</w:t>
      </w:r>
      <w:r w:rsidR="00A16B8C" w:rsidRPr="00C90AC9">
        <w:rPr>
          <w:rFonts w:eastAsiaTheme="minorHAnsi"/>
          <w:lang w:eastAsia="en-US"/>
        </w:rPr>
        <w:t xml:space="preserve"> characteristics of the technology </w:t>
      </w:r>
      <w:r w:rsidR="009264DF" w:rsidRPr="00C90AC9">
        <w:rPr>
          <w:rFonts w:eastAsiaTheme="minorHAnsi"/>
          <w:lang w:eastAsia="en-US"/>
        </w:rPr>
        <w:fldChar w:fldCharType="begin"/>
      </w:r>
      <w:r w:rsidR="009264DF" w:rsidRPr="00C90AC9">
        <w:rPr>
          <w:rFonts w:eastAsiaTheme="minorHAnsi"/>
          <w:lang w:eastAsia="en-US"/>
        </w:rPr>
        <w:instrText xml:space="preserve"> ADDIN EN.CITE &lt;EndNote&gt;&lt;Cite&gt;&lt;Author&gt;Plouffe&lt;/Author&gt;&lt;Year&gt;2001&lt;/Year&gt;&lt;RecNum&gt;246&lt;/RecNum&gt;&lt;DisplayText&gt;(Plouffe, Hulland, &amp;amp; Vandenbosch, 2001)&lt;/DisplayText&gt;&lt;record&gt;&lt;rec-number&gt;246&lt;/rec-number&gt;&lt;foreign-keys&gt;&lt;key app="EN" db-id="50wxdpzd9vd5r7e9t5b595djrfpttrxw9avp" timestamp="1525625682"&gt;246&lt;/key&gt;&lt;/foreign-keys&gt;&lt;ref-type name="Journal Article"&gt;17&lt;/ref-type&gt;&lt;contributors&gt;&lt;authors&gt;&lt;author&gt;Christopher R. Plouffe&lt;/author&gt;&lt;author&gt;John S. Hulland&lt;/author&gt;&lt;author&gt;Mark Vandenbosch&lt;/author&gt;&lt;/authors&gt;&lt;/contributors&gt;&lt;titles&gt;&lt;title&gt;Research Report: Richness Versus Parsimony in Modeling Technology Adoption Decisions—Understanding Merchant Adoption of a Smart Card-Based Payment System&lt;/title&gt;&lt;secondary-title&gt;Information Systems Research&lt;/secondary-title&gt;&lt;/titles&gt;&lt;pages&gt;208-222&lt;/pages&gt;&lt;volume&gt;12&lt;/volume&gt;&lt;number&gt;2&lt;/number&gt;&lt;keywords&gt;&lt;keyword&gt;TAM,PCI,Adoption,Managers,Perceptions,Attitudes,Intentions,Field Study,High Technology,Smart Cards&lt;/keyword&gt;&lt;/keywords&gt;&lt;dates&gt;&lt;year&gt;2001&lt;/year&gt;&lt;/dates&gt;&lt;urls&gt;&lt;related-urls&gt;&lt;url&gt;https://pubsonline.informs.org/doi/abs/10.1287/isre.12.2.208.9697&lt;/url&gt;&lt;/related-urls&gt;&lt;/urls&gt;&lt;electronic-resource-num&gt;10.1287/isre.12.2.208.9697&lt;/electronic-resource-num&gt;&lt;/record&gt;&lt;/Cite&gt;&lt;/EndNote&gt;</w:instrText>
      </w:r>
      <w:r w:rsidR="009264DF" w:rsidRPr="00C90AC9">
        <w:rPr>
          <w:rFonts w:eastAsiaTheme="minorHAnsi"/>
          <w:lang w:eastAsia="en-US"/>
        </w:rPr>
        <w:fldChar w:fldCharType="separate"/>
      </w:r>
      <w:r w:rsidR="009264DF" w:rsidRPr="00C90AC9">
        <w:rPr>
          <w:rFonts w:eastAsiaTheme="minorHAnsi"/>
          <w:lang w:eastAsia="en-US"/>
        </w:rPr>
        <w:t>(Plouffe, Hulland, &amp; Vandenbosch, 2001)</w:t>
      </w:r>
      <w:r w:rsidR="009264DF" w:rsidRPr="00C90AC9">
        <w:rPr>
          <w:rFonts w:eastAsiaTheme="minorHAnsi"/>
          <w:lang w:eastAsia="en-US"/>
        </w:rPr>
        <w:fldChar w:fldCharType="end"/>
      </w:r>
      <w:r w:rsidR="00A16B8C" w:rsidRPr="00C90AC9">
        <w:rPr>
          <w:rFonts w:eastAsiaTheme="minorHAnsi"/>
          <w:lang w:eastAsia="en-US"/>
        </w:rPr>
        <w:t>.</w:t>
      </w:r>
    </w:p>
    <w:p w:rsidR="00A16B8C" w:rsidRPr="00C90AC9" w:rsidRDefault="00A16B8C" w:rsidP="007B01CA">
      <w:pPr>
        <w:pStyle w:val="BodyText"/>
        <w:spacing w:line="360" w:lineRule="auto"/>
        <w:rPr>
          <w:rFonts w:eastAsiaTheme="minorHAnsi"/>
          <w:lang w:eastAsia="en-US"/>
        </w:rPr>
      </w:pPr>
      <w:r w:rsidRPr="00C90AC9">
        <w:rPr>
          <w:rFonts w:eastAsiaTheme="minorHAnsi"/>
          <w:lang w:eastAsia="en-US"/>
        </w:rPr>
        <w:t xml:space="preserve">The meta-analysis conducted by King and He assessed 88 studies, out of a total of 140 studies  52 studies were not included in their research as the eliminated studies did not constitute empirical research or they did not allow for a direct statistical test of the TAM </w:t>
      </w:r>
      <w:r w:rsidR="009264DF" w:rsidRPr="00C90AC9">
        <w:rPr>
          <w:rFonts w:eastAsiaTheme="minorHAnsi"/>
          <w:lang w:eastAsia="en-US"/>
        </w:rPr>
        <w:fldChar w:fldCharType="begin"/>
      </w:r>
      <w:r w:rsidR="009264DF" w:rsidRPr="00C90AC9">
        <w:rPr>
          <w:rFonts w:eastAsiaTheme="minorHAnsi"/>
          <w:lang w:eastAsia="en-US"/>
        </w:rPr>
        <w:instrText xml:space="preserve"> ADDIN EN.CITE &lt;EndNote&gt;&lt;Cite&gt;&lt;Author&gt;King&lt;/Author&gt;&lt;Year&gt;2006&lt;/Year&gt;&lt;RecNum&gt;241&lt;/RecNum&gt;&lt;DisplayText&gt;(King &amp;amp; He, 2006)&lt;/DisplayText&gt;&lt;record&gt;&lt;rec-number&gt;241&lt;/rec-number&gt;&lt;foreign-keys&gt;&lt;key app="EN" db-id="50wxdpzd9vd5r7e9t5b595djrfpttrxw9avp" timestamp="1525622743"&gt;241&lt;/key&gt;&lt;/foreign-keys&gt;&lt;ref-type name="Journal Article"&gt;17&lt;/ref-type&gt;&lt;contributors&gt;&lt;authors&gt;&lt;author&gt;King, William R.&lt;/author&gt;&lt;author&gt;He, Jun&lt;/author&gt;&lt;/authors&gt;&lt;/contributors&gt;&lt;titles&gt;&lt;title&gt;A meta-analysis of the technology acceptance model&lt;/title&gt;&lt;secondary-title&gt;Information &amp;amp; Management&lt;/secondary-title&gt;&lt;/titles&gt;&lt;pages&gt;740-755&lt;/pages&gt;&lt;volume&gt;43&lt;/volume&gt;&lt;number&gt;6&lt;/number&gt;&lt;keywords&gt;&lt;keyword&gt;Technology acceptance model&lt;/keyword&gt;&lt;keyword&gt;TAM&lt;/keyword&gt;&lt;keyword&gt;Meta-analysis&lt;/keyword&gt;&lt;keyword&gt;Perceived usefulness&lt;/keyword&gt;&lt;keyword&gt;Ease of use&lt;/keyword&gt;&lt;keyword&gt;Behavioral intention&lt;/keyword&gt;&lt;/keywords&gt;&lt;dates&gt;&lt;year&gt;2006&lt;/year&gt;&lt;pub-dates&gt;&lt;date&gt;2006/09/01/&lt;/date&gt;&lt;/pub-dates&gt;&lt;/dates&gt;&lt;isbn&gt;0378-7206&lt;/isbn&gt;&lt;urls&gt;&lt;related-urls&gt;&lt;url&gt;http://www.sciencedirect.com/science/article/pii/S0378720606000528&lt;/url&gt;&lt;/related-urls&gt;&lt;/urls&gt;&lt;electronic-resource-num&gt;https://doi.org/10.1016/j.im.2006.05.003&lt;/electronic-resource-num&gt;&lt;/record&gt;&lt;/Cite&gt;&lt;/EndNote&gt;</w:instrText>
      </w:r>
      <w:r w:rsidR="009264DF" w:rsidRPr="00C90AC9">
        <w:rPr>
          <w:rFonts w:eastAsiaTheme="minorHAnsi"/>
          <w:lang w:eastAsia="en-US"/>
        </w:rPr>
        <w:fldChar w:fldCharType="separate"/>
      </w:r>
      <w:r w:rsidR="009264DF" w:rsidRPr="00C90AC9">
        <w:rPr>
          <w:rFonts w:eastAsiaTheme="minorHAnsi"/>
          <w:lang w:eastAsia="en-US"/>
        </w:rPr>
        <w:t>(King &amp; He, 2006)</w:t>
      </w:r>
      <w:r w:rsidR="009264DF" w:rsidRPr="00C90AC9">
        <w:rPr>
          <w:rFonts w:eastAsiaTheme="minorHAnsi"/>
          <w:lang w:eastAsia="en-US"/>
        </w:rPr>
        <w:fldChar w:fldCharType="end"/>
      </w:r>
      <w:r w:rsidRPr="00C90AC9">
        <w:rPr>
          <w:rFonts w:eastAsiaTheme="minorHAnsi"/>
          <w:lang w:eastAsia="en-US"/>
        </w:rPr>
        <w:t xml:space="preserve"> The meta-analysis determined that the TAM is a robust and a powerful model when predicting consumer behavioural intention to use a technology </w:t>
      </w:r>
      <w:r w:rsidR="000E5C31" w:rsidRPr="00C90AC9">
        <w:rPr>
          <w:rFonts w:eastAsiaTheme="minorHAnsi"/>
          <w:lang w:eastAsia="en-US"/>
        </w:rPr>
        <w:fldChar w:fldCharType="begin"/>
      </w:r>
      <w:r w:rsidR="000E5C31" w:rsidRPr="00C90AC9">
        <w:rPr>
          <w:rFonts w:eastAsiaTheme="minorHAnsi"/>
          <w:lang w:eastAsia="en-US"/>
        </w:rPr>
        <w:instrText xml:space="preserve"> ADDIN EN.CITE &lt;EndNote&gt;&lt;Cite&gt;&lt;Author&gt;King&lt;/Author&gt;&lt;Year&gt;2006&lt;/Year&gt;&lt;RecNum&gt;241&lt;/RecNum&gt;&lt;DisplayText&gt;(King &amp;amp; He, 2006)&lt;/DisplayText&gt;&lt;record&gt;&lt;rec-number&gt;241&lt;/rec-number&gt;&lt;foreign-keys&gt;&lt;key app="EN" db-id="50wxdpzd9vd5r7e9t5b595djrfpttrxw9avp" timestamp="1525622743"&gt;241&lt;/key&gt;&lt;/foreign-keys&gt;&lt;ref-type name="Journal Article"&gt;17&lt;/ref-type&gt;&lt;contributors&gt;&lt;authors&gt;&lt;author&gt;King, William R.&lt;/author&gt;&lt;author&gt;He, Jun&lt;/author&gt;&lt;/authors&gt;&lt;/contributors&gt;&lt;titles&gt;&lt;title&gt;A meta-analysis of the technology acceptance model&lt;/title&gt;&lt;secondary-title&gt;Information &amp;amp; Management&lt;/secondary-title&gt;&lt;/titles&gt;&lt;pages&gt;740-755&lt;/pages&gt;&lt;volume&gt;43&lt;/volume&gt;&lt;number&gt;6&lt;/number&gt;&lt;keywords&gt;&lt;keyword&gt;Technology acceptance model&lt;/keyword&gt;&lt;keyword&gt;TAM&lt;/keyword&gt;&lt;keyword&gt;Meta-analysis&lt;/keyword&gt;&lt;keyword&gt;Perceived usefulness&lt;/keyword&gt;&lt;keyword&gt;Ease of use&lt;/keyword&gt;&lt;keyword&gt;Behavioral intention&lt;/keyword&gt;&lt;/keywords&gt;&lt;dates&gt;&lt;year&gt;2006&lt;/year&gt;&lt;pub-dates&gt;&lt;date&gt;2006/09/01/&lt;/date&gt;&lt;/pub-dates&gt;&lt;/dates&gt;&lt;isbn&gt;0378-7206&lt;/isbn&gt;&lt;urls&gt;&lt;related-urls&gt;&lt;url&gt;http://www.sciencedirect.com/science/article/pii/S0378720606000528&lt;/url&gt;&lt;/related-urls&gt;&lt;/urls&gt;&lt;electronic-resource-num&gt;https://doi.org/10.1016/j.im.2006.05.003&lt;/electronic-resource-num&gt;&lt;/record&gt;&lt;/Cite&gt;&lt;/EndNote&gt;</w:instrText>
      </w:r>
      <w:r w:rsidR="000E5C31" w:rsidRPr="00C90AC9">
        <w:rPr>
          <w:rFonts w:eastAsiaTheme="minorHAnsi"/>
          <w:lang w:eastAsia="en-US"/>
        </w:rPr>
        <w:fldChar w:fldCharType="separate"/>
      </w:r>
      <w:r w:rsidR="000E5C31" w:rsidRPr="00C90AC9">
        <w:rPr>
          <w:rFonts w:eastAsiaTheme="minorHAnsi"/>
          <w:lang w:eastAsia="en-US"/>
        </w:rPr>
        <w:t>(King &amp; He, 2006)</w:t>
      </w:r>
      <w:r w:rsidR="000E5C31" w:rsidRPr="00C90AC9">
        <w:rPr>
          <w:rFonts w:eastAsiaTheme="minorHAnsi"/>
          <w:lang w:eastAsia="en-US"/>
        </w:rPr>
        <w:fldChar w:fldCharType="end"/>
      </w:r>
      <w:r w:rsidRPr="00C90AC9">
        <w:rPr>
          <w:rFonts w:eastAsiaTheme="minorHAnsi"/>
          <w:lang w:eastAsia="en-US"/>
        </w:rPr>
        <w:t xml:space="preserve">. </w:t>
      </w:r>
    </w:p>
    <w:p w:rsidR="00A16B8C" w:rsidRPr="00C90AC9" w:rsidRDefault="00A16B8C" w:rsidP="00BD56D7">
      <w:pPr>
        <w:pStyle w:val="BodyText"/>
        <w:spacing w:line="360" w:lineRule="auto"/>
        <w:rPr>
          <w:rFonts w:eastAsiaTheme="minorHAnsi"/>
          <w:lang w:eastAsia="en-US"/>
        </w:rPr>
      </w:pPr>
      <w:r w:rsidRPr="00C90AC9">
        <w:rPr>
          <w:rFonts w:eastAsiaTheme="minorHAnsi"/>
          <w:lang w:eastAsia="en-US"/>
        </w:rPr>
        <w:t xml:space="preserve">In 2010 Turner et al investigated whether the variables of the TAM are predictors of </w:t>
      </w:r>
      <w:r w:rsidR="009264DF" w:rsidRPr="00C90AC9">
        <w:rPr>
          <w:rFonts w:eastAsiaTheme="minorHAnsi"/>
          <w:lang w:eastAsia="en-US"/>
        </w:rPr>
        <w:t xml:space="preserve">actual usage of the technology </w:t>
      </w:r>
      <w:r w:rsidR="000E5C31" w:rsidRPr="00C90AC9">
        <w:rPr>
          <w:rFonts w:eastAsiaTheme="minorHAnsi"/>
          <w:lang w:eastAsia="en-US"/>
        </w:rPr>
        <w:fldChar w:fldCharType="begin"/>
      </w:r>
      <w:r w:rsidR="000E5C31" w:rsidRPr="00C90AC9">
        <w:rPr>
          <w:rFonts w:eastAsiaTheme="minorHAnsi"/>
          <w:lang w:eastAsia="en-US"/>
        </w:rPr>
        <w:instrText xml:space="preserve"> ADDIN EN.CITE &lt;EndNote&gt;&lt;Cite&gt;&lt;Author&gt;Turner&lt;/Author&gt;&lt;Year&gt;2010&lt;/Year&gt;&lt;RecNum&gt;247&lt;/RecNum&gt;&lt;DisplayText&gt;(Turner, Kitchenham, Brereton, Charters, &amp;amp; Budgen, 2010)&lt;/DisplayText&gt;&lt;record&gt;&lt;rec-number&gt;247&lt;/rec-number&gt;&lt;foreign-keys&gt;&lt;key app="EN" db-id="50wxdpzd9vd5r7e9t5b595djrfpttrxw9avp" timestamp="1525625922"&gt;247&lt;/key&gt;&lt;/foreign-keys&gt;&lt;ref-type name="Journal Article"&gt;17&lt;/ref-type&gt;&lt;contributors&gt;&lt;authors&gt;&lt;author&gt;Turner, Mark&lt;/author&gt;&lt;author&gt;Kitchenham, Barbara&lt;/author&gt;&lt;author&gt;Brereton, Pearl&lt;/author&gt;&lt;author&gt;Charters, Stuart&lt;/author&gt;&lt;author&gt;Budgen, David&lt;/author&gt;&lt;/authors&gt;&lt;/contributors&gt;&lt;titles&gt;&lt;title&gt;Does the technology acceptance model predict actual use? A systematic literature review&lt;/title&gt;&lt;secondary-title&gt;Information and Software Technology&lt;/secondary-title&gt;&lt;/titles&gt;&lt;pages&gt;463-479&lt;/pages&gt;&lt;volume&gt;52&lt;/volume&gt;&lt;number&gt;5&lt;/number&gt;&lt;keywords&gt;&lt;keyword&gt;Technology acceptance model (TAM)&lt;/keyword&gt;&lt;keyword&gt;Systematic literature review&lt;/keyword&gt;&lt;keyword&gt;Evidence-based software engineering&lt;/keyword&gt;&lt;keyword&gt;Literature review&lt;/keyword&gt;&lt;keyword&gt;Actual usage&lt;/keyword&gt;&lt;/keywords&gt;&lt;dates&gt;&lt;year&gt;2010&lt;/year&gt;&lt;pub-dates&gt;&lt;date&gt;2010/05/01/&lt;/date&gt;&lt;/pub-dates&gt;&lt;/dates&gt;&lt;isbn&gt;0950-5849&lt;/isbn&gt;&lt;urls&gt;&lt;related-urls&gt;&lt;url&gt;http://www.sciencedirect.com/science/article/pii/S0950584909002055&lt;/url&gt;&lt;/related-urls&gt;&lt;/urls&gt;&lt;electronic-resource-num&gt;https://doi.org/10.1016/j.infsof.2009.11.005&lt;/electronic-resource-num&gt;&lt;/record&gt;&lt;/Cite&gt;&lt;/EndNote&gt;</w:instrText>
      </w:r>
      <w:r w:rsidR="000E5C31" w:rsidRPr="00C90AC9">
        <w:rPr>
          <w:rFonts w:eastAsiaTheme="minorHAnsi"/>
          <w:lang w:eastAsia="en-US"/>
        </w:rPr>
        <w:fldChar w:fldCharType="separate"/>
      </w:r>
      <w:r w:rsidR="000E5C31" w:rsidRPr="00C90AC9">
        <w:rPr>
          <w:rFonts w:eastAsiaTheme="minorHAnsi"/>
          <w:lang w:eastAsia="en-US"/>
        </w:rPr>
        <w:t>(Turner, Kitchenham, Brereton, Charters, &amp; Budgen, 2010)</w:t>
      </w:r>
      <w:r w:rsidR="000E5C31" w:rsidRPr="00C90AC9">
        <w:rPr>
          <w:rFonts w:eastAsiaTheme="minorHAnsi"/>
          <w:lang w:eastAsia="en-US"/>
        </w:rPr>
        <w:fldChar w:fldCharType="end"/>
      </w:r>
      <w:r w:rsidR="009264DF" w:rsidRPr="00C90AC9">
        <w:rPr>
          <w:rFonts w:eastAsiaTheme="minorHAnsi"/>
          <w:lang w:eastAsia="en-US"/>
        </w:rPr>
        <w:t>.</w:t>
      </w:r>
      <w:r w:rsidRPr="00C90AC9">
        <w:rPr>
          <w:rFonts w:eastAsiaTheme="minorHAnsi"/>
          <w:lang w:eastAsia="en-US"/>
        </w:rPr>
        <w:t xml:space="preserve"> </w:t>
      </w:r>
      <w:r w:rsidR="000E5C31" w:rsidRPr="00C90AC9">
        <w:rPr>
          <w:rFonts w:eastAsiaTheme="minorHAnsi"/>
          <w:lang w:eastAsia="en-US"/>
        </w:rPr>
        <w:t xml:space="preserve">Turner et al </w:t>
      </w:r>
      <w:r w:rsidRPr="00C90AC9">
        <w:rPr>
          <w:rFonts w:eastAsiaTheme="minorHAnsi"/>
          <w:lang w:eastAsia="en-US"/>
        </w:rPr>
        <w:t>conducted a literature review of recent studies</w:t>
      </w:r>
      <w:r w:rsidR="000E5C31" w:rsidRPr="00C90AC9">
        <w:rPr>
          <w:rFonts w:eastAsiaTheme="minorHAnsi"/>
          <w:lang w:eastAsia="en-US"/>
        </w:rPr>
        <w:t>,</w:t>
      </w:r>
      <w:r w:rsidRPr="00C90AC9">
        <w:rPr>
          <w:rFonts w:eastAsiaTheme="minorHAnsi"/>
          <w:lang w:eastAsia="en-US"/>
        </w:rPr>
        <w:t xml:space="preserve"> assessing 79 studies in total. The results finding that Behavioural Intention to use a technology is likely to be correlated with actual system usage whilst PEOU and PU are less likely to be correlated with actual usage </w:t>
      </w:r>
      <w:r w:rsidR="000E5C31" w:rsidRPr="00C90AC9">
        <w:rPr>
          <w:rFonts w:eastAsiaTheme="minorHAnsi"/>
          <w:lang w:eastAsia="en-US"/>
        </w:rPr>
        <w:fldChar w:fldCharType="begin"/>
      </w:r>
      <w:r w:rsidR="000E5C31" w:rsidRPr="00C90AC9">
        <w:rPr>
          <w:rFonts w:eastAsiaTheme="minorHAnsi"/>
          <w:lang w:eastAsia="en-US"/>
        </w:rPr>
        <w:instrText xml:space="preserve"> ADDIN EN.CITE &lt;EndNote&gt;&lt;Cite&gt;&lt;Author&gt;Turner&lt;/Author&gt;&lt;Year&gt;2010&lt;/Year&gt;&lt;RecNum&gt;247&lt;/RecNum&gt;&lt;DisplayText&gt;(Turner et al., 2010)&lt;/DisplayText&gt;&lt;record&gt;&lt;rec-number&gt;247&lt;/rec-number&gt;&lt;foreign-keys&gt;&lt;key app="EN" db-id="50wxdpzd9vd5r7e9t5b595djrfpttrxw9avp" timestamp="1525625922"&gt;247&lt;/key&gt;&lt;/foreign-keys&gt;&lt;ref-type name="Journal Article"&gt;17&lt;/ref-type&gt;&lt;contributors&gt;&lt;authors&gt;&lt;author&gt;Turner, Mark&lt;/author&gt;&lt;author&gt;Kitchenham, Barbara&lt;/author&gt;&lt;author&gt;Brereton, Pearl&lt;/author&gt;&lt;author&gt;Charters, Stuart&lt;/author&gt;&lt;author&gt;Budgen, David&lt;/author&gt;&lt;/authors&gt;&lt;/contributors&gt;&lt;titles&gt;&lt;title&gt;Does the technology acceptance model predict actual use? A systematic literature review&lt;/title&gt;&lt;secondary-title&gt;Information and Software Technology&lt;/secondary-title&gt;&lt;/titles&gt;&lt;pages&gt;463-479&lt;/pages&gt;&lt;volume&gt;52&lt;/volume&gt;&lt;number&gt;5&lt;/number&gt;&lt;keywords&gt;&lt;keyword&gt;Technology acceptance model (TAM)&lt;/keyword&gt;&lt;keyword&gt;Systematic literature review&lt;/keyword&gt;&lt;keyword&gt;Evidence-based software engineering&lt;/keyword&gt;&lt;keyword&gt;Literature review&lt;/keyword&gt;&lt;keyword&gt;Actual usage&lt;/keyword&gt;&lt;/keywords&gt;&lt;dates&gt;&lt;year&gt;2010&lt;/year&gt;&lt;pub-dates&gt;&lt;date&gt;2010/05/01/&lt;/date&gt;&lt;/pub-dates&gt;&lt;/dates&gt;&lt;isbn&gt;0950-5849&lt;/isbn&gt;&lt;urls&gt;&lt;related-urls&gt;&lt;url&gt;http://www.sciencedirect.com/science/article/pii/S0950584909002055&lt;/url&gt;&lt;/related-urls&gt;&lt;/urls&gt;&lt;electronic-resource-num&gt;https://doi.org/10.1016/j.infsof.2009.11.005&lt;/electronic-resource-num&gt;&lt;/record&gt;&lt;/Cite&gt;&lt;/EndNote&gt;</w:instrText>
      </w:r>
      <w:r w:rsidR="000E5C31" w:rsidRPr="00C90AC9">
        <w:rPr>
          <w:rFonts w:eastAsiaTheme="minorHAnsi"/>
          <w:lang w:eastAsia="en-US"/>
        </w:rPr>
        <w:fldChar w:fldCharType="separate"/>
      </w:r>
      <w:r w:rsidR="000E5C31" w:rsidRPr="00C90AC9">
        <w:rPr>
          <w:rFonts w:eastAsiaTheme="minorHAnsi"/>
          <w:lang w:eastAsia="en-US"/>
        </w:rPr>
        <w:t>(Turner et al., 2010)</w:t>
      </w:r>
      <w:r w:rsidR="000E5C31" w:rsidRPr="00C90AC9">
        <w:rPr>
          <w:rFonts w:eastAsiaTheme="minorHAnsi"/>
          <w:lang w:eastAsia="en-US"/>
        </w:rPr>
        <w:fldChar w:fldCharType="end"/>
      </w:r>
      <w:r w:rsidRPr="00C90AC9">
        <w:rPr>
          <w:rFonts w:eastAsiaTheme="minorHAnsi"/>
          <w:lang w:eastAsia="en-US"/>
        </w:rPr>
        <w:t xml:space="preserve">. The authors note that there should be care taken when applying the TAM to a context which is outside of the validated framework and that future studies investigating the </w:t>
      </w:r>
      <w:r w:rsidRPr="00C90AC9">
        <w:rPr>
          <w:rFonts w:eastAsiaTheme="minorHAnsi"/>
          <w:lang w:eastAsia="en-US"/>
        </w:rPr>
        <w:lastRenderedPageBreak/>
        <w:t xml:space="preserve">applicability of the TAM report contextual information about the technology as well as the population being assessed </w:t>
      </w:r>
      <w:r w:rsidR="000E5C31" w:rsidRPr="00C90AC9">
        <w:rPr>
          <w:rFonts w:eastAsiaTheme="minorHAnsi"/>
          <w:lang w:eastAsia="en-US"/>
        </w:rPr>
        <w:fldChar w:fldCharType="begin"/>
      </w:r>
      <w:r w:rsidR="000E5C31" w:rsidRPr="00C90AC9">
        <w:rPr>
          <w:rFonts w:eastAsiaTheme="minorHAnsi"/>
          <w:lang w:eastAsia="en-US"/>
        </w:rPr>
        <w:instrText xml:space="preserve"> ADDIN EN.CITE &lt;EndNote&gt;&lt;Cite&gt;&lt;Author&gt;Turner&lt;/Author&gt;&lt;Year&gt;2010&lt;/Year&gt;&lt;RecNum&gt;247&lt;/RecNum&gt;&lt;DisplayText&gt;(Turner et al., 2010)&lt;/DisplayText&gt;&lt;record&gt;&lt;rec-number&gt;247&lt;/rec-number&gt;&lt;foreign-keys&gt;&lt;key app="EN" db-id="50wxdpzd9vd5r7e9t5b595djrfpttrxw9avp" timestamp="1525625922"&gt;247&lt;/key&gt;&lt;/foreign-keys&gt;&lt;ref-type name="Journal Article"&gt;17&lt;/ref-type&gt;&lt;contributors&gt;&lt;authors&gt;&lt;author&gt;Turner, Mark&lt;/author&gt;&lt;author&gt;Kitchenham, Barbara&lt;/author&gt;&lt;author&gt;Brereton, Pearl&lt;/author&gt;&lt;author&gt;Charters, Stuart&lt;/author&gt;&lt;author&gt;Budgen, David&lt;/author&gt;&lt;/authors&gt;&lt;/contributors&gt;&lt;titles&gt;&lt;title&gt;Does the technology acceptance model predict actual use? A systematic literature review&lt;/title&gt;&lt;secondary-title&gt;Information and Software Technology&lt;/secondary-title&gt;&lt;/titles&gt;&lt;pages&gt;463-479&lt;/pages&gt;&lt;volume&gt;52&lt;/volume&gt;&lt;number&gt;5&lt;/number&gt;&lt;keywords&gt;&lt;keyword&gt;Technology acceptance model (TAM)&lt;/keyword&gt;&lt;keyword&gt;Systematic literature review&lt;/keyword&gt;&lt;keyword&gt;Evidence-based software engineering&lt;/keyword&gt;&lt;keyword&gt;Literature review&lt;/keyword&gt;&lt;keyword&gt;Actual usage&lt;/keyword&gt;&lt;/keywords&gt;&lt;dates&gt;&lt;year&gt;2010&lt;/year&gt;&lt;pub-dates&gt;&lt;date&gt;2010/05/01/&lt;/date&gt;&lt;/pub-dates&gt;&lt;/dates&gt;&lt;isbn&gt;0950-5849&lt;/isbn&gt;&lt;urls&gt;&lt;related-urls&gt;&lt;url&gt;http://www.sciencedirect.com/science/article/pii/S0950584909002055&lt;/url&gt;&lt;/related-urls&gt;&lt;/urls&gt;&lt;electronic-resource-num&gt;https://doi.org/10.1016/j.infsof.2009.11.005&lt;/electronic-resource-num&gt;&lt;/record&gt;&lt;/Cite&gt;&lt;/EndNote&gt;</w:instrText>
      </w:r>
      <w:r w:rsidR="000E5C31" w:rsidRPr="00C90AC9">
        <w:rPr>
          <w:rFonts w:eastAsiaTheme="minorHAnsi"/>
          <w:lang w:eastAsia="en-US"/>
        </w:rPr>
        <w:fldChar w:fldCharType="separate"/>
      </w:r>
      <w:r w:rsidR="000E5C31" w:rsidRPr="00C90AC9">
        <w:rPr>
          <w:rFonts w:eastAsiaTheme="minorHAnsi"/>
          <w:lang w:eastAsia="en-US"/>
        </w:rPr>
        <w:t>(Turner et al., 2010)</w:t>
      </w:r>
      <w:r w:rsidR="000E5C31" w:rsidRPr="00C90AC9">
        <w:rPr>
          <w:rFonts w:eastAsiaTheme="minorHAnsi"/>
          <w:lang w:eastAsia="en-US"/>
        </w:rPr>
        <w:fldChar w:fldCharType="end"/>
      </w:r>
      <w:r w:rsidRPr="00C90AC9">
        <w:rPr>
          <w:rFonts w:eastAsiaTheme="minorHAnsi"/>
          <w:lang w:eastAsia="en-US"/>
        </w:rPr>
        <w:t xml:space="preserve">. Developers of a new product have utilised the TAM at the start of the product design process as it predicts that the way in which consumers will use a technology (the frequency and the user’s ability to use the technology) is directly related to user’s Behavioural Intention to use the technology </w:t>
      </w:r>
      <w:r w:rsidR="000E5C31" w:rsidRPr="00C90AC9">
        <w:rPr>
          <w:rFonts w:eastAsiaTheme="minorHAnsi"/>
          <w:lang w:eastAsia="en-US"/>
        </w:rPr>
        <w:fldChar w:fldCharType="begin">
          <w:fldData xml:space="preserve">PEVuZE5vdGU+PENpdGU+PEF1dGhvcj5UdXJuZXI8L0F1dGhvcj48WWVhcj4yMDEwPC9ZZWFyPjxS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</w:fldData>
        </w:fldChar>
      </w:r>
      <w:r w:rsidR="000E5C31" w:rsidRPr="00C90AC9">
        <w:rPr>
          <w:rFonts w:eastAsiaTheme="minorHAnsi"/>
          <w:lang w:eastAsia="en-US"/>
        </w:rPr>
        <w:instrText xml:space="preserve"> ADDIN EN.CITE </w:instrText>
      </w:r>
      <w:r w:rsidR="000E5C31" w:rsidRPr="00C90AC9">
        <w:rPr>
          <w:rFonts w:eastAsiaTheme="minorHAnsi"/>
          <w:lang w:eastAsia="en-US"/>
        </w:rPr>
        <w:fldChar w:fldCharType="begin">
          <w:fldData xml:space="preserve">PEVuZE5vdGU+PENpdGU+PEF1dGhvcj5UdXJuZXI8L0F1dGhvcj48WWVhcj4yMDEwPC9ZZWFyPjxS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</w:fldData>
        </w:fldChar>
      </w:r>
      <w:r w:rsidR="000E5C31" w:rsidRPr="00C90AC9">
        <w:rPr>
          <w:rFonts w:eastAsiaTheme="minorHAnsi"/>
          <w:lang w:eastAsia="en-US"/>
        </w:rPr>
        <w:instrText xml:space="preserve"> ADDIN EN.CITE.DATA </w:instrText>
      </w:r>
      <w:r w:rsidR="000E5C31" w:rsidRPr="00C90AC9">
        <w:rPr>
          <w:rFonts w:eastAsiaTheme="minorHAnsi"/>
          <w:lang w:eastAsia="en-US"/>
        </w:rPr>
      </w:r>
      <w:r w:rsidR="000E5C31" w:rsidRPr="00C90AC9">
        <w:rPr>
          <w:rFonts w:eastAsiaTheme="minorHAnsi"/>
          <w:lang w:eastAsia="en-US"/>
        </w:rPr>
        <w:fldChar w:fldCharType="end"/>
      </w:r>
      <w:r w:rsidR="000E5C31" w:rsidRPr="00C90AC9">
        <w:rPr>
          <w:rFonts w:eastAsiaTheme="minorHAnsi"/>
          <w:lang w:eastAsia="en-US"/>
        </w:rPr>
      </w:r>
      <w:r w:rsidR="000E5C31" w:rsidRPr="00C90AC9">
        <w:rPr>
          <w:rFonts w:eastAsiaTheme="minorHAnsi"/>
          <w:lang w:eastAsia="en-US"/>
        </w:rPr>
        <w:fldChar w:fldCharType="separate"/>
      </w:r>
      <w:r w:rsidR="000E5C31" w:rsidRPr="00C90AC9">
        <w:rPr>
          <w:rFonts w:eastAsiaTheme="minorHAnsi"/>
          <w:lang w:eastAsia="en-US"/>
        </w:rPr>
        <w:t>(Davis, 1989; Turner et al., 2010)</w:t>
      </w:r>
      <w:r w:rsidR="000E5C31" w:rsidRPr="00C90AC9">
        <w:rPr>
          <w:rFonts w:eastAsiaTheme="minorHAnsi"/>
          <w:lang w:eastAsia="en-US"/>
        </w:rPr>
        <w:fldChar w:fldCharType="end"/>
      </w:r>
      <w:r w:rsidRPr="00C90AC9">
        <w:rPr>
          <w:rFonts w:eastAsiaTheme="minorHAnsi"/>
          <w:lang w:eastAsia="en-US"/>
        </w:rPr>
        <w:t xml:space="preserve">. </w:t>
      </w:r>
    </w:p>
    <w:p w:rsidR="0063274C" w:rsidRPr="00C90AC9" w:rsidRDefault="0063274C" w:rsidP="00BD56D7">
      <w:pPr>
        <w:pStyle w:val="BodyText"/>
        <w:spacing w:line="360" w:lineRule="auto"/>
        <w:rPr>
          <w:rFonts w:eastAsiaTheme="minorHAnsi"/>
          <w:lang w:eastAsia="en-US"/>
        </w:rPr>
      </w:pPr>
    </w:p>
    <w:p w:rsidR="00A16B8C" w:rsidRPr="00C90AC9" w:rsidRDefault="000F2059" w:rsidP="00BD56D7">
      <w:pPr>
        <w:pStyle w:val="Heading1"/>
        <w:spacing w:line="360" w:lineRule="auto"/>
        <w:rPr>
          <w:rStyle w:val="Emphasis"/>
          <w:rFonts w:ascii="Times New Roman" w:hAnsi="Times New Roman"/>
          <w:i w:val="0"/>
          <w:iCs/>
        </w:rPr>
      </w:pPr>
      <w:r w:rsidRPr="00C90AC9">
        <w:rPr>
          <w:rStyle w:val="Emphasis"/>
          <w:rFonts w:ascii="Times New Roman" w:hAnsi="Times New Roman"/>
          <w:i w:val="0"/>
          <w:iCs/>
        </w:rPr>
        <w:t xml:space="preserve">The </w:t>
      </w:r>
      <w:r w:rsidR="00A16B8C" w:rsidRPr="00C90AC9">
        <w:rPr>
          <w:rStyle w:val="Emphasis"/>
          <w:rFonts w:ascii="Times New Roman" w:hAnsi="Times New Roman"/>
          <w:i w:val="0"/>
          <w:iCs/>
        </w:rPr>
        <w:t xml:space="preserve">Technology Adoption </w:t>
      </w:r>
      <w:r w:rsidR="00A16B8C" w:rsidRPr="00C90AC9">
        <w:rPr>
          <w:rStyle w:val="SubtleEmphasis"/>
        </w:rPr>
        <w:t>Model</w:t>
      </w:r>
      <w:r w:rsidR="00A16B8C" w:rsidRPr="00C90AC9">
        <w:rPr>
          <w:rStyle w:val="Emphasis"/>
          <w:rFonts w:ascii="Times New Roman" w:hAnsi="Times New Roman"/>
          <w:i w:val="0"/>
          <w:iCs/>
        </w:rPr>
        <w:t xml:space="preserve"> + Trust (TAM + Trust) </w:t>
      </w:r>
    </w:p>
    <w:p w:rsidR="0063274C" w:rsidRPr="00C90AC9" w:rsidRDefault="00A16B8C" w:rsidP="00BD56D7">
      <w:pPr>
        <w:pStyle w:val="BodyTextFirstIndent"/>
        <w:spacing w:line="360" w:lineRule="auto"/>
        <w:ind w:firstLine="357"/>
        <w:rPr>
          <w:rFonts w:eastAsiaTheme="minorHAnsi"/>
          <w:lang w:eastAsia="en-US"/>
        </w:rPr>
      </w:pPr>
      <w:r w:rsidRPr="00C90AC9">
        <w:rPr>
          <w:rFonts w:eastAsiaTheme="minorHAnsi"/>
          <w:lang w:eastAsia="en-US"/>
        </w:rPr>
        <w:t xml:space="preserve">The original TAM model, as has been mentioned, has been expanded upon to incorporate different technologies and moderating effects. In particular, research has investigated the effect of Trust on consumer behaviour, especially when involving online information systems </w:t>
      </w:r>
      <w:r w:rsidR="00D07222" w:rsidRPr="00C90AC9">
        <w:rPr>
          <w:rFonts w:eastAsiaTheme="minorHAnsi"/>
          <w:lang w:eastAsia="en-US"/>
        </w:rPr>
        <w:fldChar w:fldCharType="begin"/>
      </w:r>
      <w:r w:rsidR="00D07222" w:rsidRPr="00C90AC9">
        <w:rPr>
          <w:rFonts w:eastAsiaTheme="minorHAnsi"/>
          <w:lang w:eastAsia="en-US"/>
        </w:rPr>
        <w:instrText xml:space="preserve"> ADDIN EN.CITE &lt;EndNote&gt;&lt;Cite&gt;&lt;Author&gt;Kantzioura&lt;/Author&gt;&lt;Year&gt;2012&lt;/Year&gt;&lt;RecNum&gt;219&lt;/RecNum&gt;&lt;DisplayText&gt;(Kantzioura et al., 2012)&lt;/DisplayText&gt;&lt;record&gt;&lt;rec-number&gt;219&lt;/rec-number&gt;&lt;foreign-keys&gt;&lt;key app="EN" db-id="50wxdpzd9vd5r7e9t5b595djrfpttrxw9avp" timestamp="1525592070"&gt;219&lt;/key&gt;&lt;/foreign-keys&gt;&lt;ref-type name="Journal Article"&gt;17&lt;/ref-type&gt;&lt;contributors&gt;&lt;authors&gt;&lt;author&gt;Kantzioura, A.&lt;/author&gt;&lt;author&gt;Kosmopoulos, P.&lt;/author&gt;&lt;author&gt;Zoras, S.&lt;/author&gt;&lt;/authors&gt;&lt;/contributors&gt;&lt;titles&gt;&lt;title&gt;Urban surface temperature and microclimate measurements in Thessaloniki&lt;/title&gt;&lt;secondary-title&gt;Energy and Buildings&lt;/secondary-title&gt;&lt;/titles&gt;&lt;pages&gt;63-72&lt;/pages&gt;&lt;volume&gt;44&lt;/volume&gt;&lt;keywords&gt;&lt;keyword&gt;Microclimatic measurements&lt;/keyword&gt;&lt;keyword&gt;Thessaloniki heat island&lt;/keyword&gt;&lt;keyword&gt;Surface temperature&lt;/keyword&gt;&lt;keyword&gt;Geometry&lt;/keyword&gt;&lt;keyword&gt;Urban conditions&lt;/keyword&gt;&lt;/keywords&gt;&lt;dates&gt;&lt;year&gt;2012&lt;/year&gt;&lt;pub-dates&gt;&lt;date&gt;2012/01/01/&lt;/date&gt;&lt;/pub-dates&gt;&lt;/dates&gt;&lt;isbn&gt;0378-7788&lt;/isbn&gt;&lt;urls&gt;&lt;related-urls&gt;&lt;url&gt;http://www.sciencedirect.com/science/article/pii/S0378778811004634&lt;/url&gt;&lt;/related-urls&gt;&lt;/urls&gt;&lt;electronic-resource-num&gt;https://doi.org/10.1016/j.enbuild.2011.10.019&lt;/electronic-resource-num&gt;&lt;/record&gt;&lt;/Cite&gt;&lt;/EndNote&gt;</w:instrText>
      </w:r>
      <w:r w:rsidR="00D07222" w:rsidRPr="00C90AC9">
        <w:rPr>
          <w:rFonts w:eastAsiaTheme="minorHAnsi"/>
          <w:lang w:eastAsia="en-US"/>
        </w:rPr>
        <w:fldChar w:fldCharType="separate"/>
      </w:r>
      <w:r w:rsidR="00D07222" w:rsidRPr="00C90AC9">
        <w:rPr>
          <w:rFonts w:eastAsiaTheme="minorHAnsi"/>
          <w:lang w:eastAsia="en-US"/>
        </w:rPr>
        <w:t>(Kantzioura et al., 2012)</w:t>
      </w:r>
      <w:r w:rsidR="00D07222" w:rsidRPr="00C90AC9">
        <w:rPr>
          <w:rFonts w:eastAsiaTheme="minorHAnsi"/>
          <w:lang w:eastAsia="en-US"/>
        </w:rPr>
        <w:fldChar w:fldCharType="end"/>
      </w:r>
      <w:r w:rsidRPr="00C90AC9">
        <w:rPr>
          <w:rFonts w:eastAsiaTheme="minorHAnsi"/>
          <w:lang w:eastAsia="en-US"/>
        </w:rPr>
        <w:t>.</w:t>
      </w:r>
      <w:r w:rsidR="00424032" w:rsidRPr="00C90AC9">
        <w:rPr>
          <w:rFonts w:eastAsiaTheme="minorHAnsi"/>
          <w:lang w:eastAsia="en-US"/>
        </w:rPr>
        <w:t xml:space="preserve"> For technologies that are unfamiliar improving the trust consumers have with the </w:t>
      </w:r>
      <w:r w:rsidR="002B349D" w:rsidRPr="00C90AC9">
        <w:rPr>
          <w:rFonts w:eastAsiaTheme="minorHAnsi"/>
          <w:lang w:eastAsia="en-US"/>
        </w:rPr>
        <w:t xml:space="preserve">both the technology as well as the sources of information available to them will result in a greater acceptance which will improve the adoption of </w:t>
      </w:r>
      <w:r w:rsidR="00906448" w:rsidRPr="00C90AC9">
        <w:rPr>
          <w:rFonts w:eastAsiaTheme="minorHAnsi"/>
          <w:lang w:eastAsia="en-US"/>
        </w:rPr>
        <w:t>the technology</w:t>
      </w:r>
      <w:r w:rsidR="00C0462B" w:rsidRPr="00C90AC9">
        <w:rPr>
          <w:rFonts w:eastAsiaTheme="minorHAnsi"/>
          <w:lang w:eastAsia="en-US"/>
        </w:rPr>
        <w:t xml:space="preserve"> </w:t>
      </w:r>
      <w:r w:rsidR="00C0462B" w:rsidRPr="00C90AC9">
        <w:rPr>
          <w:rFonts w:eastAsiaTheme="minorHAnsi"/>
          <w:lang w:eastAsia="en-US"/>
        </w:rPr>
        <w:fldChar w:fldCharType="begin">
          <w:fldData xml:space="preserve">PEVuZE5vdGU+PENpdGU+PEF1dGhvcj5HZWZlbjwvQXV0aG9yPjxZZWFyPjIwMDQ8L1llYXI+PFJl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</w:fldData>
        </w:fldChar>
      </w:r>
      <w:r w:rsidR="00C0462B" w:rsidRPr="00C90AC9">
        <w:rPr>
          <w:rFonts w:eastAsiaTheme="minorHAnsi"/>
          <w:lang w:eastAsia="en-US"/>
        </w:rPr>
        <w:instrText xml:space="preserve"> ADDIN EN.CITE </w:instrText>
      </w:r>
      <w:r w:rsidR="00C0462B" w:rsidRPr="00C90AC9">
        <w:rPr>
          <w:rFonts w:eastAsiaTheme="minorHAnsi"/>
          <w:lang w:eastAsia="en-US"/>
        </w:rPr>
        <w:fldChar w:fldCharType="begin">
          <w:fldData xml:space="preserve">PEVuZE5vdGU+PENpdGU+PEF1dGhvcj5HZWZlbjwvQXV0aG9yPjxZZWFyPjIwMDQ8L1llYXI+PFJl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</w:fldData>
        </w:fldChar>
      </w:r>
      <w:r w:rsidR="00C0462B" w:rsidRPr="00C90AC9">
        <w:rPr>
          <w:rFonts w:eastAsiaTheme="minorHAnsi"/>
          <w:lang w:eastAsia="en-US"/>
        </w:rPr>
        <w:instrText xml:space="preserve"> ADDIN EN.CITE.DATA </w:instrText>
      </w:r>
      <w:r w:rsidR="00C0462B" w:rsidRPr="00C90AC9">
        <w:rPr>
          <w:rFonts w:eastAsiaTheme="minorHAnsi"/>
          <w:lang w:eastAsia="en-US"/>
        </w:rPr>
      </w:r>
      <w:r w:rsidR="00C0462B" w:rsidRPr="00C90AC9">
        <w:rPr>
          <w:rFonts w:eastAsiaTheme="minorHAnsi"/>
          <w:lang w:eastAsia="en-US"/>
        </w:rPr>
        <w:fldChar w:fldCharType="end"/>
      </w:r>
      <w:r w:rsidR="00C0462B" w:rsidRPr="00C90AC9">
        <w:rPr>
          <w:rFonts w:eastAsiaTheme="minorHAnsi"/>
          <w:lang w:eastAsia="en-US"/>
        </w:rPr>
      </w:r>
      <w:r w:rsidR="00C0462B" w:rsidRPr="00C90AC9">
        <w:rPr>
          <w:rFonts w:eastAsiaTheme="minorHAnsi"/>
          <w:lang w:eastAsia="en-US"/>
        </w:rPr>
        <w:fldChar w:fldCharType="separate"/>
      </w:r>
      <w:r w:rsidR="00C0462B" w:rsidRPr="00C90AC9">
        <w:rPr>
          <w:rFonts w:eastAsiaTheme="minorHAnsi"/>
          <w:lang w:eastAsia="en-US"/>
        </w:rPr>
        <w:t>(Gefen, 2004; Kantzioura et al., 2012)</w:t>
      </w:r>
      <w:r w:rsidR="00C0462B" w:rsidRPr="00C90AC9">
        <w:rPr>
          <w:rFonts w:eastAsiaTheme="minorHAnsi"/>
          <w:lang w:eastAsia="en-US"/>
        </w:rPr>
        <w:fldChar w:fldCharType="end"/>
      </w:r>
      <w:r w:rsidR="002B349D" w:rsidRPr="00C90AC9">
        <w:rPr>
          <w:rFonts w:eastAsiaTheme="minorHAnsi"/>
          <w:lang w:eastAsia="en-US"/>
        </w:rPr>
        <w:t>.</w:t>
      </w:r>
    </w:p>
    <w:p w:rsidR="0077762F" w:rsidRPr="00C90AC9" w:rsidRDefault="0077762F" w:rsidP="00BD56D7">
      <w:pPr>
        <w:pStyle w:val="BodyTextFirstIndent"/>
        <w:spacing w:line="360" w:lineRule="auto"/>
        <w:ind w:firstLine="357"/>
        <w:rPr>
          <w:rFonts w:eastAsiaTheme="minorHAnsi"/>
          <w:lang w:eastAsia="en-US"/>
        </w:rPr>
      </w:pPr>
    </w:p>
    <w:p w:rsidR="0077762F" w:rsidRPr="00C90AC9" w:rsidRDefault="00906448" w:rsidP="00BD56D7">
      <w:pPr>
        <w:pStyle w:val="BodyTextFirstIndent"/>
        <w:spacing w:line="360" w:lineRule="auto"/>
        <w:ind w:firstLine="357"/>
        <w:rPr>
          <w:rFonts w:eastAsiaTheme="minorHAnsi"/>
          <w:lang w:eastAsia="en-US"/>
        </w:rPr>
      </w:pPr>
      <w:r w:rsidRPr="00C90AC9">
        <w:rPr>
          <w:rFonts w:eastAsiaTheme="minorHAnsi"/>
          <w:lang w:eastAsia="en-US"/>
        </w:rPr>
        <w:t xml:space="preserve"> Due to the Technology Acceptance Model being untested with regards to </w:t>
      </w:r>
      <w:r w:rsidR="006518C0" w:rsidRPr="00C90AC9">
        <w:rPr>
          <w:rFonts w:eastAsiaTheme="minorHAnsi"/>
          <w:lang w:eastAsia="en-US"/>
        </w:rPr>
        <w:t>STPs</w:t>
      </w:r>
      <w:r w:rsidR="0077762F" w:rsidRPr="00C90AC9">
        <w:rPr>
          <w:rFonts w:eastAsiaTheme="minorHAnsi"/>
          <w:lang w:eastAsia="en-US"/>
        </w:rPr>
        <w:t>,</w:t>
      </w:r>
      <w:r w:rsidRPr="00C90AC9">
        <w:rPr>
          <w:rFonts w:eastAsiaTheme="minorHAnsi"/>
          <w:lang w:eastAsia="en-US"/>
        </w:rPr>
        <w:t xml:space="preserve"> it is expected that the original Davis model to not </w:t>
      </w:r>
      <w:r w:rsidR="001953A7" w:rsidRPr="00C90AC9">
        <w:rPr>
          <w:rFonts w:eastAsiaTheme="minorHAnsi"/>
          <w:lang w:eastAsia="en-US"/>
        </w:rPr>
        <w:t>predict all of consumer behavioural intentions to use STP technology</w:t>
      </w:r>
      <w:r w:rsidR="0077762F" w:rsidRPr="00C90AC9">
        <w:rPr>
          <w:rFonts w:eastAsiaTheme="minorHAnsi"/>
          <w:lang w:eastAsia="en-US"/>
        </w:rPr>
        <w:t>. This is because the original TAM model was parsimonious with its constructs which might inevitably mean factors which might affect modern technology adoption is not captured by the TAM. M</w:t>
      </w:r>
      <w:r w:rsidR="001953A7" w:rsidRPr="00C90AC9">
        <w:rPr>
          <w:rFonts w:eastAsiaTheme="minorHAnsi"/>
          <w:lang w:eastAsia="en-US"/>
        </w:rPr>
        <w:t xml:space="preserve">ore recent iteration of the model, such as the </w:t>
      </w:r>
      <w:proofErr w:type="spellStart"/>
      <w:r w:rsidR="001953A7" w:rsidRPr="00C90AC9">
        <w:rPr>
          <w:rFonts w:eastAsiaTheme="minorHAnsi"/>
          <w:lang w:eastAsia="en-US"/>
        </w:rPr>
        <w:t>TAM+Trust</w:t>
      </w:r>
      <w:proofErr w:type="spellEnd"/>
      <w:r w:rsidR="001953A7" w:rsidRPr="00C90AC9">
        <w:rPr>
          <w:rFonts w:eastAsiaTheme="minorHAnsi"/>
          <w:lang w:eastAsia="en-US"/>
        </w:rPr>
        <w:t xml:space="preserve">, will </w:t>
      </w:r>
      <w:r w:rsidR="0077762F" w:rsidRPr="00C90AC9">
        <w:rPr>
          <w:rFonts w:eastAsiaTheme="minorHAnsi"/>
          <w:lang w:eastAsia="en-US"/>
        </w:rPr>
        <w:t xml:space="preserve">therefore </w:t>
      </w:r>
      <w:r w:rsidR="00C0462B" w:rsidRPr="00C90AC9">
        <w:rPr>
          <w:rFonts w:eastAsiaTheme="minorHAnsi"/>
          <w:lang w:eastAsia="en-US"/>
        </w:rPr>
        <w:t xml:space="preserve">potentially </w:t>
      </w:r>
      <w:r w:rsidR="001953A7" w:rsidRPr="00C90AC9">
        <w:rPr>
          <w:rFonts w:eastAsiaTheme="minorHAnsi"/>
          <w:lang w:eastAsia="en-US"/>
        </w:rPr>
        <w:t>have greater explanatory power</w:t>
      </w:r>
      <w:r w:rsidR="00C0462B" w:rsidRPr="00C90AC9">
        <w:rPr>
          <w:rFonts w:eastAsiaTheme="minorHAnsi"/>
          <w:lang w:eastAsia="en-US"/>
        </w:rPr>
        <w:t xml:space="preserve"> than the original TAM </w:t>
      </w:r>
      <w:r w:rsidR="00C0462B" w:rsidRPr="00C90AC9">
        <w:rPr>
          <w:rFonts w:eastAsiaTheme="minorHAnsi"/>
          <w:lang w:eastAsia="en-US"/>
        </w:rPr>
        <w:fldChar w:fldCharType="begin"/>
      </w:r>
      <w:r w:rsidR="00C0462B" w:rsidRPr="00C90AC9">
        <w:rPr>
          <w:rFonts w:eastAsiaTheme="minorHAnsi"/>
          <w:lang w:eastAsia="en-US"/>
        </w:rPr>
        <w:instrText xml:space="preserve"> ADDIN EN.CITE &lt;EndNote&gt;&lt;Cite&gt;&lt;Author&gt;Gefen&lt;/Author&gt;&lt;Year&gt;2004&lt;/Year&gt;&lt;RecNum&gt;242&lt;/RecNum&gt;&lt;DisplayText&gt;(Gefen, 2004)&lt;/DisplayText&gt;&lt;record&gt;&lt;rec-number&gt;242&lt;/rec-number&gt;&lt;foreign-keys&gt;&lt;key app="EN" db-id="50wxdpzd9vd5r7e9t5b595djrfpttrxw9avp" timestamp="1525622834"&gt;242&lt;/key&gt;&lt;/foreign-keys&gt;&lt;ref-type name="Journal Article"&gt;17&lt;/ref-type&gt;&lt;contributors&gt;&lt;authors&gt;&lt;author&gt;Gefen, David&lt;/author&gt;&lt;/authors&gt;&lt;/contributors&gt;&lt;titles&gt;&lt;title&gt;What Makes an ERP Implementation Relationship Worthwhile: Linking Trust Mechanisms and ERP Usefulness&lt;/title&gt;&lt;secondary-title&gt;Journal of Management Information Systems&lt;/secondary-title&gt;&lt;/titles&gt;&lt;pages&gt;263-288&lt;/pages&gt;&lt;volume&gt;21&lt;/volume&gt;&lt;number&gt;1&lt;/number&gt;&lt;dates&gt;&lt;year&gt;2004&lt;/year&gt;&lt;pub-dates&gt;&lt;date&gt;2004/01/01&lt;/date&gt;&lt;/pub-dates&gt;&lt;/dates&gt;&lt;publisher&gt;Routledge&lt;/publisher&gt;&lt;isbn&gt;0742-1222&lt;/isbn&gt;&lt;urls&gt;&lt;related-urls&gt;&lt;url&gt;https://doi.org/10.1080/07421222.2004.11045792&lt;/url&gt;&lt;/related-urls&gt;&lt;/urls&gt;&lt;electronic-resource-num&gt;10.1080/07421222.2004.11045792&lt;/electronic-resource-num&gt;&lt;/record&gt;&lt;/Cite&gt;&lt;/EndNote&gt;</w:instrText>
      </w:r>
      <w:r w:rsidR="00C0462B" w:rsidRPr="00C90AC9">
        <w:rPr>
          <w:rFonts w:eastAsiaTheme="minorHAnsi"/>
          <w:lang w:eastAsia="en-US"/>
        </w:rPr>
        <w:fldChar w:fldCharType="separate"/>
      </w:r>
      <w:r w:rsidR="00C0462B" w:rsidRPr="00C90AC9">
        <w:rPr>
          <w:rFonts w:eastAsiaTheme="minorHAnsi"/>
          <w:lang w:eastAsia="en-US"/>
        </w:rPr>
        <w:t>(Gefen, 2004)</w:t>
      </w:r>
      <w:r w:rsidR="00C0462B" w:rsidRPr="00C90AC9">
        <w:rPr>
          <w:rFonts w:eastAsiaTheme="minorHAnsi"/>
          <w:lang w:eastAsia="en-US"/>
        </w:rPr>
        <w:fldChar w:fldCharType="end"/>
      </w:r>
      <w:r w:rsidR="001953A7" w:rsidRPr="00C90AC9">
        <w:rPr>
          <w:rFonts w:eastAsiaTheme="minorHAnsi"/>
          <w:lang w:eastAsia="en-US"/>
        </w:rPr>
        <w:t>. This is particularly true due to the fact that STP is relatively unfamiliar to the UK market when compared to other European countries such as Cyprus or Greece</w:t>
      </w:r>
      <w:r w:rsidR="0077762F" w:rsidRPr="00C90AC9">
        <w:rPr>
          <w:rFonts w:eastAsiaTheme="minorHAnsi"/>
          <w:lang w:eastAsia="en-US"/>
        </w:rPr>
        <w:t xml:space="preserve"> where STP technology is more established</w:t>
      </w:r>
      <w:r w:rsidR="00C0462B" w:rsidRPr="00C90AC9">
        <w:rPr>
          <w:rFonts w:eastAsiaTheme="minorHAnsi"/>
          <w:lang w:eastAsia="en-US"/>
        </w:rPr>
        <w:t xml:space="preserve"> </w:t>
      </w:r>
      <w:r w:rsidR="00C0462B" w:rsidRPr="00C90AC9">
        <w:rPr>
          <w:rFonts w:eastAsiaTheme="minorHAnsi"/>
          <w:lang w:eastAsia="en-US"/>
        </w:rPr>
        <w:fldChar w:fldCharType="begin"/>
      </w:r>
      <w:r w:rsidR="00C0462B" w:rsidRPr="00C90AC9">
        <w:rPr>
          <w:rFonts w:eastAsiaTheme="minorHAnsi"/>
          <w:lang w:eastAsia="en-US"/>
        </w:rPr>
        <w:instrText xml:space="preserve"> ADDIN EN.CITE &lt;EndNote&gt;&lt;Cite&gt;&lt;Author&gt;Elmustapha&lt;/Author&gt;&lt;Year&gt;2018&lt;/Year&gt;&lt;RecNum&gt;256&lt;/RecNum&gt;&lt;DisplayText&gt;(Elmustapha et al., 2018)&lt;/DisplayText&gt;&lt;record&gt;&lt;rec-number&gt;256&lt;/rec-number&gt;&lt;foreign-keys&gt;&lt;key app="EN" db-id="50wxdpzd9vd5r7e9t5b595djrfpttrxw9avp" timestamp="1526027805"&gt;256&lt;/key&gt;&lt;/foreign-keys&gt;&lt;ref-type name="Journal Article"&gt;17&lt;/ref-type&gt;&lt;contributors&gt;&lt;authors&gt;&lt;author&gt;Elmustapha, Houda&lt;/author&gt;&lt;author&gt;Hoppe, Thomas&lt;/author&gt;&lt;author&gt;Bressers, Hans&lt;/author&gt;&lt;/authors&gt;&lt;/contributors&gt;&lt;titles&gt;&lt;title&gt;Consumer renewable energy technology adoption decision-making; comparing models on perceived attributes and attitudinal constructs in the case of solar water heaters in Lebanon&lt;/title&gt;&lt;secondary-title&gt;Journal of Cleaner Production&lt;/secondary-title&gt;&lt;/titles&gt;&lt;pages&gt;347-357&lt;/pages&gt;&lt;volume&gt;172&lt;/volume&gt;&lt;dates&gt;&lt;year&gt;2018&lt;/year&gt;&lt;pub-dates&gt;&lt;date&gt;2018/01/20/&lt;/date&gt;&lt;/pub-dates&gt;&lt;/dates&gt;&lt;isbn&gt;0959-6526&lt;/isbn&gt;&lt;urls&gt;&lt;related-urls&gt;&lt;url&gt;http://www.sciencedirect.com/science/article/pii/S0959652617323478&lt;/url&gt;&lt;/related-urls&gt;&lt;/urls&gt;&lt;electronic-resource-num&gt;https://doi.org/10.1016/j.jclepro.2017.10.131&lt;/electronic-resource-num&gt;&lt;/record&gt;&lt;/Cite&gt;&lt;/EndNote&gt;</w:instrText>
      </w:r>
      <w:r w:rsidR="00C0462B" w:rsidRPr="00C90AC9">
        <w:rPr>
          <w:rFonts w:eastAsiaTheme="minorHAnsi"/>
          <w:lang w:eastAsia="en-US"/>
        </w:rPr>
        <w:fldChar w:fldCharType="separate"/>
      </w:r>
      <w:r w:rsidR="00C0462B" w:rsidRPr="00C90AC9">
        <w:rPr>
          <w:rFonts w:eastAsiaTheme="minorHAnsi"/>
          <w:lang w:eastAsia="en-US"/>
        </w:rPr>
        <w:t>(Elmustapha et al., 2018)</w:t>
      </w:r>
      <w:r w:rsidR="00C0462B" w:rsidRPr="00C90AC9">
        <w:rPr>
          <w:rFonts w:eastAsiaTheme="minorHAnsi"/>
          <w:lang w:eastAsia="en-US"/>
        </w:rPr>
        <w:fldChar w:fldCharType="end"/>
      </w:r>
      <w:r w:rsidR="00C0462B" w:rsidRPr="00C90AC9">
        <w:rPr>
          <w:rFonts w:eastAsiaTheme="minorHAnsi"/>
          <w:lang w:eastAsia="en-US"/>
        </w:rPr>
        <w:t xml:space="preserve">. </w:t>
      </w: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C44286" w:rsidRPr="00C90AC9" w:rsidRDefault="00C44286">
      <w:pPr>
        <w:rPr>
          <w:rStyle w:val="Heading1Char"/>
          <w:iCs w:val="0"/>
        </w:rPr>
      </w:pPr>
      <w:r w:rsidRPr="00C90AC9">
        <w:rPr>
          <w:rStyle w:val="Heading1Char"/>
        </w:rPr>
        <w:br w:type="page"/>
      </w:r>
    </w:p>
    <w:p w:rsidR="00A16B8C" w:rsidRPr="00C90AC9" w:rsidRDefault="00A16B8C" w:rsidP="009601D8">
      <w:pPr>
        <w:pStyle w:val="Heading1"/>
        <w:rPr>
          <w:rStyle w:val="SubtleEmphasis"/>
          <w:i/>
          <w:iCs w:val="0"/>
          <w:sz w:val="24"/>
        </w:rPr>
      </w:pPr>
      <w:r w:rsidRPr="00C90AC9">
        <w:rPr>
          <w:rStyle w:val="Heading1Char"/>
        </w:rPr>
        <w:lastRenderedPageBreak/>
        <w:t>Conclusions from the psychology literature review and direction for this research</w:t>
      </w:r>
    </w:p>
    <w:p w:rsidR="00A16B8C" w:rsidRPr="00C90AC9" w:rsidRDefault="00A16B8C" w:rsidP="007B01CA">
      <w:pPr>
        <w:pStyle w:val="BodyTextFirstIndent"/>
        <w:spacing w:line="360" w:lineRule="auto"/>
        <w:rPr>
          <w:rFonts w:eastAsiaTheme="minorHAnsi"/>
          <w:lang w:eastAsia="en-US"/>
        </w:rPr>
      </w:pPr>
      <w:r w:rsidRPr="00C90AC9">
        <w:rPr>
          <w:rFonts w:eastAsiaTheme="minorHAnsi"/>
          <w:lang w:eastAsia="en-US"/>
        </w:rPr>
        <w:t xml:space="preserve">Due to: it’s longevity: application to a variety of products but not </w:t>
      </w:r>
      <w:r w:rsidR="006518C0" w:rsidRPr="00C90AC9">
        <w:rPr>
          <w:rFonts w:eastAsiaTheme="minorHAnsi"/>
          <w:lang w:eastAsia="en-US"/>
        </w:rPr>
        <w:t>STPs</w:t>
      </w:r>
      <w:r w:rsidRPr="00C90AC9">
        <w:rPr>
          <w:rFonts w:eastAsiaTheme="minorHAnsi"/>
          <w:lang w:eastAsia="en-US"/>
        </w:rPr>
        <w:t xml:space="preserve">; the fact that it is grounded in psychological theory; it is parsimonious with its constructs; The TAM is a well-accepted model for describing consumer intension to adopt a technology and it has been assessed for not only the factors (PEOU and PU) described directly by the TAM  </w:t>
      </w:r>
      <w:sdt>
        <w:sdtPr>
          <w:rPr>
            <w:rFonts w:eastAsiaTheme="minorHAnsi"/>
            <w:lang w:eastAsia="en-US"/>
          </w:rPr>
          <w:alias w:val="Don't edit this field"/>
          <w:tag w:val="CitaviPlaceholder#25ab0658-7f84-4135-a675-af4fd5ce2d2b"/>
          <w:id w:val="366808828"/>
        </w:sdtPr>
        <w:sdtEndPr/>
        <w:sdtContent>
          <w:r w:rsidR="00C05E2B" w:rsidRPr="00C90AC9">
            <w:rPr>
              <w:rFonts w:eastAsiaTheme="minorHAnsi"/>
              <w:lang w:eastAsia="en-US"/>
            </w:rPr>
            <w:fldChar w:fldCharType="begin"/>
          </w:r>
          <w:r w:rsidR="007835E8" w:rsidRPr="00C90AC9">
            <w:rPr>
              <w:rFonts w:eastAsiaTheme="minorHAnsi"/>
              <w:lang w:eastAsia="en-US"/>
            </w:rPr>
            <w:instrText>ADDIN CitaviPlaceholder{eyIkaWQiOiIxIiwiRW50cmllcyI6W3siJGlkIjoiMiIsIkhhc1RlbXBvcmFyeVJlZmVyZW5jZSI6dHJ1ZSwiSWQiOiIzMGRiOTViZS0yNjZiLTQ4NGMtYWIyNS1kZDViY2U2YmEyZDAiLCJSYW5nZUxlbmd0aCI6OTIsIlJlZmVyZW5jZUlkIjoiNTg4MjU4N2YtYWFhNC00NWI5LTlhZjAtYWY1OWRlNGE3ZDVl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}</w:instrText>
          </w:r>
          <w:r w:rsidR="00C05E2B" w:rsidRPr="00C90AC9">
            <w:rPr>
              <w:rFonts w:eastAsiaTheme="minorHAnsi"/>
              <w:lang w:eastAsia="en-US"/>
            </w:rPr>
            <w:fldChar w:fldCharType="separate"/>
          </w:r>
          <w:r w:rsidR="007835E8" w:rsidRPr="00C90AC9">
            <w:rPr>
              <w:rFonts w:eastAsiaTheme="minorHAnsi"/>
              <w:lang w:eastAsia="en-US"/>
            </w:rPr>
            <w:t>(Perceived usefulness, perceived ease of use, and user acceptance of information technology)</w:t>
          </w:r>
          <w:r w:rsidR="00C05E2B" w:rsidRPr="00C90AC9">
            <w:rPr>
              <w:rFonts w:eastAsiaTheme="minorHAnsi"/>
              <w:lang w:eastAsia="en-US"/>
            </w:rPr>
            <w:fldChar w:fldCharType="end"/>
          </w:r>
        </w:sdtContent>
      </w:sdt>
      <w:r w:rsidRPr="00C90AC9">
        <w:rPr>
          <w:rFonts w:eastAsiaTheme="minorHAnsi"/>
          <w:lang w:eastAsia="en-US"/>
        </w:rPr>
        <w:t xml:space="preserve">but also additional factors such as trust  </w:t>
      </w:r>
      <w:r w:rsidR="00325112" w:rsidRPr="00C90AC9">
        <w:rPr>
          <w:rFonts w:eastAsiaTheme="minorHAnsi"/>
          <w:lang w:eastAsia="en-US"/>
        </w:rPr>
        <w:fldChar w:fldCharType="begin"/>
      </w:r>
      <w:r w:rsidR="00325112" w:rsidRPr="00C90AC9">
        <w:rPr>
          <w:rFonts w:eastAsiaTheme="minorHAnsi"/>
          <w:lang w:eastAsia="en-US"/>
        </w:rPr>
        <w:instrText xml:space="preserve"> ADDIN EN.CITE &lt;EndNote&gt;&lt;Cite&gt;&lt;Author&gt;Gefen&lt;/Author&gt;&lt;Year&gt;2004&lt;/Year&gt;&lt;RecNum&gt;242&lt;/RecNum&gt;&lt;DisplayText&gt;(Gefen, 2004)&lt;/DisplayText&gt;&lt;record&gt;&lt;rec-number&gt;242&lt;/rec-number&gt;&lt;foreign-keys&gt;&lt;key app="EN" db-id="50wxdpzd9vd5r7e9t5b595djrfpttrxw9avp" timestamp="1525622834"&gt;242&lt;/key&gt;&lt;/foreign-keys&gt;&lt;ref-type name="Journal Article"&gt;17&lt;/ref-type&gt;&lt;contributors&gt;&lt;authors&gt;&lt;author&gt;Gefen, David&lt;/author&gt;&lt;/authors&gt;&lt;/contributors&gt;&lt;titles&gt;&lt;title&gt;What Makes an ERP Implementation Relationship Worthwhile: Linking Trust Mechanisms and ERP Usefulness&lt;/title&gt;&lt;secondary-title&gt;Journal of Management Information Systems&lt;/secondary-title&gt;&lt;/titles&gt;&lt;pages&gt;263-288&lt;/pages&gt;&lt;volume&gt;21&lt;/volume&gt;&lt;number&gt;1&lt;/number&gt;&lt;dates&gt;&lt;year&gt;2004&lt;/year&gt;&lt;pub-dates&gt;&lt;date&gt;2004/01/01&lt;/date&gt;&lt;/pub-dates&gt;&lt;/dates&gt;&lt;publisher&gt;Routledge&lt;/publisher&gt;&lt;isbn&gt;0742-1222&lt;/isbn&gt;&lt;urls&gt;&lt;related-urls&gt;&lt;url&gt;https://doi.org/10.1080/07421222.2004.11045792&lt;/url&gt;&lt;/related-urls&gt;&lt;/urls&gt;&lt;electronic-resource-num&gt;10.1080/07421222.2004.11045792&lt;/electronic-resource-num&gt;&lt;/record&gt;&lt;/Cite&gt;&lt;/EndNote&gt;</w:instrText>
      </w:r>
      <w:r w:rsidR="00325112" w:rsidRPr="00C90AC9">
        <w:rPr>
          <w:rFonts w:eastAsiaTheme="minorHAnsi"/>
          <w:lang w:eastAsia="en-US"/>
        </w:rPr>
        <w:fldChar w:fldCharType="separate"/>
      </w:r>
      <w:r w:rsidR="00325112" w:rsidRPr="00C90AC9">
        <w:rPr>
          <w:rFonts w:eastAsiaTheme="minorHAnsi"/>
          <w:lang w:eastAsia="en-US"/>
        </w:rPr>
        <w:t>(Gefen, 2004)</w:t>
      </w:r>
      <w:r w:rsidR="00325112" w:rsidRPr="00C90AC9">
        <w:rPr>
          <w:rFonts w:eastAsiaTheme="minorHAnsi"/>
          <w:lang w:eastAsia="en-US"/>
        </w:rPr>
        <w:fldChar w:fldCharType="end"/>
      </w:r>
      <w:r w:rsidR="00191BE1" w:rsidRPr="00C90AC9">
        <w:rPr>
          <w:rFonts w:eastAsiaTheme="minorHAnsi"/>
          <w:lang w:eastAsia="en-US"/>
        </w:rPr>
        <w:t xml:space="preserve"> </w:t>
      </w:r>
      <w:r w:rsidRPr="00C90AC9">
        <w:rPr>
          <w:rFonts w:eastAsiaTheme="minorHAnsi"/>
          <w:lang w:eastAsia="en-US"/>
        </w:rPr>
        <w:t xml:space="preserve">and risk </w:t>
      </w:r>
      <w:r w:rsidR="00325112" w:rsidRPr="00C90AC9">
        <w:rPr>
          <w:rFonts w:eastAsiaTheme="minorHAnsi"/>
          <w:lang w:eastAsia="en-US"/>
        </w:rPr>
        <w:fldChar w:fldCharType="begin"/>
      </w:r>
      <w:r w:rsidR="00325112" w:rsidRPr="00C90AC9">
        <w:rPr>
          <w:rFonts w:eastAsiaTheme="minorHAnsi"/>
          <w:lang w:eastAsia="en-US"/>
        </w:rPr>
        <w:instrText xml:space="preserve"> ADDIN EN.CITE &lt;EndNote&gt;&lt;Cite&gt;&lt;Author&gt;Featherman&lt;/Author&gt;&lt;Year&gt;2003&lt;/Year&gt;&lt;RecNum&gt;243&lt;/RecNum&gt;&lt;DisplayText&gt;(Featherman &amp;amp; Pavlou, 2003)&lt;/DisplayText&gt;&lt;record&gt;&lt;rec-number&gt;243&lt;/rec-number&gt;&lt;foreign-keys&gt;&lt;key app="EN" db-id="50wxdpzd9vd5r7e9t5b595djrfpttrxw9avp" timestamp="1525623243"&gt;243&lt;/key&gt;&lt;/foreign-keys&gt;&lt;ref-type name="Book"&gt;6&lt;/ref-type&gt;&lt;contributors&gt;&lt;authors&gt;&lt;author&gt;Featherman, Mauricio&lt;/author&gt;&lt;author&gt;Pavlou, Paul&lt;/author&gt;&lt;/authors&gt;&lt;/contributors&gt;&lt;titles&gt;&lt;title&gt;Predicting E-Services Adoption: A Perceived Risk Facets Perspective&lt;/title&gt;&lt;/titles&gt;&lt;pages&gt;451-474&lt;/pages&gt;&lt;volume&gt;59&lt;/volume&gt;&lt;dates&gt;&lt;year&gt;2003&lt;/year&gt;&lt;/dates&gt;&lt;urls&gt;&lt;/urls&gt;&lt;electronic-resource-num&gt;10.1016/S1071-5819(03)00111-3&lt;/electronic-resource-num&gt;&lt;/record&gt;&lt;/Cite&gt;&lt;/EndNote&gt;</w:instrText>
      </w:r>
      <w:r w:rsidR="00325112" w:rsidRPr="00C90AC9">
        <w:rPr>
          <w:rFonts w:eastAsiaTheme="minorHAnsi"/>
          <w:lang w:eastAsia="en-US"/>
        </w:rPr>
        <w:fldChar w:fldCharType="separate"/>
      </w:r>
      <w:r w:rsidR="00325112" w:rsidRPr="00C90AC9">
        <w:rPr>
          <w:rFonts w:eastAsiaTheme="minorHAnsi"/>
          <w:lang w:eastAsia="en-US"/>
        </w:rPr>
        <w:t>(Featherman &amp; Pavlou, 2003)</w:t>
      </w:r>
      <w:r w:rsidR="00325112" w:rsidRPr="00C90AC9">
        <w:rPr>
          <w:rFonts w:eastAsiaTheme="minorHAnsi"/>
          <w:lang w:eastAsia="en-US"/>
        </w:rPr>
        <w:fldChar w:fldCharType="end"/>
      </w:r>
      <w:r w:rsidRPr="00C90AC9">
        <w:rPr>
          <w:rFonts w:eastAsiaTheme="minorHAnsi"/>
          <w:lang w:eastAsia="en-US"/>
        </w:rPr>
        <w:t>. The model has been extensively tested over this time period in a variety of contexts with PU and BI deemed as having a strong correlation to BI</w:t>
      </w:r>
      <w:r w:rsidR="00191BE1" w:rsidRPr="00C90AC9">
        <w:rPr>
          <w:rFonts w:eastAsiaTheme="minorHAnsi"/>
          <w:lang w:eastAsia="en-US"/>
        </w:rPr>
        <w:t xml:space="preserve"> </w:t>
      </w:r>
      <w:r w:rsidR="00325112" w:rsidRPr="00C90AC9">
        <w:rPr>
          <w:rFonts w:eastAsiaTheme="minorHAnsi"/>
          <w:lang w:eastAsia="en-US"/>
        </w:rPr>
        <w:fldChar w:fldCharType="begin"/>
      </w:r>
      <w:r w:rsidR="00325112" w:rsidRPr="00C90AC9">
        <w:rPr>
          <w:rFonts w:eastAsiaTheme="minorHAnsi"/>
          <w:lang w:eastAsia="en-US"/>
        </w:rPr>
        <w:instrText xml:space="preserve"> ADDIN EN.CITE &lt;EndNote&gt;&lt;Cite&gt;&lt;Author&gt;King&lt;/Author&gt;&lt;Year&gt;2006&lt;/Year&gt;&lt;RecNum&gt;241&lt;/RecNum&gt;&lt;DisplayText&gt;(King &amp;amp; He, 2006)&lt;/DisplayText&gt;&lt;record&gt;&lt;rec-number&gt;241&lt;/rec-number&gt;&lt;foreign-keys&gt;&lt;key app="EN" db-id="50wxdpzd9vd5r7e9t5b595djrfpttrxw9avp" timestamp="1525622743"&gt;241&lt;/key&gt;&lt;/foreign-keys&gt;&lt;ref-type name="Journal Article"&gt;17&lt;/ref-type&gt;&lt;contributors&gt;&lt;authors&gt;&lt;author&gt;King, William R.&lt;/author&gt;&lt;author&gt;He, Jun&lt;/author&gt;&lt;/authors&gt;&lt;/contributors&gt;&lt;titles&gt;&lt;title&gt;A meta-analysis of the technology acceptance model&lt;/title&gt;&lt;secondary-title&gt;Information &amp;amp; Management&lt;/secondary-title&gt;&lt;/titles&gt;&lt;pages&gt;740-755&lt;/pages&gt;&lt;volume&gt;43&lt;/volume&gt;&lt;number&gt;6&lt;/number&gt;&lt;keywords&gt;&lt;keyword&gt;Technology acceptance model&lt;/keyword&gt;&lt;keyword&gt;TAM&lt;/keyword&gt;&lt;keyword&gt;Meta-analysis&lt;/keyword&gt;&lt;keyword&gt;Perceived usefulness&lt;/keyword&gt;&lt;keyword&gt;Ease of use&lt;/keyword&gt;&lt;keyword&gt;Behavioral intention&lt;/keyword&gt;&lt;/keywords&gt;&lt;dates&gt;&lt;year&gt;2006&lt;/year&gt;&lt;pub-dates&gt;&lt;date&gt;2006/09/01/&lt;/date&gt;&lt;/pub-dates&gt;&lt;/dates&gt;&lt;isbn&gt;0378-7206&lt;/isbn&gt;&lt;urls&gt;&lt;related-urls&gt;&lt;url&gt;http://www.sciencedirect.com/science/article/pii/S0378720606000528&lt;/url&gt;&lt;/related-urls&gt;&lt;/urls&gt;&lt;electronic-resource-num&gt;https://doi.org/10.1016/j.im.2006.05.003&lt;/electronic-resource-num&gt;&lt;/record&gt;&lt;/Cite&gt;&lt;/EndNote&gt;</w:instrText>
      </w:r>
      <w:r w:rsidR="00325112" w:rsidRPr="00C90AC9">
        <w:rPr>
          <w:rFonts w:eastAsiaTheme="minorHAnsi"/>
          <w:lang w:eastAsia="en-US"/>
        </w:rPr>
        <w:fldChar w:fldCharType="separate"/>
      </w:r>
      <w:r w:rsidR="00325112" w:rsidRPr="00C90AC9">
        <w:rPr>
          <w:rFonts w:eastAsiaTheme="minorHAnsi"/>
          <w:lang w:eastAsia="en-US"/>
        </w:rPr>
        <w:t>(King &amp; He, 2006)</w:t>
      </w:r>
      <w:r w:rsidR="00325112" w:rsidRPr="00C90AC9">
        <w:rPr>
          <w:rFonts w:eastAsiaTheme="minorHAnsi"/>
          <w:lang w:eastAsia="en-US"/>
        </w:rPr>
        <w:fldChar w:fldCharType="end"/>
      </w:r>
      <w:r w:rsidR="00191BE1" w:rsidRPr="00C90AC9">
        <w:rPr>
          <w:rFonts w:eastAsiaTheme="minorHAnsi"/>
          <w:lang w:eastAsia="en-US"/>
        </w:rPr>
        <w:t>.</w:t>
      </w:r>
      <w:r w:rsidRPr="00C90AC9">
        <w:rPr>
          <w:rFonts w:eastAsiaTheme="minorHAnsi"/>
          <w:lang w:eastAsia="en-US"/>
        </w:rPr>
        <w:t xml:space="preserve"> However it has also been noted that the extensions to the model (such as the inclusion of trust </w:t>
      </w:r>
      <w:r w:rsidR="00D07222" w:rsidRPr="00C90AC9">
        <w:rPr>
          <w:rFonts w:eastAsiaTheme="minorHAnsi"/>
          <w:lang w:eastAsia="en-US"/>
        </w:rPr>
        <w:fldChar w:fldCharType="begin"/>
      </w:r>
      <w:r w:rsidR="00D07222" w:rsidRPr="00C90AC9">
        <w:rPr>
          <w:rFonts w:eastAsiaTheme="minorHAnsi"/>
          <w:lang w:eastAsia="en-US"/>
        </w:rPr>
        <w:instrText xml:space="preserve"> ADDIN EN.CITE &lt;EndNote&gt;&lt;Cite&gt;&lt;Author&gt;Gefen&lt;/Author&gt;&lt;Year&gt;2004&lt;/Year&gt;&lt;RecNum&gt;242&lt;/RecNum&gt;&lt;DisplayText&gt;(Gefen, 2004)&lt;/DisplayText&gt;&lt;record&gt;&lt;rec-number&gt;242&lt;/rec-number&gt;&lt;foreign-keys&gt;&lt;key app="EN" db-id="50wxdpzd9vd5r7e9t5b595djrfpttrxw9avp" timestamp="1525622834"&gt;242&lt;/key&gt;&lt;/foreign-keys&gt;&lt;ref-type name="Journal Article"&gt;17&lt;/ref-type&gt;&lt;contributors&gt;&lt;authors&gt;&lt;author&gt;Gefen, David&lt;/author&gt;&lt;/authors&gt;&lt;/contributors&gt;&lt;titles&gt;&lt;title&gt;What Makes an ERP Implementation Relationship Worthwhile: Linking Trust Mechanisms and ERP Usefulness&lt;/title&gt;&lt;secondary-title&gt;Journal of Management Information Systems&lt;/secondary-title&gt;&lt;/titles&gt;&lt;pages&gt;263-288&lt;/pages&gt;&lt;volume&gt;21&lt;/volume&gt;&lt;number&gt;1&lt;/number&gt;&lt;dates&gt;&lt;year&gt;2004&lt;/year&gt;&lt;pub-dates&gt;&lt;date&gt;2004/01/01&lt;/date&gt;&lt;/pub-dates&gt;&lt;/dates&gt;&lt;publisher&gt;Routledge&lt;/publisher&gt;&lt;isbn&gt;0742-1222&lt;/isbn&gt;&lt;urls&gt;&lt;related-urls&gt;&lt;url&gt;https://doi.org/10.1080/07421222.2004.11045792&lt;/url&gt;&lt;/related-urls&gt;&lt;/urls&gt;&lt;electronic-resource-num&gt;10.1080/07421222.2004.11045792&lt;/electronic-resource-num&gt;&lt;/record&gt;&lt;/Cite&gt;&lt;/EndNote&gt;</w:instrText>
      </w:r>
      <w:r w:rsidR="00D07222" w:rsidRPr="00C90AC9">
        <w:rPr>
          <w:rFonts w:eastAsiaTheme="minorHAnsi"/>
          <w:lang w:eastAsia="en-US"/>
        </w:rPr>
        <w:fldChar w:fldCharType="separate"/>
      </w:r>
      <w:r w:rsidR="00D07222" w:rsidRPr="00C90AC9">
        <w:rPr>
          <w:rFonts w:eastAsiaTheme="minorHAnsi"/>
          <w:lang w:eastAsia="en-US"/>
        </w:rPr>
        <w:t>(Gefen, 2004)</w:t>
      </w:r>
      <w:r w:rsidR="00D07222" w:rsidRPr="00C90AC9">
        <w:rPr>
          <w:rFonts w:eastAsiaTheme="minorHAnsi"/>
          <w:lang w:eastAsia="en-US"/>
        </w:rPr>
        <w:fldChar w:fldCharType="end"/>
      </w:r>
      <w:r w:rsidRPr="00C90AC9">
        <w:rPr>
          <w:rFonts w:eastAsiaTheme="minorHAnsi"/>
          <w:lang w:eastAsia="en-US"/>
        </w:rPr>
        <w:t xml:space="preserve"> </w:t>
      </w:r>
      <w:sdt>
        <w:sdtPr>
          <w:rPr>
            <w:rFonts w:eastAsiaTheme="minorHAnsi"/>
            <w:lang w:eastAsia="en-US"/>
          </w:rPr>
          <w:alias w:val="Don't edit this field"/>
          <w:tag w:val="CitaviPlaceholder#19654396-f843-4478-b7b9-b26f232cb653"/>
          <w:id w:val="944036696"/>
        </w:sdtPr>
        <w:sdtEndPr/>
        <w:sdtContent>
          <w:r w:rsidR="00C05E2B" w:rsidRPr="00C90AC9">
            <w:rPr>
              <w:rFonts w:eastAsiaTheme="minorHAnsi"/>
              <w:lang w:eastAsia="en-US"/>
            </w:rPr>
            <w:fldChar w:fldCharType="begin"/>
          </w:r>
          <w:r w:rsidR="007835E8" w:rsidRPr="00C90AC9">
            <w:rPr>
              <w:rFonts w:eastAsiaTheme="minorHAnsi"/>
              <w:lang w:eastAsia="en-US"/>
            </w:rPr>
            <w:instrText>ADDIN CitaviPlaceholder{eyIkaWQiOiIxIiwiRW50cmllcyI6W3siJGlkIjoiMiIsIkhhc1RlbXBvcmFyeVJlZmVyZW5jZSI6dHJ1ZSwiSWQiOiI5OGE4NzNlMi1iZDhlLTQwYzktODQ4ZS0zMzI1MmJiMTg3YmUiLCJSYW5nZUxlbmd0aCI6MTAzLCJSZWZlcmVuY2VJZCI6IjE1OTJkNGQ5LWY1ZjctNDQyYi1hMWViLTBmZGNmMGI0OWU1NyIsIlJlZmVyZW5jZSI6eyIkaWQiOiIzIiwiQWJzdHJhY3RDb21wbGV4aXR5IjowLCJBYnN0cmFjdFNvdXJjZVRleHRGb3JtYXQiOjAsIkF1dGhvcnMiOlt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}</w:instrText>
          </w:r>
          <w:r w:rsidR="00C05E2B" w:rsidRPr="00C90AC9">
            <w:rPr>
              <w:rFonts w:eastAsiaTheme="minorHAnsi"/>
              <w:lang w:eastAsia="en-US"/>
            </w:rPr>
            <w:fldChar w:fldCharType="end"/>
          </w:r>
        </w:sdtContent>
      </w:sdt>
      <w:r w:rsidRPr="00C90AC9">
        <w:rPr>
          <w:rFonts w:eastAsiaTheme="minorHAnsi"/>
          <w:lang w:eastAsia="en-US"/>
        </w:rPr>
        <w:t xml:space="preserve">or risk </w:t>
      </w:r>
      <w:r w:rsidR="00D07222" w:rsidRPr="00C90AC9">
        <w:rPr>
          <w:rFonts w:eastAsiaTheme="minorHAnsi"/>
          <w:lang w:eastAsia="en-US"/>
        </w:rPr>
        <w:fldChar w:fldCharType="begin"/>
      </w:r>
      <w:r w:rsidR="00D07222" w:rsidRPr="00C90AC9">
        <w:rPr>
          <w:rFonts w:eastAsiaTheme="minorHAnsi"/>
          <w:lang w:eastAsia="en-US"/>
        </w:rPr>
        <w:instrText xml:space="preserve"> ADDIN EN.CITE &lt;EndNote&gt;&lt;Cite&gt;&lt;Author&gt;Featherman&lt;/Author&gt;&lt;Year&gt;2003&lt;/Year&gt;&lt;RecNum&gt;243&lt;/RecNum&gt;&lt;DisplayText&gt;(Featherman &amp;amp; Pavlou, 2003)&lt;/DisplayText&gt;&lt;record&gt;&lt;rec-number&gt;243&lt;/rec-number&gt;&lt;foreign-keys&gt;&lt;key app="EN" db-id="50wxdpzd9vd5r7e9t5b595djrfpttrxw9avp" timestamp="1525623243"&gt;243&lt;/key&gt;&lt;/foreign-keys&gt;&lt;ref-type name="Book"&gt;6&lt;/ref-type&gt;&lt;contributors&gt;&lt;authors&gt;&lt;author&gt;Featherman, Mauricio&lt;/author&gt;&lt;author&gt;Pavlou, Paul&lt;/author&gt;&lt;/authors&gt;&lt;/contributors&gt;&lt;titles&gt;&lt;title&gt;Predicting E-Services Adoption: A Perceived Risk Facets Perspective&lt;/title&gt;&lt;/titles&gt;&lt;pages&gt;451-474&lt;/pages&gt;&lt;volume&gt;59&lt;/volume&gt;&lt;dates&gt;&lt;year&gt;2003&lt;/year&gt;&lt;/dates&gt;&lt;urls&gt;&lt;/urls&gt;&lt;electronic-resource-num&gt;10.1016/S1071-5819(03)00111-3&lt;/electronic-resource-num&gt;&lt;/record&gt;&lt;/Cite&gt;&lt;/EndNote&gt;</w:instrText>
      </w:r>
      <w:r w:rsidR="00D07222" w:rsidRPr="00C90AC9">
        <w:rPr>
          <w:rFonts w:eastAsiaTheme="minorHAnsi"/>
          <w:lang w:eastAsia="en-US"/>
        </w:rPr>
        <w:fldChar w:fldCharType="separate"/>
      </w:r>
      <w:r w:rsidR="00D07222" w:rsidRPr="00C90AC9">
        <w:rPr>
          <w:rFonts w:eastAsiaTheme="minorHAnsi"/>
          <w:lang w:eastAsia="en-US"/>
        </w:rPr>
        <w:t>(Featherman &amp; Pavlou, 2003)</w:t>
      </w:r>
      <w:r w:rsidR="00D07222" w:rsidRPr="00C90AC9">
        <w:rPr>
          <w:rFonts w:eastAsiaTheme="minorHAnsi"/>
          <w:lang w:eastAsia="en-US"/>
        </w:rPr>
        <w:fldChar w:fldCharType="end"/>
      </w:r>
      <w:r w:rsidRPr="00C90AC9">
        <w:rPr>
          <w:rFonts w:eastAsiaTheme="minorHAnsi"/>
          <w:lang w:eastAsia="en-US"/>
        </w:rPr>
        <w:t xml:space="preserve"> are likely to have greater explanatory power as these factors are contributing factors to moderate the impact of PEOU and PU. By assessing the opinions of both the </w:t>
      </w:r>
      <w:r w:rsidR="00E82522" w:rsidRPr="00C90AC9">
        <w:rPr>
          <w:rFonts w:eastAsiaTheme="minorHAnsi"/>
          <w:lang w:eastAsia="en-US"/>
        </w:rPr>
        <w:t>main</w:t>
      </w:r>
      <w:r w:rsidRPr="00C90AC9">
        <w:rPr>
          <w:rFonts w:eastAsiaTheme="minorHAnsi"/>
          <w:lang w:eastAsia="en-US"/>
        </w:rPr>
        <w:t xml:space="preserve"> </w:t>
      </w:r>
      <w:r w:rsidR="00E82522" w:rsidRPr="00C90AC9">
        <w:rPr>
          <w:rFonts w:eastAsiaTheme="minorHAnsi"/>
          <w:lang w:eastAsia="en-US"/>
        </w:rPr>
        <w:t>actors</w:t>
      </w:r>
      <w:r w:rsidRPr="00C90AC9">
        <w:rPr>
          <w:rFonts w:eastAsiaTheme="minorHAnsi"/>
          <w:lang w:eastAsia="en-US"/>
        </w:rPr>
        <w:t xml:space="preserve"> in the STP market as well as consumers a full assessment can be made of the most successful methods to aid its adoption in the UK market. </w:t>
      </w:r>
    </w:p>
    <w:p w:rsidR="002C001C" w:rsidRPr="00C90AC9" w:rsidRDefault="002C001C" w:rsidP="007B01CA">
      <w:pPr>
        <w:pStyle w:val="BodyText"/>
        <w:spacing w:line="360" w:lineRule="auto"/>
        <w:rPr>
          <w:rFonts w:eastAsiaTheme="minorHAnsi"/>
          <w:lang w:eastAsia="en-US"/>
        </w:rPr>
      </w:pPr>
      <w:r w:rsidRPr="00C90AC9">
        <w:rPr>
          <w:rFonts w:eastAsiaTheme="minorHAnsi"/>
          <w:lang w:eastAsia="en-US"/>
        </w:rPr>
        <w:t xml:space="preserve">As previous researchers have noted, caution should be exercised when applying the TAM to technologies and situations which are beyond its validated framework. For this </w:t>
      </w:r>
      <w:r w:rsidR="00E76CAF" w:rsidRPr="00C90AC9">
        <w:rPr>
          <w:rFonts w:eastAsiaTheme="minorHAnsi"/>
          <w:lang w:eastAsia="en-US"/>
        </w:rPr>
        <w:t>reason,</w:t>
      </w:r>
      <w:r w:rsidRPr="00C90AC9">
        <w:rPr>
          <w:rFonts w:eastAsiaTheme="minorHAnsi"/>
          <w:lang w:eastAsia="en-US"/>
        </w:rPr>
        <w:t xml:space="preserve"> an exploratory research method such as focus groups was opted for to determine whether the TAM would be applicable to Solar Thermal Panels in a UK context and whether further research using quantitative methods would be beneficial in determining the facts that influence consumer decisions about whether to adopt </w:t>
      </w:r>
      <w:r w:rsidR="006518C0" w:rsidRPr="00C90AC9">
        <w:rPr>
          <w:rFonts w:eastAsiaTheme="minorHAnsi"/>
          <w:lang w:eastAsia="en-US"/>
        </w:rPr>
        <w:t>STPs</w:t>
      </w:r>
      <w:r w:rsidRPr="00C90AC9">
        <w:rPr>
          <w:rFonts w:eastAsiaTheme="minorHAnsi"/>
          <w:lang w:eastAsia="en-US"/>
        </w:rPr>
        <w:t xml:space="preserve"> in the UK.</w:t>
      </w:r>
    </w:p>
    <w:p w:rsidR="00A16B8C" w:rsidRPr="00C90AC9" w:rsidRDefault="002C001C" w:rsidP="007B01CA">
      <w:pPr>
        <w:pStyle w:val="BodyText"/>
        <w:spacing w:line="360" w:lineRule="auto"/>
        <w:rPr>
          <w:rFonts w:eastAsiaTheme="minorHAnsi"/>
          <w:lang w:eastAsia="en-US"/>
        </w:rPr>
      </w:pPr>
      <w:r w:rsidRPr="00C90AC9">
        <w:rPr>
          <w:rFonts w:eastAsiaTheme="minorHAnsi"/>
          <w:lang w:eastAsia="en-US"/>
        </w:rPr>
        <w:t xml:space="preserve">Due to the novel nature of the technology descried in Chapter 2 it is expected that the </w:t>
      </w:r>
      <w:r w:rsidR="002B349D" w:rsidRPr="00C90AC9">
        <w:rPr>
          <w:rFonts w:eastAsiaTheme="minorHAnsi"/>
          <w:lang w:eastAsia="en-US"/>
        </w:rPr>
        <w:t xml:space="preserve">results of a qualitative assessment of consumer opinions of </w:t>
      </w:r>
      <w:r w:rsidR="006518C0" w:rsidRPr="00C90AC9">
        <w:rPr>
          <w:rFonts w:eastAsiaTheme="minorHAnsi"/>
          <w:lang w:eastAsia="en-US"/>
        </w:rPr>
        <w:t>STPs</w:t>
      </w:r>
      <w:r w:rsidR="002B349D" w:rsidRPr="00C90AC9">
        <w:rPr>
          <w:rFonts w:eastAsiaTheme="minorHAnsi"/>
          <w:lang w:eastAsia="en-US"/>
        </w:rPr>
        <w:t xml:space="preserve"> will result in the </w:t>
      </w:r>
      <w:r w:rsidRPr="00C90AC9">
        <w:rPr>
          <w:rFonts w:eastAsiaTheme="minorHAnsi"/>
          <w:lang w:eastAsia="en-US"/>
        </w:rPr>
        <w:t xml:space="preserve">TAM +Trust model </w:t>
      </w:r>
      <w:r w:rsidR="002B349D" w:rsidRPr="00C90AC9">
        <w:rPr>
          <w:rFonts w:eastAsiaTheme="minorHAnsi"/>
          <w:lang w:eastAsia="en-US"/>
        </w:rPr>
        <w:t>being</w:t>
      </w:r>
      <w:r w:rsidRPr="00C90AC9">
        <w:rPr>
          <w:rFonts w:eastAsiaTheme="minorHAnsi"/>
          <w:lang w:eastAsia="en-US"/>
        </w:rPr>
        <w:t xml:space="preserve"> better suited to the STP</w:t>
      </w:r>
      <w:r w:rsidR="002B349D" w:rsidRPr="00C90AC9">
        <w:rPr>
          <w:rFonts w:eastAsiaTheme="minorHAnsi"/>
          <w:lang w:eastAsia="en-US"/>
        </w:rPr>
        <w:t xml:space="preserve">. For this </w:t>
      </w:r>
      <w:r w:rsidR="00E76CAF" w:rsidRPr="00C90AC9">
        <w:rPr>
          <w:rFonts w:eastAsiaTheme="minorHAnsi"/>
          <w:lang w:eastAsia="en-US"/>
        </w:rPr>
        <w:t>reason,</w:t>
      </w:r>
      <w:r w:rsidR="002B349D" w:rsidRPr="00C90AC9">
        <w:rPr>
          <w:rFonts w:eastAsiaTheme="minorHAnsi"/>
          <w:lang w:eastAsia="en-US"/>
        </w:rPr>
        <w:t xml:space="preserve"> additional factors such as trust were recognised as being of significance in the resulting assessment of the data.</w:t>
      </w:r>
    </w:p>
    <w:p w:rsidR="002C001C" w:rsidRPr="00C90AC9" w:rsidRDefault="002C001C" w:rsidP="00B06779">
      <w:pPr>
        <w:rPr>
          <w:rFonts w:eastAsiaTheme="majorEastAsia"/>
          <w:lang w:eastAsia="en-US"/>
        </w:rPr>
      </w:pPr>
    </w:p>
    <w:p w:rsidR="00BA2505" w:rsidRPr="00C90AC9" w:rsidRDefault="00BA2505" w:rsidP="00BA2505">
      <w:pPr>
        <w:rPr>
          <w:rFonts w:eastAsiaTheme="minorHAnsi"/>
          <w:lang w:eastAsia="en-US"/>
        </w:rPr>
      </w:pPr>
    </w:p>
    <w:p w:rsidR="00C0462B" w:rsidRPr="00C90AC9" w:rsidRDefault="00C0462B">
      <w:pPr>
        <w:rPr>
          <w:rStyle w:val="Heading1Char"/>
        </w:rPr>
      </w:pPr>
      <w:r w:rsidRPr="00C90AC9">
        <w:rPr>
          <w:rStyle w:val="Heading1Char"/>
        </w:rPr>
        <w:br w:type="page"/>
      </w:r>
    </w:p>
    <w:p w:rsidR="00BA2505" w:rsidRPr="00C90AC9" w:rsidRDefault="00BA2505" w:rsidP="000F2059">
      <w:pPr>
        <w:pStyle w:val="Heading1"/>
        <w:rPr>
          <w:rStyle w:val="Heading1Char"/>
          <w:rFonts w:eastAsiaTheme="majorEastAsia" w:cstheme="minorBidi"/>
          <w:iCs/>
          <w:color w:val="auto"/>
          <w:sz w:val="24"/>
          <w:szCs w:val="22"/>
          <w:lang w:eastAsia="en-US"/>
        </w:rPr>
      </w:pPr>
      <w:r w:rsidRPr="00C90AC9">
        <w:rPr>
          <w:rStyle w:val="Heading1Char"/>
        </w:rPr>
        <w:lastRenderedPageBreak/>
        <w:t>Final conclusions from the literature review</w:t>
      </w:r>
    </w:p>
    <w:p w:rsidR="00BA2505" w:rsidRPr="00C90AC9" w:rsidRDefault="00BA2505" w:rsidP="00BA2505">
      <w:pPr>
        <w:pStyle w:val="List"/>
        <w:rPr>
          <w:rStyle w:val="Heading1Char"/>
        </w:rPr>
      </w:pPr>
    </w:p>
    <w:p w:rsidR="00232B82" w:rsidRPr="00C90AC9" w:rsidRDefault="008D2596" w:rsidP="00BD56D7">
      <w:pPr>
        <w:pStyle w:val="List"/>
        <w:spacing w:line="360" w:lineRule="auto"/>
        <w:ind w:left="0" w:firstLine="0"/>
        <w:rPr>
          <w:rFonts w:eastAsiaTheme="majorEastAsia"/>
          <w:color w:val="000000"/>
          <w:lang w:eastAsia="en-US"/>
        </w:rPr>
      </w:pPr>
      <w:r w:rsidRPr="00C90AC9">
        <w:rPr>
          <w:rFonts w:eastAsiaTheme="majorEastAsia"/>
          <w:color w:val="000000"/>
          <w:lang w:eastAsia="en-US"/>
        </w:rPr>
        <w:tab/>
      </w:r>
      <w:r w:rsidR="00521386" w:rsidRPr="00C90AC9">
        <w:rPr>
          <w:rFonts w:eastAsiaTheme="majorEastAsia"/>
          <w:color w:val="000000"/>
          <w:lang w:eastAsia="en-US"/>
        </w:rPr>
        <w:t xml:space="preserve">There has obviously been much research in previous years by researchers looking at improvements in efficiency which can be achieved through material or mechanical advancements </w:t>
      </w:r>
      <w:proofErr w:type="gramStart"/>
      <w:r w:rsidR="00BA2505" w:rsidRPr="00C90AC9">
        <w:rPr>
          <w:rFonts w:eastAsiaTheme="majorEastAsia"/>
          <w:color w:val="000000"/>
          <w:lang w:eastAsia="en-US"/>
        </w:rPr>
        <w:t>The</w:t>
      </w:r>
      <w:proofErr w:type="gramEnd"/>
      <w:r w:rsidR="00BA2505" w:rsidRPr="00C90AC9">
        <w:rPr>
          <w:rFonts w:eastAsiaTheme="majorEastAsia"/>
          <w:color w:val="000000"/>
          <w:lang w:eastAsia="en-US"/>
        </w:rPr>
        <w:t xml:space="preserve"> engineering section of the literature review highlighted the benefits </w:t>
      </w:r>
      <w:r w:rsidR="00232B82" w:rsidRPr="00C90AC9">
        <w:rPr>
          <w:rFonts w:eastAsiaTheme="majorEastAsia"/>
          <w:color w:val="000000"/>
          <w:lang w:eastAsia="en-US"/>
        </w:rPr>
        <w:t xml:space="preserve">other researchers had achieved when including weather predictions yet the research did not look at </w:t>
      </w:r>
      <w:r w:rsidR="00724F19" w:rsidRPr="00C90AC9">
        <w:rPr>
          <w:rFonts w:eastAsiaTheme="majorEastAsia"/>
          <w:color w:val="000000"/>
          <w:lang w:eastAsia="en-US"/>
        </w:rPr>
        <w:t xml:space="preserve">variable user </w:t>
      </w:r>
      <w:r w:rsidR="00232B82" w:rsidRPr="00C90AC9">
        <w:rPr>
          <w:rFonts w:eastAsiaTheme="majorEastAsia"/>
          <w:color w:val="000000"/>
          <w:lang w:eastAsia="en-US"/>
        </w:rPr>
        <w:t xml:space="preserve">behaviour of </w:t>
      </w:r>
      <w:r w:rsidR="00724F19" w:rsidRPr="00C90AC9">
        <w:rPr>
          <w:rFonts w:eastAsiaTheme="majorEastAsia"/>
          <w:color w:val="000000"/>
          <w:lang w:eastAsia="en-US"/>
        </w:rPr>
        <w:t xml:space="preserve">STP heating </w:t>
      </w:r>
      <w:r w:rsidR="00232B82" w:rsidRPr="00C90AC9">
        <w:rPr>
          <w:rFonts w:eastAsiaTheme="majorEastAsia"/>
          <w:color w:val="000000"/>
          <w:lang w:eastAsia="en-US"/>
        </w:rPr>
        <w:t>system</w:t>
      </w:r>
      <w:r w:rsidR="00724F19" w:rsidRPr="00C90AC9">
        <w:rPr>
          <w:rFonts w:eastAsiaTheme="majorEastAsia"/>
          <w:color w:val="000000"/>
          <w:lang w:eastAsia="en-US"/>
        </w:rPr>
        <w:t>s</w:t>
      </w:r>
      <w:r w:rsidR="00232B82" w:rsidRPr="00C90AC9">
        <w:rPr>
          <w:rFonts w:eastAsiaTheme="majorEastAsia"/>
          <w:color w:val="000000"/>
          <w:lang w:eastAsia="en-US"/>
        </w:rPr>
        <w:t xml:space="preserve"> and this is where work is anticipated to yield additional efficiency gains.</w:t>
      </w:r>
      <w:r w:rsidR="007E6CD5" w:rsidRPr="00C90AC9">
        <w:rPr>
          <w:rFonts w:eastAsiaTheme="majorEastAsia"/>
          <w:color w:val="000000"/>
          <w:lang w:eastAsia="en-US"/>
        </w:rPr>
        <w:t xml:space="preserve"> The application of computers to perform high numbers of calculations allows the inclusion of </w:t>
      </w:r>
      <w:r w:rsidR="00724F19" w:rsidRPr="00C90AC9">
        <w:rPr>
          <w:rFonts w:eastAsiaTheme="majorEastAsia"/>
          <w:color w:val="000000"/>
          <w:lang w:eastAsia="en-US"/>
        </w:rPr>
        <w:t>variable w</w:t>
      </w:r>
      <w:r w:rsidR="007E6CD5" w:rsidRPr="00C90AC9">
        <w:rPr>
          <w:rFonts w:eastAsiaTheme="majorEastAsia"/>
          <w:color w:val="000000"/>
          <w:lang w:eastAsia="en-US"/>
        </w:rPr>
        <w:t>e</w:t>
      </w:r>
      <w:r w:rsidR="00724F19" w:rsidRPr="00C90AC9">
        <w:rPr>
          <w:rFonts w:eastAsiaTheme="majorEastAsia"/>
          <w:color w:val="000000"/>
          <w:lang w:eastAsia="en-US"/>
        </w:rPr>
        <w:t>a</w:t>
      </w:r>
      <w:r w:rsidR="007E6CD5" w:rsidRPr="00C90AC9">
        <w:rPr>
          <w:rFonts w:eastAsiaTheme="majorEastAsia"/>
          <w:color w:val="000000"/>
          <w:lang w:eastAsia="en-US"/>
        </w:rPr>
        <w:t xml:space="preserve">ther </w:t>
      </w:r>
      <w:r w:rsidR="00724F19" w:rsidRPr="00C90AC9">
        <w:rPr>
          <w:rFonts w:eastAsiaTheme="majorEastAsia"/>
          <w:color w:val="000000"/>
          <w:lang w:eastAsia="en-US"/>
        </w:rPr>
        <w:t>patterns</w:t>
      </w:r>
      <w:r w:rsidR="007E6CD5" w:rsidRPr="00C90AC9">
        <w:rPr>
          <w:rFonts w:eastAsiaTheme="majorEastAsia"/>
          <w:color w:val="000000"/>
          <w:lang w:eastAsia="en-US"/>
        </w:rPr>
        <w:t xml:space="preserve"> over a long time period</w:t>
      </w:r>
      <w:r w:rsidR="00724F19" w:rsidRPr="00C90AC9">
        <w:rPr>
          <w:rFonts w:eastAsiaTheme="majorEastAsia"/>
          <w:color w:val="000000"/>
          <w:lang w:eastAsia="en-US"/>
        </w:rPr>
        <w:t xml:space="preserve"> </w:t>
      </w:r>
      <w:r w:rsidR="00C04627" w:rsidRPr="00C90AC9">
        <w:rPr>
          <w:rFonts w:eastAsiaTheme="majorEastAsia"/>
          <w:color w:val="000000"/>
          <w:lang w:eastAsia="en-US"/>
        </w:rPr>
        <w:fldChar w:fldCharType="begin"/>
      </w:r>
      <w:r w:rsidR="00C04627" w:rsidRPr="00C90AC9">
        <w:rPr>
          <w:rFonts w:eastAsiaTheme="majorEastAsia"/>
          <w:color w:val="000000"/>
          <w:lang w:eastAsia="en-US"/>
        </w:rPr>
        <w:instrText xml:space="preserve"> ADDIN EN.CITE &lt;EndNote&gt;&lt;Cite&gt;&lt;Author&gt;Prud’homme&lt;/Author&gt;&lt;Year&gt;2001&lt;/Year&gt;&lt;RecNum&gt;184&lt;/RecNum&gt;&lt;DisplayText&gt;(Prud’homme &amp;amp; Gillet, 2001)&lt;/DisplayText&gt;&lt;record&gt;&lt;rec-number&gt;184&lt;/rec-number&gt;&lt;foreign-keys&gt;&lt;key app="EN" db-id="50wxdpzd9vd5r7e9t5b595djrfpttrxw9avp" timestamp="1525076335"&gt;184&lt;/key&gt;&lt;/foreign-keys&gt;&lt;ref-type name="Journal Article"&gt;17&lt;/ref-type&gt;&lt;contributors&gt;&lt;authors&gt;&lt;author&gt;Prud’homme, T.&lt;/author&gt;&lt;author&gt;D. Gillet&lt;/author&gt;&lt;/authors&gt;&lt;/contributors&gt;&lt;titles&gt;&lt;title&gt;Advanced control strategy of a solar domestic hot water system with a segmented auxiliary heater&lt;/title&gt;&lt;secondary-title&gt;Energy and Buildings&lt;/secondary-title&gt;&lt;short-title&gt;Prud’homme, T. and D. Gillet 2001 – Advanced control strategy&lt;/short-title&gt;&lt;/titles&gt;&lt;volume&gt;33&lt;/volume&gt;&lt;number&gt;5&lt;/number&gt;&lt;dates&gt;&lt;year&gt;2001&lt;/year&gt;&lt;/dates&gt;&lt;urls&gt;&lt;/urls&gt;&lt;/record&gt;&lt;/Cite&gt;&lt;/EndNote&gt;</w:instrText>
      </w:r>
      <w:r w:rsidR="00C04627" w:rsidRPr="00C90AC9">
        <w:rPr>
          <w:rFonts w:eastAsiaTheme="majorEastAsia"/>
          <w:color w:val="000000"/>
          <w:lang w:eastAsia="en-US"/>
        </w:rPr>
        <w:fldChar w:fldCharType="separate"/>
      </w:r>
      <w:r w:rsidR="00C04627" w:rsidRPr="00C90AC9">
        <w:rPr>
          <w:rFonts w:eastAsiaTheme="majorEastAsia"/>
          <w:color w:val="000000"/>
          <w:lang w:eastAsia="en-US"/>
        </w:rPr>
        <w:t>(Prud’homme &amp; Gillet, 2001)</w:t>
      </w:r>
      <w:r w:rsidR="00C04627" w:rsidRPr="00C90AC9">
        <w:rPr>
          <w:rFonts w:eastAsiaTheme="majorEastAsia"/>
          <w:color w:val="000000"/>
          <w:lang w:eastAsia="en-US"/>
        </w:rPr>
        <w:fldChar w:fldCharType="end"/>
      </w:r>
      <w:r w:rsidR="007E6CD5" w:rsidRPr="00C90AC9">
        <w:rPr>
          <w:rFonts w:eastAsiaTheme="majorEastAsia"/>
          <w:color w:val="000000"/>
          <w:lang w:eastAsia="en-US"/>
        </w:rPr>
        <w:t>.</w:t>
      </w:r>
      <w:r w:rsidR="00BF282D" w:rsidRPr="00C90AC9">
        <w:rPr>
          <w:rFonts w:eastAsiaTheme="majorEastAsia"/>
          <w:color w:val="000000"/>
          <w:lang w:eastAsia="en-US"/>
        </w:rPr>
        <w:t xml:space="preserve"> </w:t>
      </w:r>
      <w:r w:rsidR="00724F19" w:rsidRPr="00C90AC9">
        <w:rPr>
          <w:rFonts w:eastAsiaTheme="majorEastAsia"/>
          <w:color w:val="000000"/>
          <w:lang w:eastAsia="en-US"/>
        </w:rPr>
        <w:t>Utilization of computers in this was w</w:t>
      </w:r>
      <w:r w:rsidR="00BF282D" w:rsidRPr="00C90AC9">
        <w:rPr>
          <w:rFonts w:eastAsiaTheme="majorEastAsia"/>
          <w:color w:val="000000"/>
          <w:lang w:eastAsia="en-US"/>
        </w:rPr>
        <w:t xml:space="preserve">ill allow the resulting system to assess </w:t>
      </w:r>
      <w:r w:rsidR="00724F19" w:rsidRPr="00C90AC9">
        <w:rPr>
          <w:rFonts w:eastAsiaTheme="majorEastAsia"/>
          <w:color w:val="000000"/>
          <w:lang w:eastAsia="en-US"/>
        </w:rPr>
        <w:t>variable</w:t>
      </w:r>
      <w:r w:rsidR="00BF282D" w:rsidRPr="00C90AC9">
        <w:rPr>
          <w:rFonts w:eastAsiaTheme="majorEastAsia"/>
          <w:color w:val="000000"/>
          <w:lang w:eastAsia="en-US"/>
        </w:rPr>
        <w:t xml:space="preserve"> weather patterns </w:t>
      </w:r>
      <w:r w:rsidR="00724F19" w:rsidRPr="00C90AC9">
        <w:rPr>
          <w:rFonts w:eastAsiaTheme="majorEastAsia"/>
          <w:color w:val="000000"/>
          <w:lang w:eastAsia="en-US"/>
        </w:rPr>
        <w:t xml:space="preserve">as well as </w:t>
      </w:r>
      <w:r w:rsidR="003A0FE6" w:rsidRPr="00C90AC9">
        <w:rPr>
          <w:rFonts w:eastAsiaTheme="majorEastAsia"/>
          <w:color w:val="000000"/>
          <w:lang w:eastAsia="en-US"/>
        </w:rPr>
        <w:t xml:space="preserve">different draw-off patterns </w:t>
      </w:r>
      <w:r w:rsidR="00BF282D" w:rsidRPr="00C90AC9">
        <w:rPr>
          <w:rFonts w:eastAsiaTheme="majorEastAsia"/>
          <w:color w:val="000000"/>
          <w:lang w:eastAsia="en-US"/>
        </w:rPr>
        <w:t>over a long time period</w:t>
      </w:r>
      <w:r w:rsidR="00724F19" w:rsidRPr="00C90AC9">
        <w:rPr>
          <w:rFonts w:eastAsiaTheme="majorEastAsia"/>
          <w:color w:val="000000"/>
          <w:lang w:eastAsia="en-US"/>
        </w:rPr>
        <w:t xml:space="preserve"> </w:t>
      </w:r>
      <w:r w:rsidR="00724F19" w:rsidRPr="00C90AC9">
        <w:rPr>
          <w:rFonts w:eastAsiaTheme="majorEastAsia"/>
          <w:color w:val="000000"/>
          <w:lang w:eastAsia="en-US"/>
        </w:rPr>
        <w:fldChar w:fldCharType="begin">
          <w:fldData xml:space="preserve">PEVuZE5vdGU+PENpdGU+PEF1dGhvcj5Cb3JuYXRpY288L0F1dGhvcj48WWVhcj4yMDEyPC9ZZWFy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</w:fldData>
        </w:fldChar>
      </w:r>
      <w:r w:rsidR="00724F19" w:rsidRPr="00C90AC9">
        <w:rPr>
          <w:rFonts w:eastAsiaTheme="majorEastAsia"/>
          <w:color w:val="000000"/>
          <w:lang w:eastAsia="en-US"/>
        </w:rPr>
        <w:instrText xml:space="preserve"> ADDIN EN.CITE </w:instrText>
      </w:r>
      <w:r w:rsidR="00724F19" w:rsidRPr="00C90AC9">
        <w:rPr>
          <w:rFonts w:eastAsiaTheme="majorEastAsia"/>
          <w:color w:val="000000"/>
          <w:lang w:eastAsia="en-US"/>
        </w:rPr>
        <w:fldChar w:fldCharType="begin">
          <w:fldData xml:space="preserve">PEVuZE5vdGU+PENpdGU+PEF1dGhvcj5Cb3JuYXRpY288L0F1dGhvcj48WWVhcj4yMDEyPC9ZZWFy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</w:fldData>
        </w:fldChar>
      </w:r>
      <w:r w:rsidR="00724F19" w:rsidRPr="00C90AC9">
        <w:rPr>
          <w:rFonts w:eastAsiaTheme="majorEastAsia"/>
          <w:color w:val="000000"/>
          <w:lang w:eastAsia="en-US"/>
        </w:rPr>
        <w:instrText xml:space="preserve"> ADDIN EN.CITE.DATA </w:instrText>
      </w:r>
      <w:r w:rsidR="00724F19" w:rsidRPr="00C90AC9">
        <w:rPr>
          <w:rFonts w:eastAsiaTheme="majorEastAsia"/>
          <w:color w:val="000000"/>
          <w:lang w:eastAsia="en-US"/>
        </w:rPr>
      </w:r>
      <w:r w:rsidR="00724F19" w:rsidRPr="00C90AC9">
        <w:rPr>
          <w:rFonts w:eastAsiaTheme="majorEastAsia"/>
          <w:color w:val="000000"/>
          <w:lang w:eastAsia="en-US"/>
        </w:rPr>
        <w:fldChar w:fldCharType="end"/>
      </w:r>
      <w:r w:rsidR="00724F19" w:rsidRPr="00C90AC9">
        <w:rPr>
          <w:rFonts w:eastAsiaTheme="majorEastAsia"/>
          <w:color w:val="000000"/>
          <w:lang w:eastAsia="en-US"/>
        </w:rPr>
      </w:r>
      <w:r w:rsidR="00724F19" w:rsidRPr="00C90AC9">
        <w:rPr>
          <w:rFonts w:eastAsiaTheme="majorEastAsia"/>
          <w:color w:val="000000"/>
          <w:lang w:eastAsia="en-US"/>
        </w:rPr>
        <w:fldChar w:fldCharType="separate"/>
      </w:r>
      <w:r w:rsidR="00724F19" w:rsidRPr="00C90AC9">
        <w:rPr>
          <w:rFonts w:eastAsiaTheme="majorEastAsia"/>
          <w:color w:val="000000"/>
          <w:lang w:eastAsia="en-US"/>
        </w:rPr>
        <w:t>(Bornatico et al., 2012; Prud’homme &amp; Gillet, 2001)</w:t>
      </w:r>
      <w:r w:rsidR="00724F19" w:rsidRPr="00C90AC9">
        <w:rPr>
          <w:rFonts w:eastAsiaTheme="majorEastAsia"/>
          <w:color w:val="000000"/>
          <w:lang w:eastAsia="en-US"/>
        </w:rPr>
        <w:fldChar w:fldCharType="end"/>
      </w:r>
      <w:r w:rsidR="00BF282D" w:rsidRPr="00C90AC9">
        <w:rPr>
          <w:rFonts w:eastAsiaTheme="majorEastAsia"/>
          <w:color w:val="000000"/>
          <w:lang w:eastAsia="en-US"/>
        </w:rPr>
        <w:t>.</w:t>
      </w:r>
      <w:r w:rsidR="00724F19" w:rsidRPr="00C90AC9">
        <w:rPr>
          <w:rFonts w:eastAsiaTheme="majorEastAsia"/>
          <w:color w:val="000000"/>
          <w:lang w:eastAsia="en-US"/>
        </w:rPr>
        <w:t xml:space="preserve"> By analysing both weather patterns as well as draw-off patterns a more efficient overall system is predicted. </w:t>
      </w:r>
    </w:p>
    <w:p w:rsidR="00521386" w:rsidRPr="00C90AC9" w:rsidRDefault="00521386" w:rsidP="00BD56D7">
      <w:pPr>
        <w:pStyle w:val="List"/>
        <w:spacing w:line="360" w:lineRule="auto"/>
        <w:ind w:left="0" w:firstLine="0"/>
        <w:rPr>
          <w:rFonts w:eastAsiaTheme="majorEastAsia"/>
          <w:color w:val="000000"/>
          <w:lang w:eastAsia="en-US"/>
        </w:rPr>
      </w:pPr>
      <w:r w:rsidRPr="00C90AC9">
        <w:rPr>
          <w:rFonts w:eastAsiaTheme="majorEastAsia"/>
          <w:color w:val="000000"/>
          <w:lang w:eastAsia="en-US"/>
        </w:rPr>
        <w:t>What has been analysed less in recent years is an analysis of the draw-off cycles when the heated water is utilised in domestic properties. This deficiency in research provides an opportunity of this current research to investigate as an area of research which has not been analysed in great depth.</w:t>
      </w:r>
    </w:p>
    <w:p w:rsidR="00232B82" w:rsidRPr="00C90AC9" w:rsidRDefault="00232B82" w:rsidP="00BD56D7">
      <w:pPr>
        <w:pStyle w:val="List"/>
        <w:spacing w:line="360" w:lineRule="auto"/>
        <w:ind w:left="0" w:firstLine="0"/>
        <w:rPr>
          <w:rFonts w:eastAsiaTheme="majorEastAsia"/>
          <w:color w:val="000000"/>
          <w:lang w:eastAsia="en-US"/>
        </w:rPr>
      </w:pPr>
    </w:p>
    <w:p w:rsidR="00232B82" w:rsidRPr="00C90AC9" w:rsidRDefault="00232B82" w:rsidP="008D2596">
      <w:pPr>
        <w:pStyle w:val="List"/>
        <w:spacing w:line="360" w:lineRule="auto"/>
        <w:ind w:left="0" w:firstLine="0"/>
        <w:rPr>
          <w:rFonts w:eastAsiaTheme="majorEastAsia"/>
          <w:color w:val="000000"/>
          <w:lang w:eastAsia="en-US"/>
        </w:rPr>
      </w:pPr>
      <w:r w:rsidRPr="00C90AC9">
        <w:rPr>
          <w:rFonts w:eastAsiaTheme="majorEastAsia"/>
          <w:color w:val="000000"/>
          <w:lang w:eastAsia="en-US"/>
        </w:rPr>
        <w:t>The</w:t>
      </w:r>
      <w:bookmarkStart w:id="27" w:name="_Toc447173053"/>
      <w:r w:rsidR="00E724E1" w:rsidRPr="00C90AC9">
        <w:rPr>
          <w:rFonts w:eastAsiaTheme="majorEastAsia"/>
          <w:color w:val="000000"/>
          <w:lang w:eastAsia="en-US"/>
        </w:rPr>
        <w:t xml:space="preserve"> section of the </w:t>
      </w:r>
      <w:r w:rsidR="00BF282D" w:rsidRPr="00C90AC9">
        <w:rPr>
          <w:rFonts w:eastAsiaTheme="majorEastAsia"/>
          <w:color w:val="000000"/>
          <w:lang w:eastAsia="en-US"/>
        </w:rPr>
        <w:t>literature review highlighting recent publications in psychology concerning the adoption of novel technologies in the renewable</w:t>
      </w:r>
      <w:r w:rsidR="001E770A" w:rsidRPr="00C90AC9">
        <w:rPr>
          <w:rFonts w:eastAsiaTheme="majorEastAsia"/>
          <w:color w:val="000000"/>
          <w:lang w:eastAsia="en-US"/>
        </w:rPr>
        <w:t xml:space="preserve"> sector highlighted gaps in research in the </w:t>
      </w:r>
      <w:r w:rsidR="00BF282D" w:rsidRPr="00C90AC9">
        <w:rPr>
          <w:rFonts w:eastAsiaTheme="majorEastAsia"/>
          <w:color w:val="000000"/>
          <w:lang w:eastAsia="en-US"/>
        </w:rPr>
        <w:t>STP sector.</w:t>
      </w:r>
      <w:r w:rsidR="001E770A" w:rsidRPr="00C90AC9">
        <w:rPr>
          <w:rFonts w:eastAsiaTheme="majorEastAsia"/>
          <w:color w:val="000000"/>
          <w:lang w:eastAsia="en-US"/>
        </w:rPr>
        <w:t xml:space="preserve"> </w:t>
      </w:r>
      <w:r w:rsidR="00BF282D" w:rsidRPr="00C90AC9">
        <w:rPr>
          <w:rFonts w:eastAsiaTheme="majorEastAsia"/>
          <w:color w:val="000000"/>
          <w:lang w:eastAsia="en-US"/>
        </w:rPr>
        <w:t>There have been recent stud</w:t>
      </w:r>
      <w:r w:rsidR="001E770A" w:rsidRPr="00C90AC9">
        <w:rPr>
          <w:rFonts w:eastAsiaTheme="majorEastAsia"/>
          <w:color w:val="000000"/>
          <w:lang w:eastAsia="en-US"/>
        </w:rPr>
        <w:t xml:space="preserve">ies in psychology assessing public opinions regarding </w:t>
      </w:r>
      <w:r w:rsidR="00BF282D" w:rsidRPr="00C90AC9">
        <w:rPr>
          <w:rFonts w:eastAsiaTheme="majorEastAsia"/>
          <w:color w:val="000000"/>
          <w:lang w:eastAsia="en-US"/>
        </w:rPr>
        <w:t xml:space="preserve">renewable technologies in the UK but there haven’t been recent studies that have looked specifically at </w:t>
      </w:r>
      <w:r w:rsidR="001E770A" w:rsidRPr="00C90AC9">
        <w:rPr>
          <w:rFonts w:eastAsiaTheme="majorEastAsia"/>
          <w:color w:val="000000"/>
          <w:lang w:eastAsia="en-US"/>
        </w:rPr>
        <w:t xml:space="preserve">public opinions of </w:t>
      </w:r>
      <w:r w:rsidR="00BF282D" w:rsidRPr="00C90AC9">
        <w:rPr>
          <w:rFonts w:eastAsiaTheme="majorEastAsia"/>
          <w:color w:val="000000"/>
          <w:lang w:eastAsia="en-US"/>
        </w:rPr>
        <w:t>STPs</w:t>
      </w:r>
      <w:r w:rsidR="001E770A" w:rsidRPr="00C90AC9">
        <w:rPr>
          <w:rFonts w:eastAsiaTheme="majorEastAsia"/>
          <w:color w:val="000000"/>
          <w:lang w:eastAsia="en-US"/>
        </w:rPr>
        <w:t xml:space="preserve"> in the UK</w:t>
      </w:r>
      <w:r w:rsidR="00BF282D" w:rsidRPr="00C90AC9">
        <w:rPr>
          <w:rFonts w:eastAsiaTheme="majorEastAsia"/>
          <w:color w:val="000000"/>
          <w:lang w:eastAsia="en-US"/>
        </w:rPr>
        <w:t xml:space="preserve">. Thus, assessing the </w:t>
      </w:r>
      <w:r w:rsidR="001E770A" w:rsidRPr="00C90AC9">
        <w:rPr>
          <w:rFonts w:eastAsiaTheme="majorEastAsia"/>
          <w:color w:val="000000"/>
          <w:lang w:eastAsia="en-US"/>
        </w:rPr>
        <w:t xml:space="preserve">opinions of the general public regarding </w:t>
      </w:r>
      <w:r w:rsidR="00BF282D" w:rsidRPr="00C90AC9">
        <w:rPr>
          <w:rFonts w:eastAsiaTheme="majorEastAsia"/>
          <w:color w:val="000000"/>
          <w:lang w:eastAsia="en-US"/>
        </w:rPr>
        <w:t>STP</w:t>
      </w:r>
      <w:r w:rsidR="001E770A" w:rsidRPr="00C90AC9">
        <w:rPr>
          <w:rFonts w:eastAsiaTheme="majorEastAsia"/>
          <w:color w:val="000000"/>
          <w:lang w:eastAsia="en-US"/>
        </w:rPr>
        <w:t>s</w:t>
      </w:r>
      <w:r w:rsidR="00BF282D" w:rsidRPr="00C90AC9">
        <w:rPr>
          <w:rFonts w:eastAsiaTheme="majorEastAsia"/>
          <w:color w:val="000000"/>
          <w:lang w:eastAsia="en-US"/>
        </w:rPr>
        <w:t xml:space="preserve"> market</w:t>
      </w:r>
      <w:r w:rsidR="001E770A" w:rsidRPr="00C90AC9">
        <w:rPr>
          <w:rFonts w:eastAsiaTheme="majorEastAsia"/>
          <w:color w:val="000000"/>
          <w:lang w:eastAsia="en-US"/>
        </w:rPr>
        <w:t>,</w:t>
      </w:r>
      <w:r w:rsidR="008D2596" w:rsidRPr="00C90AC9">
        <w:rPr>
          <w:rFonts w:eastAsiaTheme="majorEastAsia"/>
          <w:color w:val="000000"/>
          <w:lang w:eastAsia="en-US"/>
        </w:rPr>
        <w:t xml:space="preserve"> using </w:t>
      </w:r>
      <w:r w:rsidR="00BF282D" w:rsidRPr="00C90AC9">
        <w:rPr>
          <w:rFonts w:eastAsiaTheme="majorEastAsia"/>
          <w:color w:val="000000"/>
          <w:lang w:eastAsia="en-US"/>
        </w:rPr>
        <w:t>psychological</w:t>
      </w:r>
      <w:r w:rsidR="008D2596" w:rsidRPr="00C90AC9">
        <w:rPr>
          <w:rFonts w:eastAsiaTheme="majorEastAsia"/>
          <w:color w:val="000000"/>
          <w:lang w:eastAsia="en-US"/>
        </w:rPr>
        <w:t xml:space="preserve"> techniques </w:t>
      </w:r>
      <w:r w:rsidR="00BF282D" w:rsidRPr="00C90AC9">
        <w:rPr>
          <w:rFonts w:eastAsiaTheme="majorEastAsia"/>
          <w:color w:val="000000"/>
          <w:lang w:eastAsia="en-US"/>
        </w:rPr>
        <w:t>is predicted to yield novel results</w:t>
      </w:r>
      <w:r w:rsidR="008D2596" w:rsidRPr="00C90AC9">
        <w:rPr>
          <w:rFonts w:eastAsiaTheme="majorEastAsia"/>
          <w:color w:val="000000"/>
          <w:lang w:eastAsia="en-US"/>
        </w:rPr>
        <w:t xml:space="preserve">. Previous studies have utilised techniques such as semi-structured interviews as well as focus groups to better understand the opinions of both participants who have a specialised knowledge of the subject as well as members of the general public </w:t>
      </w:r>
      <w:r w:rsidR="008D2596" w:rsidRPr="00C90AC9">
        <w:rPr>
          <w:rFonts w:eastAsiaTheme="majorEastAsia"/>
          <w:color w:val="000000"/>
          <w:lang w:eastAsia="en-US"/>
        </w:rPr>
        <w:fldChar w:fldCharType="begin">
          <w:fldData xml:space="preserve">PEVuZE5vdGU+PENpdGU+PEF1dGhvcj5NYXJ0aW48L0F1dGhvcj48WWVhcj4yMDE0PC9ZZWFyPjxS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</w:fldData>
        </w:fldChar>
      </w:r>
      <w:r w:rsidR="008D2596" w:rsidRPr="00C90AC9">
        <w:rPr>
          <w:rFonts w:eastAsiaTheme="majorEastAsia"/>
          <w:color w:val="000000"/>
          <w:lang w:eastAsia="en-US"/>
        </w:rPr>
        <w:instrText xml:space="preserve"> ADDIN EN.CITE </w:instrText>
      </w:r>
      <w:r w:rsidR="008D2596" w:rsidRPr="00C90AC9">
        <w:rPr>
          <w:rFonts w:eastAsiaTheme="majorEastAsia"/>
          <w:color w:val="000000"/>
          <w:lang w:eastAsia="en-US"/>
        </w:rPr>
        <w:fldChar w:fldCharType="begin">
          <w:fldData xml:space="preserve">PEVuZE5vdGU+PENpdGU+PEF1dGhvcj5NYXJ0aW48L0F1dGhvcj48WWVhcj4yMDE0PC9ZZWFyPjxS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</w:fldData>
        </w:fldChar>
      </w:r>
      <w:r w:rsidR="008D2596" w:rsidRPr="00C90AC9">
        <w:rPr>
          <w:rFonts w:eastAsiaTheme="majorEastAsia"/>
          <w:color w:val="000000"/>
          <w:lang w:eastAsia="en-US"/>
        </w:rPr>
        <w:instrText xml:space="preserve"> ADDIN EN.CITE.DATA </w:instrText>
      </w:r>
      <w:r w:rsidR="008D2596" w:rsidRPr="00C90AC9">
        <w:rPr>
          <w:rFonts w:eastAsiaTheme="majorEastAsia"/>
          <w:color w:val="000000"/>
          <w:lang w:eastAsia="en-US"/>
        </w:rPr>
      </w:r>
      <w:r w:rsidR="008D2596" w:rsidRPr="00C90AC9">
        <w:rPr>
          <w:rFonts w:eastAsiaTheme="majorEastAsia"/>
          <w:color w:val="000000"/>
          <w:lang w:eastAsia="en-US"/>
        </w:rPr>
        <w:fldChar w:fldCharType="end"/>
      </w:r>
      <w:r w:rsidR="008D2596" w:rsidRPr="00C90AC9">
        <w:rPr>
          <w:rFonts w:eastAsiaTheme="majorEastAsia"/>
          <w:color w:val="000000"/>
          <w:lang w:eastAsia="en-US"/>
        </w:rPr>
      </w:r>
      <w:r w:rsidR="008D2596" w:rsidRPr="00C90AC9">
        <w:rPr>
          <w:rFonts w:eastAsiaTheme="majorEastAsia"/>
          <w:color w:val="000000"/>
          <w:lang w:eastAsia="en-US"/>
        </w:rPr>
        <w:fldChar w:fldCharType="separate"/>
      </w:r>
      <w:r w:rsidR="008D2596" w:rsidRPr="00C90AC9">
        <w:rPr>
          <w:rFonts w:eastAsiaTheme="majorEastAsia"/>
          <w:color w:val="000000"/>
          <w:lang w:eastAsia="en-US"/>
        </w:rPr>
        <w:t>(Kitzinger, 1994; Martin et al., 2014)</w:t>
      </w:r>
      <w:r w:rsidR="008D2596" w:rsidRPr="00C90AC9">
        <w:rPr>
          <w:rFonts w:eastAsiaTheme="majorEastAsia"/>
          <w:color w:val="000000"/>
          <w:lang w:eastAsia="en-US"/>
        </w:rPr>
        <w:fldChar w:fldCharType="end"/>
      </w:r>
    </w:p>
    <w:p w:rsidR="00521386" w:rsidRPr="00C90AC9" w:rsidRDefault="00521386" w:rsidP="008D2596">
      <w:pPr>
        <w:pStyle w:val="List"/>
        <w:spacing w:line="360" w:lineRule="auto"/>
        <w:ind w:left="0" w:firstLine="0"/>
        <w:rPr>
          <w:rStyle w:val="TitleChar"/>
          <w:rFonts w:ascii="Times New Roman" w:hAnsi="Times New Roman" w:cs="Times New Roman"/>
          <w:spacing w:val="0"/>
          <w:kern w:val="0"/>
          <w:sz w:val="24"/>
          <w:szCs w:val="24"/>
        </w:rPr>
      </w:pPr>
    </w:p>
    <w:p w:rsidR="00232B82" w:rsidRPr="00C90AC9" w:rsidRDefault="00DA5E91" w:rsidP="008D2596">
      <w:pPr>
        <w:pStyle w:val="List"/>
        <w:spacing w:line="360" w:lineRule="auto"/>
        <w:ind w:left="0" w:firstLine="0"/>
        <w:rPr>
          <w:rStyle w:val="TitleChar"/>
          <w:rFonts w:ascii="Times New Roman" w:hAnsi="Times New Roman" w:cs="Times New Roman"/>
          <w:spacing w:val="0"/>
          <w:kern w:val="0"/>
          <w:sz w:val="24"/>
          <w:szCs w:val="24"/>
        </w:rPr>
      </w:pPr>
      <w:r w:rsidRPr="00C90AC9">
        <w:rPr>
          <w:rStyle w:val="TitleChar"/>
          <w:rFonts w:ascii="Times New Roman" w:hAnsi="Times New Roman" w:cs="Times New Roman"/>
          <w:spacing w:val="0"/>
          <w:kern w:val="0"/>
          <w:sz w:val="24"/>
          <w:szCs w:val="24"/>
        </w:rPr>
        <w:t>These</w:t>
      </w:r>
      <w:r w:rsidR="008D2596" w:rsidRPr="00C90AC9">
        <w:rPr>
          <w:rStyle w:val="TitleChar"/>
          <w:rFonts w:ascii="Times New Roman" w:hAnsi="Times New Roman" w:cs="Times New Roman"/>
          <w:spacing w:val="0"/>
          <w:kern w:val="0"/>
          <w:sz w:val="24"/>
          <w:szCs w:val="24"/>
        </w:rPr>
        <w:t xml:space="preserve"> two research methods</w:t>
      </w:r>
      <w:r w:rsidRPr="00C90AC9">
        <w:rPr>
          <w:rStyle w:val="TitleChar"/>
          <w:rFonts w:ascii="Times New Roman" w:hAnsi="Times New Roman" w:cs="Times New Roman"/>
          <w:spacing w:val="0"/>
          <w:kern w:val="0"/>
          <w:sz w:val="24"/>
          <w:szCs w:val="24"/>
        </w:rPr>
        <w:t>,</w:t>
      </w:r>
      <w:r w:rsidR="00521386" w:rsidRPr="00C90AC9">
        <w:rPr>
          <w:rStyle w:val="TitleChar"/>
          <w:rFonts w:ascii="Times New Roman" w:hAnsi="Times New Roman" w:cs="Times New Roman"/>
          <w:spacing w:val="0"/>
          <w:kern w:val="0"/>
          <w:sz w:val="24"/>
          <w:szCs w:val="24"/>
        </w:rPr>
        <w:t xml:space="preserve"> (using semi-structured interviews and focus groups) can </w:t>
      </w:r>
      <w:r w:rsidR="008D2596" w:rsidRPr="00C90AC9">
        <w:rPr>
          <w:rStyle w:val="TitleChar"/>
          <w:rFonts w:ascii="Times New Roman" w:hAnsi="Times New Roman" w:cs="Times New Roman"/>
          <w:spacing w:val="0"/>
          <w:kern w:val="0"/>
          <w:sz w:val="24"/>
          <w:szCs w:val="24"/>
        </w:rPr>
        <w:t xml:space="preserve">be employed to best determine the opinions of both the </w:t>
      </w:r>
      <w:r w:rsidR="00E82522" w:rsidRPr="00C90AC9">
        <w:rPr>
          <w:rStyle w:val="TitleChar"/>
          <w:rFonts w:ascii="Times New Roman" w:hAnsi="Times New Roman" w:cs="Times New Roman"/>
          <w:spacing w:val="0"/>
          <w:kern w:val="0"/>
          <w:sz w:val="24"/>
          <w:szCs w:val="24"/>
        </w:rPr>
        <w:t>main</w:t>
      </w:r>
      <w:r w:rsidR="008D2596" w:rsidRPr="00C90AC9">
        <w:rPr>
          <w:rStyle w:val="TitleChar"/>
          <w:rFonts w:ascii="Times New Roman" w:hAnsi="Times New Roman" w:cs="Times New Roman"/>
          <w:spacing w:val="0"/>
          <w:kern w:val="0"/>
          <w:sz w:val="24"/>
          <w:szCs w:val="24"/>
        </w:rPr>
        <w:t xml:space="preserve"> actors in the STP market as well as the opinions of the general public. These research methods are distinct in that they</w:t>
      </w:r>
      <w:r w:rsidR="00E12450" w:rsidRPr="00C90AC9">
        <w:rPr>
          <w:rStyle w:val="TitleChar"/>
          <w:rFonts w:ascii="Times New Roman" w:hAnsi="Times New Roman" w:cs="Times New Roman"/>
          <w:spacing w:val="0"/>
          <w:kern w:val="0"/>
          <w:sz w:val="24"/>
          <w:szCs w:val="24"/>
        </w:rPr>
        <w:t xml:space="preserve"> utilise different specific methods, but they both employ qualitative research </w:t>
      </w:r>
      <w:r w:rsidR="00521386" w:rsidRPr="00C90AC9">
        <w:rPr>
          <w:rStyle w:val="TitleChar"/>
          <w:rFonts w:ascii="Times New Roman" w:hAnsi="Times New Roman" w:cs="Times New Roman"/>
          <w:spacing w:val="0"/>
          <w:kern w:val="0"/>
          <w:sz w:val="24"/>
          <w:szCs w:val="24"/>
        </w:rPr>
        <w:t>methods</w:t>
      </w:r>
      <w:r w:rsidR="00E12450" w:rsidRPr="00C90AC9">
        <w:rPr>
          <w:rStyle w:val="TitleChar"/>
          <w:rFonts w:ascii="Times New Roman" w:hAnsi="Times New Roman" w:cs="Times New Roman"/>
          <w:spacing w:val="0"/>
          <w:kern w:val="0"/>
          <w:sz w:val="24"/>
          <w:szCs w:val="24"/>
        </w:rPr>
        <w:t xml:space="preserve"> to determine </w:t>
      </w:r>
      <w:r w:rsidR="00E12450" w:rsidRPr="00C90AC9">
        <w:rPr>
          <w:rStyle w:val="TitleChar"/>
          <w:rFonts w:ascii="Times New Roman" w:hAnsi="Times New Roman" w:cs="Times New Roman"/>
          <w:spacing w:val="0"/>
          <w:kern w:val="0"/>
          <w:sz w:val="24"/>
          <w:szCs w:val="24"/>
        </w:rPr>
        <w:lastRenderedPageBreak/>
        <w:t>why people have the opinions they have</w:t>
      </w:r>
      <w:r w:rsidR="008D2596" w:rsidRPr="00C90AC9">
        <w:rPr>
          <w:rStyle w:val="TitleChar"/>
          <w:rFonts w:ascii="Times New Roman" w:hAnsi="Times New Roman" w:cs="Times New Roman"/>
          <w:spacing w:val="0"/>
          <w:kern w:val="0"/>
          <w:sz w:val="24"/>
          <w:szCs w:val="24"/>
        </w:rPr>
        <w:t>.</w:t>
      </w:r>
      <w:r w:rsidR="00521386" w:rsidRPr="00C90AC9">
        <w:rPr>
          <w:rStyle w:val="TitleChar"/>
          <w:rFonts w:ascii="Times New Roman" w:hAnsi="Times New Roman" w:cs="Times New Roman"/>
          <w:spacing w:val="0"/>
          <w:kern w:val="0"/>
          <w:sz w:val="24"/>
          <w:szCs w:val="24"/>
        </w:rPr>
        <w:t xml:space="preserve"> </w:t>
      </w:r>
      <w:r w:rsidRPr="00C90AC9">
        <w:rPr>
          <w:rStyle w:val="TitleChar"/>
          <w:rFonts w:ascii="Times New Roman" w:hAnsi="Times New Roman" w:cs="Times New Roman"/>
          <w:spacing w:val="0"/>
          <w:kern w:val="0"/>
          <w:sz w:val="24"/>
          <w:szCs w:val="24"/>
        </w:rPr>
        <w:t xml:space="preserve">Whilst semi-structured interviews are conducted on a one-to-one basis focus groups allow individuals to not only discuss issues introduced by the facilitator but they also allow individuals to introduce new ideas. </w:t>
      </w:r>
      <w:r w:rsidR="00521386" w:rsidRPr="00C90AC9">
        <w:rPr>
          <w:rStyle w:val="TitleChar"/>
          <w:rFonts w:ascii="Times New Roman" w:hAnsi="Times New Roman" w:cs="Times New Roman"/>
          <w:spacing w:val="0"/>
          <w:kern w:val="0"/>
          <w:sz w:val="24"/>
          <w:szCs w:val="24"/>
        </w:rPr>
        <w:t>By utilising semi</w:t>
      </w:r>
      <w:r w:rsidRPr="00C90AC9">
        <w:rPr>
          <w:rStyle w:val="TitleChar"/>
          <w:rFonts w:ascii="Times New Roman" w:hAnsi="Times New Roman" w:cs="Times New Roman"/>
          <w:spacing w:val="0"/>
          <w:kern w:val="0"/>
          <w:sz w:val="24"/>
          <w:szCs w:val="24"/>
        </w:rPr>
        <w:t>-</w:t>
      </w:r>
      <w:r w:rsidR="00521386" w:rsidRPr="00C90AC9">
        <w:rPr>
          <w:rStyle w:val="TitleChar"/>
          <w:rFonts w:ascii="Times New Roman" w:hAnsi="Times New Roman" w:cs="Times New Roman"/>
          <w:spacing w:val="0"/>
          <w:kern w:val="0"/>
          <w:sz w:val="24"/>
          <w:szCs w:val="24"/>
        </w:rPr>
        <w:t xml:space="preserve">structured </w:t>
      </w:r>
      <w:proofErr w:type="gramStart"/>
      <w:r w:rsidR="00521386" w:rsidRPr="00C90AC9">
        <w:rPr>
          <w:rStyle w:val="TitleChar"/>
          <w:rFonts w:ascii="Times New Roman" w:hAnsi="Times New Roman" w:cs="Times New Roman"/>
          <w:spacing w:val="0"/>
          <w:kern w:val="0"/>
          <w:sz w:val="24"/>
          <w:szCs w:val="24"/>
        </w:rPr>
        <w:t>interviews</w:t>
      </w:r>
      <w:proofErr w:type="gramEnd"/>
      <w:r w:rsidR="00521386" w:rsidRPr="00C90AC9">
        <w:rPr>
          <w:rStyle w:val="TitleChar"/>
          <w:rFonts w:ascii="Times New Roman" w:hAnsi="Times New Roman" w:cs="Times New Roman"/>
          <w:spacing w:val="0"/>
          <w:kern w:val="0"/>
          <w:sz w:val="24"/>
          <w:szCs w:val="24"/>
        </w:rPr>
        <w:t xml:space="preserve"> </w:t>
      </w:r>
      <w:r w:rsidRPr="00C90AC9">
        <w:rPr>
          <w:rStyle w:val="TitleChar"/>
          <w:rFonts w:ascii="Times New Roman" w:hAnsi="Times New Roman" w:cs="Times New Roman"/>
          <w:spacing w:val="0"/>
          <w:kern w:val="0"/>
          <w:sz w:val="24"/>
          <w:szCs w:val="24"/>
        </w:rPr>
        <w:t xml:space="preserve">a more focused analysis of the opinions held by main actors in the STP market can be determined. The use of </w:t>
      </w:r>
      <w:r w:rsidR="00521386" w:rsidRPr="00C90AC9">
        <w:rPr>
          <w:rStyle w:val="TitleChar"/>
          <w:rFonts w:ascii="Times New Roman" w:hAnsi="Times New Roman" w:cs="Times New Roman"/>
          <w:spacing w:val="0"/>
          <w:kern w:val="0"/>
          <w:sz w:val="24"/>
          <w:szCs w:val="24"/>
        </w:rPr>
        <w:t xml:space="preserve">focus groups </w:t>
      </w:r>
      <w:r w:rsidRPr="00C90AC9">
        <w:rPr>
          <w:rStyle w:val="TitleChar"/>
          <w:rFonts w:ascii="Times New Roman" w:hAnsi="Times New Roman" w:cs="Times New Roman"/>
          <w:spacing w:val="0"/>
          <w:kern w:val="0"/>
          <w:sz w:val="24"/>
          <w:szCs w:val="24"/>
        </w:rPr>
        <w:t xml:space="preserve">enables </w:t>
      </w:r>
      <w:r w:rsidR="00521386" w:rsidRPr="00C90AC9">
        <w:rPr>
          <w:rStyle w:val="TitleChar"/>
          <w:rFonts w:ascii="Times New Roman" w:hAnsi="Times New Roman" w:cs="Times New Roman"/>
          <w:spacing w:val="0"/>
          <w:kern w:val="0"/>
          <w:sz w:val="24"/>
          <w:szCs w:val="24"/>
        </w:rPr>
        <w:t xml:space="preserve">a wider range of opinions can be heard </w:t>
      </w:r>
      <w:r w:rsidRPr="00C90AC9">
        <w:rPr>
          <w:rStyle w:val="TitleChar"/>
          <w:rFonts w:ascii="Times New Roman" w:hAnsi="Times New Roman" w:cs="Times New Roman"/>
          <w:spacing w:val="0"/>
          <w:kern w:val="0"/>
          <w:sz w:val="24"/>
          <w:szCs w:val="24"/>
        </w:rPr>
        <w:t xml:space="preserve">as well as participants collectively being able to raise more issues than if an individual was being interviewed individually. </w:t>
      </w:r>
    </w:p>
    <w:p w:rsidR="00DA5E91" w:rsidRPr="00C90AC9" w:rsidRDefault="00DA5E91" w:rsidP="008D2596">
      <w:pPr>
        <w:pStyle w:val="List"/>
        <w:spacing w:line="360" w:lineRule="auto"/>
        <w:ind w:left="0" w:firstLine="0"/>
        <w:rPr>
          <w:rStyle w:val="TitleChar"/>
          <w:rFonts w:ascii="Times New Roman" w:hAnsi="Times New Roman" w:cs="Times New Roman"/>
          <w:spacing w:val="0"/>
          <w:kern w:val="0"/>
          <w:sz w:val="24"/>
          <w:szCs w:val="24"/>
        </w:rPr>
      </w:pPr>
    </w:p>
    <w:p w:rsidR="00DA5E91" w:rsidRPr="00C90AC9" w:rsidRDefault="00DA5E91" w:rsidP="008D2596">
      <w:pPr>
        <w:pStyle w:val="List"/>
        <w:spacing w:line="360" w:lineRule="auto"/>
        <w:ind w:left="0" w:firstLine="0"/>
        <w:rPr>
          <w:rStyle w:val="TitleChar"/>
          <w:rFonts w:ascii="Times New Roman" w:hAnsi="Times New Roman" w:cs="Times New Roman"/>
          <w:spacing w:val="0"/>
          <w:kern w:val="0"/>
          <w:sz w:val="24"/>
          <w:szCs w:val="24"/>
        </w:rPr>
      </w:pPr>
      <w:r w:rsidRPr="00C90AC9">
        <w:rPr>
          <w:rStyle w:val="TitleChar"/>
          <w:rFonts w:ascii="Times New Roman" w:hAnsi="Times New Roman" w:cs="Times New Roman"/>
          <w:spacing w:val="0"/>
          <w:kern w:val="0"/>
          <w:sz w:val="24"/>
          <w:szCs w:val="24"/>
        </w:rPr>
        <w:t xml:space="preserve">Both of these qualitative research methods have been employed in the renewable sector in the UK </w:t>
      </w:r>
      <w:r w:rsidR="00D57552" w:rsidRPr="00C90AC9">
        <w:rPr>
          <w:rStyle w:val="TitleChar"/>
          <w:rFonts w:ascii="Times New Roman" w:hAnsi="Times New Roman" w:cs="Times New Roman"/>
          <w:spacing w:val="0"/>
          <w:kern w:val="0"/>
          <w:sz w:val="24"/>
          <w:szCs w:val="24"/>
        </w:rPr>
        <w:t xml:space="preserve">and abroad </w:t>
      </w:r>
      <w:r w:rsidR="00D57552" w:rsidRPr="00C90AC9">
        <w:rPr>
          <w:rStyle w:val="TitleChar"/>
          <w:rFonts w:ascii="Times New Roman" w:hAnsi="Times New Roman" w:cs="Times New Roman"/>
          <w:spacing w:val="0"/>
          <w:kern w:val="0"/>
          <w:sz w:val="24"/>
          <w:szCs w:val="24"/>
        </w:rPr>
        <w:fldChar w:fldCharType="begin">
          <w:fldData xml:space="preserve">PEVuZE5vdGU+PENpdGU+PEF1dGhvcj5Eb2JsaW5nZXI8L0F1dGhvcj48WWVhcj4yMDEzPC9ZZWFy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</w:fldData>
        </w:fldChar>
      </w:r>
      <w:r w:rsidR="00D57552" w:rsidRPr="00C90AC9">
        <w:rPr>
          <w:rStyle w:val="TitleChar"/>
          <w:rFonts w:ascii="Times New Roman" w:hAnsi="Times New Roman" w:cs="Times New Roman"/>
          <w:spacing w:val="0"/>
          <w:kern w:val="0"/>
          <w:sz w:val="24"/>
          <w:szCs w:val="24"/>
        </w:rPr>
        <w:instrText xml:space="preserve"> ADDIN EN.CITE </w:instrText>
      </w:r>
      <w:r w:rsidR="00D57552" w:rsidRPr="00C90AC9">
        <w:rPr>
          <w:rStyle w:val="TitleChar"/>
          <w:rFonts w:ascii="Times New Roman" w:hAnsi="Times New Roman" w:cs="Times New Roman"/>
          <w:spacing w:val="0"/>
          <w:kern w:val="0"/>
          <w:sz w:val="24"/>
          <w:szCs w:val="24"/>
        </w:rPr>
        <w:fldChar w:fldCharType="begin">
          <w:fldData xml:space="preserve">PEVuZE5vdGU+PENpdGU+PEF1dGhvcj5Eb2JsaW5nZXI8L0F1dGhvcj48WWVhcj4yMDEzPC9ZZWFy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</w:fldData>
        </w:fldChar>
      </w:r>
      <w:r w:rsidR="00D57552" w:rsidRPr="00C90AC9">
        <w:rPr>
          <w:rStyle w:val="TitleChar"/>
          <w:rFonts w:ascii="Times New Roman" w:hAnsi="Times New Roman" w:cs="Times New Roman"/>
          <w:spacing w:val="0"/>
          <w:kern w:val="0"/>
          <w:sz w:val="24"/>
          <w:szCs w:val="24"/>
        </w:rPr>
        <w:instrText xml:space="preserve"> ADDIN EN.CITE.DATA </w:instrText>
      </w:r>
      <w:r w:rsidR="00D57552" w:rsidRPr="00C90AC9">
        <w:rPr>
          <w:rStyle w:val="TitleChar"/>
          <w:rFonts w:ascii="Times New Roman" w:hAnsi="Times New Roman" w:cs="Times New Roman"/>
          <w:spacing w:val="0"/>
          <w:kern w:val="0"/>
          <w:sz w:val="24"/>
          <w:szCs w:val="24"/>
        </w:rPr>
      </w:r>
      <w:r w:rsidR="00D57552" w:rsidRPr="00C90AC9">
        <w:rPr>
          <w:rStyle w:val="TitleChar"/>
          <w:rFonts w:ascii="Times New Roman" w:hAnsi="Times New Roman" w:cs="Times New Roman"/>
          <w:spacing w:val="0"/>
          <w:kern w:val="0"/>
          <w:sz w:val="24"/>
          <w:szCs w:val="24"/>
        </w:rPr>
        <w:fldChar w:fldCharType="end"/>
      </w:r>
      <w:r w:rsidR="00D57552" w:rsidRPr="00C90AC9">
        <w:rPr>
          <w:rStyle w:val="TitleChar"/>
          <w:rFonts w:ascii="Times New Roman" w:hAnsi="Times New Roman" w:cs="Times New Roman"/>
          <w:spacing w:val="0"/>
          <w:kern w:val="0"/>
          <w:sz w:val="24"/>
          <w:szCs w:val="24"/>
        </w:rPr>
      </w:r>
      <w:r w:rsidR="00D57552" w:rsidRPr="00C90AC9">
        <w:rPr>
          <w:rStyle w:val="TitleChar"/>
          <w:rFonts w:ascii="Times New Roman" w:hAnsi="Times New Roman" w:cs="Times New Roman"/>
          <w:spacing w:val="0"/>
          <w:kern w:val="0"/>
          <w:sz w:val="24"/>
          <w:szCs w:val="24"/>
        </w:rPr>
        <w:fldChar w:fldCharType="separate"/>
      </w:r>
      <w:r w:rsidR="00D57552" w:rsidRPr="00C90AC9">
        <w:rPr>
          <w:rStyle w:val="TitleChar"/>
          <w:rFonts w:ascii="Times New Roman" w:hAnsi="Times New Roman" w:cs="Times New Roman"/>
          <w:spacing w:val="0"/>
          <w:kern w:val="0"/>
          <w:sz w:val="24"/>
          <w:szCs w:val="24"/>
        </w:rPr>
        <w:t xml:space="preserve">(Baskaran &amp; Bendig, 2013; Doblinger &amp; Soppe, 2013; Kaldellis, 2005; Lienhoop, 2018; Pellizzone </w:t>
      </w:r>
      <w:r w:rsidR="00EE66A8" w:rsidRPr="00C90AC9">
        <w:rPr>
          <w:rStyle w:val="TitleChar"/>
          <w:rFonts w:ascii="Times New Roman" w:hAnsi="Times New Roman" w:cs="Times New Roman"/>
          <w:spacing w:val="0"/>
          <w:kern w:val="0"/>
          <w:sz w:val="24"/>
          <w:szCs w:val="24"/>
        </w:rPr>
        <w:t>et al</w:t>
      </w:r>
      <w:r w:rsidR="00D57552" w:rsidRPr="00C90AC9">
        <w:rPr>
          <w:rStyle w:val="TitleChar"/>
          <w:rFonts w:ascii="Times New Roman" w:hAnsi="Times New Roman" w:cs="Times New Roman"/>
          <w:spacing w:val="0"/>
          <w:kern w:val="0"/>
          <w:sz w:val="24"/>
          <w:szCs w:val="24"/>
        </w:rPr>
        <w:t>., 2015; Wüstenhagen et al., 2007)</w:t>
      </w:r>
      <w:r w:rsidR="00D57552" w:rsidRPr="00C90AC9">
        <w:rPr>
          <w:rStyle w:val="TitleChar"/>
          <w:rFonts w:ascii="Times New Roman" w:hAnsi="Times New Roman" w:cs="Times New Roman"/>
          <w:spacing w:val="0"/>
          <w:kern w:val="0"/>
          <w:sz w:val="24"/>
          <w:szCs w:val="24"/>
        </w:rPr>
        <w:fldChar w:fldCharType="end"/>
      </w:r>
      <w:r w:rsidR="00D57552" w:rsidRPr="00C90AC9">
        <w:rPr>
          <w:rStyle w:val="TitleChar"/>
          <w:rFonts w:ascii="Times New Roman" w:hAnsi="Times New Roman" w:cs="Times New Roman"/>
          <w:spacing w:val="0"/>
          <w:kern w:val="0"/>
          <w:sz w:val="24"/>
          <w:szCs w:val="24"/>
        </w:rPr>
        <w:t>.</w:t>
      </w:r>
    </w:p>
    <w:p w:rsidR="00EA4A27" w:rsidRPr="00C90AC9" w:rsidRDefault="00EA4A27">
      <w:pPr>
        <w:rPr>
          <w:rStyle w:val="TitleChar"/>
          <w:rFonts w:ascii="Times New Roman" w:hAnsi="Times New Roman" w:cs="Times New Roman"/>
          <w:sz w:val="72"/>
          <w:szCs w:val="24"/>
        </w:rPr>
      </w:pPr>
      <w:r w:rsidRPr="00C90AC9">
        <w:rPr>
          <w:rStyle w:val="TitleChar"/>
          <w:rFonts w:ascii="Times New Roman" w:hAnsi="Times New Roman" w:cs="Times New Roman"/>
          <w:sz w:val="72"/>
          <w:szCs w:val="24"/>
        </w:rPr>
        <w:br w:type="page"/>
      </w:r>
    </w:p>
    <w:p w:rsidR="00A16B8C" w:rsidRPr="00C90AC9" w:rsidRDefault="00A16B8C" w:rsidP="00232B82">
      <w:pPr>
        <w:pStyle w:val="List"/>
        <w:ind w:left="0" w:firstLine="0"/>
        <w:jc w:val="center"/>
        <w:rPr>
          <w:bCs/>
          <w:color w:val="365F91" w:themeColor="accent1" w:themeShade="BF"/>
        </w:rPr>
      </w:pPr>
      <w:r w:rsidRPr="00C90AC9">
        <w:rPr>
          <w:rStyle w:val="TitleChar"/>
          <w:rFonts w:ascii="Times New Roman" w:hAnsi="Times New Roman" w:cs="Times New Roman"/>
          <w:sz w:val="72"/>
          <w:szCs w:val="24"/>
        </w:rPr>
        <w:lastRenderedPageBreak/>
        <w:t>Chapter 3</w:t>
      </w:r>
      <w:bookmarkEnd w:id="27"/>
    </w:p>
    <w:p w:rsidR="00A16B8C" w:rsidRPr="00C90AC9" w:rsidRDefault="00A16B8C" w:rsidP="0099093E">
      <w:pPr>
        <w:pStyle w:val="BodyText"/>
        <w:jc w:val="center"/>
        <w:rPr>
          <w:rStyle w:val="SubtleEmphasis"/>
          <w:rFonts w:cs="Times New Roman"/>
          <w:iCs/>
          <w:sz w:val="32"/>
          <w:szCs w:val="24"/>
        </w:rPr>
      </w:pPr>
      <w:r w:rsidRPr="00C90AC9">
        <w:rPr>
          <w:rStyle w:val="SubtleEmphasis"/>
          <w:rFonts w:cs="Times New Roman"/>
          <w:iCs/>
          <w:sz w:val="32"/>
          <w:szCs w:val="24"/>
        </w:rPr>
        <w:t>Computer simulations of a solar flat plate collector incorporating weather predictions</w:t>
      </w:r>
    </w:p>
    <w:p w:rsidR="0057156D" w:rsidRPr="00C90AC9" w:rsidRDefault="0057156D" w:rsidP="00B06779">
      <w:pPr>
        <w:pStyle w:val="BodyText"/>
        <w:rPr>
          <w:rStyle w:val="SubtleEmphasis"/>
          <w:rFonts w:cs="Times New Roman"/>
          <w:i/>
          <w:iCs/>
          <w:sz w:val="32"/>
          <w:szCs w:val="24"/>
        </w:rPr>
      </w:pPr>
      <w:r w:rsidRPr="00C90AC9">
        <w:rPr>
          <w:rFonts w:eastAsiaTheme="minorHAnsi"/>
          <w:noProof/>
        </w:rPr>
        <mc:AlternateContent>
          <mc:Choice Requires="wps">
            <w:drawing>
              <wp:anchor distT="0" distB="0" distL="114300" distR="114300" simplePos="0" relativeHeight="251787264" behindDoc="0" locked="0" layoutInCell="1" allowOverlap="1" wp14:anchorId="0E7BD3D5" wp14:editId="3F7A5930">
                <wp:simplePos x="0" y="0"/>
                <wp:positionH relativeFrom="column">
                  <wp:posOffset>-161925</wp:posOffset>
                </wp:positionH>
                <wp:positionV relativeFrom="paragraph">
                  <wp:posOffset>125095</wp:posOffset>
                </wp:positionV>
                <wp:extent cx="6039485" cy="1038225"/>
                <wp:effectExtent l="0" t="0" r="18415" b="28575"/>
                <wp:wrapNone/>
                <wp:docPr id="338" name="Rectangle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39485" cy="1038225"/>
                        </a:xfrm>
                        <a:prstGeom prst="rect">
                          <a:avLst/>
                        </a:prstGeom>
                        <a:solidFill>
                          <a:srgbClr val="4F81BD">
                            <a:alpha val="20000"/>
                          </a:srgbClr>
                        </a:solidFill>
                        <a:ln w="127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9E4C8E" id="Rectangle 338" o:spid="_x0000_s1026" style="position:absolute;margin-left:-12.75pt;margin-top:9.85pt;width:475.55pt;height:81.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" fillcolor="#4f81bd" strokecolor="#4f81bd" strokeweight="1pt">
                <v:fill opacity="13107f"/>
                <v:path arrowok="t"/>
              </v:rect>
            </w:pict>
          </mc:Fallback>
        </mc:AlternateContent>
      </w:r>
    </w:p>
    <w:p w:rsidR="00A16B8C" w:rsidRPr="00C90AC9" w:rsidRDefault="00A16B8C" w:rsidP="00B06779">
      <w:pPr>
        <w:pStyle w:val="BodyText"/>
        <w:rPr>
          <w:rFonts w:eastAsiaTheme="majorEastAsia"/>
          <w:lang w:eastAsia="en-US"/>
        </w:rPr>
      </w:pPr>
      <w:r w:rsidRPr="00C90AC9">
        <w:rPr>
          <w:rFonts w:eastAsiaTheme="majorEastAsia"/>
          <w:lang w:eastAsia="en-US"/>
        </w:rPr>
        <w:t xml:space="preserve">This chapter </w:t>
      </w:r>
      <w:r w:rsidR="00A4563C" w:rsidRPr="00C90AC9">
        <w:rPr>
          <w:rFonts w:eastAsiaTheme="majorEastAsia"/>
          <w:lang w:eastAsia="en-US"/>
        </w:rPr>
        <w:t>assesses the recent literature concerning so</w:t>
      </w:r>
      <w:r w:rsidRPr="00C90AC9">
        <w:rPr>
          <w:rFonts w:eastAsiaTheme="majorEastAsia"/>
          <w:lang w:eastAsia="en-US"/>
        </w:rPr>
        <w:t>lar thermal panels in conjunction with weather predictions to assess whether there are efficiency gains which can be made in terms of energy, cost and the corresponding reduction in carbon emissions.</w:t>
      </w:r>
    </w:p>
    <w:p w:rsidR="0099093E" w:rsidRPr="00C90AC9" w:rsidRDefault="0099093E" w:rsidP="00B06779">
      <w:pPr>
        <w:pStyle w:val="BodyText"/>
        <w:rPr>
          <w:rFonts w:eastAsiaTheme="majorEastAsia"/>
          <w:lang w:eastAsia="en-US"/>
        </w:rPr>
      </w:pPr>
    </w:p>
    <w:p w:rsidR="00A16B8C" w:rsidRPr="00C90AC9" w:rsidRDefault="00A16B8C" w:rsidP="007B01CA">
      <w:pPr>
        <w:pStyle w:val="BodyText"/>
        <w:spacing w:line="360" w:lineRule="auto"/>
        <w:rPr>
          <w:rFonts w:eastAsiaTheme="majorEastAsia"/>
          <w:lang w:eastAsia="en-US"/>
        </w:rPr>
      </w:pPr>
      <w:r w:rsidRPr="00C90AC9">
        <w:rPr>
          <w:rFonts w:eastAsiaTheme="majorEastAsia"/>
          <w:lang w:eastAsia="en-US"/>
        </w:rPr>
        <w:br/>
      </w:r>
      <w:r w:rsidR="00E12450" w:rsidRPr="00C90AC9">
        <w:rPr>
          <w:rFonts w:eastAsiaTheme="majorEastAsia"/>
          <w:lang w:eastAsia="en-US"/>
        </w:rPr>
        <w:tab/>
      </w:r>
      <w:r w:rsidRPr="00C90AC9">
        <w:rPr>
          <w:rFonts w:eastAsiaTheme="majorEastAsia"/>
          <w:lang w:eastAsia="en-US"/>
        </w:rPr>
        <w:t xml:space="preserve">Simulating the heating of a STP as the </w:t>
      </w:r>
      <w:r w:rsidR="000450FC" w:rsidRPr="00C90AC9">
        <w:rPr>
          <w:rFonts w:eastAsiaTheme="majorEastAsia"/>
          <w:lang w:eastAsia="en-US"/>
        </w:rPr>
        <w:t>sun</w:t>
      </w:r>
      <w:r w:rsidRPr="00C90AC9">
        <w:rPr>
          <w:rFonts w:eastAsiaTheme="majorEastAsia"/>
          <w:lang w:eastAsia="en-US"/>
        </w:rPr>
        <w:t xml:space="preserve">’s irradiance is incident on it, which is then </w:t>
      </w:r>
      <w:r w:rsidR="00E12450" w:rsidRPr="00C90AC9">
        <w:rPr>
          <w:rFonts w:eastAsiaTheme="majorEastAsia"/>
          <w:lang w:eastAsia="en-US"/>
        </w:rPr>
        <w:t>connected to a hot water tank, wa</w:t>
      </w:r>
      <w:r w:rsidRPr="00C90AC9">
        <w:rPr>
          <w:rFonts w:eastAsiaTheme="majorEastAsia"/>
          <w:lang w:eastAsia="en-US"/>
        </w:rPr>
        <w:t xml:space="preserve">s performed using the software </w:t>
      </w:r>
      <w:proofErr w:type="spellStart"/>
      <w:r w:rsidRPr="00C90AC9">
        <w:rPr>
          <w:rFonts w:eastAsiaTheme="majorEastAsia"/>
          <w:lang w:eastAsia="en-US"/>
        </w:rPr>
        <w:t>Matlab</w:t>
      </w:r>
      <w:proofErr w:type="spellEnd"/>
      <w:r w:rsidRPr="00C90AC9">
        <w:rPr>
          <w:rFonts w:eastAsiaTheme="majorEastAsia"/>
          <w:lang w:eastAsia="en-US"/>
        </w:rPr>
        <w:t>. Recorded weather data from The Sheffield Solar Farm (SSF) is converted into the temperature of water as it leaves a flat plate panel. This water was then simulated to flow through a heating coil submerged in a hot water tank wh</w:t>
      </w:r>
      <w:r w:rsidR="00C807A3" w:rsidRPr="00C90AC9">
        <w:rPr>
          <w:rFonts w:eastAsiaTheme="majorEastAsia"/>
          <w:lang w:eastAsia="en-US"/>
        </w:rPr>
        <w:t>ich then heats up the water wit</w:t>
      </w:r>
      <w:r w:rsidR="004524CB" w:rsidRPr="00C90AC9">
        <w:rPr>
          <w:rFonts w:eastAsiaTheme="majorEastAsia"/>
          <w:lang w:eastAsia="en-US"/>
        </w:rPr>
        <w:t>h</w:t>
      </w:r>
      <w:r w:rsidRPr="00C90AC9">
        <w:rPr>
          <w:rFonts w:eastAsiaTheme="majorEastAsia"/>
          <w:lang w:eastAsia="en-US"/>
        </w:rPr>
        <w:t>in the tank.</w:t>
      </w:r>
    </w:p>
    <w:p w:rsidR="0099093E" w:rsidRPr="00C90AC9" w:rsidRDefault="0099093E" w:rsidP="00B06779">
      <w:pPr>
        <w:pStyle w:val="BodyText"/>
        <w:rPr>
          <w:rFonts w:eastAsiaTheme="majorEastAsia"/>
          <w:lang w:eastAsia="en-US"/>
        </w:rPr>
      </w:pPr>
    </w:p>
    <w:p w:rsidR="00A16B8C" w:rsidRPr="00C90AC9" w:rsidRDefault="007B01CA" w:rsidP="00CA6E35">
      <w:pPr>
        <w:pStyle w:val="List"/>
        <w:numPr>
          <w:ilvl w:val="1"/>
          <w:numId w:val="3"/>
        </w:numPr>
        <w:ind w:left="0" w:firstLine="0"/>
        <w:rPr>
          <w:rStyle w:val="SubtleEmphasis"/>
          <w:rFonts w:cs="Times New Roman"/>
          <w:iCs/>
          <w:szCs w:val="24"/>
        </w:rPr>
      </w:pPr>
      <w:bookmarkStart w:id="28" w:name="_Toc447173055"/>
      <w:r w:rsidRPr="00C90AC9">
        <w:rPr>
          <w:rStyle w:val="SubtleEmphasis"/>
          <w:rFonts w:cs="Times New Roman"/>
          <w:iCs/>
          <w:szCs w:val="24"/>
        </w:rPr>
        <w:t xml:space="preserve"> </w:t>
      </w:r>
      <w:r w:rsidR="00A16B8C" w:rsidRPr="00C90AC9">
        <w:rPr>
          <w:rStyle w:val="SubtleEmphasis"/>
          <w:rFonts w:cs="Times New Roman"/>
          <w:iCs/>
          <w:szCs w:val="24"/>
        </w:rPr>
        <w:t>Global Horizontal Irradiance (GHI) and Direct Normal Irradiance (DNI) in the UK</w:t>
      </w:r>
      <w:bookmarkEnd w:id="28"/>
    </w:p>
    <w:p w:rsidR="007B01CA" w:rsidRPr="00C90AC9" w:rsidRDefault="007B01CA" w:rsidP="007B01CA">
      <w:pPr>
        <w:pStyle w:val="List"/>
        <w:ind w:left="720" w:firstLine="0"/>
        <w:rPr>
          <w:rStyle w:val="SubtleEmphasis"/>
          <w:rFonts w:cs="Times New Roman"/>
          <w:i/>
          <w:iCs/>
          <w:sz w:val="24"/>
          <w:szCs w:val="24"/>
        </w:rPr>
      </w:pPr>
    </w:p>
    <w:p w:rsidR="0099093E" w:rsidRPr="00C90AC9" w:rsidRDefault="00A16B8C" w:rsidP="000E6BD1">
      <w:pPr>
        <w:pStyle w:val="BodyTextFirstIndent"/>
        <w:spacing w:line="360" w:lineRule="auto"/>
        <w:ind w:firstLine="357"/>
        <w:rPr>
          <w:rFonts w:eastAsiaTheme="minorHAnsi"/>
          <w:lang w:eastAsia="en-US"/>
        </w:rPr>
      </w:pPr>
      <w:r w:rsidRPr="00C90AC9">
        <w:rPr>
          <w:rFonts w:eastAsiaTheme="minorHAnsi"/>
          <w:lang w:eastAsia="en-US"/>
        </w:rPr>
        <w:t xml:space="preserve">Figures 3.1. and 3.2 show the Average Solar Irradiation for the UK over one year averaged from 1994 – 2013  </w:t>
      </w:r>
      <w:sdt>
        <w:sdtPr>
          <w:rPr>
            <w:rFonts w:eastAsiaTheme="minorHAnsi"/>
            <w:lang w:eastAsia="en-US"/>
          </w:rPr>
          <w:alias w:val="Don't edit this field"/>
          <w:tag w:val="CitaviPlaceholder#85fe50fd-9b7d-4101-ba76-215b8a79344b"/>
          <w:id w:val="1286778336"/>
        </w:sdtPr>
        <w:sdtEndPr/>
        <w:sdtContent>
          <w:r w:rsidR="00C05E2B" w:rsidRPr="00C90AC9">
            <w:rPr>
              <w:rFonts w:eastAsiaTheme="minorHAnsi"/>
              <w:lang w:eastAsia="en-US"/>
            </w:rPr>
            <w:fldChar w:fldCharType="begin"/>
          </w:r>
          <w:r w:rsidR="007835E8" w:rsidRPr="00C90AC9">
            <w:rPr>
              <w:rFonts w:eastAsiaTheme="minorHAnsi"/>
              <w:lang w:eastAsia="en-US"/>
            </w:rPr>
            <w:instrText>ADDIN CitaviPlaceholder{eyIkaWQiOiIxIiwiRW50cmllcyI6W3siJGlkIjoiMiIsIkhhc1RlbXBvcmFyeVJlZmVyZW5jZSI6dHJ1ZSwiSWQiOiIyNDg5MDY1Zi03NDFlLTQ3NGYtYmM2NS1jMmQ2Mjk1ZDBkNzYiLCJSYW5nZUxlbmd0aCI6MTksIlJlZmVyZW5jZUlkIjoiMTk1NzgzYmItYjM0Ni00ODRjLWE0YmEtMjhkZjA1OWQ2N2Fl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}</w:instrText>
          </w:r>
          <w:r w:rsidR="00C05E2B" w:rsidRPr="00C90AC9">
            <w:rPr>
              <w:rFonts w:eastAsiaTheme="minorHAnsi"/>
              <w:lang w:eastAsia="en-US"/>
            </w:rPr>
            <w:fldChar w:fldCharType="separate"/>
          </w:r>
          <w:r w:rsidR="007835E8" w:rsidRPr="00C90AC9">
            <w:rPr>
              <w:rFonts w:eastAsiaTheme="minorHAnsi"/>
              <w:lang w:eastAsia="en-US"/>
            </w:rPr>
            <w:t>(SolarGIS Database)</w:t>
          </w:r>
          <w:r w:rsidR="00C05E2B" w:rsidRPr="00C90AC9">
            <w:rPr>
              <w:rFonts w:eastAsiaTheme="minorHAnsi"/>
              <w:lang w:eastAsia="en-US"/>
            </w:rPr>
            <w:fldChar w:fldCharType="end"/>
          </w:r>
        </w:sdtContent>
      </w:sdt>
      <w:r w:rsidR="000E6BD1" w:rsidRPr="00C90AC9">
        <w:rPr>
          <w:rFonts w:eastAsiaTheme="minorHAnsi"/>
          <w:lang w:eastAsia="en-US"/>
        </w:rPr>
        <w:t xml:space="preserve"> </w:t>
      </w:r>
      <w:r w:rsidRPr="00C90AC9">
        <w:rPr>
          <w:rFonts w:eastAsiaTheme="minorHAnsi"/>
          <w:lang w:eastAsia="en-US"/>
        </w:rPr>
        <w:t>for the Global Horizontal Irradiation (GHI) and the Direct Normal Irradiation (DNI). These two figures highlight the variability in the available solar irradiation dependent on the Latitude that the solar collector is located at. The GHI varies between &lt;800 kWh/m</w:t>
      </w:r>
      <w:r w:rsidRPr="00C90AC9">
        <w:rPr>
          <w:rFonts w:eastAsiaTheme="minorHAnsi"/>
          <w:vertAlign w:val="superscript"/>
          <w:lang w:eastAsia="en-US"/>
        </w:rPr>
        <w:t>2</w:t>
      </w:r>
      <w:r w:rsidRPr="00C90AC9">
        <w:rPr>
          <w:rFonts w:eastAsiaTheme="minorHAnsi"/>
          <w:lang w:eastAsia="en-US"/>
        </w:rPr>
        <w:t xml:space="preserve"> - &gt;1100 kWh/m</w:t>
      </w:r>
      <w:r w:rsidRPr="00C90AC9">
        <w:rPr>
          <w:rFonts w:eastAsiaTheme="minorHAnsi"/>
          <w:vertAlign w:val="superscript"/>
          <w:lang w:eastAsia="en-US"/>
        </w:rPr>
        <w:t xml:space="preserve">2 </w:t>
      </w:r>
      <w:r w:rsidRPr="00C90AC9">
        <w:rPr>
          <w:rFonts w:eastAsiaTheme="minorHAnsi"/>
          <w:lang w:eastAsia="en-US"/>
        </w:rPr>
        <w:t>and the DNI varies between &lt;400 kWh/m</w:t>
      </w:r>
      <w:r w:rsidRPr="00C90AC9">
        <w:rPr>
          <w:rFonts w:eastAsiaTheme="minorHAnsi"/>
          <w:vertAlign w:val="superscript"/>
          <w:lang w:eastAsia="en-US"/>
        </w:rPr>
        <w:t>2</w:t>
      </w:r>
      <w:r w:rsidRPr="00C90AC9">
        <w:rPr>
          <w:rFonts w:eastAsiaTheme="minorHAnsi"/>
          <w:lang w:eastAsia="en-US"/>
        </w:rPr>
        <w:t xml:space="preserve"> - &gt;1000 kWh/m</w:t>
      </w:r>
      <w:r w:rsidRPr="00C90AC9">
        <w:rPr>
          <w:rFonts w:eastAsiaTheme="minorHAnsi"/>
          <w:vertAlign w:val="superscript"/>
          <w:lang w:eastAsia="en-US"/>
        </w:rPr>
        <w:t>2</w:t>
      </w:r>
      <w:r w:rsidRPr="00C90AC9">
        <w:rPr>
          <w:rFonts w:eastAsiaTheme="minorHAnsi"/>
          <w:lang w:eastAsia="en-US"/>
        </w:rPr>
        <w:t>.</w:t>
      </w:r>
      <w:r w:rsidR="003369B2" w:rsidRPr="00C90AC9">
        <w:rPr>
          <w:rFonts w:eastAsiaTheme="minorHAnsi"/>
          <w:lang w:eastAsia="en-US"/>
        </w:rPr>
        <w:t xml:space="preserve"> </w:t>
      </w:r>
      <w:r w:rsidRPr="00C90AC9">
        <w:rPr>
          <w:rFonts w:eastAsiaTheme="minorHAnsi"/>
          <w:lang w:eastAsia="en-US"/>
        </w:rPr>
        <w:t>Figure</w:t>
      </w:r>
      <w:r w:rsidR="003369B2" w:rsidRPr="00C90AC9">
        <w:rPr>
          <w:rFonts w:eastAsiaTheme="minorHAnsi"/>
          <w:lang w:eastAsia="en-US"/>
        </w:rPr>
        <w:t xml:space="preserve">s </w:t>
      </w:r>
      <w:r w:rsidRPr="00C90AC9">
        <w:rPr>
          <w:rFonts w:eastAsiaTheme="minorHAnsi"/>
          <w:lang w:eastAsia="en-US"/>
        </w:rPr>
        <w:t>3</w:t>
      </w:r>
      <w:r w:rsidR="003369B2" w:rsidRPr="00C90AC9">
        <w:rPr>
          <w:rFonts w:eastAsiaTheme="minorHAnsi"/>
          <w:lang w:eastAsia="en-US"/>
        </w:rPr>
        <w:t>.1. and 3.</w:t>
      </w:r>
      <w:r w:rsidR="00662107" w:rsidRPr="00C90AC9">
        <w:rPr>
          <w:rFonts w:eastAsiaTheme="minorHAnsi"/>
          <w:lang w:eastAsia="en-US"/>
        </w:rPr>
        <w:t>2</w:t>
      </w:r>
      <w:r w:rsidRPr="00C90AC9">
        <w:rPr>
          <w:rFonts w:eastAsiaTheme="minorHAnsi"/>
          <w:lang w:eastAsia="en-US"/>
        </w:rPr>
        <w:t xml:space="preserve">. show the average annual sum for the Direct Normal Irradiation for the UK over the period 1994 – 2013 </w:t>
      </w:r>
      <w:bookmarkStart w:id="29" w:name="_Hlk526835663"/>
      <w:sdt>
        <w:sdtPr>
          <w:rPr>
            <w:rFonts w:eastAsiaTheme="minorHAnsi"/>
            <w:lang w:eastAsia="en-US"/>
          </w:rPr>
          <w:alias w:val="Don't edit this field"/>
          <w:tag w:val="CitaviPlaceholder#3ba43acf-c8b1-4060-9aa9-960e3e365fc7"/>
          <w:id w:val="-482852492"/>
        </w:sdtPr>
        <w:sdtEndPr/>
        <w:sdtContent>
          <w:r w:rsidR="00C05E2B" w:rsidRPr="00C90AC9">
            <w:rPr>
              <w:rFonts w:eastAsiaTheme="minorHAnsi"/>
              <w:lang w:eastAsia="en-US"/>
            </w:rPr>
            <w:fldChar w:fldCharType="begin"/>
          </w:r>
          <w:r w:rsidR="007835E8" w:rsidRPr="00C90AC9">
            <w:rPr>
              <w:rFonts w:eastAsiaTheme="minorHAnsi"/>
              <w:lang w:eastAsia="en-US"/>
            </w:rPr>
            <w:instrText>ADDIN CitaviPlaceholder{eyIkaWQiOiIxIiwiRW50cmllcyI6W3siJGlkIjoiMiIsIkhhc1RlbXBvcmFyeVJlZmVyZW5jZSI6dHJ1ZSwiSWQiOiI4YTU2MmUyZC01ZWVjLTRlNGMtYjY1ZC05OWRjNDM5ZTFlODMiLCJSYW5nZUxlbmd0aCI6MTksIlJlZmVyZW5jZUlkIjoiMTk1NzgzYmItYjM0Ni00ODRjLWE0YmEtMjhkZjA1OWQ2N2Fl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}</w:instrText>
          </w:r>
          <w:r w:rsidR="00C05E2B" w:rsidRPr="00C90AC9">
            <w:rPr>
              <w:rFonts w:eastAsiaTheme="minorHAnsi"/>
              <w:lang w:eastAsia="en-US"/>
            </w:rPr>
            <w:fldChar w:fldCharType="separate"/>
          </w:r>
          <w:r w:rsidR="007835E8" w:rsidRPr="00C90AC9">
            <w:rPr>
              <w:rFonts w:eastAsiaTheme="minorHAnsi"/>
              <w:lang w:eastAsia="en-US"/>
            </w:rPr>
            <w:t>(SolarGIS Database)</w:t>
          </w:r>
          <w:r w:rsidR="00C05E2B" w:rsidRPr="00C90AC9">
            <w:rPr>
              <w:rFonts w:eastAsiaTheme="minorHAnsi"/>
              <w:lang w:eastAsia="en-US"/>
            </w:rPr>
            <w:fldChar w:fldCharType="end"/>
          </w:r>
        </w:sdtContent>
      </w:sdt>
      <w:r w:rsidR="000E6BD1" w:rsidRPr="00C90AC9">
        <w:rPr>
          <w:rFonts w:eastAsiaTheme="minorHAnsi"/>
          <w:lang w:eastAsia="en-US"/>
        </w:rPr>
        <w:t>.</w:t>
      </w:r>
      <w:bookmarkEnd w:id="29"/>
      <w:r w:rsidR="0099093E" w:rsidRPr="00C90AC9">
        <w:rPr>
          <w:rFonts w:eastAsiaTheme="minorHAnsi"/>
          <w:lang w:eastAsia="en-US"/>
        </w:rPr>
        <w:br w:type="page"/>
      </w:r>
    </w:p>
    <w:p w:rsidR="00A16B8C" w:rsidRPr="00C90AC9" w:rsidRDefault="00BD56D7" w:rsidP="00BD56D7">
      <w:pPr>
        <w:pStyle w:val="BodyText"/>
        <w:rPr>
          <w:rFonts w:eastAsiaTheme="minorHAnsi"/>
          <w:lang w:eastAsia="en-US"/>
        </w:rPr>
      </w:pPr>
      <w:r w:rsidRPr="00C90AC9">
        <w:rPr>
          <w:rFonts w:eastAsiaTheme="minorHAnsi"/>
          <w:noProof/>
        </w:rPr>
        <w:lastRenderedPageBreak/>
        <w:drawing>
          <wp:anchor distT="0" distB="0" distL="114300" distR="114300" simplePos="0" relativeHeight="251793408" behindDoc="1" locked="0" layoutInCell="1" allowOverlap="1" wp14:anchorId="53BC52DD" wp14:editId="7AC3CC9C">
            <wp:simplePos x="0" y="0"/>
            <wp:positionH relativeFrom="column">
              <wp:posOffset>20955</wp:posOffset>
            </wp:positionH>
            <wp:positionV relativeFrom="paragraph">
              <wp:posOffset>605790</wp:posOffset>
            </wp:positionV>
            <wp:extent cx="5773420" cy="7928610"/>
            <wp:effectExtent l="19050" t="19050" r="17780" b="15240"/>
            <wp:wrapTight wrapText="bothSides">
              <wp:wrapPolygon edited="0">
                <wp:start x="-71" y="-52"/>
                <wp:lineTo x="-71" y="21590"/>
                <wp:lineTo x="21595" y="21590"/>
                <wp:lineTo x="21595" y="-52"/>
                <wp:lineTo x="-71" y="-52"/>
              </wp:wrapPolygon>
            </wp:wrapTight>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l="-288" t="-1190" r="-288" b="-1190"/>
                    <a:stretch>
                      <a:fillRect/>
                    </a:stretch>
                  </pic:blipFill>
                  <pic:spPr bwMode="auto">
                    <a:xfrm>
                      <a:off x="0" y="0"/>
                      <a:ext cx="5773420" cy="7928610"/>
                    </a:xfrm>
                    <a:prstGeom prst="rect">
                      <a:avLst/>
                    </a:prstGeom>
                    <a:noFill/>
                    <a:ln w="317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4524CB" w:rsidRPr="00C90AC9">
        <w:rPr>
          <w:rFonts w:eastAsiaTheme="minorHAnsi"/>
          <w:lang w:eastAsia="en-US"/>
        </w:rPr>
        <w:t xml:space="preserve">Figure </w:t>
      </w:r>
      <w:r w:rsidR="000B2E93" w:rsidRPr="00C90AC9">
        <w:rPr>
          <w:rFonts w:eastAsiaTheme="minorHAnsi"/>
          <w:lang w:eastAsia="en-US"/>
        </w:rPr>
        <w:t>3.1. T</w:t>
      </w:r>
      <w:r w:rsidR="00A16B8C" w:rsidRPr="00C90AC9">
        <w:rPr>
          <w:rFonts w:eastAsiaTheme="minorHAnsi"/>
          <w:lang w:eastAsia="en-US"/>
        </w:rPr>
        <w:t xml:space="preserve">he average annual sum for the Global Horizontal Irradiation (GHI) for the UK over the period 1994 – 2013 </w:t>
      </w:r>
      <w:sdt>
        <w:sdtPr>
          <w:rPr>
            <w:rFonts w:eastAsiaTheme="minorHAnsi"/>
            <w:lang w:eastAsia="en-US"/>
          </w:rPr>
          <w:alias w:val="Don't edit this field"/>
          <w:tag w:val="CitaviPlaceholder#956f4049-f8b2-40f6-8582-70538fee7341"/>
          <w:id w:val="-555926220"/>
        </w:sdtPr>
        <w:sdtEndPr/>
        <w:sdtContent>
          <w:r w:rsidR="00C05E2B" w:rsidRPr="00C90AC9">
            <w:rPr>
              <w:rFonts w:eastAsiaTheme="minorHAnsi"/>
              <w:lang w:eastAsia="en-US"/>
            </w:rPr>
            <w:fldChar w:fldCharType="begin"/>
          </w:r>
          <w:r w:rsidR="007835E8" w:rsidRPr="00C90AC9">
            <w:rPr>
              <w:rFonts w:eastAsiaTheme="minorHAnsi"/>
              <w:lang w:eastAsia="en-US"/>
            </w:rPr>
            <w:instrText>ADDIN CitaviPlaceholder{eyIkaWQiOiIxIiwiRW50cmllcyI6W3siJGlkIjoiMiIsIkhhc1RlbXBvcmFyeVJlZmVyZW5jZSI6dHJ1ZSwiSWQiOiI2NDI3ZDViOC1jZjc5LTRlMDYtOTFjOS1kZDFkYmNlZDQ0MmUiLCJSYW5nZUxlbmd0aCI6MTksIlJlZmVyZW5jZUlkIjoiMTk1NzgzYmItYjM0Ni00ODRjLWE0YmEtMjhkZjA1OWQ2N2Fl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}</w:instrText>
          </w:r>
          <w:r w:rsidR="00C05E2B" w:rsidRPr="00C90AC9">
            <w:rPr>
              <w:rFonts w:eastAsiaTheme="minorHAnsi"/>
              <w:lang w:eastAsia="en-US"/>
            </w:rPr>
            <w:fldChar w:fldCharType="separate"/>
          </w:r>
          <w:r w:rsidR="007835E8" w:rsidRPr="00C90AC9">
            <w:rPr>
              <w:rFonts w:eastAsiaTheme="minorHAnsi"/>
              <w:lang w:eastAsia="en-US"/>
            </w:rPr>
            <w:t>(SolarGIS Database)</w:t>
          </w:r>
          <w:r w:rsidR="00C05E2B" w:rsidRPr="00C90AC9">
            <w:rPr>
              <w:rFonts w:eastAsiaTheme="minorHAnsi"/>
              <w:lang w:eastAsia="en-US"/>
            </w:rPr>
            <w:fldChar w:fldCharType="end"/>
          </w:r>
        </w:sdtContent>
      </w:sdt>
    </w:p>
    <w:p w:rsidR="00A16B8C" w:rsidRPr="00C90AC9" w:rsidRDefault="00A16B8C" w:rsidP="00B06779">
      <w:pPr>
        <w:rPr>
          <w:rFonts w:eastAsiaTheme="minorHAnsi"/>
          <w:lang w:eastAsia="en-US"/>
        </w:rPr>
      </w:pPr>
    </w:p>
    <w:p w:rsidR="00BD56D7" w:rsidRPr="00C90AC9" w:rsidRDefault="00BD56D7" w:rsidP="00BD56D7">
      <w:pPr>
        <w:pStyle w:val="BodyText"/>
        <w:rPr>
          <w:rFonts w:eastAsiaTheme="minorHAnsi"/>
          <w:lang w:eastAsia="en-US"/>
        </w:rPr>
      </w:pPr>
      <w:r w:rsidRPr="00C90AC9">
        <w:rPr>
          <w:rFonts w:eastAsiaTheme="minorHAnsi"/>
          <w:noProof/>
        </w:rPr>
        <w:lastRenderedPageBreak/>
        <w:drawing>
          <wp:anchor distT="0" distB="0" distL="114300" distR="114300" simplePos="0" relativeHeight="251792384" behindDoc="0" locked="0" layoutInCell="1" allowOverlap="1" wp14:anchorId="448D8531" wp14:editId="043B80B2">
            <wp:simplePos x="0" y="0"/>
            <wp:positionH relativeFrom="column">
              <wp:posOffset>-32385</wp:posOffset>
            </wp:positionH>
            <wp:positionV relativeFrom="paragraph">
              <wp:posOffset>552450</wp:posOffset>
            </wp:positionV>
            <wp:extent cx="5826125" cy="8165465"/>
            <wp:effectExtent l="19050" t="19050" r="22225" b="26035"/>
            <wp:wrapSquare wrapText="bothSides"/>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l="-1849" t="-2777" r="-1849" b="-2777"/>
                    <a:stretch>
                      <a:fillRect/>
                    </a:stretch>
                  </pic:blipFill>
                  <pic:spPr bwMode="auto">
                    <a:xfrm>
                      <a:off x="0" y="0"/>
                      <a:ext cx="5826125" cy="8165465"/>
                    </a:xfrm>
                    <a:prstGeom prst="rect">
                      <a:avLst/>
                    </a:prstGeom>
                    <a:noFill/>
                    <a:ln w="317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A16B8C" w:rsidRPr="00C90AC9">
        <w:rPr>
          <w:rFonts w:eastAsiaTheme="minorHAnsi"/>
          <w:lang w:eastAsia="en-US"/>
        </w:rPr>
        <w:t xml:space="preserve">Figure 3.2. </w:t>
      </w:r>
      <w:r w:rsidR="000B2E93" w:rsidRPr="00C90AC9">
        <w:rPr>
          <w:rFonts w:eastAsiaTheme="minorHAnsi"/>
          <w:lang w:eastAsia="en-US"/>
        </w:rPr>
        <w:t>T</w:t>
      </w:r>
      <w:r w:rsidR="00A16B8C" w:rsidRPr="00C90AC9">
        <w:rPr>
          <w:rFonts w:eastAsiaTheme="minorHAnsi"/>
          <w:lang w:eastAsia="en-US"/>
        </w:rPr>
        <w:t xml:space="preserve">he average annual sum for the Direct Normal Irradiation (DNI) for the UK over the period 1994 – 2013 </w:t>
      </w:r>
      <w:sdt>
        <w:sdtPr>
          <w:rPr>
            <w:rFonts w:eastAsiaTheme="minorHAnsi"/>
            <w:lang w:eastAsia="en-US"/>
          </w:rPr>
          <w:alias w:val="Don't edit this field"/>
          <w:tag w:val="CitaviPlaceholder#956f4049-f8b2-40f6-8582-70538fee7341"/>
          <w:id w:val="-524016744"/>
        </w:sdtPr>
        <w:sdtEndPr/>
        <w:sdtContent>
          <w:r w:rsidRPr="00C90AC9">
            <w:rPr>
              <w:rFonts w:eastAsiaTheme="minorHAnsi"/>
              <w:lang w:eastAsia="en-US"/>
            </w:rPr>
            <w:fldChar w:fldCharType="begin"/>
          </w:r>
          <w:r w:rsidRPr="00C90AC9">
            <w:rPr>
              <w:rFonts w:eastAsiaTheme="minorHAnsi"/>
              <w:lang w:eastAsia="en-US"/>
            </w:rPr>
            <w:instrText>ADDIN CitaviPlaceholder{eyIkaWQiOiIxIiwiRW50cmllcyI6W3siJGlkIjoiMiIsIkhhc1RlbXBvcmFyeVJlZmVyZW5jZSI6dHJ1ZSwiSWQiOiI2NDI3ZDViOC1jZjc5LTRlMDYtOTFjOS1kZDFkYmNlZDQ0MmUiLCJSYW5nZUxlbmd0aCI6MTksIlJlZmVyZW5jZUlkIjoiMTk1NzgzYmItYjM0Ni00ODRjLWE0YmEtMjhkZjA1OWQ2N2Fl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}</w:instrText>
          </w:r>
          <w:r w:rsidRPr="00C90AC9">
            <w:rPr>
              <w:rFonts w:eastAsiaTheme="minorHAnsi"/>
              <w:lang w:eastAsia="en-US"/>
            </w:rPr>
            <w:fldChar w:fldCharType="separate"/>
          </w:r>
          <w:r w:rsidRPr="00C90AC9">
            <w:rPr>
              <w:rFonts w:eastAsiaTheme="minorHAnsi"/>
              <w:lang w:eastAsia="en-US"/>
            </w:rPr>
            <w:t>(SolarGIS Database)</w:t>
          </w:r>
          <w:r w:rsidRPr="00C90AC9">
            <w:rPr>
              <w:rFonts w:eastAsiaTheme="minorHAnsi"/>
              <w:lang w:eastAsia="en-US"/>
            </w:rPr>
            <w:fldChar w:fldCharType="end"/>
          </w:r>
        </w:sdtContent>
      </w:sdt>
    </w:p>
    <w:p w:rsidR="00A16B8C" w:rsidRPr="00C90AC9" w:rsidRDefault="00A16B8C" w:rsidP="007B01CA">
      <w:pPr>
        <w:pStyle w:val="BodyTextFirstIndent"/>
        <w:spacing w:line="360" w:lineRule="auto"/>
        <w:ind w:firstLine="357"/>
        <w:rPr>
          <w:rFonts w:eastAsiaTheme="minorHAnsi" w:cs="Times New Roman"/>
          <w:szCs w:val="24"/>
          <w:lang w:eastAsia="en-US"/>
        </w:rPr>
      </w:pPr>
      <w:r w:rsidRPr="00C90AC9">
        <w:rPr>
          <w:rFonts w:eastAsiaTheme="minorHAnsi"/>
          <w:lang w:eastAsia="en-US"/>
        </w:rPr>
        <w:lastRenderedPageBreak/>
        <w:t xml:space="preserve">Figures 3.1. and 3.2. show the variability in the annual solar GHI and DNI across the UK and show that the variability is dependent on the location of the static STP (with the latitude of the collector the most significant factor affecting the magnitude of solar irradiance) but also figures give the yearly </w:t>
      </w:r>
      <w:r w:rsidRPr="00C90AC9">
        <w:rPr>
          <w:rFonts w:eastAsiaTheme="minorHAnsi" w:cs="Times New Roman"/>
          <w:szCs w:val="24"/>
          <w:lang w:eastAsia="en-US"/>
        </w:rPr>
        <w:t xml:space="preserve">average of solar irradiance. The solar irradiation is not on a shorter time length of a day or an hour which would allow a more accurate calculation of any efficiency gains that can be made from the STP system. </w:t>
      </w:r>
      <w:r w:rsidR="00E76CAF" w:rsidRPr="00C90AC9">
        <w:rPr>
          <w:rFonts w:eastAsiaTheme="minorHAnsi" w:cs="Times New Roman"/>
          <w:szCs w:val="24"/>
          <w:lang w:eastAsia="en-US"/>
        </w:rPr>
        <w:t>Additionally,</w:t>
      </w:r>
      <w:r w:rsidRPr="00C90AC9">
        <w:rPr>
          <w:rFonts w:eastAsiaTheme="minorHAnsi" w:cs="Times New Roman"/>
          <w:szCs w:val="24"/>
          <w:lang w:eastAsia="en-US"/>
        </w:rPr>
        <w:t xml:space="preserve"> the demand for hot water varies over shorter time scales than a year and therefore the STP efficiency will vary over shorter time scales than a year. Stated explicitly, residents will have hot baths, hot showers or use the hot water tap each day at different times affecting the consumption pattern of hot water thus accurate calculations of the </w:t>
      </w:r>
      <w:r w:rsidR="006518C0" w:rsidRPr="00C90AC9">
        <w:rPr>
          <w:rFonts w:eastAsiaTheme="minorHAnsi" w:cs="Times New Roman"/>
          <w:szCs w:val="24"/>
          <w:lang w:eastAsia="en-US"/>
        </w:rPr>
        <w:t>STPs</w:t>
      </w:r>
      <w:r w:rsidRPr="00C90AC9">
        <w:rPr>
          <w:rFonts w:eastAsiaTheme="minorHAnsi" w:cs="Times New Roman"/>
          <w:szCs w:val="24"/>
          <w:lang w:eastAsia="en-US"/>
        </w:rPr>
        <w:t xml:space="preserve"> efficiency cannot be made. </w:t>
      </w:r>
    </w:p>
    <w:p w:rsidR="00A16B8C" w:rsidRPr="00C90AC9" w:rsidRDefault="00A16B8C" w:rsidP="007B01CA">
      <w:pPr>
        <w:pStyle w:val="FootnoteText"/>
        <w:spacing w:line="360" w:lineRule="auto"/>
        <w:rPr>
          <w:rFonts w:ascii="Times New Roman" w:hAnsi="Times New Roman" w:cs="Times New Roman"/>
          <w:sz w:val="24"/>
          <w:szCs w:val="24"/>
        </w:rPr>
      </w:pPr>
      <w:r w:rsidRPr="00C90AC9">
        <w:rPr>
          <w:rFonts w:ascii="Times New Roman" w:hAnsi="Times New Roman" w:cs="Times New Roman"/>
          <w:sz w:val="24"/>
          <w:szCs w:val="24"/>
        </w:rPr>
        <w:t xml:space="preserve">To obtain realistic solar irradiation values to calculate the variable availability of hot water from the STP real time values of solar irradiation are used which vary at shorter time intervals. This was done by recording irradiation readings from the Sheffield Solar Farm (SSF) </w:t>
      </w:r>
      <w:r w:rsidR="00F93ADC" w:rsidRPr="00C90AC9">
        <w:rPr>
          <w:rFonts w:ascii="Times New Roman" w:hAnsi="Times New Roman" w:cs="Times New Roman"/>
          <w:sz w:val="24"/>
          <w:szCs w:val="24"/>
        </w:rPr>
        <w:t xml:space="preserve">at The University of Sheffield’s weather data monitoring observatory, The Sheffield Solar Farm, SSF, located at 53.3810 °N 1.4861 °W </w:t>
      </w:r>
      <w:r w:rsidRPr="00C90AC9">
        <w:rPr>
          <w:rFonts w:ascii="Times New Roman" w:hAnsi="Times New Roman" w:cs="Times New Roman"/>
          <w:sz w:val="24"/>
          <w:szCs w:val="24"/>
        </w:rPr>
        <w:t xml:space="preserve">over 365 days. The Irradiance measurements were recorded at </w:t>
      </w:r>
      <w:proofErr w:type="gramStart"/>
      <w:r w:rsidRPr="00C90AC9">
        <w:rPr>
          <w:rFonts w:ascii="Times New Roman" w:hAnsi="Times New Roman" w:cs="Times New Roman"/>
          <w:sz w:val="24"/>
          <w:szCs w:val="24"/>
        </w:rPr>
        <w:t>2 minute</w:t>
      </w:r>
      <w:proofErr w:type="gramEnd"/>
      <w:r w:rsidRPr="00C90AC9">
        <w:rPr>
          <w:rFonts w:ascii="Times New Roman" w:hAnsi="Times New Roman" w:cs="Times New Roman"/>
          <w:sz w:val="24"/>
          <w:szCs w:val="24"/>
        </w:rPr>
        <w:t xml:space="preserve"> intervals. Additional to this, the Direct component of the Irradiance can be adjusted depending on the location of the </w:t>
      </w:r>
      <w:r w:rsidR="000450FC" w:rsidRPr="00C90AC9">
        <w:rPr>
          <w:rFonts w:ascii="Times New Roman" w:hAnsi="Times New Roman" w:cs="Times New Roman"/>
          <w:sz w:val="24"/>
          <w:szCs w:val="24"/>
        </w:rPr>
        <w:t>sun</w:t>
      </w:r>
      <w:r w:rsidRPr="00C90AC9">
        <w:rPr>
          <w:rFonts w:ascii="Times New Roman" w:hAnsi="Times New Roman" w:cs="Times New Roman"/>
          <w:sz w:val="24"/>
          <w:szCs w:val="24"/>
        </w:rPr>
        <w:t xml:space="preserve"> as it moves across the sky during each day and each month of the year (the Solar Azimuth Angle, Ø</w:t>
      </w:r>
      <w:r w:rsidRPr="00C90AC9">
        <w:rPr>
          <w:rFonts w:ascii="Times New Roman" w:hAnsi="Times New Roman" w:cs="Times New Roman"/>
          <w:sz w:val="24"/>
          <w:szCs w:val="24"/>
          <w:vertAlign w:val="subscript"/>
        </w:rPr>
        <w:t>S</w:t>
      </w:r>
      <w:r w:rsidRPr="00C90AC9">
        <w:rPr>
          <w:rFonts w:ascii="Times New Roman" w:hAnsi="Times New Roman" w:cs="Times New Roman"/>
          <w:sz w:val="24"/>
          <w:szCs w:val="24"/>
        </w:rPr>
        <w:t xml:space="preserve"> and the Solar Declination, δ see: 3.5)</w:t>
      </w:r>
      <w:r w:rsidR="00E76CAF" w:rsidRPr="00C90AC9">
        <w:rPr>
          <w:rFonts w:ascii="Times New Roman" w:hAnsi="Times New Roman" w:cs="Times New Roman"/>
          <w:sz w:val="24"/>
          <w:szCs w:val="24"/>
        </w:rPr>
        <w:t xml:space="preserve">. </w:t>
      </w:r>
      <w:r w:rsidRPr="00C90AC9">
        <w:rPr>
          <w:rFonts w:ascii="Times New Roman" w:hAnsi="Times New Roman" w:cs="Times New Roman"/>
          <w:sz w:val="24"/>
          <w:szCs w:val="24"/>
        </w:rPr>
        <w:t xml:space="preserve">A pyrometer similar to the one shown in </w:t>
      </w:r>
      <w:r w:rsidR="00771BA7" w:rsidRPr="00C90AC9">
        <w:rPr>
          <w:rFonts w:ascii="Times New Roman" w:hAnsi="Times New Roman" w:cs="Times New Roman"/>
          <w:sz w:val="24"/>
          <w:szCs w:val="24"/>
        </w:rPr>
        <w:t>Figure 3.3.</w:t>
      </w:r>
      <w:r w:rsidRPr="00C90AC9">
        <w:rPr>
          <w:rFonts w:ascii="Times New Roman" w:hAnsi="Times New Roman" w:cs="Times New Roman"/>
          <w:sz w:val="24"/>
          <w:szCs w:val="24"/>
        </w:rPr>
        <w:t xml:space="preserve"> was </w:t>
      </w:r>
      <w:r w:rsidR="00771BA7" w:rsidRPr="00C90AC9">
        <w:rPr>
          <w:rFonts w:ascii="Times New Roman" w:hAnsi="Times New Roman" w:cs="Times New Roman"/>
          <w:sz w:val="24"/>
          <w:szCs w:val="24"/>
        </w:rPr>
        <w:t>employed</w:t>
      </w:r>
      <w:r w:rsidRPr="00C90AC9">
        <w:rPr>
          <w:rFonts w:ascii="Times New Roman" w:hAnsi="Times New Roman" w:cs="Times New Roman"/>
          <w:sz w:val="24"/>
          <w:szCs w:val="24"/>
        </w:rPr>
        <w:t xml:space="preserve"> to measure the Global Diffuse Irradiance and the Total Irradiance, and thus a calculation of the Direct Irradiance was made using:</w:t>
      </w:r>
    </w:p>
    <w:p w:rsidR="00586368" w:rsidRPr="00C90AC9" w:rsidRDefault="00586368" w:rsidP="007B01CA">
      <w:pPr>
        <w:pStyle w:val="FootnoteText"/>
        <w:spacing w:line="360" w:lineRule="auto"/>
        <w:rPr>
          <w:rFonts w:ascii="Times New Roman" w:hAnsi="Times New Roman" w:cs="Times New Roman"/>
          <w:sz w:val="24"/>
          <w:szCs w:val="24"/>
        </w:rPr>
      </w:pPr>
      <w:r w:rsidRPr="00C90AC9">
        <w:rPr>
          <w:noProof/>
          <w:lang w:eastAsia="en-GB"/>
        </w:rPr>
        <mc:AlternateContent>
          <mc:Choice Requires="wps">
            <w:drawing>
              <wp:anchor distT="0" distB="0" distL="114300" distR="114300" simplePos="0" relativeHeight="251839488" behindDoc="0" locked="0" layoutInCell="1" allowOverlap="1" wp14:anchorId="79C4E29C" wp14:editId="1136727C">
                <wp:simplePos x="0" y="0"/>
                <wp:positionH relativeFrom="column">
                  <wp:posOffset>441798</wp:posOffset>
                </wp:positionH>
                <wp:positionV relativeFrom="paragraph">
                  <wp:posOffset>198120</wp:posOffset>
                </wp:positionV>
                <wp:extent cx="4591050" cy="318976"/>
                <wp:effectExtent l="0" t="0" r="19050" b="24130"/>
                <wp:wrapNone/>
                <wp:docPr id="339" name="Rectangle 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91050" cy="318976"/>
                        </a:xfrm>
                        <a:prstGeom prst="rect">
                          <a:avLst/>
                        </a:prstGeom>
                        <a:solidFill>
                          <a:srgbClr val="4F81BD">
                            <a:alpha val="30000"/>
                          </a:srgbClr>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8FA70" id="Rectangle 339" o:spid="_x0000_s1026" style="position:absolute;margin-left:34.8pt;margin-top:15.6pt;width:361.5pt;height:25.1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" fillcolor="#4f81bd" strokecolor="#385d8a">
                <v:fill opacity="19789f"/>
                <v:path arrowok="t"/>
              </v:rect>
            </w:pict>
          </mc:Fallback>
        </mc:AlternateContent>
      </w:r>
    </w:p>
    <w:tbl>
      <w:tblPr>
        <w:tblW w:w="9463" w:type="dxa"/>
        <w:tblLook w:val="04A0" w:firstRow="1" w:lastRow="0" w:firstColumn="1" w:lastColumn="0" w:noHBand="0" w:noVBand="1"/>
      </w:tblPr>
      <w:tblGrid>
        <w:gridCol w:w="675"/>
        <w:gridCol w:w="7512"/>
        <w:gridCol w:w="1276"/>
      </w:tblGrid>
      <w:tr w:rsidR="00A16B8C" w:rsidRPr="00C90AC9" w:rsidTr="00586368">
        <w:tc>
          <w:tcPr>
            <w:tcW w:w="675" w:type="dxa"/>
          </w:tcPr>
          <w:p w:rsidR="00A16B8C" w:rsidRPr="00C90AC9" w:rsidRDefault="00A16B8C" w:rsidP="00B06779">
            <w:pPr>
              <w:rPr>
                <w:rFonts w:eastAsiaTheme="minorHAnsi"/>
                <w:lang w:eastAsia="en-US"/>
              </w:rPr>
            </w:pPr>
          </w:p>
        </w:tc>
        <w:tc>
          <w:tcPr>
            <w:tcW w:w="7512" w:type="dxa"/>
          </w:tcPr>
          <w:p w:rsidR="00A16B8C" w:rsidRPr="00C90AC9" w:rsidRDefault="00A16B8C" w:rsidP="00B06779">
            <w:pPr>
              <w:rPr>
                <w:rFonts w:eastAsiaTheme="minorHAnsi"/>
                <w:lang w:eastAsia="en-US"/>
              </w:rPr>
            </w:pPr>
            <m:oMathPara>
              <m:oMath>
                <m:r>
                  <w:rPr>
                    <w:rFonts w:ascii="Cambria Math" w:eastAsiaTheme="minorHAnsi" w:hAnsi="Cambria Math"/>
                    <w:lang w:eastAsia="en-US"/>
                  </w:rPr>
                  <m:t>Total</m:t>
                </m:r>
                <m:r>
                  <m:rPr>
                    <m:sty m:val="p"/>
                  </m:rPr>
                  <w:rPr>
                    <w:rFonts w:ascii="Cambria Math" w:eastAsiaTheme="minorHAnsi" w:hAnsi="Cambria Math"/>
                    <w:lang w:eastAsia="en-US"/>
                  </w:rPr>
                  <m:t xml:space="preserve"> </m:t>
                </m:r>
                <m:r>
                  <w:rPr>
                    <w:rFonts w:ascii="Cambria Math" w:eastAsiaTheme="minorHAnsi" w:hAnsi="Cambria Math"/>
                    <w:lang w:eastAsia="en-US"/>
                  </w:rPr>
                  <m:t>Irradiation</m:t>
                </m:r>
                <m:r>
                  <m:rPr>
                    <m:sty m:val="p"/>
                  </m:rPr>
                  <w:rPr>
                    <w:rFonts w:ascii="Cambria Math" w:hAnsi="Cambria Math"/>
                    <w:lang w:eastAsia="en-US"/>
                  </w:rPr>
                  <m:t>=</m:t>
                </m:r>
                <m:r>
                  <w:rPr>
                    <w:rFonts w:ascii="Cambria Math" w:hAnsi="Cambria Math"/>
                    <w:lang w:eastAsia="en-US"/>
                  </w:rPr>
                  <m:t>Direct</m:t>
                </m:r>
                <m:r>
                  <m:rPr>
                    <m:sty m:val="p"/>
                  </m:rPr>
                  <w:rPr>
                    <w:rFonts w:ascii="Cambria Math" w:hAnsi="Cambria Math"/>
                    <w:lang w:eastAsia="en-US"/>
                  </w:rPr>
                  <m:t xml:space="preserve"> </m:t>
                </m:r>
                <m:r>
                  <w:rPr>
                    <w:rFonts w:ascii="Cambria Math" w:hAnsi="Cambria Math"/>
                    <w:lang w:eastAsia="en-US"/>
                  </w:rPr>
                  <m:t>Irradiation</m:t>
                </m:r>
                <m:r>
                  <m:rPr>
                    <m:sty m:val="p"/>
                  </m:rPr>
                  <w:rPr>
                    <w:rFonts w:ascii="Cambria Math" w:hAnsi="Cambria Math"/>
                    <w:lang w:eastAsia="en-US"/>
                  </w:rPr>
                  <m:t>+</m:t>
                </m:r>
                <m:r>
                  <w:rPr>
                    <w:rFonts w:ascii="Cambria Math" w:hAnsi="Cambria Math"/>
                    <w:lang w:eastAsia="en-US"/>
                  </w:rPr>
                  <m:t>Diffuse</m:t>
                </m:r>
                <m:r>
                  <m:rPr>
                    <m:sty m:val="p"/>
                  </m:rPr>
                  <w:rPr>
                    <w:rFonts w:ascii="Cambria Math" w:hAnsi="Cambria Math"/>
                    <w:lang w:eastAsia="en-US"/>
                  </w:rPr>
                  <m:t xml:space="preserve"> </m:t>
                </m:r>
                <m:r>
                  <w:rPr>
                    <w:rFonts w:ascii="Cambria Math" w:hAnsi="Cambria Math"/>
                    <w:lang w:eastAsia="en-US"/>
                  </w:rPr>
                  <m:t>Irradiation</m:t>
                </m:r>
              </m:oMath>
            </m:oMathPara>
          </w:p>
        </w:tc>
        <w:tc>
          <w:tcPr>
            <w:tcW w:w="1276" w:type="dxa"/>
            <w:vAlign w:val="center"/>
          </w:tcPr>
          <w:p w:rsidR="00A16B8C" w:rsidRPr="00C90AC9" w:rsidRDefault="00A16B8C" w:rsidP="00586368">
            <w:pPr>
              <w:jc w:val="right"/>
              <w:rPr>
                <w:rFonts w:eastAsiaTheme="minorHAnsi"/>
                <w:lang w:eastAsia="en-US"/>
              </w:rPr>
            </w:pPr>
            <w:r w:rsidRPr="00C90AC9">
              <w:rPr>
                <w:rFonts w:eastAsiaTheme="minorHAnsi"/>
                <w:lang w:eastAsia="en-US"/>
              </w:rPr>
              <w:t>(</w:t>
            </w:r>
            <w:r w:rsidR="00CB2595" w:rsidRPr="00C90AC9">
              <w:rPr>
                <w:rFonts w:eastAsiaTheme="minorHAnsi"/>
                <w:lang w:eastAsia="en-US"/>
              </w:rPr>
              <w:t>4</w:t>
            </w:r>
            <w:r w:rsidRPr="00C90AC9">
              <w:rPr>
                <w:rFonts w:eastAsiaTheme="minorHAnsi"/>
                <w:lang w:eastAsia="en-US"/>
              </w:rPr>
              <w:t>)</w:t>
            </w:r>
          </w:p>
        </w:tc>
      </w:tr>
    </w:tbl>
    <w:p w:rsidR="00A16B8C" w:rsidRPr="00C90AC9" w:rsidRDefault="009F32A7" w:rsidP="007B01CA">
      <w:pPr>
        <w:pStyle w:val="Caption"/>
        <w:jc w:val="right"/>
        <w:rPr>
          <w:rFonts w:eastAsiaTheme="minorHAnsi"/>
          <w:b w:val="0"/>
          <w:color w:val="auto"/>
          <w:sz w:val="24"/>
          <w:lang w:eastAsia="en-US"/>
        </w:rPr>
      </w:pPr>
      <w:r w:rsidRPr="00C90AC9">
        <w:rPr>
          <w:rFonts w:eastAsiaTheme="minorHAnsi"/>
          <w:b w:val="0"/>
          <w:color w:val="auto"/>
          <w:sz w:val="24"/>
          <w:lang w:eastAsia="en-US"/>
        </w:rPr>
        <w:t>(</w:t>
      </w:r>
      <w:bookmarkStart w:id="30" w:name="_Hlk526835637"/>
      <w:r w:rsidR="00E966EF" w:rsidRPr="00C90AC9">
        <w:rPr>
          <w:rFonts w:eastAsiaTheme="minorHAnsi"/>
          <w:b w:val="0"/>
          <w:color w:val="auto"/>
          <w:sz w:val="24"/>
          <w:lang w:eastAsia="en-US"/>
        </w:rPr>
        <w:t>L. T. Wong &amp; Chow, 2001</w:t>
      </w:r>
      <w:r w:rsidRPr="00C90AC9">
        <w:rPr>
          <w:rFonts w:eastAsiaTheme="minorHAnsi"/>
          <w:b w:val="0"/>
          <w:color w:val="auto"/>
          <w:sz w:val="24"/>
          <w:lang w:eastAsia="en-US"/>
        </w:rPr>
        <w:t>)</w:t>
      </w:r>
    </w:p>
    <w:bookmarkEnd w:id="30"/>
    <w:p w:rsidR="00A16B8C" w:rsidRPr="00C90AC9" w:rsidRDefault="001C40B1" w:rsidP="00B06779">
      <w:pPr>
        <w:pStyle w:val="BodyText"/>
        <w:rPr>
          <w:rFonts w:eastAsiaTheme="minorHAnsi"/>
        </w:rPr>
      </w:pPr>
      <w:r w:rsidRPr="00C90AC9">
        <w:rPr>
          <w:rFonts w:eastAsiaTheme="minorHAnsi"/>
          <w:noProof/>
        </w:rPr>
        <mc:AlternateContent>
          <mc:Choice Requires="wps">
            <w:drawing>
              <wp:anchor distT="0" distB="0" distL="114300" distR="114300" simplePos="0" relativeHeight="251757568" behindDoc="0" locked="0" layoutInCell="1" allowOverlap="1" wp14:anchorId="70D2C39B" wp14:editId="60A6F2DD">
                <wp:simplePos x="0" y="0"/>
                <wp:positionH relativeFrom="column">
                  <wp:posOffset>478465</wp:posOffset>
                </wp:positionH>
                <wp:positionV relativeFrom="paragraph">
                  <wp:posOffset>212636</wp:posOffset>
                </wp:positionV>
                <wp:extent cx="4572000" cy="308758"/>
                <wp:effectExtent l="0" t="0" r="19050" b="15240"/>
                <wp:wrapNone/>
                <wp:docPr id="340" name="Rectangle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0" cy="308758"/>
                        </a:xfrm>
                        <a:prstGeom prst="rect">
                          <a:avLst/>
                        </a:prstGeom>
                        <a:solidFill>
                          <a:srgbClr val="4F81BD">
                            <a:alpha val="30000"/>
                          </a:srgbClr>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4A516" id="Rectangle 340" o:spid="_x0000_s1026" style="position:absolute;margin-left:37.65pt;margin-top:16.75pt;width:5in;height:24.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" fillcolor="#4f81bd" strokecolor="#385d8a">
                <v:fill opacity="19789f"/>
                <v:path arrowok="t"/>
              </v:rect>
            </w:pict>
          </mc:Fallback>
        </mc:AlternateContent>
      </w:r>
      <w:r w:rsidR="00A16B8C" w:rsidRPr="00C90AC9">
        <w:rPr>
          <w:rFonts w:eastAsiaTheme="minorHAnsi"/>
          <w:lang w:eastAsia="en-US"/>
        </w:rPr>
        <w:t>Thus:</w:t>
      </w:r>
      <w:r w:rsidR="00A16B8C" w:rsidRPr="00C90AC9">
        <w:rPr>
          <w:rFonts w:eastAsiaTheme="minorHAnsi"/>
        </w:rPr>
        <w:t xml:space="preserve"> </w:t>
      </w:r>
    </w:p>
    <w:tbl>
      <w:tblPr>
        <w:tblW w:w="9464" w:type="dxa"/>
        <w:tblLook w:val="04A0" w:firstRow="1" w:lastRow="0" w:firstColumn="1" w:lastColumn="0" w:noHBand="0" w:noVBand="1"/>
      </w:tblPr>
      <w:tblGrid>
        <w:gridCol w:w="817"/>
        <w:gridCol w:w="7371"/>
        <w:gridCol w:w="1276"/>
      </w:tblGrid>
      <w:tr w:rsidR="00A16B8C" w:rsidRPr="00C90AC9" w:rsidTr="00074509">
        <w:tc>
          <w:tcPr>
            <w:tcW w:w="817" w:type="dxa"/>
          </w:tcPr>
          <w:p w:rsidR="00A16B8C" w:rsidRPr="00C90AC9" w:rsidRDefault="00A16B8C" w:rsidP="00B06779">
            <w:pPr>
              <w:rPr>
                <w:rFonts w:eastAsiaTheme="minorHAnsi"/>
                <w:lang w:eastAsia="en-US"/>
              </w:rPr>
            </w:pPr>
          </w:p>
        </w:tc>
        <w:tc>
          <w:tcPr>
            <w:tcW w:w="7371" w:type="dxa"/>
          </w:tcPr>
          <w:p w:rsidR="00A16B8C" w:rsidRPr="00C90AC9" w:rsidRDefault="00A16B8C" w:rsidP="00B06779">
            <w:pPr>
              <w:rPr>
                <w:rFonts w:eastAsiaTheme="minorHAnsi"/>
                <w:lang w:eastAsia="en-US"/>
              </w:rPr>
            </w:pPr>
            <m:oMathPara>
              <m:oMathParaPr>
                <m:jc m:val="center"/>
              </m:oMathParaPr>
              <m:oMath>
                <m:r>
                  <w:rPr>
                    <w:rFonts w:ascii="Cambria Math" w:hAnsi="Cambria Math"/>
                    <w:lang w:eastAsia="en-US"/>
                  </w:rPr>
                  <m:t>Direct</m:t>
                </m:r>
                <m:r>
                  <m:rPr>
                    <m:sty m:val="p"/>
                  </m:rPr>
                  <w:rPr>
                    <w:rFonts w:ascii="Cambria Math" w:hAnsi="Cambria Math"/>
                    <w:lang w:eastAsia="en-US"/>
                  </w:rPr>
                  <m:t xml:space="preserve"> </m:t>
                </m:r>
                <m:r>
                  <w:rPr>
                    <w:rFonts w:ascii="Cambria Math" w:hAnsi="Cambria Math"/>
                    <w:lang w:eastAsia="en-US"/>
                  </w:rPr>
                  <m:t>Irradiation</m:t>
                </m:r>
                <m:r>
                  <m:rPr>
                    <m:sty m:val="p"/>
                  </m:rPr>
                  <w:rPr>
                    <w:rFonts w:ascii="Cambria Math" w:hAnsi="Cambria Math"/>
                    <w:lang w:eastAsia="en-US"/>
                  </w:rPr>
                  <m:t xml:space="preserve">= </m:t>
                </m:r>
                <m:r>
                  <w:rPr>
                    <w:rFonts w:ascii="Cambria Math" w:eastAsiaTheme="minorHAnsi" w:hAnsi="Cambria Math"/>
                    <w:lang w:eastAsia="en-US"/>
                  </w:rPr>
                  <m:t>Total</m:t>
                </m:r>
                <m:r>
                  <m:rPr>
                    <m:sty m:val="p"/>
                  </m:rPr>
                  <w:rPr>
                    <w:rFonts w:ascii="Cambria Math" w:eastAsiaTheme="minorHAnsi" w:hAnsi="Cambria Math"/>
                    <w:lang w:eastAsia="en-US"/>
                  </w:rPr>
                  <m:t xml:space="preserve"> </m:t>
                </m:r>
                <m:r>
                  <w:rPr>
                    <w:rFonts w:ascii="Cambria Math" w:eastAsiaTheme="minorHAnsi" w:hAnsi="Cambria Math"/>
                    <w:lang w:eastAsia="en-US"/>
                  </w:rPr>
                  <m:t>Irradiation</m:t>
                </m:r>
                <m:r>
                  <m:rPr>
                    <m:sty m:val="p"/>
                  </m:rPr>
                  <w:rPr>
                    <w:rFonts w:ascii="Cambria Math" w:eastAsiaTheme="minorHAnsi" w:hAnsi="Cambria Math"/>
                    <w:lang w:eastAsia="en-US"/>
                  </w:rPr>
                  <m:t xml:space="preserve">- </m:t>
                </m:r>
                <m:r>
                  <w:rPr>
                    <w:rFonts w:ascii="Cambria Math" w:hAnsi="Cambria Math"/>
                    <w:lang w:eastAsia="en-US"/>
                  </w:rPr>
                  <m:t>Diffuse</m:t>
                </m:r>
                <m:r>
                  <m:rPr>
                    <m:sty m:val="p"/>
                  </m:rPr>
                  <w:rPr>
                    <w:rFonts w:ascii="Cambria Math" w:hAnsi="Cambria Math"/>
                    <w:lang w:eastAsia="en-US"/>
                  </w:rPr>
                  <m:t xml:space="preserve"> </m:t>
                </m:r>
                <m:r>
                  <w:rPr>
                    <w:rFonts w:ascii="Cambria Math" w:hAnsi="Cambria Math"/>
                    <w:lang w:eastAsia="en-US"/>
                  </w:rPr>
                  <m:t>Irradiation</m:t>
                </m:r>
              </m:oMath>
            </m:oMathPara>
          </w:p>
        </w:tc>
        <w:tc>
          <w:tcPr>
            <w:tcW w:w="1276" w:type="dxa"/>
            <w:vAlign w:val="center"/>
          </w:tcPr>
          <w:p w:rsidR="00A16B8C" w:rsidRPr="00C90AC9" w:rsidRDefault="00CB2595" w:rsidP="00586368">
            <w:pPr>
              <w:jc w:val="right"/>
              <w:rPr>
                <w:rFonts w:eastAsiaTheme="minorHAnsi"/>
                <w:lang w:eastAsia="en-US"/>
              </w:rPr>
            </w:pPr>
            <w:r w:rsidRPr="00C90AC9">
              <w:rPr>
                <w:rFonts w:eastAsiaTheme="minorHAnsi"/>
                <w:lang w:eastAsia="en-US"/>
              </w:rPr>
              <w:t>(5</w:t>
            </w:r>
            <w:r w:rsidR="00A16B8C" w:rsidRPr="00C90AC9">
              <w:rPr>
                <w:rFonts w:eastAsiaTheme="minorHAnsi"/>
                <w:lang w:eastAsia="en-US"/>
              </w:rPr>
              <w:t>)</w:t>
            </w:r>
          </w:p>
        </w:tc>
      </w:tr>
    </w:tbl>
    <w:p w:rsidR="007B01CA" w:rsidRPr="00C90AC9" w:rsidRDefault="007B01CA" w:rsidP="007B01CA">
      <w:pPr>
        <w:pStyle w:val="Caption"/>
        <w:jc w:val="right"/>
        <w:rPr>
          <w:rFonts w:eastAsiaTheme="minorHAnsi"/>
          <w:b w:val="0"/>
          <w:color w:val="auto"/>
          <w:sz w:val="24"/>
          <w:lang w:eastAsia="en-US"/>
        </w:rPr>
      </w:pPr>
      <w:r w:rsidRPr="00C90AC9">
        <w:rPr>
          <w:rFonts w:eastAsiaTheme="minorHAnsi"/>
          <w:b w:val="0"/>
          <w:color w:val="auto"/>
          <w:sz w:val="24"/>
          <w:lang w:eastAsia="en-US"/>
        </w:rPr>
        <w:t>(L. T. Wong &amp; Chow, 2001)</w:t>
      </w:r>
    </w:p>
    <w:p w:rsidR="00A16B8C" w:rsidRPr="00C90AC9" w:rsidRDefault="00A16B8C" w:rsidP="00B06779">
      <w:pPr>
        <w:rPr>
          <w:rFonts w:eastAsiaTheme="minorHAnsi"/>
          <w:lang w:eastAsia="en-US"/>
        </w:rPr>
      </w:pPr>
    </w:p>
    <w:p w:rsidR="001C40B1" w:rsidRPr="00C90AC9" w:rsidRDefault="001C40B1">
      <w:pPr>
        <w:rPr>
          <w:rFonts w:eastAsiaTheme="minorHAnsi" w:cs="Times New Roman"/>
          <w:iCs/>
          <w:color w:val="000000" w:themeColor="text1"/>
          <w:sz w:val="28"/>
          <w:szCs w:val="24"/>
        </w:rPr>
      </w:pPr>
      <w:r w:rsidRPr="00C90AC9">
        <w:rPr>
          <w:rFonts w:eastAsiaTheme="minorHAnsi"/>
        </w:rPr>
        <w:br w:type="page"/>
      </w:r>
    </w:p>
    <w:p w:rsidR="00A16B8C" w:rsidRPr="00C90AC9" w:rsidRDefault="001C40B1" w:rsidP="001C40B1">
      <w:pPr>
        <w:pStyle w:val="Heading1"/>
        <w:numPr>
          <w:ilvl w:val="0"/>
          <w:numId w:val="0"/>
        </w:numPr>
        <w:rPr>
          <w:rFonts w:eastAsiaTheme="minorHAnsi"/>
          <w:sz w:val="24"/>
          <w:vertAlign w:val="superscript"/>
          <w:lang w:eastAsia="en-US"/>
        </w:rPr>
      </w:pPr>
      <w:r w:rsidRPr="00C90AC9">
        <w:rPr>
          <w:rFonts w:eastAsiaTheme="minorHAnsi"/>
          <w:noProof/>
        </w:rPr>
        <w:lastRenderedPageBreak/>
        <w:drawing>
          <wp:anchor distT="0" distB="0" distL="114300" distR="114300" simplePos="0" relativeHeight="251777024" behindDoc="0" locked="0" layoutInCell="1" allowOverlap="1" wp14:anchorId="7FBFF527" wp14:editId="022CD674">
            <wp:simplePos x="0" y="0"/>
            <wp:positionH relativeFrom="column">
              <wp:posOffset>106680</wp:posOffset>
            </wp:positionH>
            <wp:positionV relativeFrom="paragraph">
              <wp:posOffset>332105</wp:posOffset>
            </wp:positionV>
            <wp:extent cx="5568950" cy="2612390"/>
            <wp:effectExtent l="19050" t="19050" r="12700" b="16510"/>
            <wp:wrapSquare wrapText="bothSides"/>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t="16666" b="16304"/>
                    <a:stretch>
                      <a:fillRect/>
                    </a:stretch>
                  </pic:blipFill>
                  <pic:spPr bwMode="auto">
                    <a:xfrm>
                      <a:off x="0" y="0"/>
                      <a:ext cx="5568950" cy="2612390"/>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A16B8C" w:rsidRPr="00C90AC9">
        <w:rPr>
          <w:rFonts w:eastAsiaTheme="minorHAnsi"/>
          <w:sz w:val="24"/>
        </w:rPr>
        <w:t>Figure 3.3.</w:t>
      </w:r>
      <w:r w:rsidR="000B2E93" w:rsidRPr="00C90AC9">
        <w:rPr>
          <w:rFonts w:eastAsiaTheme="minorHAnsi"/>
          <w:sz w:val="24"/>
          <w:lang w:eastAsia="en-US"/>
        </w:rPr>
        <w:t xml:space="preserve"> A</w:t>
      </w:r>
      <w:r w:rsidR="00A16B8C" w:rsidRPr="00C90AC9">
        <w:rPr>
          <w:rFonts w:eastAsiaTheme="minorHAnsi"/>
          <w:sz w:val="24"/>
          <w:lang w:eastAsia="en-US"/>
        </w:rPr>
        <w:t xml:space="preserve"> pyrometer similar to the one u</w:t>
      </w:r>
      <w:r w:rsidR="00F93ADC" w:rsidRPr="00C90AC9">
        <w:rPr>
          <w:rFonts w:eastAsiaTheme="minorHAnsi"/>
          <w:sz w:val="24"/>
          <w:lang w:eastAsia="en-US"/>
        </w:rPr>
        <w:t>sed at the Sheffield Solar Farm</w:t>
      </w:r>
    </w:p>
    <w:p w:rsidR="001C40B1" w:rsidRPr="00C90AC9" w:rsidRDefault="001C40B1" w:rsidP="001C40B1">
      <w:pPr>
        <w:pStyle w:val="List"/>
        <w:ind w:left="720" w:firstLine="0"/>
        <w:rPr>
          <w:rStyle w:val="SubtleEmphasis"/>
          <w:rFonts w:cs="Times New Roman"/>
          <w:i/>
          <w:iCs/>
          <w:sz w:val="24"/>
          <w:szCs w:val="24"/>
        </w:rPr>
      </w:pPr>
    </w:p>
    <w:p w:rsidR="00A16B8C" w:rsidRPr="00C90AC9" w:rsidRDefault="00A16B8C" w:rsidP="00AE6DE9">
      <w:pPr>
        <w:pStyle w:val="Heading1"/>
        <w:numPr>
          <w:ilvl w:val="1"/>
          <w:numId w:val="3"/>
        </w:numPr>
        <w:ind w:hanging="720"/>
        <w:rPr>
          <w:rStyle w:val="SubtleEmphasis"/>
          <w:iCs w:val="0"/>
        </w:rPr>
      </w:pPr>
      <w:bookmarkStart w:id="31" w:name="_Toc447173056"/>
      <w:r w:rsidRPr="00C90AC9">
        <w:rPr>
          <w:rStyle w:val="SubtleEmphasis"/>
          <w:iCs w:val="0"/>
        </w:rPr>
        <w:t>Parameters to measure when evaluating the performance of the STP system</w:t>
      </w:r>
      <w:bookmarkEnd w:id="31"/>
    </w:p>
    <w:p w:rsidR="00A16B8C" w:rsidRPr="00C90AC9" w:rsidRDefault="00A16B8C" w:rsidP="001C40B1">
      <w:pPr>
        <w:pStyle w:val="BodyTextFirstIndent"/>
        <w:spacing w:line="360" w:lineRule="auto"/>
        <w:ind w:firstLine="357"/>
        <w:rPr>
          <w:rFonts w:eastAsiaTheme="minorHAnsi"/>
          <w:lang w:eastAsia="en-US"/>
        </w:rPr>
      </w:pPr>
      <w:r w:rsidRPr="00C90AC9">
        <w:rPr>
          <w:rFonts w:eastAsiaTheme="minorHAnsi"/>
          <w:lang w:eastAsia="en-US"/>
        </w:rPr>
        <w:t>There are various parameters used to evaluate the performance of a Solar Domestic Hot Water System (SDHWS) over its lifetime (usually 20 years) and choosing the correct parameter depends on the desired outcome .</w:t>
      </w:r>
      <w:sdt>
        <w:sdtPr>
          <w:rPr>
            <w:rFonts w:eastAsiaTheme="minorHAnsi"/>
            <w:lang w:eastAsia="en-US"/>
          </w:rPr>
          <w:alias w:val="Don't edit this field"/>
          <w:tag w:val="CitaviPlaceholder#da06c72d-ff95-4f42-b2e2-df37f5443865"/>
          <w:id w:val="921378448"/>
        </w:sdtPr>
        <w:sdtEndPr/>
        <w:sdtContent>
          <w:r w:rsidR="00C05E2B" w:rsidRPr="00C90AC9">
            <w:rPr>
              <w:rFonts w:eastAsiaTheme="minorHAnsi"/>
              <w:lang w:eastAsia="en-US"/>
            </w:rPr>
            <w:fldChar w:fldCharType="begin"/>
          </w:r>
          <w:r w:rsidR="007835E8" w:rsidRPr="00C90AC9">
            <w:rPr>
              <w:rFonts w:eastAsiaTheme="minorHAnsi"/>
              <w:lang w:eastAsia="en-US"/>
            </w:rPr>
            <w:instrText>ADDIN CitaviPlaceholder{eyIkaWQiOiIxIiwiRW50cmllcyI6W3siJGlkIjoiMiIsIkhhc1RlbXBvcmFyeVJlZmVyZW5jZSI6dHJ1ZSwiSWQiOiJkZGZmMGI1OS1kNDZjLTQzZTYtYjc1NS1hNjg0ZTZkMDE0OGEiLCJSYW5nZUxlbmd0aCI6MTA3LCJSZWZlcmVuY2VJZCI6ImExMmI2MTAwLTBkNTAtNDk2Ny04NGViLTg3MDY5M2NjNGRhMyIsIlJlZmVyZW5jZSI6eyIkaWQiOiIzIiwiQWJzdHJhY3RDb21wbGV4aXR5IjowLCJBYnN0cmFjdFNvdXJjZVRleHRGb3JtYXQiOjAsIkF1dGhvcnMiOlt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}</w:instrText>
          </w:r>
          <w:r w:rsidR="00C05E2B" w:rsidRPr="00C90AC9">
            <w:rPr>
              <w:rFonts w:eastAsiaTheme="minorHAnsi"/>
              <w:lang w:eastAsia="en-US"/>
            </w:rPr>
            <w:fldChar w:fldCharType="separate"/>
          </w:r>
          <w:r w:rsidR="007835E8" w:rsidRPr="00C90AC9">
            <w:rPr>
              <w:rFonts w:eastAsiaTheme="minorHAnsi"/>
              <w:lang w:eastAsia="en-US"/>
            </w:rPr>
            <w:t>(Comparative study of various optimization criteria for SDHWS and a suggestion for a new global evaluation)</w:t>
          </w:r>
          <w:r w:rsidR="00C05E2B" w:rsidRPr="00C90AC9">
            <w:rPr>
              <w:rFonts w:eastAsiaTheme="minorHAnsi"/>
              <w:lang w:eastAsia="en-US"/>
            </w:rPr>
            <w:fldChar w:fldCharType="end"/>
          </w:r>
        </w:sdtContent>
      </w:sdt>
      <w:r w:rsidRPr="00C90AC9">
        <w:rPr>
          <w:rFonts w:eastAsiaTheme="minorHAnsi"/>
          <w:lang w:eastAsia="en-US"/>
        </w:rPr>
        <w:t xml:space="preserve"> It is widely accepted that combining SDHWS with conventional systems to obtain high efficiencies is dependent on correct sizing of the tank and having the most advantageous control of the system .</w:t>
      </w:r>
      <w:sdt>
        <w:sdtPr>
          <w:rPr>
            <w:rFonts w:eastAsiaTheme="minorHAnsi"/>
            <w:lang w:eastAsia="en-US"/>
          </w:rPr>
          <w:alias w:val="Don't edit this field"/>
          <w:tag w:val="CitaviPlaceholder#7a3b6a9b-12ad-420b-bcce-bd8bfd00e48d"/>
          <w:id w:val="-1307859556"/>
        </w:sdtPr>
        <w:sdtEndPr/>
        <w:sdtContent>
          <w:r w:rsidR="00C05E2B" w:rsidRPr="00C90AC9">
            <w:rPr>
              <w:rFonts w:eastAsiaTheme="minorHAnsi"/>
              <w:lang w:eastAsia="en-US"/>
            </w:rPr>
            <w:fldChar w:fldCharType="begin"/>
          </w:r>
          <w:r w:rsidR="007835E8" w:rsidRPr="00C90AC9">
            <w:rPr>
              <w:rFonts w:eastAsiaTheme="minorHAnsi"/>
              <w:lang w:eastAsia="en-US"/>
            </w:rPr>
            <w:instrText>ADDIN CitaviPlaceholder{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}</w:instrText>
          </w:r>
          <w:r w:rsidR="00C05E2B" w:rsidRPr="00C90AC9">
            <w:rPr>
              <w:rFonts w:eastAsiaTheme="minorHAnsi"/>
              <w:lang w:eastAsia="en-US"/>
            </w:rPr>
            <w:fldChar w:fldCharType="separate"/>
          </w:r>
          <w:r w:rsidR="007835E8" w:rsidRPr="00C90AC9">
            <w:rPr>
              <w:rFonts w:eastAsiaTheme="minorHAnsi"/>
              <w:lang w:eastAsia="en-US"/>
            </w:rPr>
            <w:t>(Comparative study of various optimization criteria for SDHWS and a suggestion for a new global evaluation)</w:t>
          </w:r>
          <w:r w:rsidR="00C05E2B" w:rsidRPr="00C90AC9">
            <w:rPr>
              <w:rFonts w:eastAsiaTheme="minorHAnsi"/>
              <w:lang w:eastAsia="en-US"/>
            </w:rPr>
            <w:fldChar w:fldCharType="end"/>
          </w:r>
        </w:sdtContent>
      </w:sdt>
      <w:r w:rsidRPr="00C90AC9">
        <w:rPr>
          <w:rFonts w:eastAsiaTheme="minorHAnsi"/>
          <w:lang w:eastAsia="en-US"/>
        </w:rPr>
        <w:t xml:space="preserve"> Various studies have looked at a number of parameters to optimise including: the Life Cycle Cost (LCC) (which will give a financial cost of the SDHWS over its estimated lifetime); the Solar Fraction (the amount of energy provided by the SDHWS divided by the total amount of energy required for hot water heating); or the Solar Collector Efficiency  (</w:t>
      </w:r>
      <m:oMath>
        <m:sSub>
          <m:sSubPr>
            <m:ctrlPr>
              <w:rPr>
                <w:rFonts w:ascii="Cambria Math" w:eastAsiaTheme="minorHAnsi" w:hAnsi="Cambria Math"/>
                <w:lang w:eastAsia="en-US"/>
              </w:rPr>
            </m:ctrlPr>
          </m:sSubPr>
          <m:e>
            <m:r>
              <m:rPr>
                <m:sty m:val="p"/>
              </m:rPr>
              <w:rPr>
                <w:rFonts w:ascii="Cambria Math" w:eastAsiaTheme="minorHAnsi" w:hAnsi="Cambria Math"/>
                <w:lang w:eastAsia="en-US"/>
              </w:rPr>
              <m:t>η</m:t>
            </m:r>
          </m:e>
          <m:sub>
            <m:r>
              <m:rPr>
                <m:sty m:val="p"/>
              </m:rPr>
              <w:rPr>
                <w:rFonts w:ascii="Cambria Math" w:eastAsiaTheme="minorHAnsi" w:hAnsi="Cambria Math"/>
                <w:vertAlign w:val="subscript"/>
                <w:lang w:eastAsia="en-US"/>
              </w:rPr>
              <m:t>COL</m:t>
            </m:r>
          </m:sub>
        </m:sSub>
      </m:oMath>
      <w:r w:rsidRPr="00C90AC9">
        <w:rPr>
          <w:lang w:eastAsia="en-US"/>
        </w:rPr>
        <w:t xml:space="preserve">) </w:t>
      </w:r>
      <w:r w:rsidRPr="00C90AC9">
        <w:rPr>
          <w:rFonts w:eastAsiaTheme="minorHAnsi"/>
          <w:lang w:eastAsia="en-US"/>
        </w:rPr>
        <w:t>.</w:t>
      </w:r>
      <w:sdt>
        <w:sdtPr>
          <w:rPr>
            <w:rFonts w:eastAsiaTheme="minorHAnsi"/>
            <w:lang w:eastAsia="en-US"/>
          </w:rPr>
          <w:alias w:val="Don't edit this field"/>
          <w:tag w:val="CitaviPlaceholder#e5485b26-5a8c-47a7-899b-9ac5c5022e86"/>
          <w:id w:val="-1837756450"/>
        </w:sdtPr>
        <w:sdtEndPr/>
        <w:sdtContent>
          <w:r w:rsidR="00C05E2B" w:rsidRPr="00C90AC9">
            <w:rPr>
              <w:rFonts w:eastAsiaTheme="minorHAnsi"/>
              <w:lang w:eastAsia="en-US"/>
            </w:rPr>
            <w:fldChar w:fldCharType="begin"/>
          </w:r>
          <w:r w:rsidR="007835E8" w:rsidRPr="00C90AC9">
            <w:rPr>
              <w:rFonts w:eastAsiaTheme="minorHAnsi"/>
              <w:lang w:eastAsia="en-US"/>
            </w:rPr>
            <w:instrText>ADDIN CitaviPlaceholder{eyIkaWQiOiIxIiwiRW50cmllcyI6W3siJGlkIjoiMiIsIkhhc1RlbXBvcmFyeVJlZmVyZW5jZSI6dHJ1ZSwiSWQiOiJhYTBmMDdlZS00NjMxLTQ1ZGQtYTk1OC02OGZmNTM1MjM1OWEiLCJSYW5nZUxlbmd0aCI6NDAsIlJlZmVyZW5jZUlkIjoiMDM3ZDcxMTgtZDk0OS00ODExLTgyNzAtZTU0MWVjNTc1OTA1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}</w:instrText>
          </w:r>
          <w:r w:rsidR="00C05E2B" w:rsidRPr="00C90AC9">
            <w:rPr>
              <w:rFonts w:eastAsiaTheme="minorHAnsi"/>
              <w:lang w:eastAsia="en-US"/>
            </w:rPr>
            <w:fldChar w:fldCharType="separate"/>
          </w:r>
          <w:r w:rsidR="007835E8" w:rsidRPr="00C90AC9">
            <w:rPr>
              <w:rFonts w:eastAsiaTheme="minorHAnsi"/>
              <w:lang w:eastAsia="en-US"/>
            </w:rPr>
            <w:t>(Solar Engineering of Thermal Processes)</w:t>
          </w:r>
          <w:r w:rsidR="00C05E2B" w:rsidRPr="00C90AC9">
            <w:rPr>
              <w:rFonts w:eastAsiaTheme="minorHAnsi"/>
              <w:lang w:eastAsia="en-US"/>
            </w:rPr>
            <w:fldChar w:fldCharType="end"/>
          </w:r>
        </w:sdtContent>
      </w:sdt>
    </w:p>
    <w:p w:rsidR="00A16B8C" w:rsidRPr="00C90AC9" w:rsidRDefault="0074402A" w:rsidP="001C40B1">
      <w:pPr>
        <w:pStyle w:val="BodyText"/>
        <w:spacing w:line="360" w:lineRule="auto"/>
        <w:rPr>
          <w:rFonts w:eastAsiaTheme="minorHAnsi"/>
          <w:lang w:eastAsia="en-US"/>
        </w:rPr>
      </w:pPr>
      <w:r w:rsidRPr="00C90AC9">
        <w:rPr>
          <w:rFonts w:eastAsiaTheme="minorHAnsi"/>
          <w:noProof/>
        </w:rPr>
        <mc:AlternateContent>
          <mc:Choice Requires="wps">
            <w:drawing>
              <wp:anchor distT="0" distB="0" distL="114300" distR="114300" simplePos="0" relativeHeight="251778048" behindDoc="0" locked="0" layoutInCell="1" allowOverlap="1" wp14:anchorId="4D2F5E2C" wp14:editId="2D3C91D5">
                <wp:simplePos x="0" y="0"/>
                <wp:positionH relativeFrom="column">
                  <wp:posOffset>1454785</wp:posOffset>
                </wp:positionH>
                <wp:positionV relativeFrom="paragraph">
                  <wp:posOffset>260350</wp:posOffset>
                </wp:positionV>
                <wp:extent cx="1866900" cy="342900"/>
                <wp:effectExtent l="0" t="0" r="19050" b="19050"/>
                <wp:wrapNone/>
                <wp:docPr id="341" name="Rectangle 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6900" cy="342900"/>
                        </a:xfrm>
                        <a:prstGeom prst="rect">
                          <a:avLst/>
                        </a:prstGeom>
                        <a:solidFill>
                          <a:srgbClr val="4F81BD">
                            <a:alpha val="30000"/>
                          </a:srgbClr>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0A88D2" id="Rectangle 341" o:spid="_x0000_s1026" style="position:absolute;margin-left:114.55pt;margin-top:20.5pt;width:147pt;height:27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" fillcolor="#4f81bd" strokecolor="#385d8a">
                <v:fill opacity="19789f"/>
                <v:path arrowok="t"/>
              </v:rect>
            </w:pict>
          </mc:Fallback>
        </mc:AlternateContent>
      </w:r>
      <w:r w:rsidR="00A16B8C" w:rsidRPr="00C90AC9">
        <w:rPr>
          <w:rFonts w:eastAsiaTheme="minorHAnsi"/>
          <w:lang w:eastAsia="en-US"/>
        </w:rPr>
        <w:t>The Collector Efficiency can be calculated using:</w:t>
      </w:r>
    </w:p>
    <w:tbl>
      <w:tblPr>
        <w:tblW w:w="9469" w:type="dxa"/>
        <w:tblLook w:val="04A0" w:firstRow="1" w:lastRow="0" w:firstColumn="1" w:lastColumn="0" w:noHBand="0" w:noVBand="1"/>
      </w:tblPr>
      <w:tblGrid>
        <w:gridCol w:w="817"/>
        <w:gridCol w:w="6101"/>
        <w:gridCol w:w="2551"/>
      </w:tblGrid>
      <w:tr w:rsidR="00A16B8C" w:rsidRPr="00C90AC9" w:rsidTr="00D07222">
        <w:tc>
          <w:tcPr>
            <w:tcW w:w="817" w:type="dxa"/>
          </w:tcPr>
          <w:p w:rsidR="00A16B8C" w:rsidRPr="00C90AC9" w:rsidRDefault="00A16B8C" w:rsidP="00B06779">
            <w:pPr>
              <w:rPr>
                <w:rFonts w:eastAsiaTheme="minorHAnsi"/>
                <w:lang w:eastAsia="en-US"/>
              </w:rPr>
            </w:pPr>
          </w:p>
        </w:tc>
        <w:tc>
          <w:tcPr>
            <w:tcW w:w="6101" w:type="dxa"/>
          </w:tcPr>
          <w:p w:rsidR="00A16B8C" w:rsidRPr="00C90AC9" w:rsidRDefault="006F0C85" w:rsidP="00B06779">
            <w:pPr>
              <w:rPr>
                <w:rFonts w:eastAsiaTheme="minorHAnsi"/>
                <w:lang w:eastAsia="en-US"/>
              </w:rPr>
            </w:pPr>
            <m:oMathPara>
              <m:oMath>
                <m:sSub>
                  <m:sSubPr>
                    <m:ctrlPr>
                      <w:rPr>
                        <w:rFonts w:ascii="Cambria Math" w:eastAsiaTheme="minorHAnsi" w:hAnsi="Cambria Math"/>
                        <w:lang w:eastAsia="en-US"/>
                      </w:rPr>
                    </m:ctrlPr>
                  </m:sSubPr>
                  <m:e>
                    <m:r>
                      <m:rPr>
                        <m:sty m:val="p"/>
                      </m:rPr>
                      <w:rPr>
                        <w:rFonts w:ascii="Cambria Math" w:eastAsiaTheme="minorHAnsi" w:hAnsi="Cambria Math"/>
                        <w:lang w:eastAsia="en-US"/>
                      </w:rPr>
                      <m:t>η</m:t>
                    </m:r>
                  </m:e>
                  <m:sub>
                    <m:r>
                      <m:rPr>
                        <m:sty m:val="p"/>
                      </m:rPr>
                      <w:rPr>
                        <w:rFonts w:ascii="Cambria Math" w:eastAsiaTheme="minorHAnsi" w:hAnsi="Cambria Math"/>
                        <w:vertAlign w:val="subscript"/>
                        <w:lang w:eastAsia="en-US"/>
                      </w:rPr>
                      <m:t>COL</m:t>
                    </m:r>
                  </m:sub>
                </m:sSub>
                <m:r>
                  <m:rPr>
                    <m:sty m:val="p"/>
                  </m:rPr>
                  <w:rPr>
                    <w:rFonts w:ascii="Cambria Math" w:eastAsiaTheme="minorHAnsi" w:hAnsi="Cambria Math"/>
                    <w:lang w:eastAsia="en-US"/>
                  </w:rPr>
                  <m:t>= Q</m:t>
                </m:r>
                <m:r>
                  <m:rPr>
                    <m:sty m:val="p"/>
                  </m:rPr>
                  <w:rPr>
                    <w:rFonts w:ascii="Cambria Math" w:eastAsiaTheme="minorHAnsi" w:hAnsi="Cambria Math"/>
                    <w:vertAlign w:val="subscript"/>
                    <w:lang w:eastAsia="en-US"/>
                  </w:rPr>
                  <m:t xml:space="preserve">col </m:t>
                </m:r>
                <m:r>
                  <m:rPr>
                    <m:sty m:val="p"/>
                  </m:rPr>
                  <w:rPr>
                    <w:rFonts w:ascii="Cambria Math" w:eastAsiaTheme="minorHAnsi" w:hAnsi="Cambria Math"/>
                    <w:lang w:eastAsia="en-US"/>
                  </w:rPr>
                  <m:t xml:space="preserve">/ (H .  </m:t>
                </m:r>
                <m:sSub>
                  <m:sSubPr>
                    <m:ctrlPr>
                      <w:rPr>
                        <w:rFonts w:ascii="Cambria Math" w:eastAsiaTheme="minorHAnsi" w:hAnsi="Cambria Math"/>
                        <w:lang w:eastAsia="en-US"/>
                      </w:rPr>
                    </m:ctrlPr>
                  </m:sSubPr>
                  <m:e>
                    <m:r>
                      <w:rPr>
                        <w:rFonts w:ascii="Cambria Math" w:eastAsiaTheme="minorHAnsi" w:hAnsi="Cambria Math"/>
                        <w:lang w:eastAsia="en-US"/>
                      </w:rPr>
                      <m:t>A</m:t>
                    </m:r>
                  </m:e>
                  <m:sub>
                    <m:r>
                      <w:rPr>
                        <w:rFonts w:ascii="Cambria Math" w:eastAsiaTheme="minorHAnsi" w:hAnsi="Cambria Math"/>
                        <w:lang w:eastAsia="en-US"/>
                      </w:rPr>
                      <m:t>C</m:t>
                    </m:r>
                  </m:sub>
                </m:sSub>
                <m:r>
                  <m:rPr>
                    <m:sty m:val="p"/>
                  </m:rPr>
                  <w:rPr>
                    <w:rFonts w:ascii="Cambria Math" w:eastAsiaTheme="minorHAnsi" w:hAnsi="Cambria Math"/>
                    <w:lang w:eastAsia="en-US"/>
                  </w:rPr>
                  <m:t>)</m:t>
                </m:r>
              </m:oMath>
            </m:oMathPara>
          </w:p>
        </w:tc>
        <w:tc>
          <w:tcPr>
            <w:tcW w:w="2551" w:type="dxa"/>
            <w:vAlign w:val="center"/>
          </w:tcPr>
          <w:p w:rsidR="00A16B8C" w:rsidRPr="00C90AC9" w:rsidRDefault="00D07222" w:rsidP="00D07222">
            <w:pPr>
              <w:tabs>
                <w:tab w:val="left" w:pos="1768"/>
              </w:tabs>
              <w:rPr>
                <w:lang w:eastAsia="en-US"/>
              </w:rPr>
            </w:pPr>
            <w:r w:rsidRPr="00C90AC9">
              <w:rPr>
                <w:rFonts w:eastAsiaTheme="minorHAnsi"/>
                <w:lang w:eastAsia="en-US"/>
              </w:rPr>
              <w:t xml:space="preserve"> </w:t>
            </w:r>
            <w:r w:rsidRPr="00C90AC9">
              <w:rPr>
                <w:rFonts w:eastAsiaTheme="minorHAnsi"/>
                <w:lang w:eastAsia="en-US"/>
              </w:rPr>
              <w:fldChar w:fldCharType="begin"/>
            </w:r>
            <w:r w:rsidRPr="00C90AC9">
              <w:rPr>
                <w:rFonts w:eastAsiaTheme="minorHAnsi"/>
                <w:lang w:eastAsia="en-US"/>
              </w:rPr>
              <w:instrText xml:space="preserve"> ADDIN EN.CITE &lt;EndNote&gt;&lt;Cite&gt;&lt;Author&gt;Fraisse&lt;/Author&gt;&lt;Year&gt;2009&lt;/Year&gt;&lt;RecNum&gt;215&lt;/RecNum&gt;&lt;DisplayText&gt;(Fraisse et al., 2009)&lt;/DisplayText&gt;&lt;record&gt;&lt;rec-number&gt;215&lt;/rec-number&gt;&lt;foreign-keys&gt;&lt;key app="EN" db-id="50wxdpzd9vd5r7e9t5b595djrfpttrxw9avp" timestamp="1525590858"&gt;215&lt;/key&gt;&lt;/foreign-keys&gt;&lt;ref-type name="Journal Article"&gt;17&lt;/ref-type&gt;&lt;contributors&gt;&lt;authors&gt;&lt;author&gt;Fraisse, G.&lt;/author&gt;&lt;author&gt;Bai, Y.&lt;/author&gt;&lt;author&gt;Le Pierrès, N.&lt;/author&gt;&lt;author&gt;Letz, T.&lt;/author&gt;&lt;/authors&gt;&lt;/contributors&gt;&lt;titles&gt;&lt;title&gt;Comparative study of various optimization criteria for SDHWS and a suggestion for a new global evaluation&lt;/title&gt;&lt;secondary-title&gt;Solar Energy&lt;/secondary-title&gt;&lt;/titles&gt;&lt;pages&gt;232-245&lt;/pages&gt;&lt;volume&gt;83&lt;/volume&gt;&lt;number&gt;2&lt;/number&gt;&lt;keywords&gt;&lt;keyword&gt;Optimization&lt;/keyword&gt;&lt;keyword&gt;SDHWS&lt;/keyword&gt;&lt;keyword&gt;Simulation&lt;/keyword&gt;&lt;keyword&gt;Global evaluation&lt;/keyword&gt;&lt;keyword&gt;Mixed criteria&lt;/keyword&gt;&lt;/keywords&gt;&lt;dates&gt;&lt;year&gt;2009&lt;/year&gt;&lt;pub-dates&gt;&lt;date&gt;2009/02/01/&lt;/date&gt;&lt;/pub-dates&gt;&lt;/dates&gt;&lt;isbn&gt;0038-092X&lt;/isbn&gt;&lt;urls&gt;&lt;related-urls&gt;&lt;url&gt;http://www.sciencedirect.com/science/article/pii/S0038092X08001886&lt;/url&gt;&lt;/related-urls&gt;&lt;/urls&gt;&lt;electronic-resource-num&gt;https://doi.org/10.1016/j.solener.2008.07.021&lt;/electronic-resource-num&gt;&lt;/record&gt;&lt;/Cite&gt;&lt;/EndNote&gt;</w:instrText>
            </w:r>
            <w:r w:rsidRPr="00C90AC9">
              <w:rPr>
                <w:rFonts w:eastAsiaTheme="minorHAnsi"/>
                <w:lang w:eastAsia="en-US"/>
              </w:rPr>
              <w:fldChar w:fldCharType="separate"/>
            </w:r>
            <w:r w:rsidRPr="00C90AC9">
              <w:rPr>
                <w:rFonts w:eastAsiaTheme="minorHAnsi"/>
                <w:lang w:eastAsia="en-US"/>
              </w:rPr>
              <w:t>(Fraisse et al., 2009)</w:t>
            </w:r>
            <w:r w:rsidRPr="00C90AC9">
              <w:rPr>
                <w:rFonts w:eastAsiaTheme="minorHAnsi"/>
                <w:lang w:eastAsia="en-US"/>
              </w:rPr>
              <w:fldChar w:fldCharType="end"/>
            </w:r>
          </w:p>
        </w:tc>
      </w:tr>
    </w:tbl>
    <w:p w:rsidR="00E521BC" w:rsidRPr="00C90AC9" w:rsidRDefault="00D07222" w:rsidP="001C40B1">
      <w:pPr>
        <w:pStyle w:val="BodyText"/>
        <w:jc w:val="right"/>
        <w:rPr>
          <w:lang w:eastAsia="en-US"/>
        </w:rPr>
      </w:pPr>
      <w:r w:rsidRPr="00C90AC9">
        <w:rPr>
          <w:rFonts w:eastAsiaTheme="minorHAnsi"/>
          <w:lang w:eastAsia="en-US"/>
        </w:rPr>
        <w:t>(6)</w:t>
      </w:r>
    </w:p>
    <w:p w:rsidR="00A16B8C" w:rsidRDefault="00A16B8C" w:rsidP="00B06779">
      <w:pPr>
        <w:pStyle w:val="BodyText"/>
        <w:rPr>
          <w:rFonts w:eastAsiaTheme="minorHAnsi"/>
          <w:lang w:eastAsia="en-US"/>
        </w:rPr>
      </w:pPr>
      <w:r w:rsidRPr="00C90AC9">
        <w:rPr>
          <w:lang w:eastAsia="en-US"/>
        </w:rPr>
        <w:t>Where:</w:t>
      </w:r>
      <w:r w:rsidRPr="00C90AC9">
        <w:rPr>
          <w:lang w:eastAsia="en-US"/>
        </w:rPr>
        <w:tab/>
      </w:r>
      <w:r w:rsidRPr="00C90AC9">
        <w:rPr>
          <w:lang w:eastAsia="en-US"/>
        </w:rPr>
        <w:tab/>
      </w:r>
      <w:r w:rsidRPr="00C90AC9">
        <w:rPr>
          <w:lang w:eastAsia="en-US"/>
        </w:rPr>
        <w:tab/>
      </w:r>
      <w:r w:rsidRPr="00C90AC9">
        <w:rPr>
          <w:lang w:eastAsia="en-US"/>
        </w:rPr>
        <w:tab/>
      </w:r>
      <w:r w:rsidRPr="00C90AC9">
        <w:rPr>
          <w:lang w:eastAsia="en-US"/>
        </w:rPr>
        <w:tab/>
      </w:r>
      <w:r w:rsidRPr="00C90AC9">
        <w:rPr>
          <w:lang w:eastAsia="en-US"/>
        </w:rPr>
        <w:tab/>
      </w:r>
      <w:r w:rsidRPr="00C90AC9">
        <w:rPr>
          <w:lang w:eastAsia="en-US"/>
        </w:rPr>
        <w:br/>
      </w:r>
      <m:oMath>
        <m:sSub>
          <m:sSubPr>
            <m:ctrlPr>
              <w:rPr>
                <w:rFonts w:ascii="Cambria Math" w:eastAsiaTheme="minorHAnsi" w:hAnsi="Cambria Math"/>
                <w:lang w:eastAsia="en-US"/>
              </w:rPr>
            </m:ctrlPr>
          </m:sSubPr>
          <m:e>
            <m:r>
              <m:rPr>
                <m:sty m:val="p"/>
              </m:rPr>
              <w:rPr>
                <w:rFonts w:ascii="Cambria Math" w:eastAsiaTheme="minorHAnsi" w:hAnsi="Cambria Math"/>
                <w:lang w:eastAsia="en-US"/>
              </w:rPr>
              <m:t>η</m:t>
            </m:r>
          </m:e>
          <m:sub>
            <m:r>
              <m:rPr>
                <m:sty m:val="p"/>
              </m:rPr>
              <w:rPr>
                <w:rFonts w:ascii="Cambria Math" w:eastAsiaTheme="minorHAnsi" w:hAnsi="Cambria Math"/>
                <w:vertAlign w:val="subscript"/>
                <w:lang w:eastAsia="en-US"/>
              </w:rPr>
              <m:t>COL</m:t>
            </m:r>
          </m:sub>
        </m:sSub>
        <m:r>
          <m:rPr>
            <m:sty m:val="p"/>
          </m:rPr>
          <w:rPr>
            <w:rFonts w:ascii="Cambria Math" w:eastAsiaTheme="minorHAnsi" w:hAnsi="Cambria Math"/>
            <w:vertAlign w:val="subscript"/>
            <w:lang w:eastAsia="en-US"/>
          </w:rPr>
          <m:t xml:space="preserve"> </m:t>
        </m:r>
      </m:oMath>
      <w:proofErr w:type="gramStart"/>
      <w:r w:rsidRPr="00C90AC9">
        <w:rPr>
          <w:lang w:eastAsia="en-US"/>
        </w:rPr>
        <w:t xml:space="preserve">- </w:t>
      </w:r>
      <w:r w:rsidRPr="00C90AC9">
        <w:rPr>
          <w:vertAlign w:val="subscript"/>
          <w:lang w:eastAsia="en-US"/>
        </w:rPr>
        <w:t xml:space="preserve"> </w:t>
      </w:r>
      <w:r w:rsidRPr="00C90AC9">
        <w:rPr>
          <w:lang w:eastAsia="en-US"/>
        </w:rPr>
        <w:t>Collector</w:t>
      </w:r>
      <w:proofErr w:type="gramEnd"/>
      <w:r w:rsidRPr="00C90AC9">
        <w:rPr>
          <w:lang w:eastAsia="en-US"/>
        </w:rPr>
        <w:t xml:space="preserve"> Efficiency </w:t>
      </w:r>
      <w:r w:rsidR="000E1CF9" w:rsidRPr="00C90AC9">
        <w:rPr>
          <w:lang w:eastAsia="en-US"/>
        </w:rPr>
        <w:tab/>
      </w:r>
      <w:r w:rsidRPr="00C90AC9">
        <w:rPr>
          <w:lang w:eastAsia="en-US"/>
        </w:rPr>
        <w:br/>
      </w:r>
      <m:oMath>
        <m:r>
          <m:rPr>
            <m:sty m:val="p"/>
          </m:rPr>
          <w:rPr>
            <w:rFonts w:ascii="Cambria Math" w:eastAsiaTheme="minorHAnsi" w:hAnsi="Cambria Math"/>
            <w:lang w:eastAsia="en-US"/>
          </w:rPr>
          <m:t>Q</m:t>
        </m:r>
        <m:r>
          <m:rPr>
            <m:sty m:val="p"/>
          </m:rPr>
          <w:rPr>
            <w:rFonts w:ascii="Cambria Math" w:eastAsiaTheme="minorHAnsi" w:hAnsi="Cambria Math"/>
            <w:vertAlign w:val="subscript"/>
            <w:lang w:eastAsia="en-US"/>
          </w:rPr>
          <m:t>col</m:t>
        </m:r>
      </m:oMath>
      <w:r w:rsidRPr="00C90AC9">
        <w:rPr>
          <w:lang w:eastAsia="en-US"/>
        </w:rPr>
        <w:t xml:space="preserve"> - </w:t>
      </w:r>
      <w:r w:rsidRPr="00C90AC9">
        <w:rPr>
          <w:rFonts w:eastAsiaTheme="minorHAnsi"/>
          <w:lang w:eastAsia="en-US"/>
        </w:rPr>
        <w:t>Energy removed by the heat transfer fluid over the year (</w:t>
      </w:r>
      <w:proofErr w:type="spellStart"/>
      <w:r w:rsidRPr="00C90AC9">
        <w:rPr>
          <w:rFonts w:eastAsiaTheme="minorHAnsi"/>
          <w:lang w:eastAsia="en-US"/>
        </w:rPr>
        <w:t>kWH</w:t>
      </w:r>
      <w:proofErr w:type="spellEnd"/>
      <w:r w:rsidRPr="00C90AC9">
        <w:rPr>
          <w:rFonts w:eastAsiaTheme="minorHAnsi"/>
          <w:lang w:eastAsia="en-US"/>
        </w:rPr>
        <w:t>/</w:t>
      </w:r>
      <w:r w:rsidR="00352BAF" w:rsidRPr="00C90AC9">
        <w:rPr>
          <w:rFonts w:eastAsiaTheme="minorHAnsi"/>
          <w:lang w:eastAsia="en-US"/>
        </w:rPr>
        <w:t>min</w:t>
      </w:r>
      <w:r w:rsidRPr="00C90AC9">
        <w:rPr>
          <w:rFonts w:eastAsiaTheme="minorHAnsi"/>
          <w:lang w:eastAsia="en-US"/>
        </w:rPr>
        <w:t>)</w:t>
      </w:r>
      <w:r w:rsidR="000E1CF9" w:rsidRPr="00C90AC9">
        <w:rPr>
          <w:rFonts w:eastAsiaTheme="minorHAnsi"/>
          <w:lang w:eastAsia="en-US"/>
        </w:rPr>
        <w:tab/>
      </w:r>
      <w:r w:rsidRPr="00C90AC9">
        <w:rPr>
          <w:rFonts w:eastAsiaTheme="minorHAnsi"/>
          <w:lang w:eastAsia="en-US"/>
        </w:rPr>
        <w:br/>
      </w:r>
      <w:r w:rsidRPr="00C90AC9">
        <w:rPr>
          <w:rFonts w:eastAsiaTheme="minorHAnsi"/>
          <w:lang w:eastAsia="en-US"/>
        </w:rPr>
        <w:lastRenderedPageBreak/>
        <w:t>H - Solar irradiation incident over the time period (a minute) per unit area (kWh/m</w:t>
      </w:r>
      <w:r w:rsidRPr="00C90AC9">
        <w:rPr>
          <w:rFonts w:eastAsiaTheme="minorHAnsi"/>
          <w:vertAlign w:val="superscript"/>
          <w:lang w:eastAsia="en-US"/>
        </w:rPr>
        <w:t>2</w:t>
      </w:r>
      <w:r w:rsidRPr="00C90AC9">
        <w:rPr>
          <w:rFonts w:eastAsiaTheme="minorHAnsi"/>
          <w:lang w:eastAsia="en-US"/>
        </w:rPr>
        <w:t>min)</w:t>
      </w:r>
      <w:r w:rsidR="000E1CF9" w:rsidRPr="00C90AC9">
        <w:rPr>
          <w:rFonts w:eastAsiaTheme="minorHAnsi"/>
          <w:lang w:eastAsia="en-US"/>
        </w:rPr>
        <w:tab/>
      </w:r>
      <w:r w:rsidRPr="00C90AC9">
        <w:rPr>
          <w:rFonts w:eastAsiaTheme="minorHAnsi"/>
          <w:lang w:eastAsia="en-US"/>
        </w:rPr>
        <w:br/>
        <w:t>A</w:t>
      </w:r>
      <w:r w:rsidRPr="00C90AC9">
        <w:rPr>
          <w:rFonts w:eastAsiaTheme="minorHAnsi"/>
          <w:vertAlign w:val="subscript"/>
          <w:lang w:eastAsia="en-US"/>
        </w:rPr>
        <w:t>C</w:t>
      </w:r>
      <w:r w:rsidRPr="00C90AC9">
        <w:rPr>
          <w:rFonts w:eastAsiaTheme="minorHAnsi"/>
          <w:lang w:eastAsia="en-US"/>
        </w:rPr>
        <w:t xml:space="preserve"> - Area of collector (m</w:t>
      </w:r>
      <w:r w:rsidRPr="00C90AC9">
        <w:rPr>
          <w:rFonts w:eastAsiaTheme="minorHAnsi"/>
          <w:vertAlign w:val="superscript"/>
          <w:lang w:eastAsia="en-US"/>
        </w:rPr>
        <w:t>2</w:t>
      </w:r>
      <w:r w:rsidRPr="00C90AC9">
        <w:rPr>
          <w:rFonts w:eastAsiaTheme="minorHAnsi"/>
          <w:lang w:eastAsia="en-US"/>
        </w:rPr>
        <w:t xml:space="preserve">) </w:t>
      </w:r>
    </w:p>
    <w:p w:rsidR="00AE6DE9" w:rsidRPr="00C90AC9" w:rsidRDefault="00AE6DE9" w:rsidP="00B06779">
      <w:pPr>
        <w:pStyle w:val="BodyText"/>
        <w:rPr>
          <w:rFonts w:eastAsiaTheme="minorHAnsi"/>
          <w:lang w:eastAsia="en-US"/>
        </w:rPr>
      </w:pPr>
    </w:p>
    <w:p w:rsidR="00A16B8C" w:rsidRPr="00C90AC9" w:rsidRDefault="0074402A" w:rsidP="00E3686B">
      <w:pPr>
        <w:pStyle w:val="BodyText"/>
        <w:spacing w:line="360" w:lineRule="auto"/>
        <w:rPr>
          <w:rFonts w:eastAsiaTheme="minorHAnsi"/>
          <w:lang w:eastAsia="en-US"/>
        </w:rPr>
      </w:pPr>
      <w:r w:rsidRPr="00C90AC9">
        <w:rPr>
          <w:rFonts w:eastAsiaTheme="minorHAnsi"/>
          <w:noProof/>
        </w:rPr>
        <mc:AlternateContent>
          <mc:Choice Requires="wps">
            <w:drawing>
              <wp:anchor distT="0" distB="0" distL="114300" distR="114300" simplePos="0" relativeHeight="251779072" behindDoc="0" locked="0" layoutInCell="1" allowOverlap="1" wp14:anchorId="07B355AD" wp14:editId="05EA714B">
                <wp:simplePos x="0" y="0"/>
                <wp:positionH relativeFrom="column">
                  <wp:posOffset>1800225</wp:posOffset>
                </wp:positionH>
                <wp:positionV relativeFrom="paragraph">
                  <wp:posOffset>1069340</wp:posOffset>
                </wp:positionV>
                <wp:extent cx="1190625" cy="504825"/>
                <wp:effectExtent l="0" t="0" r="28575" b="28575"/>
                <wp:wrapNone/>
                <wp:docPr id="342" name="Rectangle 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504825"/>
                        </a:xfrm>
                        <a:prstGeom prst="rect">
                          <a:avLst/>
                        </a:prstGeom>
                        <a:solidFill>
                          <a:srgbClr val="4F81BD">
                            <a:alpha val="30000"/>
                          </a:srgbClr>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9B6E12" id="Rectangle 342" o:spid="_x0000_s1026" style="position:absolute;margin-left:141.75pt;margin-top:84.2pt;width:93.75pt;height:39.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" fillcolor="#4f81bd" strokecolor="#385d8a">
                <v:fill opacity="19789f"/>
                <v:path arrowok="t"/>
              </v:rect>
            </w:pict>
          </mc:Fallback>
        </mc:AlternateContent>
      </w:r>
      <w:r w:rsidR="00A16B8C" w:rsidRPr="00C90AC9">
        <w:rPr>
          <w:rFonts w:eastAsiaTheme="minorHAnsi"/>
          <w:lang w:eastAsia="en-US"/>
        </w:rPr>
        <w:t>From (7) it can be inferred that the efficiency of the collector will vary depending on the irradiance incident on it and the amount of energy removed by the user. A calculation of the total energy required to heat the demanded volume of water divided by the amount of energy provided by the STP gives the Solar Fraction:</w:t>
      </w:r>
    </w:p>
    <w:tbl>
      <w:tblPr>
        <w:tblW w:w="9180" w:type="dxa"/>
        <w:tblLook w:val="04A0" w:firstRow="1" w:lastRow="0" w:firstColumn="1" w:lastColumn="0" w:noHBand="0" w:noVBand="1"/>
      </w:tblPr>
      <w:tblGrid>
        <w:gridCol w:w="671"/>
        <w:gridCol w:w="6241"/>
        <w:gridCol w:w="2268"/>
      </w:tblGrid>
      <w:tr w:rsidR="00A16B8C" w:rsidRPr="00C90AC9" w:rsidTr="00074509">
        <w:tc>
          <w:tcPr>
            <w:tcW w:w="671" w:type="dxa"/>
          </w:tcPr>
          <w:p w:rsidR="00A16B8C" w:rsidRPr="00C90AC9" w:rsidRDefault="00A16B8C" w:rsidP="00B06779">
            <w:pPr>
              <w:rPr>
                <w:rFonts w:eastAsiaTheme="minorHAnsi"/>
                <w:lang w:eastAsia="en-US"/>
              </w:rPr>
            </w:pPr>
          </w:p>
        </w:tc>
        <w:tc>
          <w:tcPr>
            <w:tcW w:w="6241" w:type="dxa"/>
            <w:vAlign w:val="center"/>
          </w:tcPr>
          <w:p w:rsidR="00A16B8C" w:rsidRPr="00C90AC9" w:rsidRDefault="006F0C85" w:rsidP="00B06779">
            <w:pPr>
              <w:rPr>
                <w:rFonts w:eastAsiaTheme="minorHAnsi"/>
                <w:lang w:eastAsia="en-US"/>
              </w:rPr>
            </w:pPr>
            <m:oMathPara>
              <m:oMath>
                <m:sSub>
                  <m:sSubPr>
                    <m:ctrlPr>
                      <w:rPr>
                        <w:rFonts w:ascii="Cambria Math" w:eastAsiaTheme="minorHAnsi" w:hAnsi="Cambria Math"/>
                        <w:lang w:eastAsia="en-US"/>
                      </w:rPr>
                    </m:ctrlPr>
                  </m:sSubPr>
                  <m:e>
                    <m:r>
                      <w:rPr>
                        <w:rFonts w:ascii="Cambria Math" w:eastAsiaTheme="minorHAnsi" w:hAnsi="Cambria Math"/>
                        <w:lang w:eastAsia="en-US"/>
                      </w:rPr>
                      <m:t>F</m:t>
                    </m:r>
                  </m:e>
                  <m:sub>
                    <m:r>
                      <w:rPr>
                        <w:rFonts w:ascii="Cambria Math" w:eastAsiaTheme="minorHAnsi" w:hAnsi="Cambria Math"/>
                        <w:lang w:eastAsia="en-US"/>
                      </w:rPr>
                      <m:t>SOL</m:t>
                    </m:r>
                  </m:sub>
                </m:sSub>
                <m:r>
                  <m:rPr>
                    <m:sty m:val="p"/>
                  </m:rPr>
                  <w:rPr>
                    <w:rFonts w:ascii="Cambria Math" w:eastAsiaTheme="minorHAnsi" w:hAnsi="Cambria Math"/>
                    <w:lang w:eastAsia="en-US"/>
                  </w:rPr>
                  <m:t>=</m:t>
                </m:r>
                <m:f>
                  <m:fPr>
                    <m:ctrlPr>
                      <w:rPr>
                        <w:rFonts w:ascii="Cambria Math" w:eastAsiaTheme="minorHAnsi" w:hAnsi="Cambria Math"/>
                        <w:lang w:eastAsia="en-US"/>
                      </w:rPr>
                    </m:ctrlPr>
                  </m:fPr>
                  <m:num>
                    <m:sSub>
                      <m:sSubPr>
                        <m:ctrlPr>
                          <w:rPr>
                            <w:rFonts w:ascii="Cambria Math" w:eastAsiaTheme="minorHAnsi" w:hAnsi="Cambria Math"/>
                            <w:lang w:eastAsia="en-US"/>
                          </w:rPr>
                        </m:ctrlPr>
                      </m:sSubPr>
                      <m:e>
                        <m:r>
                          <w:rPr>
                            <w:rFonts w:ascii="Cambria Math" w:eastAsiaTheme="minorHAnsi" w:hAnsi="Cambria Math"/>
                            <w:lang w:eastAsia="en-US"/>
                          </w:rPr>
                          <m:t>Q</m:t>
                        </m:r>
                      </m:e>
                      <m:sub>
                        <m:r>
                          <w:rPr>
                            <w:rFonts w:ascii="Cambria Math" w:eastAsiaTheme="minorHAnsi" w:hAnsi="Cambria Math"/>
                            <w:lang w:eastAsia="en-US"/>
                          </w:rPr>
                          <m:t>COL</m:t>
                        </m:r>
                      </m:sub>
                    </m:sSub>
                  </m:num>
                  <m:den>
                    <m:sSub>
                      <m:sSubPr>
                        <m:ctrlPr>
                          <w:rPr>
                            <w:rFonts w:ascii="Cambria Math" w:eastAsiaTheme="minorHAnsi" w:hAnsi="Cambria Math"/>
                            <w:lang w:eastAsia="en-US"/>
                          </w:rPr>
                        </m:ctrlPr>
                      </m:sSubPr>
                      <m:e>
                        <m:r>
                          <w:rPr>
                            <w:rFonts w:ascii="Cambria Math" w:eastAsiaTheme="minorHAnsi" w:hAnsi="Cambria Math"/>
                            <w:lang w:eastAsia="en-US"/>
                          </w:rPr>
                          <m:t>Q</m:t>
                        </m:r>
                      </m:e>
                      <m:sub>
                        <m:r>
                          <w:rPr>
                            <w:rFonts w:ascii="Cambria Math" w:eastAsiaTheme="minorHAnsi" w:hAnsi="Cambria Math"/>
                            <w:lang w:eastAsia="en-US"/>
                          </w:rPr>
                          <m:t>d</m:t>
                        </m:r>
                      </m:sub>
                    </m:sSub>
                  </m:den>
                </m:f>
              </m:oMath>
            </m:oMathPara>
          </w:p>
        </w:tc>
        <w:tc>
          <w:tcPr>
            <w:tcW w:w="2268" w:type="dxa"/>
            <w:vAlign w:val="center"/>
          </w:tcPr>
          <w:p w:rsidR="00A16B8C" w:rsidRPr="00C90AC9" w:rsidRDefault="00D07222" w:rsidP="00D07222">
            <w:pPr>
              <w:rPr>
                <w:rFonts w:eastAsiaTheme="minorHAnsi"/>
                <w:lang w:eastAsia="en-US"/>
              </w:rPr>
            </w:pPr>
            <w:r w:rsidRPr="00C90AC9">
              <w:rPr>
                <w:rFonts w:eastAsiaTheme="minorHAnsi"/>
                <w:lang w:eastAsia="en-US"/>
              </w:rPr>
              <w:fldChar w:fldCharType="begin"/>
            </w:r>
            <w:r w:rsidRPr="00C90AC9">
              <w:rPr>
                <w:rFonts w:eastAsiaTheme="minorHAnsi"/>
                <w:lang w:eastAsia="en-US"/>
              </w:rPr>
              <w:instrText xml:space="preserve"> ADDIN EN.CITE &lt;EndNote&gt;&lt;Cite&gt;&lt;Author&gt;Fraisse&lt;/Author&gt;&lt;Year&gt;2009&lt;/Year&gt;&lt;RecNum&gt;215&lt;/RecNum&gt;&lt;DisplayText&gt;(Fraisse et al., 2009)&lt;/DisplayText&gt;&lt;record&gt;&lt;rec-number&gt;215&lt;/rec-number&gt;&lt;foreign-keys&gt;&lt;key app="EN" db-id="50wxdpzd9vd5r7e9t5b595djrfpttrxw9avp" timestamp="1525590858"&gt;215&lt;/key&gt;&lt;/foreign-keys&gt;&lt;ref-type name="Journal Article"&gt;17&lt;/ref-type&gt;&lt;contributors&gt;&lt;authors&gt;&lt;author&gt;Fraisse, G.&lt;/author&gt;&lt;author&gt;Bai, Y.&lt;/author&gt;&lt;author&gt;Le Pierrès, N.&lt;/author&gt;&lt;author&gt;Letz, T.&lt;/author&gt;&lt;/authors&gt;&lt;/contributors&gt;&lt;titles&gt;&lt;title&gt;Comparative study of various optimization criteria for SDHWS and a suggestion for a new global evaluation&lt;/title&gt;&lt;secondary-title&gt;Solar Energy&lt;/secondary-title&gt;&lt;/titles&gt;&lt;pages&gt;232-245&lt;/pages&gt;&lt;volume&gt;83&lt;/volume&gt;&lt;number&gt;2&lt;/number&gt;&lt;keywords&gt;&lt;keyword&gt;Optimization&lt;/keyword&gt;&lt;keyword&gt;SDHWS&lt;/keyword&gt;&lt;keyword&gt;Simulation&lt;/keyword&gt;&lt;keyword&gt;Global evaluation&lt;/keyword&gt;&lt;keyword&gt;Mixed criteria&lt;/keyword&gt;&lt;/keywords&gt;&lt;dates&gt;&lt;year&gt;2009&lt;/year&gt;&lt;pub-dates&gt;&lt;date&gt;2009/02/01/&lt;/date&gt;&lt;/pub-dates&gt;&lt;/dates&gt;&lt;isbn&gt;0038-092X&lt;/isbn&gt;&lt;urls&gt;&lt;related-urls&gt;&lt;url&gt;http://www.sciencedirect.com/science/article/pii/S0038092X08001886&lt;/url&gt;&lt;/related-urls&gt;&lt;/urls&gt;&lt;electronic-resource-num&gt;https://doi.org/10.1016/j.solener.2008.07.021&lt;/electronic-resource-num&gt;&lt;/record&gt;&lt;/Cite&gt;&lt;/EndNote&gt;</w:instrText>
            </w:r>
            <w:r w:rsidRPr="00C90AC9">
              <w:rPr>
                <w:rFonts w:eastAsiaTheme="minorHAnsi"/>
                <w:lang w:eastAsia="en-US"/>
              </w:rPr>
              <w:fldChar w:fldCharType="separate"/>
            </w:r>
            <w:r w:rsidRPr="00C90AC9">
              <w:rPr>
                <w:rFonts w:eastAsiaTheme="minorHAnsi"/>
                <w:lang w:eastAsia="en-US"/>
              </w:rPr>
              <w:t>(</w:t>
            </w:r>
            <w:bookmarkStart w:id="32" w:name="_Hlk526835604"/>
            <w:r w:rsidRPr="00C90AC9">
              <w:rPr>
                <w:rFonts w:eastAsiaTheme="minorHAnsi"/>
                <w:lang w:eastAsia="en-US"/>
              </w:rPr>
              <w:t>Fraisse et al., 2009)</w:t>
            </w:r>
            <w:bookmarkEnd w:id="32"/>
            <w:r w:rsidRPr="00C90AC9">
              <w:rPr>
                <w:rFonts w:eastAsiaTheme="minorHAnsi"/>
                <w:lang w:eastAsia="en-US"/>
              </w:rPr>
              <w:fldChar w:fldCharType="end"/>
            </w:r>
          </w:p>
        </w:tc>
      </w:tr>
    </w:tbl>
    <w:p w:rsidR="00A16B8C" w:rsidRPr="00C90AC9" w:rsidRDefault="00A16B8C" w:rsidP="00F064E4">
      <w:pPr>
        <w:pStyle w:val="Caption"/>
        <w:rPr>
          <w:rFonts w:eastAsiaTheme="minorHAnsi"/>
          <w:b w:val="0"/>
          <w:color w:val="auto"/>
          <w:sz w:val="24"/>
          <w:lang w:eastAsia="en-US"/>
        </w:rPr>
      </w:pPr>
      <w:r w:rsidRPr="00C90AC9">
        <w:rPr>
          <w:rFonts w:eastAsiaTheme="minorHAnsi"/>
        </w:rPr>
        <w:tab/>
      </w:r>
      <w:r w:rsidRPr="00C90AC9">
        <w:rPr>
          <w:rFonts w:eastAsiaTheme="minorHAnsi"/>
        </w:rPr>
        <w:tab/>
      </w:r>
      <w:r w:rsidRPr="00C90AC9">
        <w:rPr>
          <w:rFonts w:eastAsiaTheme="minorHAnsi"/>
        </w:rPr>
        <w:tab/>
      </w:r>
      <w:r w:rsidRPr="00C90AC9">
        <w:rPr>
          <w:rFonts w:eastAsiaTheme="minorHAnsi"/>
        </w:rPr>
        <w:tab/>
      </w:r>
      <w:r w:rsidRPr="00C90AC9">
        <w:rPr>
          <w:rFonts w:eastAsiaTheme="minorHAnsi"/>
        </w:rPr>
        <w:tab/>
      </w:r>
      <w:r w:rsidRPr="00C90AC9">
        <w:rPr>
          <w:rFonts w:eastAsiaTheme="minorHAnsi"/>
        </w:rPr>
        <w:tab/>
      </w:r>
      <w:r w:rsidRPr="00C90AC9">
        <w:rPr>
          <w:rFonts w:eastAsiaTheme="minorHAnsi"/>
        </w:rPr>
        <w:tab/>
      </w:r>
      <w:r w:rsidRPr="00C90AC9">
        <w:rPr>
          <w:rFonts w:eastAsiaTheme="minorHAnsi"/>
        </w:rPr>
        <w:tab/>
      </w:r>
      <w:r w:rsidRPr="00C90AC9">
        <w:rPr>
          <w:rFonts w:eastAsiaTheme="minorHAnsi"/>
        </w:rPr>
        <w:tab/>
      </w:r>
      <w:r w:rsidRPr="00C90AC9">
        <w:rPr>
          <w:rFonts w:eastAsiaTheme="minorHAnsi"/>
        </w:rPr>
        <w:tab/>
      </w:r>
      <w:r w:rsidRPr="00C90AC9">
        <w:rPr>
          <w:rFonts w:eastAsiaTheme="minorHAnsi"/>
        </w:rPr>
        <w:tab/>
      </w:r>
      <w:r w:rsidR="001C40B1" w:rsidRPr="00C90AC9">
        <w:rPr>
          <w:rFonts w:eastAsiaTheme="minorHAnsi"/>
        </w:rPr>
        <w:tab/>
      </w:r>
      <w:r w:rsidRPr="00C90AC9">
        <w:rPr>
          <w:rFonts w:eastAsiaTheme="minorHAnsi"/>
          <w:b w:val="0"/>
          <w:color w:val="auto"/>
          <w:sz w:val="24"/>
        </w:rPr>
        <w:t xml:space="preserve">  </w:t>
      </w:r>
      <w:r w:rsidR="00E521BC" w:rsidRPr="00C90AC9">
        <w:rPr>
          <w:rFonts w:eastAsiaTheme="minorHAnsi"/>
          <w:b w:val="0"/>
          <w:color w:val="auto"/>
          <w:sz w:val="24"/>
          <w:lang w:eastAsia="en-US"/>
        </w:rPr>
        <w:t>(7</w:t>
      </w:r>
      <w:r w:rsidRPr="00C90AC9">
        <w:rPr>
          <w:rFonts w:eastAsiaTheme="minorHAnsi"/>
          <w:b w:val="0"/>
          <w:color w:val="auto"/>
          <w:sz w:val="24"/>
          <w:lang w:eastAsia="en-US"/>
        </w:rPr>
        <w:t>)</w:t>
      </w:r>
    </w:p>
    <w:p w:rsidR="00A16B8C" w:rsidRPr="00C90AC9" w:rsidRDefault="00A16B8C" w:rsidP="00F064E4">
      <w:pPr>
        <w:pStyle w:val="BodyText"/>
        <w:spacing w:line="240" w:lineRule="auto"/>
        <w:jc w:val="right"/>
        <w:rPr>
          <w:rFonts w:eastAsiaTheme="minorHAnsi"/>
          <w:lang w:eastAsia="en-US"/>
        </w:rPr>
      </w:pPr>
    </w:p>
    <w:p w:rsidR="00A16B8C" w:rsidRPr="00C90AC9" w:rsidRDefault="00A16B8C" w:rsidP="00B06779">
      <w:pPr>
        <w:pStyle w:val="BodyText"/>
        <w:rPr>
          <w:rFonts w:eastAsiaTheme="minorHAnsi"/>
          <w:lang w:eastAsia="en-US"/>
        </w:rPr>
      </w:pPr>
      <w:r w:rsidRPr="00C90AC9">
        <w:rPr>
          <w:lang w:eastAsia="en-US"/>
        </w:rPr>
        <w:t>Where:</w:t>
      </w:r>
      <w:r w:rsidRPr="00C90AC9">
        <w:rPr>
          <w:lang w:eastAsia="en-US"/>
        </w:rPr>
        <w:br/>
      </w:r>
      <m:oMath>
        <m:sSub>
          <m:sSubPr>
            <m:ctrlPr>
              <w:rPr>
                <w:rFonts w:ascii="Cambria Math" w:eastAsiaTheme="minorHAnsi" w:hAnsi="Cambria Math"/>
                <w:lang w:eastAsia="en-US"/>
              </w:rPr>
            </m:ctrlPr>
          </m:sSubPr>
          <m:e>
            <m:r>
              <m:rPr>
                <m:sty m:val="p"/>
              </m:rPr>
              <w:rPr>
                <w:rFonts w:ascii="Cambria Math" w:eastAsiaTheme="minorHAnsi" w:hAnsi="Cambria Math"/>
                <w:lang w:eastAsia="en-US"/>
              </w:rPr>
              <m:t>F</m:t>
            </m:r>
          </m:e>
          <m:sub>
            <m:r>
              <m:rPr>
                <m:sty m:val="p"/>
              </m:rPr>
              <w:rPr>
                <w:rFonts w:ascii="Cambria Math" w:eastAsiaTheme="minorHAnsi" w:hAnsi="Cambria Math"/>
                <w:vertAlign w:val="subscript"/>
                <w:lang w:eastAsia="en-US"/>
              </w:rPr>
              <m:t>SOL</m:t>
            </m:r>
          </m:sub>
        </m:sSub>
        <m:r>
          <m:rPr>
            <m:sty m:val="p"/>
          </m:rPr>
          <w:rPr>
            <w:rFonts w:ascii="Cambria Math" w:eastAsiaTheme="minorHAnsi" w:hAnsi="Cambria Math"/>
            <w:vertAlign w:val="subscript"/>
            <w:lang w:eastAsia="en-US"/>
          </w:rPr>
          <m:t xml:space="preserve"> </m:t>
        </m:r>
      </m:oMath>
      <w:r w:rsidRPr="00C90AC9">
        <w:rPr>
          <w:vertAlign w:val="superscript"/>
          <w:lang w:eastAsia="en-US"/>
        </w:rPr>
        <w:t> </w:t>
      </w:r>
      <w:r w:rsidRPr="00C90AC9">
        <w:rPr>
          <w:lang w:eastAsia="en-US"/>
        </w:rPr>
        <w:t>- Solar Fraction</w:t>
      </w:r>
      <w:r w:rsidR="000E1CF9" w:rsidRPr="00C90AC9">
        <w:rPr>
          <w:lang w:eastAsia="en-US"/>
        </w:rPr>
        <w:tab/>
      </w:r>
      <w:r w:rsidRPr="00C90AC9">
        <w:rPr>
          <w:lang w:eastAsia="en-US"/>
        </w:rPr>
        <w:br/>
      </w:r>
      <m:oMath>
        <m:sSub>
          <m:sSubPr>
            <m:ctrlPr>
              <w:rPr>
                <w:rFonts w:ascii="Cambria Math" w:eastAsiaTheme="minorHAnsi" w:hAnsi="Cambria Math"/>
                <w:lang w:eastAsia="en-US"/>
              </w:rPr>
            </m:ctrlPr>
          </m:sSubPr>
          <m:e>
            <m:r>
              <m:rPr>
                <m:sty m:val="p"/>
              </m:rPr>
              <w:rPr>
                <w:rFonts w:ascii="Cambria Math" w:eastAsiaTheme="minorHAnsi" w:hAnsi="Cambria Math"/>
                <w:lang w:eastAsia="en-US"/>
              </w:rPr>
              <m:t>Q</m:t>
            </m:r>
          </m:e>
          <m:sub>
            <m:r>
              <m:rPr>
                <m:sty m:val="p"/>
              </m:rPr>
              <w:rPr>
                <w:rFonts w:ascii="Cambria Math" w:eastAsiaTheme="minorHAnsi" w:hAnsi="Cambria Math"/>
                <w:vertAlign w:val="subscript"/>
                <w:lang w:eastAsia="en-US"/>
              </w:rPr>
              <m:t>COL</m:t>
            </m:r>
          </m:sub>
        </m:sSub>
      </m:oMath>
      <w:r w:rsidRPr="00C90AC9">
        <w:rPr>
          <w:vertAlign w:val="subscript"/>
          <w:lang w:eastAsia="en-US"/>
        </w:rPr>
        <w:t xml:space="preserve">  </w:t>
      </w:r>
      <w:r w:rsidRPr="00C90AC9">
        <w:rPr>
          <w:lang w:eastAsia="en-US"/>
        </w:rPr>
        <w:t xml:space="preserve">- </w:t>
      </w:r>
      <w:r w:rsidRPr="00C90AC9">
        <w:rPr>
          <w:rFonts w:eastAsiaTheme="minorHAnsi"/>
          <w:lang w:eastAsia="en-US"/>
        </w:rPr>
        <w:t>Energy removed by the heat transfer fluid over the time period (</w:t>
      </w:r>
      <w:proofErr w:type="spellStart"/>
      <w:r w:rsidRPr="00C90AC9">
        <w:rPr>
          <w:rFonts w:eastAsiaTheme="minorHAnsi"/>
          <w:lang w:eastAsia="en-US"/>
        </w:rPr>
        <w:t>kWH</w:t>
      </w:r>
      <w:proofErr w:type="spellEnd"/>
      <w:r w:rsidRPr="00C90AC9">
        <w:rPr>
          <w:rFonts w:eastAsiaTheme="minorHAnsi"/>
          <w:lang w:eastAsia="en-US"/>
        </w:rPr>
        <w:t>/time)</w:t>
      </w:r>
      <w:r w:rsidR="000E1CF9" w:rsidRPr="00C90AC9">
        <w:rPr>
          <w:rFonts w:eastAsiaTheme="minorHAnsi"/>
          <w:lang w:eastAsia="en-US"/>
        </w:rPr>
        <w:tab/>
      </w:r>
      <w:r w:rsidRPr="00C90AC9">
        <w:rPr>
          <w:rFonts w:eastAsiaTheme="minorHAnsi"/>
          <w:lang w:eastAsia="en-US"/>
        </w:rPr>
        <w:br/>
      </w:r>
      <w:proofErr w:type="spellStart"/>
      <w:r w:rsidRPr="00C90AC9">
        <w:rPr>
          <w:rFonts w:eastAsiaTheme="minorHAnsi"/>
          <w:lang w:eastAsia="en-US"/>
        </w:rPr>
        <w:t>Q</w:t>
      </w:r>
      <w:r w:rsidRPr="00C90AC9">
        <w:rPr>
          <w:rFonts w:eastAsiaTheme="minorHAnsi"/>
          <w:vertAlign w:val="subscript"/>
          <w:lang w:eastAsia="en-US"/>
        </w:rPr>
        <w:t>d</w:t>
      </w:r>
      <w:proofErr w:type="spellEnd"/>
      <w:r w:rsidRPr="00C90AC9">
        <w:rPr>
          <w:rFonts w:eastAsiaTheme="minorHAnsi"/>
          <w:lang w:eastAsia="en-US"/>
        </w:rPr>
        <w:t xml:space="preserve"> – Energy required to heat the required volume of water(</w:t>
      </w:r>
      <w:proofErr w:type="spellStart"/>
      <w:r w:rsidRPr="00C90AC9">
        <w:rPr>
          <w:rFonts w:eastAsiaTheme="minorHAnsi"/>
          <w:lang w:eastAsia="en-US"/>
        </w:rPr>
        <w:t>kWH</w:t>
      </w:r>
      <w:proofErr w:type="spellEnd"/>
      <w:r w:rsidRPr="00C90AC9">
        <w:rPr>
          <w:rFonts w:eastAsiaTheme="minorHAnsi"/>
          <w:lang w:eastAsia="en-US"/>
        </w:rPr>
        <w:t>/time)</w:t>
      </w:r>
      <w:r w:rsidR="000E1CF9" w:rsidRPr="00C90AC9">
        <w:rPr>
          <w:rFonts w:eastAsiaTheme="minorHAnsi"/>
          <w:lang w:eastAsia="en-US"/>
        </w:rPr>
        <w:tab/>
      </w:r>
    </w:p>
    <w:p w:rsidR="00A16B8C" w:rsidRPr="00C90AC9" w:rsidRDefault="00850C26" w:rsidP="001C40B1">
      <w:pPr>
        <w:pStyle w:val="BodyText"/>
        <w:spacing w:line="360" w:lineRule="auto"/>
        <w:rPr>
          <w:rFonts w:eastAsiaTheme="minorHAnsi"/>
          <w:lang w:eastAsia="en-US"/>
        </w:rPr>
      </w:pPr>
      <w:r w:rsidRPr="00C90AC9">
        <w:rPr>
          <w:rFonts w:eastAsiaTheme="minorHAnsi"/>
          <w:lang w:eastAsia="en-US"/>
        </w:rPr>
        <w:br/>
      </w:r>
      <w:r w:rsidR="00A16B8C" w:rsidRPr="00C90AC9">
        <w:rPr>
          <w:rFonts w:eastAsiaTheme="minorHAnsi"/>
          <w:lang w:eastAsia="en-US"/>
        </w:rPr>
        <w:t xml:space="preserve">The study by </w:t>
      </w:r>
      <w:proofErr w:type="spellStart"/>
      <w:r w:rsidR="00A16B8C" w:rsidRPr="00C90AC9">
        <w:rPr>
          <w:rFonts w:eastAsiaTheme="minorHAnsi"/>
          <w:lang w:eastAsia="en-US"/>
        </w:rPr>
        <w:t>Fraisse</w:t>
      </w:r>
      <w:proofErr w:type="spellEnd"/>
      <w:r w:rsidR="00A16B8C" w:rsidRPr="00C90AC9">
        <w:rPr>
          <w:rFonts w:eastAsiaTheme="minorHAnsi"/>
          <w:lang w:eastAsia="en-US"/>
        </w:rPr>
        <w:t xml:space="preserve"> et al determined that it is better to oversize the panel rather than the tank due to the heat losses from the tank and the additional financial costs when instal</w:t>
      </w:r>
      <w:r w:rsidR="002C4A30" w:rsidRPr="00C90AC9">
        <w:rPr>
          <w:rFonts w:eastAsiaTheme="minorHAnsi"/>
          <w:lang w:eastAsia="en-US"/>
        </w:rPr>
        <w:t xml:space="preserve">ling a larger tank can be high </w:t>
      </w:r>
      <w:r w:rsidR="002C4A30" w:rsidRPr="00C90AC9">
        <w:rPr>
          <w:rFonts w:eastAsiaTheme="minorHAnsi"/>
          <w:lang w:eastAsia="en-US"/>
        </w:rPr>
        <w:fldChar w:fldCharType="begin"/>
      </w:r>
      <w:r w:rsidR="002C4A30" w:rsidRPr="00C90AC9">
        <w:rPr>
          <w:rFonts w:eastAsiaTheme="minorHAnsi"/>
          <w:lang w:eastAsia="en-US"/>
        </w:rPr>
        <w:instrText xml:space="preserve"> ADDIN EN.CITE &lt;EndNote&gt;&lt;Cite&gt;&lt;Author&gt;Fraisse&lt;/Author&gt;&lt;Year&gt;2009&lt;/Year&gt;&lt;RecNum&gt;215&lt;/RecNum&gt;&lt;DisplayText&gt;(Fraisse et al., 2009)&lt;/DisplayText&gt;&lt;record&gt;&lt;rec-number&gt;215&lt;/rec-number&gt;&lt;foreign-keys&gt;&lt;key app="EN" db-id="50wxdpzd9vd5r7e9t5b595djrfpttrxw9avp" timestamp="1525590858"&gt;215&lt;/key&gt;&lt;/foreign-keys&gt;&lt;ref-type name="Journal Article"&gt;17&lt;/ref-type&gt;&lt;contributors&gt;&lt;authors&gt;&lt;author&gt;Fraisse, G.&lt;/author&gt;&lt;author&gt;Bai, Y.&lt;/author&gt;&lt;author&gt;Le Pierrès, N.&lt;/author&gt;&lt;author&gt;Letz, T.&lt;/author&gt;&lt;/authors&gt;&lt;/contributors&gt;&lt;titles&gt;&lt;title&gt;Comparative study of various optimization criteria for SDHWS and a suggestion for a new global evaluation&lt;/title&gt;&lt;secondary-title&gt;Solar Energy&lt;/secondary-title&gt;&lt;/titles&gt;&lt;pages&gt;232-245&lt;/pages&gt;&lt;volume&gt;83&lt;/volume&gt;&lt;number&gt;2&lt;/number&gt;&lt;keywords&gt;&lt;keyword&gt;Optimization&lt;/keyword&gt;&lt;keyword&gt;SDHWS&lt;/keyword&gt;&lt;keyword&gt;Simulation&lt;/keyword&gt;&lt;keyword&gt;Global evaluation&lt;/keyword&gt;&lt;keyword&gt;Mixed criteria&lt;/keyword&gt;&lt;/keywords&gt;&lt;dates&gt;&lt;year&gt;2009&lt;/year&gt;&lt;pub-dates&gt;&lt;date&gt;2009/02/01/&lt;/date&gt;&lt;/pub-dates&gt;&lt;/dates&gt;&lt;isbn&gt;0038-092X&lt;/isbn&gt;&lt;urls&gt;&lt;related-urls&gt;&lt;url&gt;http://www.sciencedirect.com/science/article/pii/S0038092X08001886&lt;/url&gt;&lt;/related-urls&gt;&lt;/urls&gt;&lt;electronic-resource-num&gt;https://doi.org/10.1016/j.solener.2008.07.021&lt;/electronic-resource-num&gt;&lt;/record&gt;&lt;/Cite&gt;&lt;/EndNote&gt;</w:instrText>
      </w:r>
      <w:r w:rsidR="002C4A30" w:rsidRPr="00C90AC9">
        <w:rPr>
          <w:rFonts w:eastAsiaTheme="minorHAnsi"/>
          <w:lang w:eastAsia="en-US"/>
        </w:rPr>
        <w:fldChar w:fldCharType="separate"/>
      </w:r>
      <w:r w:rsidR="002C4A30" w:rsidRPr="00C90AC9">
        <w:rPr>
          <w:rFonts w:eastAsiaTheme="minorHAnsi"/>
          <w:lang w:eastAsia="en-US"/>
        </w:rPr>
        <w:t>(Fraisse et al., 2009)</w:t>
      </w:r>
      <w:r w:rsidR="002C4A30" w:rsidRPr="00C90AC9">
        <w:rPr>
          <w:rFonts w:eastAsiaTheme="minorHAnsi"/>
          <w:lang w:eastAsia="en-US"/>
        </w:rPr>
        <w:fldChar w:fldCharType="end"/>
      </w:r>
      <w:r w:rsidR="002C4A30" w:rsidRPr="00C90AC9">
        <w:rPr>
          <w:rFonts w:eastAsiaTheme="minorHAnsi"/>
          <w:lang w:eastAsia="en-US"/>
        </w:rPr>
        <w:t>.</w:t>
      </w:r>
      <w:r w:rsidR="00A16B8C" w:rsidRPr="00C90AC9">
        <w:rPr>
          <w:rFonts w:eastAsiaTheme="minorHAnsi"/>
          <w:lang w:eastAsia="en-US"/>
        </w:rPr>
        <w:t xml:space="preserve"> </w:t>
      </w:r>
      <w:r w:rsidR="002C4A30" w:rsidRPr="00C90AC9">
        <w:rPr>
          <w:rFonts w:eastAsiaTheme="minorHAnsi"/>
          <w:lang w:eastAsia="en-US"/>
        </w:rPr>
        <w:t xml:space="preserve">This study by </w:t>
      </w:r>
      <w:proofErr w:type="spellStart"/>
      <w:r w:rsidR="002C4A30" w:rsidRPr="00C90AC9">
        <w:rPr>
          <w:rFonts w:eastAsiaTheme="minorHAnsi"/>
          <w:lang w:eastAsia="en-US"/>
        </w:rPr>
        <w:t>Fraisse</w:t>
      </w:r>
      <w:proofErr w:type="spellEnd"/>
      <w:r w:rsidR="002C4A30" w:rsidRPr="00C90AC9">
        <w:rPr>
          <w:rFonts w:eastAsiaTheme="minorHAnsi"/>
          <w:lang w:eastAsia="en-US"/>
        </w:rPr>
        <w:t xml:space="preserve"> et al 2009 a</w:t>
      </w:r>
      <w:r w:rsidR="00A16B8C" w:rsidRPr="00C90AC9">
        <w:rPr>
          <w:rFonts w:eastAsiaTheme="minorHAnsi"/>
          <w:lang w:eastAsia="en-US"/>
        </w:rPr>
        <w:t xml:space="preserve">lso showed that often the costs from the auxiliary heater are not considered and so comparison of the actual performance of SDHWS and the modelled/predicted performance are not congregant </w:t>
      </w:r>
      <w:r w:rsidR="00D07222" w:rsidRPr="00C90AC9">
        <w:rPr>
          <w:rFonts w:eastAsiaTheme="minorHAnsi"/>
          <w:lang w:eastAsia="en-US"/>
        </w:rPr>
        <w:fldChar w:fldCharType="begin"/>
      </w:r>
      <w:r w:rsidR="00D07222" w:rsidRPr="00C90AC9">
        <w:rPr>
          <w:rFonts w:eastAsiaTheme="minorHAnsi"/>
          <w:lang w:eastAsia="en-US"/>
        </w:rPr>
        <w:instrText xml:space="preserve"> ADDIN EN.CITE &lt;EndNote&gt;&lt;Cite&gt;&lt;Author&gt;Fraisse&lt;/Author&gt;&lt;Year&gt;2009&lt;/Year&gt;&lt;RecNum&gt;215&lt;/RecNum&gt;&lt;DisplayText&gt;(Fraisse et al., 2009)&lt;/DisplayText&gt;&lt;record&gt;&lt;rec-number&gt;215&lt;/rec-number&gt;&lt;foreign-keys&gt;&lt;key app="EN" db-id="50wxdpzd9vd5r7e9t5b595djrfpttrxw9avp" timestamp="1525590858"&gt;215&lt;/key&gt;&lt;/foreign-keys&gt;&lt;ref-type name="Journal Article"&gt;17&lt;/ref-type&gt;&lt;contributors&gt;&lt;authors&gt;&lt;author&gt;Fraisse, G.&lt;/author&gt;&lt;author&gt;Bai, Y.&lt;/author&gt;&lt;author&gt;Le Pierrès, N.&lt;/author&gt;&lt;author&gt;Letz, T.&lt;/author&gt;&lt;/authors&gt;&lt;/contributors&gt;&lt;titles&gt;&lt;title&gt;Comparative study of various optimization criteria for SDHWS and a suggestion for a new global evaluation&lt;/title&gt;&lt;secondary-title&gt;Solar Energy&lt;/secondary-title&gt;&lt;/titles&gt;&lt;pages&gt;232-245&lt;/pages&gt;&lt;volume&gt;83&lt;/volume&gt;&lt;number&gt;2&lt;/number&gt;&lt;keywords&gt;&lt;keyword&gt;Optimization&lt;/keyword&gt;&lt;keyword&gt;SDHWS&lt;/keyword&gt;&lt;keyword&gt;Simulation&lt;/keyword&gt;&lt;keyword&gt;Global evaluation&lt;/keyword&gt;&lt;keyword&gt;Mixed criteria&lt;/keyword&gt;&lt;/keywords&gt;&lt;dates&gt;&lt;year&gt;2009&lt;/year&gt;&lt;pub-dates&gt;&lt;date&gt;2009/02/01/&lt;/date&gt;&lt;/pub-dates&gt;&lt;/dates&gt;&lt;isbn&gt;0038-092X&lt;/isbn&gt;&lt;urls&gt;&lt;related-urls&gt;&lt;url&gt;http://www.sciencedirect.com/science/article/pii/S0038092X08001886&lt;/url&gt;&lt;/related-urls&gt;&lt;/urls&gt;&lt;electronic-resource-num&gt;https://doi.org/10.1016/j.solener.2008.07.021&lt;/electronic-resource-num&gt;&lt;/record&gt;&lt;/Cite&gt;&lt;/EndNote&gt;</w:instrText>
      </w:r>
      <w:r w:rsidR="00D07222" w:rsidRPr="00C90AC9">
        <w:rPr>
          <w:rFonts w:eastAsiaTheme="minorHAnsi"/>
          <w:lang w:eastAsia="en-US"/>
        </w:rPr>
        <w:fldChar w:fldCharType="separate"/>
      </w:r>
      <w:r w:rsidR="00D07222" w:rsidRPr="00C90AC9">
        <w:rPr>
          <w:rFonts w:eastAsiaTheme="minorHAnsi"/>
          <w:lang w:eastAsia="en-US"/>
        </w:rPr>
        <w:t>(Fraisse et al., 2009)</w:t>
      </w:r>
      <w:r w:rsidR="00D07222" w:rsidRPr="00C90AC9">
        <w:rPr>
          <w:rFonts w:eastAsiaTheme="minorHAnsi"/>
          <w:lang w:eastAsia="en-US"/>
        </w:rPr>
        <w:fldChar w:fldCharType="end"/>
      </w:r>
      <w:r w:rsidR="00A16B8C" w:rsidRPr="00C90AC9">
        <w:rPr>
          <w:rFonts w:eastAsiaTheme="minorHAnsi"/>
          <w:lang w:eastAsia="en-US"/>
        </w:rPr>
        <w:t>. For these reasons the proposed system which suggests to the homeowner the most beneficial days to consume the generated hot water is prudent.</w:t>
      </w:r>
    </w:p>
    <w:p w:rsidR="00A16B8C" w:rsidRPr="00C90AC9" w:rsidRDefault="00A16B8C" w:rsidP="001C40B1">
      <w:pPr>
        <w:pStyle w:val="BodyText"/>
        <w:spacing w:line="360" w:lineRule="auto"/>
        <w:rPr>
          <w:rFonts w:eastAsiaTheme="minorHAnsi"/>
          <w:lang w:eastAsia="en-US"/>
        </w:rPr>
      </w:pPr>
      <w:r w:rsidRPr="00C90AC9">
        <w:rPr>
          <w:rFonts w:eastAsiaTheme="minorHAnsi"/>
          <w:lang w:eastAsia="en-US"/>
        </w:rPr>
        <w:t xml:space="preserve">The </w:t>
      </w:r>
      <w:proofErr w:type="spellStart"/>
      <w:r w:rsidRPr="00C90AC9">
        <w:rPr>
          <w:rFonts w:eastAsiaTheme="minorHAnsi"/>
          <w:lang w:eastAsia="en-US"/>
        </w:rPr>
        <w:t>Matlab</w:t>
      </w:r>
      <w:proofErr w:type="spellEnd"/>
      <w:r w:rsidRPr="00C90AC9">
        <w:rPr>
          <w:rFonts w:eastAsiaTheme="minorHAnsi"/>
          <w:lang w:eastAsia="en-US"/>
        </w:rPr>
        <w:t xml:space="preserve"> program calculates these 4 parameters (Eq. 3, 4, 5 ,6) over the entire data set (365 days) for the recorded weather and the predicted weather for the following day. If the weather tomorrow is predicted to be hot and today’s weather is also </w:t>
      </w:r>
      <w:r w:rsidR="00E76CAF" w:rsidRPr="00C90AC9">
        <w:rPr>
          <w:rFonts w:eastAsiaTheme="minorHAnsi"/>
          <w:lang w:eastAsia="en-US"/>
        </w:rPr>
        <w:t>hot,</w:t>
      </w:r>
      <w:r w:rsidRPr="00C90AC9">
        <w:rPr>
          <w:rFonts w:eastAsiaTheme="minorHAnsi"/>
          <w:lang w:eastAsia="en-US"/>
        </w:rPr>
        <w:t xml:space="preserve"> then the system will suggest consuming a high volume of water (Tapping Cycle#1).</w:t>
      </w:r>
    </w:p>
    <w:p w:rsidR="00A16B8C" w:rsidRPr="00C90AC9" w:rsidRDefault="00A16B8C" w:rsidP="00F064E4">
      <w:pPr>
        <w:pStyle w:val="BodyText"/>
        <w:spacing w:line="360" w:lineRule="auto"/>
        <w:rPr>
          <w:rFonts w:eastAsiaTheme="minorHAnsi"/>
          <w:lang w:eastAsia="en-US"/>
        </w:rPr>
      </w:pPr>
      <w:r w:rsidRPr="00C90AC9">
        <w:rPr>
          <w:rFonts w:eastAsiaTheme="minorHAnsi"/>
          <w:lang w:eastAsia="en-US"/>
        </w:rPr>
        <w:t xml:space="preserve">The </w:t>
      </w:r>
      <w:proofErr w:type="spellStart"/>
      <w:r w:rsidRPr="00C90AC9">
        <w:rPr>
          <w:rFonts w:eastAsiaTheme="minorHAnsi"/>
          <w:lang w:eastAsia="en-US"/>
        </w:rPr>
        <w:t>Matlab</w:t>
      </w:r>
      <w:proofErr w:type="spellEnd"/>
      <w:r w:rsidRPr="00C90AC9">
        <w:rPr>
          <w:rFonts w:eastAsiaTheme="minorHAnsi"/>
          <w:lang w:eastAsia="en-US"/>
        </w:rPr>
        <w:t xml:space="preserve"> program utilises an external third party application which accounts for: the location of the collector on the globe (the longitude and latitude of the collector); the tilt of the collector with respect to the horizontal; the altitude of the collector (100m), and also includes the tracking of the </w:t>
      </w:r>
      <w:r w:rsidR="000450FC" w:rsidRPr="00C90AC9">
        <w:rPr>
          <w:rFonts w:eastAsiaTheme="minorHAnsi"/>
          <w:lang w:eastAsia="en-US"/>
        </w:rPr>
        <w:t>sun</w:t>
      </w:r>
      <w:r w:rsidRPr="00C90AC9">
        <w:rPr>
          <w:rFonts w:eastAsiaTheme="minorHAnsi"/>
          <w:lang w:eastAsia="en-US"/>
        </w:rPr>
        <w:t xml:space="preserve"> as it moves across the sky throughout the day (which affects the Direct and Diffuse Irradiation incident on the tilted flat plate collector). The PV Performance Modelling Collaborati</w:t>
      </w:r>
      <w:r w:rsidR="00E14BC1" w:rsidRPr="00C90AC9">
        <w:rPr>
          <w:rFonts w:eastAsiaTheme="minorHAnsi"/>
          <w:lang w:eastAsia="en-US"/>
        </w:rPr>
        <w:t xml:space="preserve">ve is an application for </w:t>
      </w:r>
      <w:proofErr w:type="spellStart"/>
      <w:r w:rsidR="00E14BC1" w:rsidRPr="00C90AC9">
        <w:rPr>
          <w:rFonts w:eastAsiaTheme="minorHAnsi"/>
          <w:lang w:eastAsia="en-US"/>
        </w:rPr>
        <w:t>Matlab</w:t>
      </w:r>
      <w:proofErr w:type="spellEnd"/>
      <w:r w:rsidRPr="00C90AC9">
        <w:rPr>
          <w:rFonts w:eastAsiaTheme="minorHAnsi"/>
          <w:lang w:eastAsia="en-US"/>
        </w:rPr>
        <w:t>.</w:t>
      </w:r>
      <w:r w:rsidR="00850C26" w:rsidRPr="00C90AC9">
        <w:rPr>
          <w:rFonts w:eastAsiaTheme="minorHAnsi"/>
          <w:lang w:eastAsia="en-US"/>
        </w:rPr>
        <w:t xml:space="preserve"> </w:t>
      </w:r>
      <w:r w:rsidRPr="00C90AC9">
        <w:rPr>
          <w:rFonts w:eastAsiaTheme="minorHAnsi"/>
          <w:lang w:eastAsia="en-US"/>
        </w:rPr>
        <w:t xml:space="preserve">The </w:t>
      </w:r>
      <w:proofErr w:type="spellStart"/>
      <w:r w:rsidRPr="00C90AC9">
        <w:rPr>
          <w:rFonts w:eastAsiaTheme="minorHAnsi"/>
          <w:lang w:eastAsia="en-US"/>
        </w:rPr>
        <w:t>Matlab</w:t>
      </w:r>
      <w:proofErr w:type="spellEnd"/>
      <w:r w:rsidRPr="00C90AC9">
        <w:rPr>
          <w:rFonts w:eastAsiaTheme="minorHAnsi"/>
          <w:lang w:eastAsia="en-US"/>
        </w:rPr>
        <w:t xml:space="preserve"> program also accounts for the poor </w:t>
      </w:r>
      <w:r w:rsidRPr="00C90AC9">
        <w:rPr>
          <w:rFonts w:eastAsiaTheme="minorHAnsi"/>
          <w:lang w:eastAsia="en-US"/>
        </w:rPr>
        <w:lastRenderedPageBreak/>
        <w:t>transposing of the bean component recorded at the Sheffield Solar Farm, SSF</w:t>
      </w:r>
      <w:r w:rsidR="002E2617" w:rsidRPr="00C90AC9">
        <w:rPr>
          <w:rFonts w:eastAsiaTheme="minorHAnsi"/>
          <w:lang w:eastAsia="en-US"/>
        </w:rPr>
        <w:t xml:space="preserve"> when </w:t>
      </w:r>
      <w:r w:rsidR="000450FC" w:rsidRPr="00C90AC9">
        <w:rPr>
          <w:rFonts w:eastAsiaTheme="minorHAnsi"/>
          <w:lang w:eastAsia="en-US"/>
        </w:rPr>
        <w:t>sun</w:t>
      </w:r>
      <w:r w:rsidR="002E2617" w:rsidRPr="00C90AC9">
        <w:rPr>
          <w:rFonts w:eastAsiaTheme="minorHAnsi"/>
          <w:lang w:eastAsia="en-US"/>
        </w:rPr>
        <w:t xml:space="preserve"> is close to the horizon. When </w:t>
      </w:r>
      <w:r w:rsidRPr="00C90AC9">
        <w:rPr>
          <w:rFonts w:eastAsiaTheme="minorHAnsi"/>
          <w:lang w:eastAsia="en-US"/>
        </w:rPr>
        <w:t>the Solar Zenith is above 85°</w:t>
      </w:r>
      <w:r w:rsidR="002E2617" w:rsidRPr="00C90AC9">
        <w:rPr>
          <w:rFonts w:eastAsiaTheme="minorHAnsi"/>
          <w:lang w:eastAsia="en-US"/>
        </w:rPr>
        <w:t>, a</w:t>
      </w:r>
      <w:r w:rsidRPr="00C90AC9">
        <w:rPr>
          <w:rFonts w:eastAsiaTheme="minorHAnsi"/>
          <w:lang w:eastAsia="en-US"/>
        </w:rPr>
        <w:t>t these times the Direct Irradiance is assumed to be 0</w:t>
      </w:r>
      <w:r w:rsidR="00E14BC1" w:rsidRPr="00C90AC9">
        <w:rPr>
          <w:rFonts w:eastAsiaTheme="minorHAnsi"/>
          <w:lang w:eastAsia="en-US"/>
        </w:rPr>
        <w:t>,</w:t>
      </w:r>
      <w:r w:rsidRPr="00C90AC9">
        <w:rPr>
          <w:rFonts w:eastAsiaTheme="minorHAnsi"/>
          <w:lang w:eastAsia="en-US"/>
        </w:rPr>
        <w:t xml:space="preserve"> with the Diffuse Irradiance accounting for the Total Irradiance incident on the solar collector. The irradiation as measured by the pyrometer at these times is not reliable and so Direct Irradiance at these times is considered to be zero. This is with the collector set at a fixed altitude of 100m.</w:t>
      </w:r>
    </w:p>
    <w:p w:rsidR="00F064E4" w:rsidRPr="00C90AC9" w:rsidRDefault="00F064E4" w:rsidP="00F064E4">
      <w:pPr>
        <w:pStyle w:val="BodyText"/>
        <w:spacing w:line="360" w:lineRule="auto"/>
        <w:rPr>
          <w:rFonts w:eastAsiaTheme="minorHAnsi"/>
          <w:lang w:eastAsia="en-US"/>
        </w:rPr>
      </w:pPr>
    </w:p>
    <w:p w:rsidR="00A16B8C" w:rsidRPr="00C90AC9" w:rsidRDefault="00A16B8C" w:rsidP="00AE6DE9">
      <w:pPr>
        <w:pStyle w:val="List"/>
        <w:numPr>
          <w:ilvl w:val="1"/>
          <w:numId w:val="3"/>
        </w:numPr>
        <w:ind w:hanging="720"/>
        <w:jc w:val="left"/>
        <w:rPr>
          <w:rStyle w:val="SubtleEmphasis"/>
          <w:rFonts w:cs="Times New Roman"/>
          <w:iCs/>
          <w:szCs w:val="24"/>
        </w:rPr>
      </w:pPr>
      <w:bookmarkStart w:id="33" w:name="_Toc447173057"/>
      <w:r w:rsidRPr="00C90AC9">
        <w:rPr>
          <w:rStyle w:val="SubtleEmphasis"/>
          <w:rFonts w:cs="Times New Roman"/>
          <w:iCs/>
          <w:szCs w:val="24"/>
        </w:rPr>
        <w:t xml:space="preserve">Calculation of heat into panel from the </w:t>
      </w:r>
      <w:r w:rsidR="000450FC" w:rsidRPr="00C90AC9">
        <w:rPr>
          <w:rStyle w:val="SubtleEmphasis"/>
          <w:rFonts w:cs="Times New Roman"/>
          <w:iCs/>
          <w:szCs w:val="24"/>
        </w:rPr>
        <w:t>sun</w:t>
      </w:r>
      <w:bookmarkEnd w:id="33"/>
    </w:p>
    <w:p w:rsidR="00A16B8C" w:rsidRPr="00C90AC9" w:rsidRDefault="00A16B8C" w:rsidP="001C40B1">
      <w:pPr>
        <w:pStyle w:val="BodyTextFirstIndent"/>
        <w:spacing w:line="360" w:lineRule="auto"/>
        <w:rPr>
          <w:rFonts w:eastAsiaTheme="minorHAnsi"/>
          <w:lang w:eastAsia="en-US"/>
        </w:rPr>
      </w:pPr>
      <w:r w:rsidRPr="00C90AC9">
        <w:rPr>
          <w:rFonts w:eastAsiaTheme="minorHAnsi"/>
          <w:lang w:eastAsia="en-US"/>
        </w:rPr>
        <w:t>To calculate how much irradiance is falling on a flat plate collector there are a number of assumptions that are made. These assumptions are:</w:t>
      </w:r>
    </w:p>
    <w:p w:rsidR="00A16B8C" w:rsidRPr="00C90AC9" w:rsidRDefault="00A16B8C" w:rsidP="00CA6E35">
      <w:pPr>
        <w:pStyle w:val="List2"/>
        <w:numPr>
          <w:ilvl w:val="0"/>
          <w:numId w:val="6"/>
        </w:numPr>
        <w:spacing w:line="360" w:lineRule="auto"/>
        <w:rPr>
          <w:rFonts w:eastAsiaTheme="minorHAnsi"/>
          <w:lang w:eastAsia="en-US"/>
        </w:rPr>
      </w:pPr>
      <w:r w:rsidRPr="00C90AC9">
        <w:rPr>
          <w:rFonts w:eastAsiaTheme="minorHAnsi"/>
          <w:lang w:eastAsia="en-US"/>
        </w:rPr>
        <w:t>the flow rate (</w:t>
      </w:r>
      <m:oMath>
        <m:r>
          <w:rPr>
            <w:rFonts w:ascii="Cambria Math" w:eastAsiaTheme="minorHAnsi" w:hAnsi="Cambria Math"/>
            <w:lang w:eastAsia="en-US"/>
          </w:rPr>
          <m:t>ṁ)</m:t>
        </m:r>
      </m:oMath>
      <w:r w:rsidRPr="00C90AC9">
        <w:rPr>
          <w:rFonts w:eastAsiaTheme="minorHAnsi"/>
          <w:lang w:eastAsia="en-US"/>
        </w:rPr>
        <w:t xml:space="preserve"> of the water coming from the flat plate panel is sufficient to assume that the coil can be considered to have the same initial temperature along its entire length equal to the temperature of the water as it leaves the collector (the coil can be considered as essentially a rod);</w:t>
      </w:r>
    </w:p>
    <w:p w:rsidR="00A16B8C" w:rsidRPr="00C90AC9" w:rsidRDefault="00A16B8C" w:rsidP="00CA6E35">
      <w:pPr>
        <w:pStyle w:val="List2"/>
        <w:numPr>
          <w:ilvl w:val="0"/>
          <w:numId w:val="6"/>
        </w:numPr>
        <w:spacing w:line="360" w:lineRule="auto"/>
        <w:rPr>
          <w:rFonts w:eastAsiaTheme="minorHAnsi"/>
          <w:lang w:eastAsia="en-US"/>
        </w:rPr>
      </w:pPr>
      <w:r w:rsidRPr="00C90AC9">
        <w:rPr>
          <w:rFonts w:eastAsiaTheme="minorHAnsi"/>
          <w:lang w:eastAsia="en-US"/>
        </w:rPr>
        <w:t>single glazed, flat plate collector;</w:t>
      </w:r>
    </w:p>
    <w:p w:rsidR="00A16B8C" w:rsidRPr="00C90AC9" w:rsidRDefault="00A16B8C" w:rsidP="00CA6E35">
      <w:pPr>
        <w:pStyle w:val="List2"/>
        <w:numPr>
          <w:ilvl w:val="0"/>
          <w:numId w:val="6"/>
        </w:numPr>
        <w:spacing w:line="360" w:lineRule="auto"/>
        <w:rPr>
          <w:rFonts w:eastAsiaTheme="minorHAnsi"/>
          <w:lang w:eastAsia="en-US"/>
        </w:rPr>
      </w:pPr>
      <w:r w:rsidRPr="00C90AC9">
        <w:rPr>
          <w:rFonts w:eastAsiaTheme="minorHAnsi"/>
          <w:lang w:eastAsia="en-US"/>
        </w:rPr>
        <w:t xml:space="preserve">south facing collector, </w:t>
      </w:r>
      <w:proofErr w:type="spellStart"/>
      <w:r w:rsidRPr="00C90AC9">
        <w:rPr>
          <w:rFonts w:eastAsiaTheme="minorHAnsi"/>
          <w:lang w:eastAsia="en-US"/>
        </w:rPr>
        <w:t>γ</w:t>
      </w:r>
      <w:r w:rsidRPr="00C90AC9">
        <w:rPr>
          <w:rFonts w:eastAsiaTheme="minorHAnsi"/>
          <w:vertAlign w:val="subscript"/>
          <w:lang w:eastAsia="en-US"/>
        </w:rPr>
        <w:t>s</w:t>
      </w:r>
      <w:proofErr w:type="spellEnd"/>
      <w:r w:rsidRPr="00C90AC9">
        <w:rPr>
          <w:rFonts w:eastAsiaTheme="minorHAnsi"/>
          <w:lang w:eastAsia="en-US"/>
        </w:rPr>
        <w:t>=0°;</w:t>
      </w:r>
    </w:p>
    <w:p w:rsidR="00A16B8C" w:rsidRPr="00C90AC9" w:rsidRDefault="00A16B8C" w:rsidP="00CA6E35">
      <w:pPr>
        <w:pStyle w:val="List2"/>
        <w:numPr>
          <w:ilvl w:val="0"/>
          <w:numId w:val="6"/>
        </w:numPr>
        <w:spacing w:line="360" w:lineRule="auto"/>
        <w:rPr>
          <w:rFonts w:eastAsiaTheme="minorHAnsi"/>
          <w:lang w:eastAsia="en-US"/>
        </w:rPr>
      </w:pPr>
      <w:r w:rsidRPr="00C90AC9">
        <w:rPr>
          <w:rFonts w:eastAsiaTheme="minorHAnsi"/>
          <w:lang w:eastAsia="en-US"/>
        </w:rPr>
        <w:t xml:space="preserve">located in Sheffield </w:t>
      </w:r>
      <w:r w:rsidRPr="00C90AC9">
        <w:rPr>
          <w:rFonts w:eastAsiaTheme="minorHAnsi"/>
          <w:vertAlign w:val="superscript"/>
          <w:lang w:eastAsia="en-US"/>
        </w:rPr>
        <w:t>1</w:t>
      </w:r>
      <w:r w:rsidRPr="00C90AC9">
        <w:rPr>
          <w:rFonts w:eastAsiaTheme="minorHAnsi"/>
          <w:lang w:eastAsia="en-US"/>
        </w:rPr>
        <w:t>, ϕ = 53.3836° N, 1.4669° W; and</w:t>
      </w:r>
    </w:p>
    <w:p w:rsidR="00A16B8C" w:rsidRPr="00C90AC9" w:rsidRDefault="00A16B8C" w:rsidP="00CA6E35">
      <w:pPr>
        <w:pStyle w:val="List2"/>
        <w:numPr>
          <w:ilvl w:val="0"/>
          <w:numId w:val="6"/>
        </w:numPr>
        <w:spacing w:line="360" w:lineRule="auto"/>
        <w:rPr>
          <w:rFonts w:eastAsiaTheme="minorHAnsi"/>
          <w:lang w:eastAsia="en-US"/>
        </w:rPr>
      </w:pPr>
      <w:r w:rsidRPr="00C90AC9">
        <w:rPr>
          <w:rFonts w:eastAsiaTheme="minorHAnsi"/>
          <w:lang w:eastAsia="en-US"/>
        </w:rPr>
        <w:t>collector tilt, β=45°.</w:t>
      </w:r>
    </w:p>
    <w:bookmarkStart w:id="34" w:name="_Hlk526835712"/>
    <w:p w:rsidR="00850C26" w:rsidRPr="00C90AC9" w:rsidRDefault="00E14BC1" w:rsidP="00E14BC1">
      <w:pPr>
        <w:jc w:val="right"/>
        <w:rPr>
          <w:rFonts w:eastAsiaTheme="minorHAnsi"/>
          <w:lang w:eastAsia="en-US"/>
        </w:rPr>
      </w:pPr>
      <w:r w:rsidRPr="00C90AC9">
        <w:rPr>
          <w:rFonts w:eastAsiaTheme="minorHAnsi"/>
          <w:lang w:eastAsia="en-US"/>
        </w:rPr>
        <w:fldChar w:fldCharType="begin"/>
      </w:r>
      <w:r w:rsidRPr="00C90AC9">
        <w:rPr>
          <w:rFonts w:eastAsiaTheme="minorHAnsi"/>
          <w:lang w:eastAsia="en-US"/>
        </w:rPr>
        <w:instrText xml:space="preserve"> ADDIN EN.CITE &lt;EndNote&gt;&lt;Cite&gt;&lt;Author&gt;Duffie&lt;/Author&gt;&lt;Year&gt;1980&lt;/Year&gt;&lt;RecNum&gt;248&lt;/RecNum&gt;&lt;DisplayText&gt;(Duffie &amp;amp; Beckman, 1980)&lt;/DisplayText&gt;&lt;record&gt;&lt;rec-number&gt;248&lt;/rec-number&gt;&lt;foreign-keys&gt;&lt;key app="EN" db-id="50wxdpzd9vd5r7e9t5b595djrfpttrxw9avp" timestamp="1525677801"&gt;248&lt;/key&gt;&lt;/foreign-keys&gt;&lt;ref-type name="Book"&gt;6&lt;/ref-type&gt;&lt;contributors&gt;&lt;authors&gt;&lt;author&gt;Duffie, John A.&lt;/author&gt;&lt;author&gt;Beckman, Willam A.&lt;/author&gt;&lt;/authors&gt;&lt;/contributors&gt;&lt;titles&gt;&lt;title&gt;Solutions manual for solar engineering of thermal processes&lt;/title&gt;&lt;/titles&gt;&lt;dates&gt;&lt;year&gt;1980&lt;/year&gt;&lt;/dates&gt;&lt;pub-location&gt;Madison, Wis.&lt;/pub-location&gt;&lt;publisher&gt;Solar Energy Laboratory, University of Wisconsin-Madison&lt;/publisher&gt;&lt;urls&gt;&lt;/urls&gt;&lt;remote-database-name&gt;/z-wcorg/&lt;/remote-database-name&gt;&lt;remote-database-provider&gt;http://worldcat.org&lt;/remote-database-provider&gt;&lt;language&gt;English&lt;/language&gt;&lt;/record&gt;&lt;/Cite&gt;&lt;/EndNote&gt;</w:instrText>
      </w:r>
      <w:r w:rsidRPr="00C90AC9">
        <w:rPr>
          <w:rFonts w:eastAsiaTheme="minorHAnsi"/>
          <w:lang w:eastAsia="en-US"/>
        </w:rPr>
        <w:fldChar w:fldCharType="separate"/>
      </w:r>
      <w:r w:rsidRPr="00C90AC9">
        <w:rPr>
          <w:rFonts w:eastAsiaTheme="minorHAnsi"/>
          <w:lang w:eastAsia="en-US"/>
        </w:rPr>
        <w:t>(Duffie &amp; Beckman, 1980)</w:t>
      </w:r>
      <w:r w:rsidRPr="00C90AC9">
        <w:rPr>
          <w:rFonts w:eastAsiaTheme="minorHAnsi"/>
          <w:lang w:eastAsia="en-US"/>
        </w:rPr>
        <w:fldChar w:fldCharType="end"/>
      </w:r>
    </w:p>
    <w:bookmarkEnd w:id="34"/>
    <w:p w:rsidR="00A16B8C" w:rsidRPr="00C90AC9" w:rsidRDefault="0074402A" w:rsidP="00B06779">
      <w:pPr>
        <w:pStyle w:val="BodyText"/>
        <w:rPr>
          <w:rFonts w:eastAsiaTheme="minorHAnsi"/>
          <w:lang w:eastAsia="en-US"/>
        </w:rPr>
      </w:pPr>
      <w:r w:rsidRPr="00C90AC9">
        <w:rPr>
          <w:rFonts w:eastAsiaTheme="minorHAnsi"/>
          <w:noProof/>
        </w:rPr>
        <mc:AlternateContent>
          <mc:Choice Requires="wps">
            <w:drawing>
              <wp:anchor distT="0" distB="0" distL="114300" distR="114300" simplePos="0" relativeHeight="251872256" behindDoc="0" locked="0" layoutInCell="1" allowOverlap="1" wp14:anchorId="1D8AD7AF" wp14:editId="72810EA4">
                <wp:simplePos x="0" y="0"/>
                <wp:positionH relativeFrom="column">
                  <wp:posOffset>1513840</wp:posOffset>
                </wp:positionH>
                <wp:positionV relativeFrom="paragraph">
                  <wp:posOffset>224600</wp:posOffset>
                </wp:positionV>
                <wp:extent cx="2676525" cy="523875"/>
                <wp:effectExtent l="0" t="0" r="28575" b="28575"/>
                <wp:wrapNone/>
                <wp:docPr id="476" name="Rectangle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6525" cy="523875"/>
                        </a:xfrm>
                        <a:prstGeom prst="rect">
                          <a:avLst/>
                        </a:prstGeom>
                        <a:solidFill>
                          <a:srgbClr val="4F81BD">
                            <a:alpha val="30000"/>
                          </a:srgb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5221BD" id="Rectangle 476" o:spid="_x0000_s1026" style="position:absolute;margin-left:119.2pt;margin-top:17.7pt;width:210.75pt;height:41.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" fillcolor="#4f81bd" strokecolor="#385d8a" strokeweight="1pt">
                <v:fill opacity="19789f"/>
                <v:path arrowok="t"/>
              </v:rect>
            </w:pict>
          </mc:Fallback>
        </mc:AlternateContent>
      </w:r>
      <w:r w:rsidR="004524CB" w:rsidRPr="00C90AC9">
        <w:rPr>
          <w:rFonts w:eastAsiaTheme="minorHAnsi"/>
          <w:lang w:eastAsia="en-US"/>
        </w:rPr>
        <w:t>With the above assumptions t</w:t>
      </w:r>
      <w:r w:rsidR="00A16B8C" w:rsidRPr="00C90AC9">
        <w:rPr>
          <w:rFonts w:eastAsiaTheme="minorHAnsi"/>
          <w:lang w:eastAsia="en-US"/>
        </w:rPr>
        <w:t>he Solar Declination (</w:t>
      </w:r>
      <w:proofErr w:type="spellStart"/>
      <w:r w:rsidR="00A16B8C" w:rsidRPr="00C90AC9">
        <w:rPr>
          <w:rFonts w:eastAsiaTheme="minorHAnsi"/>
          <w:lang w:eastAsia="en-US"/>
        </w:rPr>
        <w:t>δ</w:t>
      </w:r>
      <w:r w:rsidR="00A16B8C" w:rsidRPr="00C90AC9">
        <w:rPr>
          <w:rFonts w:eastAsiaTheme="minorHAnsi"/>
          <w:vertAlign w:val="subscript"/>
          <w:lang w:eastAsia="en-US"/>
        </w:rPr>
        <w:t>s</w:t>
      </w:r>
      <w:proofErr w:type="spellEnd"/>
      <w:r w:rsidR="00A16B8C" w:rsidRPr="00C90AC9">
        <w:rPr>
          <w:rFonts w:eastAsiaTheme="minorHAnsi"/>
          <w:lang w:eastAsia="en-US"/>
        </w:rPr>
        <w:t xml:space="preserve">) can </w:t>
      </w:r>
      <w:r w:rsidR="004524CB" w:rsidRPr="00C90AC9">
        <w:rPr>
          <w:rFonts w:eastAsiaTheme="minorHAnsi"/>
          <w:lang w:eastAsia="en-US"/>
        </w:rPr>
        <w:t xml:space="preserve">now </w:t>
      </w:r>
      <w:r w:rsidR="00A16B8C" w:rsidRPr="00C90AC9">
        <w:rPr>
          <w:rFonts w:eastAsiaTheme="minorHAnsi"/>
          <w:lang w:eastAsia="en-US"/>
        </w:rPr>
        <w:t xml:space="preserve">be </w:t>
      </w:r>
      <w:r w:rsidR="004524CB" w:rsidRPr="00C90AC9">
        <w:rPr>
          <w:rFonts w:eastAsiaTheme="minorHAnsi"/>
          <w:lang w:eastAsia="en-US"/>
        </w:rPr>
        <w:t>calculated</w:t>
      </w:r>
      <w:r w:rsidR="00A16B8C" w:rsidRPr="00C90AC9">
        <w:rPr>
          <w:rFonts w:eastAsiaTheme="minorHAnsi"/>
          <w:lang w:eastAsia="en-US"/>
        </w:rPr>
        <w:t>:</w:t>
      </w:r>
    </w:p>
    <w:tbl>
      <w:tblPr>
        <w:tblW w:w="9322" w:type="dxa"/>
        <w:tblLook w:val="04A0" w:firstRow="1" w:lastRow="0" w:firstColumn="1" w:lastColumn="0" w:noHBand="0" w:noVBand="1"/>
      </w:tblPr>
      <w:tblGrid>
        <w:gridCol w:w="959"/>
        <w:gridCol w:w="7229"/>
        <w:gridCol w:w="1134"/>
      </w:tblGrid>
      <w:tr w:rsidR="00A16B8C" w:rsidRPr="00C90AC9" w:rsidTr="000E1CF9">
        <w:tc>
          <w:tcPr>
            <w:tcW w:w="959" w:type="dxa"/>
            <w:tcBorders>
              <w:top w:val="nil"/>
              <w:left w:val="nil"/>
              <w:bottom w:val="nil"/>
              <w:right w:val="nil"/>
            </w:tcBorders>
          </w:tcPr>
          <w:p w:rsidR="00A16B8C" w:rsidRPr="00C90AC9" w:rsidRDefault="00A16B8C" w:rsidP="00B06779">
            <w:pPr>
              <w:rPr>
                <w:lang w:eastAsia="zh-CN"/>
              </w:rPr>
            </w:pPr>
          </w:p>
        </w:tc>
        <w:tc>
          <w:tcPr>
            <w:tcW w:w="7229" w:type="dxa"/>
            <w:tcBorders>
              <w:top w:val="nil"/>
              <w:left w:val="nil"/>
              <w:bottom w:val="nil"/>
              <w:right w:val="nil"/>
            </w:tcBorders>
          </w:tcPr>
          <w:p w:rsidR="00A16B8C" w:rsidRPr="00C90AC9" w:rsidRDefault="00A16B8C" w:rsidP="00B06779">
            <w:pPr>
              <w:rPr>
                <w:lang w:eastAsia="zh-CN"/>
              </w:rPr>
            </w:pPr>
            <m:oMathPara>
              <m:oMath>
                <m:r>
                  <m:rPr>
                    <m:sty m:val="p"/>
                  </m:rPr>
                  <w:rPr>
                    <w:rFonts w:ascii="Cambria Math" w:hAnsi="Cambria Math"/>
                    <w:lang w:eastAsia="zh-CN"/>
                  </w:rPr>
                  <m:t xml:space="preserve"> </m:t>
                </m:r>
                <m:sSub>
                  <m:sSubPr>
                    <m:ctrlPr>
                      <w:rPr>
                        <w:rFonts w:ascii="Cambria Math" w:hAnsi="Cambria Math"/>
                        <w:lang w:eastAsia="zh-CN"/>
                      </w:rPr>
                    </m:ctrlPr>
                  </m:sSubPr>
                  <m:e>
                    <m:r>
                      <w:rPr>
                        <w:rFonts w:ascii="Cambria Math" w:hAnsi="Cambria Math"/>
                        <w:lang w:eastAsia="zh-CN"/>
                      </w:rPr>
                      <m:t>δ</m:t>
                    </m:r>
                  </m:e>
                  <m:sub>
                    <m:r>
                      <w:rPr>
                        <w:rFonts w:ascii="Cambria Math" w:hAnsi="Cambria Math"/>
                        <w:lang w:eastAsia="zh-CN"/>
                      </w:rPr>
                      <m:t>S</m:t>
                    </m:r>
                  </m:sub>
                </m:sSub>
                <m:r>
                  <m:rPr>
                    <m:sty m:val="p"/>
                  </m:rPr>
                  <w:rPr>
                    <w:rFonts w:ascii="Cambria Math" w:hAnsi="Cambria Math"/>
                    <w:lang w:eastAsia="zh-CN"/>
                  </w:rPr>
                  <m:t>=23.45×</m:t>
                </m:r>
                <m:func>
                  <m:funcPr>
                    <m:ctrlPr>
                      <w:rPr>
                        <w:rFonts w:ascii="Cambria Math" w:hAnsi="Cambria Math"/>
                        <w:lang w:eastAsia="zh-CN"/>
                      </w:rPr>
                    </m:ctrlPr>
                  </m:funcPr>
                  <m:fName>
                    <m:r>
                      <m:rPr>
                        <m:sty m:val="p"/>
                      </m:rPr>
                      <w:rPr>
                        <w:rFonts w:ascii="Cambria Math" w:hAnsi="Cambria Math"/>
                        <w:lang w:eastAsia="zh-CN"/>
                      </w:rPr>
                      <m:t>sin</m:t>
                    </m:r>
                  </m:fName>
                  <m:e>
                    <m:d>
                      <m:dPr>
                        <m:ctrlPr>
                          <w:rPr>
                            <w:rFonts w:ascii="Cambria Math" w:hAnsi="Cambria Math"/>
                            <w:lang w:eastAsia="zh-CN"/>
                          </w:rPr>
                        </m:ctrlPr>
                      </m:dPr>
                      <m:e>
                        <m:f>
                          <m:fPr>
                            <m:ctrlPr>
                              <w:rPr>
                                <w:rFonts w:ascii="Cambria Math" w:hAnsi="Cambria Math"/>
                                <w:lang w:eastAsia="zh-CN"/>
                              </w:rPr>
                            </m:ctrlPr>
                          </m:fPr>
                          <m:num>
                            <m:r>
                              <m:rPr>
                                <m:sty m:val="p"/>
                              </m:rPr>
                              <w:rPr>
                                <w:rFonts w:ascii="Cambria Math" w:hAnsi="Cambria Math"/>
                                <w:lang w:eastAsia="zh-CN"/>
                              </w:rPr>
                              <m:t>360°×(284+</m:t>
                            </m:r>
                            <m:r>
                              <w:rPr>
                                <w:rFonts w:ascii="Cambria Math" w:hAnsi="Cambria Math"/>
                                <w:lang w:eastAsia="zh-CN"/>
                              </w:rPr>
                              <m:t>n</m:t>
                            </m:r>
                            <m:r>
                              <m:rPr>
                                <m:sty m:val="p"/>
                              </m:rPr>
                              <w:rPr>
                                <w:rFonts w:ascii="Cambria Math" w:hAnsi="Cambria Math"/>
                                <w:lang w:eastAsia="zh-CN"/>
                              </w:rPr>
                              <m:t>)</m:t>
                            </m:r>
                          </m:num>
                          <m:den>
                            <m:r>
                              <m:rPr>
                                <m:sty m:val="p"/>
                              </m:rPr>
                              <w:rPr>
                                <w:rFonts w:ascii="Cambria Math" w:hAnsi="Cambria Math"/>
                                <w:lang w:eastAsia="zh-CN"/>
                              </w:rPr>
                              <m:t>365</m:t>
                            </m:r>
                          </m:den>
                        </m:f>
                      </m:e>
                    </m:d>
                  </m:e>
                </m:func>
              </m:oMath>
            </m:oMathPara>
          </w:p>
        </w:tc>
        <w:tc>
          <w:tcPr>
            <w:tcW w:w="1134" w:type="dxa"/>
            <w:tcBorders>
              <w:top w:val="nil"/>
              <w:left w:val="nil"/>
              <w:bottom w:val="nil"/>
              <w:right w:val="nil"/>
            </w:tcBorders>
          </w:tcPr>
          <w:p w:rsidR="00A16B8C" w:rsidRPr="00C90AC9" w:rsidRDefault="00A16B8C" w:rsidP="00B06779">
            <w:pPr>
              <w:rPr>
                <w:lang w:eastAsia="zh-CN"/>
              </w:rPr>
            </w:pPr>
          </w:p>
          <w:p w:rsidR="00A16B8C" w:rsidRPr="00C90AC9" w:rsidRDefault="00BF282D" w:rsidP="00B06779">
            <w:pPr>
              <w:rPr>
                <w:lang w:eastAsia="zh-CN"/>
              </w:rPr>
            </w:pPr>
            <w:r w:rsidRPr="00C90AC9">
              <w:rPr>
                <w:lang w:eastAsia="zh-CN"/>
              </w:rPr>
              <w:t xml:space="preserve">         </w:t>
            </w:r>
            <w:r w:rsidR="00E521BC" w:rsidRPr="00C90AC9">
              <w:rPr>
                <w:lang w:eastAsia="zh-CN"/>
              </w:rPr>
              <w:t>(8</w:t>
            </w:r>
            <w:r w:rsidR="00A16B8C" w:rsidRPr="00C90AC9">
              <w:rPr>
                <w:lang w:eastAsia="zh-CN"/>
              </w:rPr>
              <w:t>)</w:t>
            </w:r>
          </w:p>
        </w:tc>
      </w:tr>
    </w:tbl>
    <w:p w:rsidR="00A16B8C" w:rsidRPr="00C90AC9" w:rsidRDefault="00A16B8C" w:rsidP="001C40B1">
      <w:pPr>
        <w:pStyle w:val="Caption"/>
        <w:jc w:val="right"/>
        <w:rPr>
          <w:rFonts w:eastAsiaTheme="minorHAnsi"/>
          <w:b w:val="0"/>
          <w:color w:val="auto"/>
          <w:sz w:val="24"/>
          <w:lang w:eastAsia="en-US"/>
        </w:rPr>
      </w:pPr>
    </w:p>
    <w:p w:rsidR="00A16B8C" w:rsidRPr="00C90AC9" w:rsidRDefault="00A16B8C" w:rsidP="00B06779">
      <w:pPr>
        <w:pStyle w:val="BodyText"/>
        <w:rPr>
          <w:rFonts w:eastAsiaTheme="minorHAnsi"/>
          <w:lang w:eastAsia="en-US"/>
        </w:rPr>
      </w:pPr>
      <w:r w:rsidRPr="00C90AC9">
        <w:rPr>
          <w:rFonts w:eastAsiaTheme="minorHAnsi"/>
          <w:lang w:eastAsia="en-US"/>
        </w:rPr>
        <w:t>Where:</w:t>
      </w:r>
      <w:r w:rsidRPr="00C90AC9">
        <w:rPr>
          <w:rFonts w:eastAsiaTheme="minorHAnsi"/>
          <w:lang w:eastAsia="en-US"/>
        </w:rPr>
        <w:br/>
      </w:r>
      <w:proofErr w:type="spellStart"/>
      <w:r w:rsidRPr="00C90AC9">
        <w:rPr>
          <w:rFonts w:eastAsiaTheme="minorHAnsi"/>
          <w:lang w:eastAsia="en-US"/>
        </w:rPr>
        <w:t>δ</w:t>
      </w:r>
      <w:r w:rsidRPr="00C90AC9">
        <w:rPr>
          <w:rFonts w:eastAsiaTheme="minorHAnsi"/>
          <w:vertAlign w:val="subscript"/>
          <w:lang w:eastAsia="en-US"/>
        </w:rPr>
        <w:t>s</w:t>
      </w:r>
      <w:proofErr w:type="spellEnd"/>
      <w:r w:rsidRPr="00C90AC9">
        <w:rPr>
          <w:rFonts w:eastAsiaTheme="minorHAnsi"/>
          <w:vertAlign w:val="subscript"/>
          <w:lang w:eastAsia="en-US"/>
        </w:rPr>
        <w:t xml:space="preserve"> </w:t>
      </w:r>
      <w:r w:rsidRPr="00C90AC9">
        <w:rPr>
          <w:rFonts w:eastAsiaTheme="minorHAnsi"/>
          <w:lang w:eastAsia="en-US"/>
        </w:rPr>
        <w:t>- Declination Angle</w:t>
      </w:r>
      <w:r w:rsidRPr="00C90AC9">
        <w:rPr>
          <w:rFonts w:eastAsiaTheme="minorHAnsi"/>
          <w:lang w:eastAsia="en-US"/>
        </w:rPr>
        <w:tab/>
      </w:r>
      <w:r w:rsidRPr="00C90AC9">
        <w:rPr>
          <w:rFonts w:eastAsiaTheme="minorHAnsi"/>
          <w:i/>
          <w:lang w:eastAsia="en-US"/>
        </w:rPr>
        <w:br/>
        <w:t xml:space="preserve">n </w:t>
      </w:r>
      <w:r w:rsidRPr="00C90AC9">
        <w:rPr>
          <w:rFonts w:eastAsiaTheme="minorHAnsi"/>
          <w:lang w:eastAsia="en-US"/>
        </w:rPr>
        <w:t xml:space="preserve">-Day of year </w:t>
      </w:r>
    </w:p>
    <w:p w:rsidR="00850C26" w:rsidRPr="00C90AC9" w:rsidRDefault="00850C26" w:rsidP="00B06779">
      <w:pPr>
        <w:rPr>
          <w:rFonts w:eastAsiaTheme="minorHAnsi"/>
          <w:lang w:eastAsia="en-US"/>
        </w:rPr>
      </w:pPr>
    </w:p>
    <w:p w:rsidR="00A16B8C" w:rsidRPr="00C90AC9" w:rsidRDefault="0074402A" w:rsidP="00B06779">
      <w:pPr>
        <w:pStyle w:val="BodyText"/>
        <w:rPr>
          <w:rFonts w:eastAsiaTheme="minorHAnsi"/>
          <w:lang w:eastAsia="en-US"/>
        </w:rPr>
      </w:pPr>
      <w:r w:rsidRPr="00C90AC9">
        <w:rPr>
          <w:rFonts w:eastAsiaTheme="minorHAnsi"/>
          <w:noProof/>
        </w:rPr>
        <mc:AlternateContent>
          <mc:Choice Requires="wps">
            <w:drawing>
              <wp:anchor distT="0" distB="0" distL="114300" distR="114300" simplePos="0" relativeHeight="251781120" behindDoc="1" locked="0" layoutInCell="1" allowOverlap="1" wp14:anchorId="5C1BA103" wp14:editId="2AFCDE76">
                <wp:simplePos x="0" y="0"/>
                <wp:positionH relativeFrom="column">
                  <wp:posOffset>2188210</wp:posOffset>
                </wp:positionH>
                <wp:positionV relativeFrom="paragraph">
                  <wp:posOffset>214630</wp:posOffset>
                </wp:positionV>
                <wp:extent cx="1514475" cy="464185"/>
                <wp:effectExtent l="0" t="0" r="9525" b="0"/>
                <wp:wrapNone/>
                <wp:docPr id="344" name="Rectangle 3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464185"/>
                        </a:xfrm>
                        <a:prstGeom prst="rect">
                          <a:avLst/>
                        </a:prstGeom>
                        <a:solidFill>
                          <a:srgbClr val="4F81BD">
                            <a:alpha val="30000"/>
                          </a:srgbClr>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46AC5A" id="Rectangle 344" o:spid="_x0000_s1026" style="position:absolute;margin-left:172.3pt;margin-top:16.9pt;width:119.25pt;height:36.55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" fillcolor="#4f81bd" strokecolor="#385d8a">
                <v:fill opacity="19789f"/>
                <v:path arrowok="t"/>
              </v:rect>
            </w:pict>
          </mc:Fallback>
        </mc:AlternateContent>
      </w:r>
      <w:r w:rsidR="00A16B8C" w:rsidRPr="00C90AC9">
        <w:rPr>
          <w:rFonts w:eastAsiaTheme="minorHAnsi"/>
          <w:lang w:eastAsia="en-US"/>
        </w:rPr>
        <w:t>The Overall Transmittance (Tr) of the collector can be calculated for the collector:</w:t>
      </w:r>
    </w:p>
    <w:tbl>
      <w:tblPr>
        <w:tblW w:w="9322" w:type="dxa"/>
        <w:tblLook w:val="04A0" w:firstRow="1" w:lastRow="0" w:firstColumn="1" w:lastColumn="0" w:noHBand="0" w:noVBand="1"/>
      </w:tblPr>
      <w:tblGrid>
        <w:gridCol w:w="1668"/>
        <w:gridCol w:w="5954"/>
        <w:gridCol w:w="1700"/>
      </w:tblGrid>
      <w:tr w:rsidR="00A16B8C" w:rsidRPr="00C90AC9" w:rsidTr="008C4189">
        <w:trPr>
          <w:trHeight w:val="991"/>
        </w:trPr>
        <w:tc>
          <w:tcPr>
            <w:tcW w:w="1668" w:type="dxa"/>
          </w:tcPr>
          <w:p w:rsidR="00A16B8C" w:rsidRPr="00C90AC9" w:rsidRDefault="00A16B8C" w:rsidP="00B06779">
            <w:pPr>
              <w:rPr>
                <w:lang w:eastAsia="zh-CN"/>
              </w:rPr>
            </w:pPr>
          </w:p>
        </w:tc>
        <w:tc>
          <w:tcPr>
            <w:tcW w:w="5954" w:type="dxa"/>
          </w:tcPr>
          <w:p w:rsidR="00A16B8C" w:rsidRPr="00C90AC9" w:rsidRDefault="006F0C85" w:rsidP="00B06779">
            <w:pPr>
              <w:rPr>
                <w:lang w:eastAsia="en-US"/>
              </w:rPr>
            </w:pPr>
            <m:oMathPara>
              <m:oMath>
                <m:sSub>
                  <m:sSubPr>
                    <m:ctrlPr>
                      <w:rPr>
                        <w:rFonts w:ascii="Cambria Math" w:eastAsiaTheme="minorHAnsi" w:hAnsi="Cambria Math"/>
                        <w:lang w:eastAsia="en-US"/>
                      </w:rPr>
                    </m:ctrlPr>
                  </m:sSubPr>
                  <m:e>
                    <m:r>
                      <w:rPr>
                        <w:rFonts w:ascii="Cambria Math" w:eastAsiaTheme="minorHAnsi" w:hAnsi="Cambria Math"/>
                        <w:lang w:eastAsia="en-US"/>
                      </w:rPr>
                      <m:t>T</m:t>
                    </m:r>
                  </m:e>
                  <m:sub>
                    <m:r>
                      <w:rPr>
                        <w:rFonts w:ascii="Cambria Math" w:eastAsiaTheme="minorHAnsi" w:hAnsi="Cambria Math"/>
                        <w:lang w:eastAsia="en-US"/>
                      </w:rPr>
                      <m:t>r</m:t>
                    </m:r>
                  </m:sub>
                </m:sSub>
                <m:r>
                  <m:rPr>
                    <m:sty m:val="p"/>
                  </m:rPr>
                  <w:rPr>
                    <w:rFonts w:ascii="Cambria Math" w:eastAsiaTheme="minorHAnsi" w:hAnsi="Cambria Math"/>
                    <w:lang w:eastAsia="en-US"/>
                  </w:rPr>
                  <m:t>≈</m:t>
                </m:r>
                <m:r>
                  <w:rPr>
                    <w:rFonts w:ascii="Cambria Math" w:eastAsiaTheme="minorHAnsi" w:hAnsi="Cambria Math"/>
                    <w:lang w:eastAsia="en-US"/>
                  </w:rPr>
                  <m:t>τ</m:t>
                </m:r>
                <m:d>
                  <m:dPr>
                    <m:ctrlPr>
                      <w:rPr>
                        <w:rFonts w:ascii="Cambria Math" w:eastAsiaTheme="minorHAnsi" w:hAnsi="Cambria Math"/>
                        <w:lang w:eastAsia="en-US"/>
                      </w:rPr>
                    </m:ctrlPr>
                  </m:dPr>
                  <m:e>
                    <m:f>
                      <m:fPr>
                        <m:ctrlPr>
                          <w:rPr>
                            <w:rFonts w:ascii="Cambria Math" w:eastAsiaTheme="minorHAnsi" w:hAnsi="Cambria Math"/>
                            <w:lang w:eastAsia="en-US"/>
                          </w:rPr>
                        </m:ctrlPr>
                      </m:fPr>
                      <m:num>
                        <m:r>
                          <m:rPr>
                            <m:sty m:val="p"/>
                          </m:rPr>
                          <w:rPr>
                            <w:rFonts w:ascii="Cambria Math" w:eastAsiaTheme="minorHAnsi" w:hAnsi="Cambria Math"/>
                            <w:lang w:eastAsia="en-US"/>
                          </w:rPr>
                          <m:t>1-</m:t>
                        </m:r>
                        <m:r>
                          <w:rPr>
                            <w:rFonts w:ascii="Cambria Math" w:eastAsiaTheme="minorHAnsi" w:hAnsi="Cambria Math"/>
                            <w:lang w:eastAsia="en-US"/>
                          </w:rPr>
                          <m:t>ρ</m:t>
                        </m:r>
                      </m:num>
                      <m:den>
                        <m:r>
                          <m:rPr>
                            <m:sty m:val="p"/>
                          </m:rPr>
                          <w:rPr>
                            <w:rFonts w:ascii="Cambria Math" w:eastAsiaTheme="minorHAnsi" w:hAnsi="Cambria Math"/>
                            <w:lang w:eastAsia="en-US"/>
                          </w:rPr>
                          <m:t>1+</m:t>
                        </m:r>
                        <m:r>
                          <w:rPr>
                            <w:rFonts w:ascii="Cambria Math" w:eastAsiaTheme="minorHAnsi" w:hAnsi="Cambria Math"/>
                            <w:lang w:eastAsia="en-US"/>
                          </w:rPr>
                          <m:t>ρ</m:t>
                        </m:r>
                      </m:den>
                    </m:f>
                  </m:e>
                </m:d>
              </m:oMath>
            </m:oMathPara>
          </w:p>
        </w:tc>
        <w:tc>
          <w:tcPr>
            <w:tcW w:w="1700" w:type="dxa"/>
          </w:tcPr>
          <w:p w:rsidR="00A16B8C" w:rsidRPr="00C90AC9" w:rsidRDefault="0096721A" w:rsidP="00B06779">
            <w:pPr>
              <w:rPr>
                <w:rFonts w:eastAsiaTheme="minorHAnsi"/>
                <w:lang w:eastAsia="en-US"/>
              </w:rPr>
            </w:pPr>
            <w:r w:rsidRPr="00C90AC9">
              <w:rPr>
                <w:rFonts w:eastAsiaTheme="minorHAnsi"/>
                <w:lang w:eastAsia="en-US"/>
              </w:rPr>
              <w:br/>
            </w:r>
            <w:r w:rsidR="001C40B1" w:rsidRPr="00C90AC9">
              <w:rPr>
                <w:rFonts w:eastAsiaTheme="minorHAnsi"/>
                <w:lang w:eastAsia="en-US"/>
              </w:rPr>
              <w:t xml:space="preserve">      </w:t>
            </w:r>
            <w:r w:rsidR="00F064E4" w:rsidRPr="00C90AC9">
              <w:rPr>
                <w:rFonts w:eastAsiaTheme="minorHAnsi"/>
                <w:lang w:eastAsia="en-US"/>
              </w:rPr>
              <w:t xml:space="preserve">           </w:t>
            </w:r>
            <w:r w:rsidR="001C40B1" w:rsidRPr="00C90AC9">
              <w:rPr>
                <w:rFonts w:eastAsiaTheme="minorHAnsi"/>
                <w:lang w:eastAsia="en-US"/>
              </w:rPr>
              <w:t xml:space="preserve">   </w:t>
            </w:r>
            <w:r w:rsidRPr="00C90AC9">
              <w:rPr>
                <w:rFonts w:eastAsiaTheme="minorHAnsi"/>
                <w:lang w:eastAsia="en-US"/>
              </w:rPr>
              <w:t>(9</w:t>
            </w:r>
            <w:r w:rsidR="00F064E4" w:rsidRPr="00C90AC9">
              <w:rPr>
                <w:rFonts w:eastAsiaTheme="minorHAnsi"/>
                <w:lang w:eastAsia="en-US"/>
              </w:rPr>
              <w:t>)</w:t>
            </w:r>
          </w:p>
        </w:tc>
      </w:tr>
    </w:tbl>
    <w:p w:rsidR="0096721A" w:rsidRPr="00C90AC9" w:rsidRDefault="00E14BC1" w:rsidP="001C40B1">
      <w:pPr>
        <w:pStyle w:val="Caption"/>
        <w:jc w:val="right"/>
        <w:rPr>
          <w:b w:val="0"/>
          <w:color w:val="auto"/>
          <w:sz w:val="24"/>
          <w:lang w:eastAsia="en-US"/>
        </w:rPr>
      </w:pPr>
      <w:r w:rsidRPr="00C90AC9">
        <w:rPr>
          <w:b w:val="0"/>
          <w:color w:val="auto"/>
          <w:sz w:val="24"/>
          <w:lang w:eastAsia="en-US"/>
        </w:rPr>
        <w:fldChar w:fldCharType="begin">
          <w:fldData xml:space="preserve">PEVuZE5vdGU+PENpdGU+PEF1dGhvcj5Xb25nPC9BdXRob3I+PFllYXI+MjAxNTwvWWVhcj48UmVj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</w:fldData>
        </w:fldChar>
      </w:r>
      <w:r w:rsidRPr="00C90AC9">
        <w:rPr>
          <w:b w:val="0"/>
          <w:color w:val="auto"/>
          <w:sz w:val="24"/>
          <w:lang w:eastAsia="en-US"/>
        </w:rPr>
        <w:instrText xml:space="preserve"> ADDIN EN.CITE </w:instrText>
      </w:r>
      <w:r w:rsidRPr="00C90AC9">
        <w:rPr>
          <w:b w:val="0"/>
          <w:color w:val="auto"/>
          <w:sz w:val="24"/>
          <w:lang w:eastAsia="en-US"/>
        </w:rPr>
        <w:fldChar w:fldCharType="begin">
          <w:fldData xml:space="preserve">PEVuZE5vdGU+PENpdGU+PEF1dGhvcj5Xb25nPC9BdXRob3I+PFllYXI+MjAxNTwvWWVhcj48UmVj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</w:fldData>
        </w:fldChar>
      </w:r>
      <w:r w:rsidRPr="00C90AC9">
        <w:rPr>
          <w:b w:val="0"/>
          <w:color w:val="auto"/>
          <w:sz w:val="24"/>
          <w:lang w:eastAsia="en-US"/>
        </w:rPr>
        <w:instrText xml:space="preserve"> ADDIN EN.CITE.DATA </w:instrText>
      </w:r>
      <w:r w:rsidRPr="00C90AC9">
        <w:rPr>
          <w:b w:val="0"/>
          <w:color w:val="auto"/>
          <w:sz w:val="24"/>
          <w:lang w:eastAsia="en-US"/>
        </w:rPr>
      </w:r>
      <w:r w:rsidRPr="00C90AC9">
        <w:rPr>
          <w:b w:val="0"/>
          <w:color w:val="auto"/>
          <w:sz w:val="24"/>
          <w:lang w:eastAsia="en-US"/>
        </w:rPr>
        <w:fldChar w:fldCharType="end"/>
      </w:r>
      <w:r w:rsidRPr="00C90AC9">
        <w:rPr>
          <w:b w:val="0"/>
          <w:color w:val="auto"/>
          <w:sz w:val="24"/>
          <w:lang w:eastAsia="en-US"/>
        </w:rPr>
      </w:r>
      <w:r w:rsidRPr="00C90AC9">
        <w:rPr>
          <w:b w:val="0"/>
          <w:color w:val="auto"/>
          <w:sz w:val="24"/>
          <w:lang w:eastAsia="en-US"/>
        </w:rPr>
        <w:fldChar w:fldCharType="separate"/>
      </w:r>
      <w:r w:rsidRPr="00C90AC9">
        <w:rPr>
          <w:b w:val="0"/>
          <w:color w:val="auto"/>
          <w:sz w:val="24"/>
          <w:lang w:eastAsia="en-US"/>
        </w:rPr>
        <w:t>(</w:t>
      </w:r>
      <w:bookmarkStart w:id="35" w:name="_Hlk526835578"/>
      <w:r w:rsidRPr="00C90AC9">
        <w:rPr>
          <w:b w:val="0"/>
          <w:color w:val="auto"/>
          <w:sz w:val="24"/>
          <w:lang w:eastAsia="en-US"/>
        </w:rPr>
        <w:t>Duffie &amp; Beckman, 1980</w:t>
      </w:r>
      <w:bookmarkEnd w:id="35"/>
      <w:r w:rsidRPr="00C90AC9">
        <w:rPr>
          <w:b w:val="0"/>
          <w:color w:val="auto"/>
          <w:sz w:val="24"/>
          <w:lang w:eastAsia="en-US"/>
        </w:rPr>
        <w:t>; Wong &amp; Eames, 2015)</w:t>
      </w:r>
      <w:r w:rsidRPr="00C90AC9">
        <w:rPr>
          <w:b w:val="0"/>
          <w:color w:val="auto"/>
          <w:sz w:val="24"/>
          <w:lang w:eastAsia="en-US"/>
        </w:rPr>
        <w:fldChar w:fldCharType="end"/>
      </w:r>
    </w:p>
    <w:p w:rsidR="00A16B8C" w:rsidRPr="00C90AC9" w:rsidRDefault="00A16B8C" w:rsidP="00B06779">
      <w:pPr>
        <w:pStyle w:val="BodyText"/>
        <w:rPr>
          <w:lang w:eastAsia="en-US"/>
        </w:rPr>
      </w:pPr>
      <w:r w:rsidRPr="00C90AC9">
        <w:rPr>
          <w:lang w:eastAsia="en-US"/>
        </w:rPr>
        <w:lastRenderedPageBreak/>
        <w:t>Where:</w:t>
      </w:r>
      <w:r w:rsidRPr="00C90AC9">
        <w:rPr>
          <w:lang w:eastAsia="en-US"/>
        </w:rPr>
        <w:br/>
      </w:r>
      <w:r w:rsidRPr="00C90AC9">
        <w:rPr>
          <w:rFonts w:eastAsiaTheme="minorHAnsi"/>
          <w:lang w:eastAsia="en-US"/>
        </w:rPr>
        <w:t>T</w:t>
      </w:r>
      <w:r w:rsidRPr="00C90AC9">
        <w:rPr>
          <w:rFonts w:eastAsiaTheme="minorHAnsi"/>
          <w:lang w:eastAsia="en-US"/>
        </w:rPr>
        <w:softHyphen/>
        <w:t>r - Overall Transmittance of solar radiation through the glass</w:t>
      </w:r>
      <w:r w:rsidRPr="00C90AC9">
        <w:rPr>
          <w:rFonts w:eastAsiaTheme="minorHAnsi"/>
          <w:lang w:eastAsia="en-US"/>
        </w:rPr>
        <w:tab/>
      </w:r>
      <w:r w:rsidRPr="00C90AC9">
        <w:rPr>
          <w:rFonts w:eastAsiaTheme="minorHAnsi"/>
          <w:lang w:eastAsia="en-US"/>
        </w:rPr>
        <w:br/>
      </w:r>
      <m:oMath>
        <m:r>
          <w:rPr>
            <w:rFonts w:ascii="Cambria Math" w:eastAsiaTheme="minorHAnsi" w:hAnsi="Cambria Math"/>
            <w:lang w:eastAsia="en-US"/>
          </w:rPr>
          <m:t>τ</m:t>
        </m:r>
      </m:oMath>
      <w:r w:rsidRPr="00C90AC9">
        <w:rPr>
          <w:lang w:eastAsia="en-US"/>
        </w:rPr>
        <w:t xml:space="preserve"> - Glass Transmissivity (-)</w:t>
      </w:r>
      <w:r w:rsidRPr="00C90AC9">
        <w:rPr>
          <w:lang w:eastAsia="en-US"/>
        </w:rPr>
        <w:tab/>
      </w:r>
      <w:r w:rsidRPr="00C90AC9">
        <w:rPr>
          <w:lang w:eastAsia="en-US"/>
        </w:rPr>
        <w:br/>
      </w:r>
      <m:oMath>
        <m:r>
          <w:rPr>
            <w:rFonts w:ascii="Cambria Math" w:eastAsiaTheme="minorHAnsi" w:hAnsi="Cambria Math"/>
            <w:lang w:eastAsia="en-US"/>
          </w:rPr>
          <m:t>ρ</m:t>
        </m:r>
      </m:oMath>
      <w:r w:rsidRPr="00C90AC9">
        <w:rPr>
          <w:lang w:eastAsia="en-US"/>
        </w:rPr>
        <w:t xml:space="preserve"> - Glass Surface Reflectivity (-)</w:t>
      </w:r>
    </w:p>
    <w:p w:rsidR="00A16B8C" w:rsidRPr="00C90AC9" w:rsidRDefault="0074402A" w:rsidP="001C40B1">
      <w:pPr>
        <w:pStyle w:val="BodyText"/>
        <w:spacing w:line="360" w:lineRule="auto"/>
        <w:rPr>
          <w:rFonts w:eastAsiaTheme="minorHAnsi"/>
          <w:lang w:eastAsia="en-US"/>
        </w:rPr>
      </w:pPr>
      <w:r w:rsidRPr="00C90AC9">
        <w:rPr>
          <w:rFonts w:eastAsiaTheme="minorHAnsi"/>
          <w:noProof/>
        </w:rPr>
        <mc:AlternateContent>
          <mc:Choice Requires="wps">
            <w:drawing>
              <wp:anchor distT="0" distB="0" distL="114300" distR="114300" simplePos="0" relativeHeight="251760640" behindDoc="0" locked="0" layoutInCell="1" allowOverlap="1" wp14:anchorId="41EF1DB3" wp14:editId="0D5324C9">
                <wp:simplePos x="0" y="0"/>
                <wp:positionH relativeFrom="column">
                  <wp:posOffset>1552575</wp:posOffset>
                </wp:positionH>
                <wp:positionV relativeFrom="paragraph">
                  <wp:posOffset>512255</wp:posOffset>
                </wp:positionV>
                <wp:extent cx="2419350" cy="523875"/>
                <wp:effectExtent l="0" t="0" r="19050" b="28575"/>
                <wp:wrapNone/>
                <wp:docPr id="345" name="Rectangle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9350" cy="523875"/>
                        </a:xfrm>
                        <a:prstGeom prst="rect">
                          <a:avLst/>
                        </a:prstGeom>
                        <a:solidFill>
                          <a:srgbClr val="4F81BD">
                            <a:alpha val="30000"/>
                          </a:srgb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5AE185" id="Rectangle 345" o:spid="_x0000_s1026" style="position:absolute;margin-left:122.25pt;margin-top:40.35pt;width:190.5pt;height:41.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" fillcolor="#4f81bd" strokecolor="#385d8a" strokeweight="1pt">
                <v:fill opacity="19789f"/>
                <v:path arrowok="t"/>
              </v:rect>
            </w:pict>
          </mc:Fallback>
        </mc:AlternateContent>
      </w:r>
      <w:r w:rsidR="00A16B8C" w:rsidRPr="00C90AC9">
        <w:rPr>
          <w:rFonts w:eastAsiaTheme="minorHAnsi"/>
          <w:lang w:eastAsia="en-US"/>
        </w:rPr>
        <w:t>With equation (8) it is possible to calculate the overall Absorptance (Ab) of solar irradiation into the panel for each time period for each day of the year:</w:t>
      </w:r>
    </w:p>
    <w:tbl>
      <w:tblPr>
        <w:tblW w:w="9322" w:type="dxa"/>
        <w:tblLook w:val="04A0" w:firstRow="1" w:lastRow="0" w:firstColumn="1" w:lastColumn="0" w:noHBand="0" w:noVBand="1"/>
      </w:tblPr>
      <w:tblGrid>
        <w:gridCol w:w="959"/>
        <w:gridCol w:w="6946"/>
        <w:gridCol w:w="1417"/>
      </w:tblGrid>
      <w:tr w:rsidR="00A16B8C" w:rsidRPr="00C90AC9" w:rsidTr="008C4189">
        <w:tc>
          <w:tcPr>
            <w:tcW w:w="959" w:type="dxa"/>
          </w:tcPr>
          <w:p w:rsidR="00A16B8C" w:rsidRPr="00C90AC9" w:rsidRDefault="00A16B8C" w:rsidP="00B06779">
            <w:pPr>
              <w:rPr>
                <w:lang w:eastAsia="zh-CN"/>
              </w:rPr>
            </w:pPr>
            <w:r w:rsidRPr="00C90AC9">
              <w:rPr>
                <w:lang w:eastAsia="zh-CN"/>
              </w:rPr>
              <w:br/>
            </w:r>
          </w:p>
        </w:tc>
        <w:tc>
          <w:tcPr>
            <w:tcW w:w="6946" w:type="dxa"/>
          </w:tcPr>
          <w:p w:rsidR="00A16B8C" w:rsidRPr="00C90AC9" w:rsidRDefault="00A16B8C" w:rsidP="00B06779">
            <w:pPr>
              <w:rPr>
                <w:lang w:eastAsia="zh-CN"/>
              </w:rPr>
            </w:pPr>
            <m:oMathPara>
              <m:oMath>
                <m:r>
                  <m:rPr>
                    <m:sty m:val="p"/>
                  </m:rPr>
                  <w:rPr>
                    <w:rFonts w:ascii="Cambria Math" w:hAnsi="Cambria Math"/>
                    <w:lang w:eastAsia="zh-CN"/>
                  </w:rPr>
                  <m:t xml:space="preserve">Absorptance, </m:t>
                </m:r>
                <m:sSub>
                  <m:sSubPr>
                    <m:ctrlPr>
                      <w:rPr>
                        <w:rFonts w:ascii="Cambria Math" w:hAnsi="Cambria Math"/>
                        <w:lang w:eastAsia="zh-CN"/>
                      </w:rPr>
                    </m:ctrlPr>
                  </m:sSubPr>
                  <m:e>
                    <m:r>
                      <w:rPr>
                        <w:rFonts w:ascii="Cambria Math" w:hAnsi="Cambria Math"/>
                        <w:lang w:eastAsia="zh-CN"/>
                      </w:rPr>
                      <m:t>A</m:t>
                    </m:r>
                  </m:e>
                  <m:sub>
                    <m:r>
                      <w:rPr>
                        <w:rFonts w:ascii="Cambria Math" w:hAnsi="Cambria Math"/>
                        <w:lang w:eastAsia="zh-CN"/>
                      </w:rPr>
                      <m:t>b</m:t>
                    </m:r>
                  </m:sub>
                </m:sSub>
                <m:r>
                  <m:rPr>
                    <m:sty m:val="p"/>
                  </m:rPr>
                  <w:rPr>
                    <w:rFonts w:ascii="Cambria Math" w:hAnsi="Cambria Math"/>
                    <w:lang w:eastAsia="zh-CN"/>
                  </w:rPr>
                  <m:t>=</m:t>
                </m:r>
                <m:f>
                  <m:fPr>
                    <m:ctrlPr>
                      <w:rPr>
                        <w:rFonts w:ascii="Cambria Math" w:hAnsi="Cambria Math"/>
                        <w:lang w:eastAsia="zh-CN"/>
                      </w:rPr>
                    </m:ctrlPr>
                  </m:fPr>
                  <m:num>
                    <m:r>
                      <m:rPr>
                        <m:sty m:val="p"/>
                      </m:rPr>
                      <w:rPr>
                        <w:rFonts w:ascii="Cambria Math" w:hAnsi="Cambria Math"/>
                        <w:lang w:eastAsia="zh-CN"/>
                      </w:rPr>
                      <m:t>(1-ρ)(1-τ)</m:t>
                    </m:r>
                  </m:num>
                  <m:den>
                    <m:r>
                      <m:rPr>
                        <m:sty m:val="p"/>
                      </m:rPr>
                      <w:rPr>
                        <w:rFonts w:ascii="Cambria Math" w:hAnsi="Cambria Math"/>
                        <w:lang w:eastAsia="zh-CN"/>
                      </w:rPr>
                      <m:t>1-ρτ</m:t>
                    </m:r>
                  </m:den>
                </m:f>
              </m:oMath>
            </m:oMathPara>
          </w:p>
        </w:tc>
        <w:tc>
          <w:tcPr>
            <w:tcW w:w="1417" w:type="dxa"/>
          </w:tcPr>
          <w:p w:rsidR="00A16B8C" w:rsidRPr="00C90AC9" w:rsidRDefault="00A16B8C" w:rsidP="00B06779">
            <w:pPr>
              <w:rPr>
                <w:lang w:eastAsia="zh-CN"/>
              </w:rPr>
            </w:pPr>
            <w:r w:rsidRPr="00C90AC9">
              <w:rPr>
                <w:lang w:eastAsia="zh-CN"/>
              </w:rPr>
              <w:br/>
            </w:r>
            <w:r w:rsidR="00F064E4" w:rsidRPr="00C90AC9">
              <w:rPr>
                <w:lang w:eastAsia="zh-CN"/>
              </w:rPr>
              <w:t xml:space="preserve">         </w:t>
            </w:r>
            <w:r w:rsidR="00BF282D" w:rsidRPr="00C90AC9">
              <w:rPr>
                <w:lang w:eastAsia="zh-CN"/>
              </w:rPr>
              <w:t xml:space="preserve">  </w:t>
            </w:r>
            <w:r w:rsidR="00F064E4" w:rsidRPr="00C90AC9">
              <w:rPr>
                <w:lang w:eastAsia="zh-CN"/>
              </w:rPr>
              <w:t xml:space="preserve"> </w:t>
            </w:r>
            <w:r w:rsidRPr="00C90AC9">
              <w:rPr>
                <w:lang w:eastAsia="zh-CN"/>
              </w:rPr>
              <w:t>(</w:t>
            </w:r>
            <w:r w:rsidR="0096721A" w:rsidRPr="00C90AC9">
              <w:rPr>
                <w:lang w:eastAsia="zh-CN"/>
              </w:rPr>
              <w:t>10</w:t>
            </w:r>
            <w:r w:rsidRPr="00C90AC9">
              <w:rPr>
                <w:lang w:eastAsia="zh-CN"/>
              </w:rPr>
              <w:t>)</w:t>
            </w:r>
          </w:p>
        </w:tc>
      </w:tr>
    </w:tbl>
    <w:p w:rsidR="00E14BC1" w:rsidRPr="00C90AC9" w:rsidRDefault="00E14BC1" w:rsidP="00E14BC1">
      <w:pPr>
        <w:pStyle w:val="BodyText"/>
        <w:jc w:val="right"/>
        <w:rPr>
          <w:rFonts w:eastAsiaTheme="minorHAnsi"/>
          <w:lang w:eastAsia="en-US"/>
        </w:rPr>
      </w:pPr>
      <w:r w:rsidRPr="00C90AC9">
        <w:rPr>
          <w:rFonts w:eastAsiaTheme="minorHAnsi"/>
          <w:lang w:eastAsia="en-US"/>
        </w:rPr>
        <w:fldChar w:fldCharType="begin"/>
      </w:r>
      <w:r w:rsidRPr="00C90AC9">
        <w:rPr>
          <w:rFonts w:eastAsiaTheme="minorHAnsi"/>
          <w:lang w:eastAsia="en-US"/>
        </w:rPr>
        <w:instrText xml:space="preserve"> ADDIN EN.CITE &lt;EndNote&gt;&lt;Cite&gt;&lt;Author&gt;Wong&lt;/Author&gt;&lt;Year&gt;2015&lt;/Year&gt;&lt;RecNum&gt;249&lt;/RecNum&gt;&lt;DisplayText&gt;(Wong &amp;amp; Eames, 2015)&lt;/DisplayText&gt;&lt;record&gt;&lt;rec-number&gt;249&lt;/rec-number&gt;&lt;foreign-keys&gt;&lt;key app="EN" db-id="50wxdpzd9vd5r7e9t5b595djrfpttrxw9avp" timestamp="1525677873"&gt;249&lt;/key&gt;&lt;/foreign-keys&gt;&lt;ref-type name="Journal Article"&gt;17&lt;/ref-type&gt;&lt;contributors&gt;&lt;authors&gt;&lt;author&gt;Wong, Ing Liang&lt;/author&gt;&lt;author&gt;Eames, Philip&lt;/author&gt;&lt;/authors&gt;&lt;/contributors&gt;&lt;titles&gt;&lt;title&gt;A method for calculating the solar transmittance, absorptance and reflectance of a transparent insulation system&lt;/title&gt;&lt;secondary-title&gt;Solar Energy&lt;/secondary-title&gt;&lt;/titles&gt;&lt;pages&gt;418-425&lt;/pages&gt;&lt;volume&gt;111&lt;/volume&gt;&lt;keywords&gt;&lt;keyword&gt;Solar transmittance&lt;/keyword&gt;&lt;keyword&gt;Solar absorptance&lt;/keyword&gt;&lt;keyword&gt;Solar reflectance&lt;/keyword&gt;&lt;keyword&gt;Optical properties&lt;/keyword&gt;&lt;keyword&gt;Transparent insulation materials&lt;/keyword&gt;&lt;keyword&gt;Numerical modelling&lt;/keyword&gt;&lt;/keywords&gt;&lt;dates&gt;&lt;year&gt;2015&lt;/year&gt;&lt;pub-dates&gt;&lt;date&gt;2015/01/01/&lt;/date&gt;&lt;/pub-dates&gt;&lt;/dates&gt;&lt;isbn&gt;0038-092X&lt;/isbn&gt;&lt;urls&gt;&lt;related-urls&gt;&lt;url&gt;http://www.sciencedirect.com/science/article/pii/S0038092X1400468X&lt;/url&gt;&lt;/related-urls&gt;&lt;/urls&gt;&lt;electronic-resource-num&gt;https://doi.org/10.1016/j.solener.2014.09.028&lt;/electronic-resource-num&gt;&lt;/record&gt;&lt;/Cite&gt;&lt;/EndNote&gt;</w:instrText>
      </w:r>
      <w:r w:rsidRPr="00C90AC9">
        <w:rPr>
          <w:rFonts w:eastAsiaTheme="minorHAnsi"/>
          <w:lang w:eastAsia="en-US"/>
        </w:rPr>
        <w:fldChar w:fldCharType="separate"/>
      </w:r>
      <w:r w:rsidRPr="00C90AC9">
        <w:rPr>
          <w:rFonts w:eastAsiaTheme="minorHAnsi"/>
          <w:lang w:eastAsia="en-US"/>
        </w:rPr>
        <w:t>(Wong &amp; Eames, 2015)</w:t>
      </w:r>
      <w:r w:rsidRPr="00C90AC9">
        <w:rPr>
          <w:rFonts w:eastAsiaTheme="minorHAnsi"/>
          <w:lang w:eastAsia="en-US"/>
        </w:rPr>
        <w:fldChar w:fldCharType="end"/>
      </w:r>
    </w:p>
    <w:p w:rsidR="00A16B8C" w:rsidRPr="00AE6DE9" w:rsidRDefault="00A16B8C" w:rsidP="00AE6DE9">
      <w:pPr>
        <w:pStyle w:val="BodyText"/>
        <w:rPr>
          <w:lang w:eastAsia="en-US"/>
        </w:rPr>
      </w:pPr>
      <w:r w:rsidRPr="00C90AC9">
        <w:rPr>
          <w:rFonts w:eastAsiaTheme="minorHAnsi"/>
          <w:lang w:eastAsia="en-US"/>
        </w:rPr>
        <w:t>Where:</w:t>
      </w:r>
      <w:r w:rsidRPr="00C90AC9">
        <w:rPr>
          <w:rFonts w:eastAsiaTheme="minorHAnsi"/>
          <w:lang w:eastAsia="en-US"/>
        </w:rPr>
        <w:tab/>
      </w:r>
      <w:r w:rsidRPr="00C90AC9">
        <w:rPr>
          <w:rFonts w:eastAsiaTheme="minorHAnsi"/>
          <w:lang w:eastAsia="en-US"/>
        </w:rPr>
        <w:tab/>
      </w:r>
      <w:r w:rsidRPr="00C90AC9">
        <w:rPr>
          <w:rFonts w:eastAsiaTheme="minorHAnsi"/>
          <w:lang w:eastAsia="en-US"/>
        </w:rPr>
        <w:tab/>
      </w:r>
      <w:r w:rsidRPr="00C90AC9">
        <w:rPr>
          <w:rFonts w:eastAsiaTheme="minorHAnsi"/>
          <w:lang w:eastAsia="en-US"/>
        </w:rPr>
        <w:tab/>
      </w:r>
      <w:r w:rsidRPr="00C90AC9">
        <w:rPr>
          <w:rFonts w:eastAsiaTheme="minorHAnsi"/>
          <w:lang w:eastAsia="en-US"/>
        </w:rPr>
        <w:tab/>
      </w:r>
      <w:r w:rsidRPr="00C90AC9">
        <w:rPr>
          <w:rFonts w:eastAsiaTheme="minorHAnsi"/>
          <w:lang w:eastAsia="en-US"/>
        </w:rPr>
        <w:tab/>
      </w:r>
      <w:r w:rsidRPr="00C90AC9">
        <w:rPr>
          <w:rFonts w:eastAsiaTheme="minorHAnsi"/>
          <w:lang w:eastAsia="en-US"/>
        </w:rPr>
        <w:tab/>
      </w:r>
      <w:r w:rsidRPr="00C90AC9">
        <w:rPr>
          <w:rFonts w:eastAsiaTheme="minorHAnsi"/>
          <w:lang w:eastAsia="en-US"/>
        </w:rPr>
        <w:tab/>
      </w:r>
      <w:r w:rsidRPr="00C90AC9">
        <w:rPr>
          <w:rFonts w:eastAsiaTheme="minorHAnsi"/>
          <w:lang w:eastAsia="en-US"/>
        </w:rPr>
        <w:tab/>
      </w:r>
      <w:r w:rsidRPr="00C90AC9">
        <w:rPr>
          <w:rFonts w:eastAsiaTheme="minorHAnsi"/>
          <w:lang w:eastAsia="en-US"/>
        </w:rPr>
        <w:tab/>
      </w:r>
      <w:r w:rsidRPr="00C90AC9">
        <w:rPr>
          <w:rFonts w:eastAsiaTheme="minorHAnsi"/>
          <w:lang w:eastAsia="en-US"/>
        </w:rPr>
        <w:br/>
      </w:r>
      <w:proofErr w:type="gramStart"/>
      <w:r w:rsidRPr="00C90AC9">
        <w:rPr>
          <w:rFonts w:eastAsiaTheme="minorHAnsi"/>
          <w:lang w:eastAsia="en-US"/>
        </w:rPr>
        <w:t>A</w:t>
      </w:r>
      <w:r w:rsidRPr="00C90AC9">
        <w:rPr>
          <w:rFonts w:eastAsiaTheme="minorHAnsi"/>
          <w:vertAlign w:val="subscript"/>
          <w:lang w:eastAsia="en-US"/>
        </w:rPr>
        <w:t xml:space="preserve">b </w:t>
      </w:r>
      <w:r w:rsidRPr="00C90AC9">
        <w:rPr>
          <w:rFonts w:eastAsiaTheme="minorHAnsi"/>
          <w:lang w:eastAsia="en-US"/>
        </w:rPr>
        <w:t xml:space="preserve"> -</w:t>
      </w:r>
      <w:proofErr w:type="gramEnd"/>
      <w:r w:rsidRPr="00C90AC9">
        <w:rPr>
          <w:rFonts w:eastAsiaTheme="minorHAnsi"/>
          <w:lang w:eastAsia="en-US"/>
        </w:rPr>
        <w:t xml:space="preserve"> Absorptance (-)</w:t>
      </w:r>
      <w:r w:rsidRPr="00C90AC9">
        <w:rPr>
          <w:rFonts w:eastAsiaTheme="minorHAnsi"/>
          <w:lang w:eastAsia="en-US"/>
        </w:rPr>
        <w:tab/>
      </w:r>
      <w:r w:rsidRPr="00C90AC9">
        <w:rPr>
          <w:rFonts w:eastAsiaTheme="minorHAnsi"/>
          <w:lang w:eastAsia="en-US"/>
        </w:rPr>
        <w:tab/>
      </w:r>
      <w:r w:rsidRPr="00C90AC9">
        <w:rPr>
          <w:rFonts w:eastAsiaTheme="minorHAnsi"/>
          <w:lang w:eastAsia="en-US"/>
        </w:rPr>
        <w:tab/>
      </w:r>
      <w:r w:rsidRPr="00C90AC9">
        <w:rPr>
          <w:rFonts w:eastAsiaTheme="minorHAnsi"/>
          <w:lang w:eastAsia="en-US"/>
        </w:rPr>
        <w:tab/>
      </w:r>
      <w:r w:rsidRPr="00C90AC9">
        <w:rPr>
          <w:rFonts w:eastAsiaTheme="minorHAnsi"/>
          <w:lang w:eastAsia="en-US"/>
        </w:rPr>
        <w:tab/>
      </w:r>
      <w:r w:rsidRPr="00C90AC9">
        <w:rPr>
          <w:rFonts w:eastAsiaTheme="minorHAnsi"/>
          <w:lang w:eastAsia="en-US"/>
        </w:rPr>
        <w:tab/>
      </w:r>
      <w:r w:rsidRPr="00C90AC9">
        <w:rPr>
          <w:rFonts w:eastAsiaTheme="minorHAnsi"/>
          <w:lang w:eastAsia="en-US"/>
        </w:rPr>
        <w:tab/>
      </w:r>
      <w:r w:rsidRPr="00C90AC9">
        <w:rPr>
          <w:rFonts w:eastAsiaTheme="minorHAnsi"/>
          <w:lang w:eastAsia="en-US"/>
        </w:rPr>
        <w:tab/>
      </w:r>
      <w:r w:rsidRPr="00C90AC9">
        <w:rPr>
          <w:rFonts w:eastAsiaTheme="minorHAnsi"/>
          <w:lang w:eastAsia="en-US"/>
        </w:rPr>
        <w:tab/>
      </w:r>
      <w:r w:rsidRPr="00C90AC9">
        <w:rPr>
          <w:lang w:eastAsia="en-US"/>
        </w:rPr>
        <w:br/>
      </w:r>
      <m:oMath>
        <m:r>
          <w:rPr>
            <w:rFonts w:ascii="Cambria Math" w:eastAsiaTheme="minorHAnsi" w:hAnsi="Cambria Math"/>
            <w:lang w:eastAsia="en-US"/>
          </w:rPr>
          <m:t xml:space="preserve">τ </m:t>
        </m:r>
      </m:oMath>
      <w:r w:rsidRPr="00C90AC9">
        <w:rPr>
          <w:lang w:eastAsia="en-US"/>
        </w:rPr>
        <w:t>- Glass Tranmissivity (-)</w:t>
      </w:r>
      <w:r w:rsidRPr="00C90AC9">
        <w:rPr>
          <w:lang w:eastAsia="en-US"/>
        </w:rPr>
        <w:tab/>
      </w:r>
      <w:r w:rsidRPr="00C90AC9">
        <w:rPr>
          <w:lang w:eastAsia="en-US"/>
        </w:rPr>
        <w:br/>
      </w:r>
      <m:oMath>
        <m:r>
          <w:rPr>
            <w:rFonts w:ascii="Cambria Math" w:eastAsiaTheme="minorHAnsi" w:hAnsi="Cambria Math"/>
            <w:lang w:eastAsia="en-US"/>
          </w:rPr>
          <m:t>ρ</m:t>
        </m:r>
      </m:oMath>
      <w:r w:rsidRPr="00C90AC9">
        <w:rPr>
          <w:lang w:eastAsia="en-US"/>
        </w:rPr>
        <w:t xml:space="preserve"> - Glass Surface Reflectivity (-)</w:t>
      </w:r>
    </w:p>
    <w:p w:rsidR="00A16B8C" w:rsidRPr="00C90AC9" w:rsidRDefault="001C40B1" w:rsidP="001C40B1">
      <w:pPr>
        <w:pStyle w:val="BodyText"/>
        <w:spacing w:line="360" w:lineRule="auto"/>
        <w:rPr>
          <w:lang w:eastAsia="en-US"/>
        </w:rPr>
      </w:pPr>
      <w:r w:rsidRPr="00C90AC9">
        <w:rPr>
          <w:rFonts w:eastAsiaTheme="minorHAnsi"/>
          <w:noProof/>
        </w:rPr>
        <mc:AlternateContent>
          <mc:Choice Requires="wps">
            <w:drawing>
              <wp:anchor distT="0" distB="0" distL="114300" distR="114300" simplePos="0" relativeHeight="251782144" behindDoc="0" locked="0" layoutInCell="1" allowOverlap="1" wp14:anchorId="49B6F4CE" wp14:editId="0ADA6F1C">
                <wp:simplePos x="0" y="0"/>
                <wp:positionH relativeFrom="column">
                  <wp:posOffset>1406525</wp:posOffset>
                </wp:positionH>
                <wp:positionV relativeFrom="paragraph">
                  <wp:posOffset>513080</wp:posOffset>
                </wp:positionV>
                <wp:extent cx="2977116" cy="576077"/>
                <wp:effectExtent l="0" t="0" r="13970" b="14605"/>
                <wp:wrapNone/>
                <wp:docPr id="346" name="Rectangle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77116" cy="576077"/>
                        </a:xfrm>
                        <a:prstGeom prst="rect">
                          <a:avLst/>
                        </a:prstGeom>
                        <a:solidFill>
                          <a:srgbClr val="4F81BD">
                            <a:alpha val="30000"/>
                          </a:srgbClr>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AF4EF0" id="Rectangle 346" o:spid="_x0000_s1026" style="position:absolute;margin-left:110.75pt;margin-top:40.4pt;width:234.4pt;height:45.3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" fillcolor="#4f81bd" strokecolor="#385d8a">
                <v:fill opacity="19789f"/>
                <v:path arrowok="t"/>
              </v:rect>
            </w:pict>
          </mc:Fallback>
        </mc:AlternateContent>
      </w:r>
      <w:r w:rsidR="00A16B8C" w:rsidRPr="00C90AC9">
        <w:rPr>
          <w:lang w:eastAsia="en-US"/>
        </w:rPr>
        <w:t xml:space="preserve">The Overall Reflectance </w:t>
      </w:r>
      <w:r w:rsidR="00AE6DE9">
        <w:rPr>
          <w:lang w:eastAsia="en-US"/>
        </w:rPr>
        <w:t>(R)</w:t>
      </w:r>
      <w:r w:rsidR="00A16B8C" w:rsidRPr="00C90AC9">
        <w:rPr>
          <w:lang w:eastAsia="en-US"/>
        </w:rPr>
        <w:t xml:space="preserve"> can now be calculated which is a function of the Glass Surface Reflectivity (</w:t>
      </w:r>
      <m:oMath>
        <m:r>
          <w:rPr>
            <w:rFonts w:ascii="Cambria Math" w:eastAsiaTheme="minorHAnsi" w:hAnsi="Cambria Math"/>
            <w:lang w:eastAsia="en-US"/>
          </w:rPr>
          <m:t>ρ</m:t>
        </m:r>
      </m:oMath>
      <w:r w:rsidR="00A16B8C" w:rsidRPr="00C90AC9">
        <w:rPr>
          <w:lang w:eastAsia="en-US"/>
        </w:rPr>
        <w:t>) and the Glass Transmissivity (</w:t>
      </w:r>
      <m:oMath>
        <m:r>
          <w:rPr>
            <w:rFonts w:ascii="Cambria Math" w:eastAsiaTheme="minorHAnsi" w:hAnsi="Cambria Math"/>
            <w:lang w:eastAsia="en-US"/>
          </w:rPr>
          <m:t>τ)</m:t>
        </m:r>
      </m:oMath>
      <w:r w:rsidR="00A16B8C" w:rsidRPr="00C90AC9">
        <w:rPr>
          <w:lang w:eastAsia="en-US"/>
        </w:rPr>
        <w:t>:</w:t>
      </w:r>
    </w:p>
    <w:tbl>
      <w:tblPr>
        <w:tblW w:w="9214" w:type="dxa"/>
        <w:tblInd w:w="108" w:type="dxa"/>
        <w:tblLook w:val="04A0" w:firstRow="1" w:lastRow="0" w:firstColumn="1" w:lastColumn="0" w:noHBand="0" w:noVBand="1"/>
      </w:tblPr>
      <w:tblGrid>
        <w:gridCol w:w="906"/>
        <w:gridCol w:w="7458"/>
        <w:gridCol w:w="850"/>
      </w:tblGrid>
      <w:tr w:rsidR="00A16B8C" w:rsidRPr="00C90AC9" w:rsidTr="000E6BD1">
        <w:trPr>
          <w:trHeight w:val="491"/>
        </w:trPr>
        <w:tc>
          <w:tcPr>
            <w:tcW w:w="906" w:type="dxa"/>
          </w:tcPr>
          <w:p w:rsidR="00A16B8C" w:rsidRPr="00C90AC9" w:rsidRDefault="00A16B8C" w:rsidP="00B06779">
            <w:pPr>
              <w:rPr>
                <w:lang w:eastAsia="zh-CN"/>
              </w:rPr>
            </w:pPr>
          </w:p>
        </w:tc>
        <w:tc>
          <w:tcPr>
            <w:tcW w:w="7458" w:type="dxa"/>
          </w:tcPr>
          <w:p w:rsidR="00A16B8C" w:rsidRPr="00C90AC9" w:rsidRDefault="00A16B8C" w:rsidP="001C40B1">
            <w:pPr>
              <w:jc w:val="center"/>
              <w:rPr>
                <w:lang w:eastAsia="en-US"/>
              </w:rPr>
            </w:pPr>
            <w:r w:rsidRPr="00C90AC9">
              <w:rPr>
                <w:sz w:val="28"/>
                <w:lang w:eastAsia="en-US"/>
              </w:rPr>
              <w:t>R = ρ</w:t>
            </w:r>
            <m:oMath>
              <m:r>
                <m:rPr>
                  <m:sty m:val="p"/>
                </m:rPr>
                <w:rPr>
                  <w:rFonts w:ascii="Cambria Math" w:hAnsi="Cambria Math"/>
                  <w:sz w:val="28"/>
                  <w:lang w:eastAsia="en-US"/>
                </w:rPr>
                <m:t xml:space="preserve"> </m:t>
              </m:r>
              <m:d>
                <m:dPr>
                  <m:begChr m:val="["/>
                  <m:endChr m:val="]"/>
                  <m:ctrlPr>
                    <w:rPr>
                      <w:rFonts w:ascii="Cambria Math" w:hAnsi="Cambria Math"/>
                      <w:sz w:val="28"/>
                      <w:lang w:eastAsia="en-US"/>
                    </w:rPr>
                  </m:ctrlPr>
                </m:dPr>
                <m:e>
                  <m:r>
                    <m:rPr>
                      <m:sty m:val="p"/>
                    </m:rPr>
                    <w:rPr>
                      <w:rFonts w:ascii="Cambria Math" w:hAnsi="Cambria Math"/>
                      <w:sz w:val="28"/>
                      <w:lang w:eastAsia="en-US"/>
                    </w:rPr>
                    <m:t xml:space="preserve">1+ </m:t>
                  </m:r>
                  <m:f>
                    <m:fPr>
                      <m:ctrlPr>
                        <w:rPr>
                          <w:rFonts w:ascii="Cambria Math" w:hAnsi="Cambria Math"/>
                          <w:sz w:val="28"/>
                          <w:lang w:eastAsia="en-US"/>
                        </w:rPr>
                      </m:ctrlPr>
                    </m:fPr>
                    <m:num>
                      <m:d>
                        <m:dPr>
                          <m:ctrlPr>
                            <w:rPr>
                              <w:rFonts w:ascii="Cambria Math" w:hAnsi="Cambria Math"/>
                              <w:sz w:val="28"/>
                              <w:lang w:eastAsia="en-US"/>
                            </w:rPr>
                          </m:ctrlPr>
                        </m:dPr>
                        <m:e>
                          <m:r>
                            <m:rPr>
                              <m:sty m:val="p"/>
                            </m:rPr>
                            <w:rPr>
                              <w:rFonts w:ascii="Cambria Math" w:hAnsi="Cambria Math"/>
                              <w:sz w:val="28"/>
                              <w:lang w:eastAsia="en-US"/>
                            </w:rPr>
                            <m:t>1-</m:t>
                          </m:r>
                          <m:r>
                            <w:rPr>
                              <w:rFonts w:ascii="Cambria Math" w:hAnsi="Cambria Math"/>
                              <w:sz w:val="28"/>
                              <w:lang w:eastAsia="en-US"/>
                            </w:rPr>
                            <m:t>ρ</m:t>
                          </m:r>
                        </m:e>
                      </m:d>
                      <m:r>
                        <m:rPr>
                          <m:sty m:val="p"/>
                        </m:rPr>
                        <w:rPr>
                          <w:rFonts w:ascii="Cambria Math" w:hAnsi="Cambria Math"/>
                          <w:sz w:val="28"/>
                          <w:lang w:eastAsia="en-US"/>
                        </w:rPr>
                        <m:t xml:space="preserve"> </m:t>
                      </m:r>
                      <m:r>
                        <w:rPr>
                          <w:rFonts w:ascii="Cambria Math" w:hAnsi="Cambria Math"/>
                          <w:sz w:val="28"/>
                          <w:lang w:eastAsia="en-US"/>
                        </w:rPr>
                        <m:t>τ</m:t>
                      </m:r>
                      <m:r>
                        <m:rPr>
                          <m:sty m:val="p"/>
                        </m:rPr>
                        <w:rPr>
                          <w:rFonts w:ascii="Cambria Math" w:hAnsi="Cambria Math"/>
                          <w:sz w:val="28"/>
                          <w:lang w:eastAsia="en-US"/>
                        </w:rPr>
                        <m:t>2</m:t>
                      </m:r>
                    </m:num>
                    <m:den>
                      <m:r>
                        <m:rPr>
                          <m:sty m:val="p"/>
                        </m:rPr>
                        <w:rPr>
                          <w:rFonts w:ascii="Cambria Math" w:hAnsi="Cambria Math"/>
                          <w:sz w:val="28"/>
                          <w:lang w:eastAsia="en-US"/>
                        </w:rPr>
                        <m:t>1-</m:t>
                      </m:r>
                      <m:r>
                        <w:rPr>
                          <w:rFonts w:ascii="Cambria Math" w:hAnsi="Cambria Math"/>
                          <w:sz w:val="28"/>
                          <w:lang w:eastAsia="en-US"/>
                        </w:rPr>
                        <m:t>ρ</m:t>
                      </m:r>
                      <m:r>
                        <m:rPr>
                          <m:sty m:val="p"/>
                        </m:rPr>
                        <w:rPr>
                          <w:rFonts w:ascii="Cambria Math" w:hAnsi="Cambria Math"/>
                          <w:sz w:val="28"/>
                          <w:lang w:eastAsia="en-US"/>
                        </w:rPr>
                        <m:t>2</m:t>
                      </m:r>
                      <m:sSup>
                        <m:sSupPr>
                          <m:ctrlPr>
                            <w:rPr>
                              <w:rFonts w:ascii="Cambria Math" w:hAnsi="Cambria Math"/>
                              <w:sz w:val="28"/>
                              <w:lang w:eastAsia="en-US"/>
                            </w:rPr>
                          </m:ctrlPr>
                        </m:sSupPr>
                        <m:e>
                          <m:r>
                            <w:rPr>
                              <w:rFonts w:ascii="Cambria Math" w:hAnsi="Cambria Math"/>
                              <w:sz w:val="28"/>
                              <w:lang w:eastAsia="en-US"/>
                            </w:rPr>
                            <m:t>τ</m:t>
                          </m:r>
                        </m:e>
                        <m:sup>
                          <m:r>
                            <m:rPr>
                              <m:sty m:val="p"/>
                            </m:rPr>
                            <w:rPr>
                              <w:rFonts w:ascii="Cambria Math" w:hAnsi="Cambria Math"/>
                              <w:sz w:val="28"/>
                              <w:lang w:eastAsia="en-US"/>
                            </w:rPr>
                            <m:t>2</m:t>
                          </m:r>
                        </m:sup>
                      </m:sSup>
                    </m:den>
                  </m:f>
                </m:e>
              </m:d>
              <m:r>
                <m:rPr>
                  <m:sty m:val="p"/>
                </m:rPr>
                <w:rPr>
                  <w:rFonts w:ascii="Cambria Math" w:hAnsi="Cambria Math"/>
                  <w:sz w:val="28"/>
                  <w:lang w:eastAsia="en-US"/>
                </w:rPr>
                <m:t>=1-</m:t>
              </m:r>
              <m:r>
                <w:rPr>
                  <w:rFonts w:ascii="Cambria Math" w:hAnsi="Cambria Math"/>
                  <w:sz w:val="28"/>
                  <w:lang w:eastAsia="en-US"/>
                </w:rPr>
                <m:t>Tr</m:t>
              </m:r>
              <m:r>
                <m:rPr>
                  <m:sty m:val="p"/>
                </m:rPr>
                <w:rPr>
                  <w:rFonts w:ascii="Cambria Math" w:hAnsi="Cambria Math"/>
                  <w:sz w:val="28"/>
                  <w:lang w:eastAsia="en-US"/>
                </w:rPr>
                <m:t>-</m:t>
              </m:r>
              <m:r>
                <w:rPr>
                  <w:rFonts w:ascii="Cambria Math" w:hAnsi="Cambria Math"/>
                  <w:sz w:val="28"/>
                  <w:lang w:eastAsia="en-US"/>
                </w:rPr>
                <m:t>A</m:t>
              </m:r>
            </m:oMath>
            <w:r w:rsidRPr="00C90AC9">
              <w:rPr>
                <w:sz w:val="28"/>
                <w:vertAlign w:val="subscript"/>
                <w:lang w:eastAsia="en-US"/>
              </w:rPr>
              <w:t>b</w:t>
            </w:r>
          </w:p>
        </w:tc>
        <w:tc>
          <w:tcPr>
            <w:tcW w:w="850" w:type="dxa"/>
          </w:tcPr>
          <w:p w:rsidR="00A16B8C" w:rsidRPr="00C90AC9" w:rsidRDefault="00A16B8C" w:rsidP="00B06779">
            <w:pPr>
              <w:rPr>
                <w:lang w:eastAsia="zh-CN"/>
              </w:rPr>
            </w:pPr>
          </w:p>
          <w:p w:rsidR="00A16B8C" w:rsidRPr="00C90AC9" w:rsidRDefault="0096721A" w:rsidP="00F91222">
            <w:pPr>
              <w:jc w:val="right"/>
              <w:rPr>
                <w:lang w:eastAsia="zh-CN"/>
              </w:rPr>
            </w:pPr>
            <w:r w:rsidRPr="00C90AC9">
              <w:rPr>
                <w:lang w:eastAsia="zh-CN"/>
              </w:rPr>
              <w:t>(11</w:t>
            </w:r>
            <w:r w:rsidR="00F064E4" w:rsidRPr="00C90AC9">
              <w:rPr>
                <w:lang w:eastAsia="zh-CN"/>
              </w:rPr>
              <w:t>)</w:t>
            </w:r>
          </w:p>
        </w:tc>
      </w:tr>
      <w:tr w:rsidR="00A16B8C" w:rsidRPr="00C90AC9" w:rsidTr="000E6BD1">
        <w:trPr>
          <w:gridAfter w:val="1"/>
          <w:wAfter w:w="850" w:type="dxa"/>
        </w:trPr>
        <w:tc>
          <w:tcPr>
            <w:tcW w:w="8364" w:type="dxa"/>
            <w:gridSpan w:val="2"/>
          </w:tcPr>
          <w:p w:rsidR="0093376F" w:rsidRPr="00C90AC9" w:rsidRDefault="0093376F" w:rsidP="0093376F">
            <w:pPr>
              <w:pStyle w:val="BodyText"/>
              <w:jc w:val="right"/>
              <w:rPr>
                <w:rFonts w:eastAsiaTheme="minorHAnsi"/>
                <w:lang w:eastAsia="en-US"/>
              </w:rPr>
            </w:pPr>
            <w:r w:rsidRPr="00C90AC9">
              <w:rPr>
                <w:rFonts w:eastAsiaTheme="minorHAnsi"/>
                <w:lang w:eastAsia="en-US"/>
              </w:rPr>
              <w:t xml:space="preserve">   </w:t>
            </w:r>
            <w:r w:rsidR="00074509" w:rsidRPr="00C90AC9">
              <w:rPr>
                <w:rFonts w:eastAsiaTheme="minorHAnsi"/>
                <w:lang w:eastAsia="en-US"/>
              </w:rPr>
              <w:t xml:space="preserve"> </w:t>
            </w:r>
            <w:r w:rsidRPr="00C90AC9">
              <w:rPr>
                <w:rFonts w:eastAsiaTheme="minorHAnsi"/>
                <w:lang w:eastAsia="en-US"/>
              </w:rPr>
              <w:t xml:space="preserve">   </w:t>
            </w:r>
            <w:r w:rsidR="00F91222" w:rsidRPr="00C90AC9">
              <w:rPr>
                <w:rFonts w:eastAsiaTheme="minorHAnsi"/>
                <w:lang w:eastAsia="en-US"/>
              </w:rPr>
              <w:t xml:space="preserve"> </w:t>
            </w:r>
            <w:r w:rsidR="00074509" w:rsidRPr="00C90AC9">
              <w:rPr>
                <w:rFonts w:eastAsiaTheme="minorHAnsi"/>
                <w:lang w:eastAsia="en-US"/>
              </w:rPr>
              <w:t xml:space="preserve"> </w:t>
            </w:r>
            <w:r w:rsidR="00AE6DE9">
              <w:rPr>
                <w:rFonts w:eastAsiaTheme="minorHAnsi"/>
                <w:lang w:eastAsia="en-US"/>
              </w:rPr>
              <w:t xml:space="preserve">  </w:t>
            </w:r>
            <w:r w:rsidRPr="00C90AC9">
              <w:rPr>
                <w:rFonts w:eastAsiaTheme="minorHAnsi"/>
                <w:lang w:eastAsia="en-US"/>
              </w:rPr>
              <w:fldChar w:fldCharType="begin"/>
            </w:r>
            <w:r w:rsidRPr="00C90AC9">
              <w:rPr>
                <w:rFonts w:eastAsiaTheme="minorHAnsi"/>
                <w:lang w:eastAsia="en-US"/>
              </w:rPr>
              <w:instrText xml:space="preserve"> ADDIN EN.CITE &lt;EndNote&gt;&lt;Cite&gt;&lt;Author&gt;Wong&lt;/Author&gt;&lt;Year&gt;2015&lt;/Year&gt;&lt;RecNum&gt;249&lt;/RecNum&gt;&lt;DisplayText&gt;(Wong &amp;amp; Eames, 2015)&lt;/DisplayText&gt;&lt;record&gt;&lt;rec-number&gt;249&lt;/rec-number&gt;&lt;foreign-keys&gt;&lt;key app="EN" db-id="50wxdpzd9vd5r7e9t5b595djrfpttrxw9avp" timestamp="1525677873"&gt;249&lt;/key&gt;&lt;/foreign-keys&gt;&lt;ref-type name="Journal Article"&gt;17&lt;/ref-type&gt;&lt;contributors&gt;&lt;authors&gt;&lt;author&gt;Wong, Ing Liang&lt;/author&gt;&lt;author&gt;Eames, Philip&lt;/author&gt;&lt;/authors&gt;&lt;/contributors&gt;&lt;titles&gt;&lt;title&gt;A method for calculating the solar transmittance, absorptance and reflectance of a transparent insulation system&lt;/title&gt;&lt;secondary-title&gt;Solar Energy&lt;/secondary-title&gt;&lt;/titles&gt;&lt;pages&gt;418-425&lt;/pages&gt;&lt;volume&gt;111&lt;/volume&gt;&lt;keywords&gt;&lt;keyword&gt;Solar transmittance&lt;/keyword&gt;&lt;keyword&gt;Solar absorptance&lt;/keyword&gt;&lt;keyword&gt;Solar reflectance&lt;/keyword&gt;&lt;keyword&gt;Optical properties&lt;/keyword&gt;&lt;keyword&gt;Transparent insulation materials&lt;/keyword&gt;&lt;keyword&gt;Numerical modelling&lt;/keyword&gt;&lt;/keywords&gt;&lt;dates&gt;&lt;year&gt;2015&lt;/year&gt;&lt;pub-dates&gt;&lt;date&gt;2015/01/01/&lt;/date&gt;&lt;/pub-dates&gt;&lt;/dates&gt;&lt;isbn&gt;0038-092X&lt;/isbn&gt;&lt;urls&gt;&lt;related-urls&gt;&lt;url&gt;http://www.sciencedirect.com/science/article/pii/S0038092X1400468X&lt;/url&gt;&lt;/related-urls&gt;&lt;/urls&gt;&lt;electronic-resource-num&gt;https://doi.org/10.1016/j.solener.2014.09.028&lt;/electronic-resource-num&gt;&lt;/record&gt;&lt;/Cite&gt;&lt;/EndNote&gt;</w:instrText>
            </w:r>
            <w:r w:rsidRPr="00C90AC9">
              <w:rPr>
                <w:rFonts w:eastAsiaTheme="minorHAnsi"/>
                <w:lang w:eastAsia="en-US"/>
              </w:rPr>
              <w:fldChar w:fldCharType="separate"/>
            </w:r>
            <w:r w:rsidRPr="00C90AC9">
              <w:rPr>
                <w:rFonts w:eastAsiaTheme="minorHAnsi"/>
                <w:lang w:eastAsia="en-US"/>
              </w:rPr>
              <w:t>(Wong &amp; Eames, 2015)</w:t>
            </w:r>
            <w:r w:rsidRPr="00C90AC9">
              <w:rPr>
                <w:rFonts w:eastAsiaTheme="minorHAnsi"/>
                <w:lang w:eastAsia="en-US"/>
              </w:rPr>
              <w:fldChar w:fldCharType="end"/>
            </w:r>
          </w:p>
          <w:p w:rsidR="00A16B8C" w:rsidRPr="00C90AC9" w:rsidRDefault="00A16B8C" w:rsidP="00E14BC1">
            <w:pPr>
              <w:jc w:val="left"/>
              <w:rPr>
                <w:lang w:eastAsia="en-US"/>
              </w:rPr>
            </w:pPr>
            <w:r w:rsidRPr="00C90AC9">
              <w:rPr>
                <w:lang w:eastAsia="en-US"/>
              </w:rPr>
              <w:t>Where:</w:t>
            </w:r>
            <w:r w:rsidRPr="00C90AC9">
              <w:rPr>
                <w:lang w:eastAsia="en-US"/>
              </w:rPr>
              <w:br/>
            </w:r>
            <w:r w:rsidRPr="00C90AC9">
              <w:rPr>
                <w:rFonts w:eastAsiaTheme="minorHAnsi"/>
                <w:lang w:eastAsia="en-US"/>
              </w:rPr>
              <w:t>R - Overall Reflectance (-)</w:t>
            </w:r>
            <w:r w:rsidRPr="00C90AC9">
              <w:rPr>
                <w:rFonts w:eastAsiaTheme="minorHAnsi"/>
                <w:lang w:eastAsia="en-US"/>
              </w:rPr>
              <w:br/>
            </w:r>
            <m:oMath>
              <m:r>
                <w:rPr>
                  <w:rFonts w:ascii="Cambria Math" w:eastAsiaTheme="minorHAnsi" w:hAnsi="Cambria Math"/>
                  <w:lang w:eastAsia="en-US"/>
                </w:rPr>
                <m:t>ρ</m:t>
              </m:r>
            </m:oMath>
            <w:r w:rsidRPr="00C90AC9">
              <w:rPr>
                <w:lang w:eastAsia="en-US"/>
              </w:rPr>
              <w:t xml:space="preserve"> - Glass Surface Reflectivity (-)</w:t>
            </w:r>
            <w:r w:rsidRPr="00C90AC9">
              <w:rPr>
                <w:lang w:eastAsia="en-US"/>
              </w:rPr>
              <w:br/>
            </w:r>
            <m:oMath>
              <m:r>
                <w:rPr>
                  <w:rFonts w:ascii="Cambria Math" w:eastAsiaTheme="minorHAnsi" w:hAnsi="Cambria Math"/>
                  <w:lang w:eastAsia="en-US"/>
                </w:rPr>
                <m:t>τ</m:t>
              </m:r>
            </m:oMath>
            <w:r w:rsidRPr="00C90AC9">
              <w:rPr>
                <w:lang w:eastAsia="en-US"/>
              </w:rPr>
              <w:t>- Glass Tranmissivity (-)</w:t>
            </w:r>
            <w:r w:rsidRPr="00C90AC9">
              <w:rPr>
                <w:lang w:eastAsia="en-US"/>
              </w:rPr>
              <w:br/>
            </w:r>
            <w:r w:rsidRPr="00C90AC9">
              <w:rPr>
                <w:rFonts w:eastAsiaTheme="minorHAnsi"/>
                <w:lang w:eastAsia="en-US"/>
              </w:rPr>
              <w:t>T</w:t>
            </w:r>
            <w:r w:rsidRPr="00C90AC9">
              <w:rPr>
                <w:rFonts w:eastAsiaTheme="minorHAnsi"/>
                <w:lang w:eastAsia="en-US"/>
              </w:rPr>
              <w:softHyphen/>
              <w:t>r - Overall Transmittance (-)</w:t>
            </w:r>
            <w:r w:rsidRPr="00C90AC9">
              <w:rPr>
                <w:lang w:eastAsia="en-US"/>
              </w:rPr>
              <w:br/>
            </w:r>
            <w:proofErr w:type="gramStart"/>
            <w:r w:rsidRPr="00C90AC9">
              <w:rPr>
                <w:rFonts w:eastAsiaTheme="minorHAnsi"/>
                <w:lang w:eastAsia="en-US"/>
              </w:rPr>
              <w:t>A</w:t>
            </w:r>
            <w:r w:rsidRPr="00C90AC9">
              <w:rPr>
                <w:rFonts w:eastAsiaTheme="minorHAnsi"/>
                <w:vertAlign w:val="subscript"/>
                <w:lang w:eastAsia="en-US"/>
              </w:rPr>
              <w:t xml:space="preserve">b </w:t>
            </w:r>
            <w:r w:rsidRPr="00C90AC9">
              <w:rPr>
                <w:rFonts w:eastAsiaTheme="minorHAnsi"/>
                <w:lang w:eastAsia="en-US"/>
              </w:rPr>
              <w:t xml:space="preserve"> -</w:t>
            </w:r>
            <w:proofErr w:type="gramEnd"/>
            <w:r w:rsidRPr="00C90AC9">
              <w:rPr>
                <w:rFonts w:eastAsiaTheme="minorHAnsi"/>
                <w:lang w:eastAsia="en-US"/>
              </w:rPr>
              <w:t xml:space="preserve"> Absorptance (-)</w:t>
            </w:r>
            <w:r w:rsidRPr="00C90AC9">
              <w:rPr>
                <w:rFonts w:eastAsiaTheme="minorHAnsi"/>
                <w:lang w:eastAsia="en-US"/>
              </w:rPr>
              <w:tab/>
            </w:r>
          </w:p>
        </w:tc>
      </w:tr>
      <w:tr w:rsidR="0096721A" w:rsidRPr="00C90AC9" w:rsidTr="000E6BD1">
        <w:trPr>
          <w:gridAfter w:val="1"/>
          <w:wAfter w:w="850" w:type="dxa"/>
        </w:trPr>
        <w:tc>
          <w:tcPr>
            <w:tcW w:w="8364" w:type="dxa"/>
            <w:gridSpan w:val="2"/>
          </w:tcPr>
          <w:p w:rsidR="0096721A" w:rsidRPr="00C90AC9" w:rsidRDefault="0096721A" w:rsidP="00B06779">
            <w:pPr>
              <w:rPr>
                <w:rFonts w:eastAsiaTheme="minorHAnsi"/>
                <w:lang w:eastAsia="en-US"/>
              </w:rPr>
            </w:pPr>
          </w:p>
        </w:tc>
      </w:tr>
    </w:tbl>
    <w:p w:rsidR="00A16B8C" w:rsidRPr="00C90AC9" w:rsidRDefault="0074402A" w:rsidP="00B06779">
      <w:pPr>
        <w:pStyle w:val="BodyText"/>
        <w:rPr>
          <w:lang w:eastAsia="en-US"/>
        </w:rPr>
      </w:pPr>
      <w:r w:rsidRPr="00C90AC9">
        <w:rPr>
          <w:rFonts w:eastAsiaTheme="minorHAnsi"/>
          <w:noProof/>
        </w:rPr>
        <mc:AlternateContent>
          <mc:Choice Requires="wps">
            <w:drawing>
              <wp:anchor distT="0" distB="0" distL="114300" distR="114300" simplePos="0" relativeHeight="251758592" behindDoc="0" locked="0" layoutInCell="1" allowOverlap="1" wp14:anchorId="78E54AB4" wp14:editId="0F6FCAD0">
                <wp:simplePos x="0" y="0"/>
                <wp:positionH relativeFrom="column">
                  <wp:posOffset>2078355</wp:posOffset>
                </wp:positionH>
                <wp:positionV relativeFrom="paragraph">
                  <wp:posOffset>421640</wp:posOffset>
                </wp:positionV>
                <wp:extent cx="1524000" cy="499745"/>
                <wp:effectExtent l="0" t="0" r="0" b="0"/>
                <wp:wrapNone/>
                <wp:docPr id="347" name="Rectangle 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0" cy="499745"/>
                        </a:xfrm>
                        <a:prstGeom prst="rect">
                          <a:avLst/>
                        </a:prstGeom>
                        <a:solidFill>
                          <a:srgbClr val="4F81BD">
                            <a:alpha val="30000"/>
                          </a:srgb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610AA4" id="Rectangle 347" o:spid="_x0000_s1026" style="position:absolute;margin-left:163.65pt;margin-top:33.2pt;width:120pt;height:39.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" fillcolor="#4f81bd" strokecolor="#385d8a" strokeweight="1pt">
                <v:fill opacity="19789f"/>
                <v:path arrowok="t"/>
              </v:rect>
            </w:pict>
          </mc:Fallback>
        </mc:AlternateContent>
      </w:r>
      <w:r w:rsidR="00A16B8C" w:rsidRPr="00C90AC9">
        <w:rPr>
          <w:lang w:eastAsia="en-US"/>
        </w:rPr>
        <w:t xml:space="preserve">With the Transmittance (Tr), Absorptance (Ab) and the Reflectance </w:t>
      </w:r>
      <w:r w:rsidR="00C80892" w:rsidRPr="00C90AC9">
        <w:rPr>
          <w:lang w:eastAsia="en-US"/>
        </w:rPr>
        <w:t>®</w:t>
      </w:r>
      <w:r w:rsidR="00A16B8C" w:rsidRPr="00C90AC9">
        <w:rPr>
          <w:lang w:eastAsia="en-US"/>
        </w:rPr>
        <w:t xml:space="preserve"> the “Tau-alpha” product can be now calculated using:</w:t>
      </w:r>
    </w:p>
    <w:tbl>
      <w:tblPr>
        <w:tblW w:w="9464" w:type="dxa"/>
        <w:tblLook w:val="04A0" w:firstRow="1" w:lastRow="0" w:firstColumn="1" w:lastColumn="0" w:noHBand="0" w:noVBand="1"/>
      </w:tblPr>
      <w:tblGrid>
        <w:gridCol w:w="959"/>
        <w:gridCol w:w="6946"/>
        <w:gridCol w:w="1559"/>
      </w:tblGrid>
      <w:tr w:rsidR="00A16B8C" w:rsidRPr="00C90AC9" w:rsidTr="008C4189">
        <w:tc>
          <w:tcPr>
            <w:tcW w:w="959" w:type="dxa"/>
          </w:tcPr>
          <w:p w:rsidR="00A16B8C" w:rsidRPr="00C90AC9" w:rsidRDefault="00A16B8C" w:rsidP="00B06779">
            <w:pPr>
              <w:rPr>
                <w:lang w:eastAsia="zh-CN"/>
              </w:rPr>
            </w:pPr>
          </w:p>
        </w:tc>
        <w:tc>
          <w:tcPr>
            <w:tcW w:w="6946" w:type="dxa"/>
          </w:tcPr>
          <w:p w:rsidR="00A16B8C" w:rsidRPr="00C90AC9" w:rsidRDefault="00A16B8C" w:rsidP="00F064E4">
            <w:pPr>
              <w:jc w:val="center"/>
              <w:rPr>
                <w:rFonts w:eastAsiaTheme="minorHAnsi"/>
                <w:sz w:val="28"/>
                <w:lang w:eastAsia="en-US"/>
              </w:rPr>
            </w:pPr>
            <w:r w:rsidRPr="00C90AC9">
              <w:rPr>
                <w:rFonts w:eastAsiaTheme="minorHAnsi"/>
                <w:sz w:val="28"/>
                <w:lang w:eastAsia="en-US"/>
              </w:rPr>
              <w:t>(</w:t>
            </w:r>
            <m:oMath>
              <m:r>
                <m:rPr>
                  <m:sty m:val="p"/>
                </m:rPr>
                <w:rPr>
                  <w:rFonts w:ascii="Cambria Math" w:eastAsiaTheme="minorHAnsi" w:hAnsi="Cambria Math"/>
                  <w:sz w:val="28"/>
                  <w:lang w:eastAsia="en-US"/>
                </w:rPr>
                <m:t>τα)</m:t>
              </m:r>
            </m:oMath>
            <w:r w:rsidRPr="00C90AC9">
              <w:rPr>
                <w:rFonts w:eastAsiaTheme="minorHAnsi"/>
                <w:sz w:val="28"/>
                <w:lang w:eastAsia="en-US"/>
              </w:rPr>
              <w:t xml:space="preserve"> =  </w:t>
            </w:r>
            <m:oMath>
              <m:f>
                <m:fPr>
                  <m:ctrlPr>
                    <w:rPr>
                      <w:rFonts w:ascii="Cambria Math" w:eastAsiaTheme="minorHAnsi" w:hAnsi="Cambria Math"/>
                      <w:sz w:val="28"/>
                      <w:lang w:eastAsia="en-US"/>
                    </w:rPr>
                  </m:ctrlPr>
                </m:fPr>
                <m:num>
                  <m:r>
                    <m:rPr>
                      <m:sty m:val="p"/>
                    </m:rPr>
                    <w:rPr>
                      <w:rFonts w:ascii="Cambria Math" w:eastAsiaTheme="minorHAnsi" w:hAnsi="Cambria Math"/>
                      <w:sz w:val="28"/>
                      <w:lang w:eastAsia="en-US"/>
                    </w:rPr>
                    <m:t>Tα</m:t>
                  </m:r>
                </m:num>
                <m:den>
                  <m:r>
                    <m:rPr>
                      <m:sty m:val="p"/>
                    </m:rPr>
                    <w:rPr>
                      <w:rFonts w:ascii="Cambria Math" w:eastAsiaTheme="minorHAnsi" w:hAnsi="Cambria Math"/>
                      <w:sz w:val="28"/>
                      <w:lang w:eastAsia="en-US"/>
                    </w:rPr>
                    <m:t>1-</m:t>
                  </m:r>
                  <m:d>
                    <m:dPr>
                      <m:ctrlPr>
                        <w:rPr>
                          <w:rFonts w:ascii="Cambria Math" w:eastAsiaTheme="minorHAnsi" w:hAnsi="Cambria Math"/>
                          <w:sz w:val="28"/>
                          <w:lang w:eastAsia="en-US"/>
                        </w:rPr>
                      </m:ctrlPr>
                    </m:dPr>
                    <m:e>
                      <m:r>
                        <m:rPr>
                          <m:sty m:val="p"/>
                        </m:rPr>
                        <w:rPr>
                          <w:rFonts w:ascii="Cambria Math" w:eastAsiaTheme="minorHAnsi" w:hAnsi="Cambria Math"/>
                          <w:sz w:val="28"/>
                          <w:lang w:eastAsia="en-US"/>
                        </w:rPr>
                        <m:t>1-α</m:t>
                      </m:r>
                    </m:e>
                  </m:d>
                  <m:r>
                    <m:rPr>
                      <m:sty m:val="p"/>
                    </m:rPr>
                    <w:rPr>
                      <w:rFonts w:ascii="Cambria Math" w:eastAsiaTheme="minorHAnsi" w:hAnsi="Cambria Math"/>
                      <w:sz w:val="28"/>
                      <w:lang w:eastAsia="en-US"/>
                    </w:rPr>
                    <m:t>R</m:t>
                  </m:r>
                </m:den>
              </m:f>
            </m:oMath>
          </w:p>
        </w:tc>
        <w:tc>
          <w:tcPr>
            <w:tcW w:w="1559" w:type="dxa"/>
          </w:tcPr>
          <w:p w:rsidR="00A16B8C" w:rsidRPr="00C90AC9" w:rsidRDefault="00A16B8C" w:rsidP="00B06779">
            <w:pPr>
              <w:rPr>
                <w:lang w:eastAsia="zh-CN"/>
              </w:rPr>
            </w:pPr>
          </w:p>
        </w:tc>
      </w:tr>
    </w:tbl>
    <w:p w:rsidR="0096721A" w:rsidRPr="00C90AC9" w:rsidRDefault="00BF282D" w:rsidP="00F064E4">
      <w:pPr>
        <w:pStyle w:val="Caption"/>
        <w:jc w:val="right"/>
        <w:rPr>
          <w:rFonts w:eastAsiaTheme="minorHAnsi"/>
          <w:b w:val="0"/>
          <w:color w:val="auto"/>
          <w:sz w:val="24"/>
          <w:lang w:eastAsia="en-US"/>
        </w:rPr>
      </w:pPr>
      <w:r w:rsidRPr="00C90AC9">
        <w:rPr>
          <w:rFonts w:eastAsiaTheme="minorHAnsi"/>
          <w:lang w:eastAsia="en-US"/>
        </w:rPr>
        <w:t xml:space="preserve">   </w:t>
      </w:r>
      <w:r w:rsidR="0096721A" w:rsidRPr="00C90AC9">
        <w:rPr>
          <w:rFonts w:eastAsiaTheme="minorHAnsi"/>
          <w:lang w:eastAsia="en-US"/>
        </w:rPr>
        <w:t xml:space="preserve">  (</w:t>
      </w:r>
      <w:r w:rsidR="0096721A" w:rsidRPr="00C90AC9">
        <w:rPr>
          <w:rFonts w:eastAsiaTheme="minorHAnsi"/>
          <w:b w:val="0"/>
          <w:color w:val="auto"/>
          <w:sz w:val="24"/>
          <w:lang w:eastAsia="en-US"/>
        </w:rPr>
        <w:t>12</w:t>
      </w:r>
      <w:r w:rsidR="00A16B8C" w:rsidRPr="00C90AC9">
        <w:rPr>
          <w:rFonts w:eastAsiaTheme="minorHAnsi"/>
          <w:b w:val="0"/>
          <w:color w:val="auto"/>
          <w:sz w:val="24"/>
          <w:lang w:eastAsia="en-US"/>
        </w:rPr>
        <w:t>)</w:t>
      </w:r>
    </w:p>
    <w:p w:rsidR="0093376F" w:rsidRPr="00C90AC9" w:rsidRDefault="00E364F1" w:rsidP="0093376F">
      <w:pPr>
        <w:jc w:val="right"/>
        <w:rPr>
          <w:lang w:eastAsia="en-US"/>
        </w:rPr>
      </w:pPr>
      <w:r w:rsidRPr="00C90AC9">
        <w:rPr>
          <w:lang w:eastAsia="en-US"/>
        </w:rPr>
        <w:fldChar w:fldCharType="begin"/>
      </w:r>
      <w:r w:rsidRPr="00C90AC9">
        <w:rPr>
          <w:lang w:eastAsia="en-US"/>
        </w:rPr>
        <w:instrText xml:space="preserve"> ADDIN EN.CITE &lt;EndNote&gt;&lt;Cite&gt;&lt;Author&gt;Wong&lt;/Author&gt;&lt;Year&gt;2015&lt;/Year&gt;&lt;RecNum&gt;249&lt;/RecNum&gt;&lt;DisplayText&gt;(Wong &amp;amp; Eames, 2015)&lt;/DisplayText&gt;&lt;record&gt;&lt;rec-number&gt;249&lt;/rec-number&gt;&lt;foreign-keys&gt;&lt;key app="EN" db-id="50wxdpzd9vd5r7e9t5b595djrfpttrxw9avp" timestamp="1525677873"&gt;249&lt;/key&gt;&lt;/foreign-keys&gt;&lt;ref-type name="Journal Article"&gt;17&lt;/ref-type&gt;&lt;contributors&gt;&lt;authors&gt;&lt;author&gt;Wong, Ing Liang&lt;/author&gt;&lt;author&gt;Eames, Philip&lt;/author&gt;&lt;/authors&gt;&lt;/contributors&gt;&lt;titles&gt;&lt;title&gt;A method for calculating the solar transmittance, absorptance and reflectance of a transparent insulation system&lt;/title&gt;&lt;secondary-title&gt;Solar Energy&lt;/secondary-title&gt;&lt;/titles&gt;&lt;pages&gt;418-425&lt;/pages&gt;&lt;volume&gt;111&lt;/volume&gt;&lt;keywords&gt;&lt;keyword&gt;Solar transmittance&lt;/keyword&gt;&lt;keyword&gt;Solar absorptance&lt;/keyword&gt;&lt;keyword&gt;Solar reflectance&lt;/keyword&gt;&lt;keyword&gt;Optical properties&lt;/keyword&gt;&lt;keyword&gt;Transparent insulation materials&lt;/keyword&gt;&lt;keyword&gt;Numerical modelling&lt;/keyword&gt;&lt;/keywords&gt;&lt;dates&gt;&lt;year&gt;2015&lt;/year&gt;&lt;pub-dates&gt;&lt;date&gt;2015/01/01/&lt;/date&gt;&lt;/pub-dates&gt;&lt;/dates&gt;&lt;isbn&gt;0038-092X&lt;/isbn&gt;&lt;urls&gt;&lt;related-urls&gt;&lt;url&gt;http://www.sciencedirect.com/science/article/pii/S0038092X1400468X&lt;/url&gt;&lt;/related-urls&gt;&lt;/urls&gt;&lt;electronic-resource-num&gt;https://doi.org/10.1016/j.solener.2014.09.028&lt;/electronic-resource-num&gt;&lt;/record&gt;&lt;/Cite&gt;&lt;/EndNote&gt;</w:instrText>
      </w:r>
      <w:r w:rsidRPr="00C90AC9">
        <w:rPr>
          <w:lang w:eastAsia="en-US"/>
        </w:rPr>
        <w:fldChar w:fldCharType="separate"/>
      </w:r>
      <w:r w:rsidRPr="00C90AC9">
        <w:rPr>
          <w:lang w:eastAsia="en-US"/>
        </w:rPr>
        <w:t>(</w:t>
      </w:r>
      <w:bookmarkStart w:id="36" w:name="_Hlk526835548"/>
      <w:r w:rsidRPr="00C90AC9">
        <w:rPr>
          <w:lang w:eastAsia="en-US"/>
        </w:rPr>
        <w:t>Wong &amp; Eames, 2015</w:t>
      </w:r>
      <w:bookmarkEnd w:id="36"/>
      <w:r w:rsidRPr="00C90AC9">
        <w:rPr>
          <w:lang w:eastAsia="en-US"/>
        </w:rPr>
        <w:t>)</w:t>
      </w:r>
      <w:r w:rsidRPr="00C90AC9">
        <w:rPr>
          <w:lang w:eastAsia="en-US"/>
        </w:rPr>
        <w:fldChar w:fldCharType="end"/>
      </w:r>
    </w:p>
    <w:p w:rsidR="00A16B8C" w:rsidRPr="00C90AC9" w:rsidRDefault="00A16B8C" w:rsidP="00B06779">
      <w:pPr>
        <w:rPr>
          <w:lang w:eastAsia="en-US"/>
        </w:rPr>
      </w:pPr>
      <w:r w:rsidRPr="00C90AC9">
        <w:rPr>
          <w:lang w:eastAsia="en-US"/>
        </w:rPr>
        <w:t>Where:</w:t>
      </w:r>
      <w:r w:rsidRPr="00C90AC9">
        <w:rPr>
          <w:lang w:eastAsia="en-US"/>
        </w:rPr>
        <w:tab/>
        <w:t xml:space="preserve"> </w:t>
      </w:r>
      <w:r w:rsidRPr="00C90AC9">
        <w:rPr>
          <w:lang w:eastAsia="en-US"/>
        </w:rPr>
        <w:tab/>
      </w:r>
      <w:r w:rsidRPr="00C90AC9">
        <w:rPr>
          <w:lang w:eastAsia="en-US"/>
        </w:rPr>
        <w:tab/>
      </w:r>
      <w:r w:rsidRPr="00C90AC9">
        <w:rPr>
          <w:lang w:eastAsia="en-US"/>
        </w:rPr>
        <w:tab/>
      </w:r>
      <w:r w:rsidRPr="00C90AC9">
        <w:rPr>
          <w:lang w:eastAsia="en-US"/>
        </w:rPr>
        <w:tab/>
      </w:r>
      <w:r w:rsidRPr="00C90AC9">
        <w:rPr>
          <w:lang w:eastAsia="en-US"/>
        </w:rPr>
        <w:tab/>
      </w:r>
      <w:r w:rsidR="00F064E4" w:rsidRPr="00C90AC9">
        <w:rPr>
          <w:rFonts w:eastAsiaTheme="minorHAnsi"/>
          <w:lang w:eastAsia="en-US"/>
        </w:rPr>
        <w:tab/>
      </w:r>
      <w:r w:rsidR="00F064E4" w:rsidRPr="00C90AC9">
        <w:rPr>
          <w:rFonts w:eastAsiaTheme="minorHAnsi"/>
          <w:lang w:eastAsia="en-US"/>
        </w:rPr>
        <w:tab/>
      </w:r>
      <w:r w:rsidRPr="00C90AC9">
        <w:rPr>
          <w:rFonts w:eastAsiaTheme="minorHAnsi"/>
          <w:lang w:eastAsia="en-US"/>
        </w:rPr>
        <w:t xml:space="preserve">  </w:t>
      </w:r>
    </w:p>
    <w:p w:rsidR="00A16B8C" w:rsidRDefault="00A16B8C" w:rsidP="00B06779">
      <w:pPr>
        <w:rPr>
          <w:lang w:eastAsia="en-US"/>
        </w:rPr>
      </w:pPr>
      <w:r w:rsidRPr="00C90AC9">
        <w:rPr>
          <w:lang w:eastAsia="en-US"/>
        </w:rPr>
        <w:t>T</w:t>
      </w:r>
      <m:oMath>
        <m:r>
          <m:rPr>
            <m:sty m:val="p"/>
          </m:rPr>
          <w:rPr>
            <w:rFonts w:ascii="Cambria Math" w:eastAsiaTheme="minorHAnsi" w:hAnsi="Cambria Math"/>
            <w:lang w:eastAsia="en-US"/>
          </w:rPr>
          <m:t xml:space="preserve">α </m:t>
        </m:r>
      </m:oMath>
      <w:r w:rsidRPr="00C90AC9">
        <w:rPr>
          <w:lang w:eastAsia="en-US"/>
        </w:rPr>
        <w:t>– Tau-alpha product (-)</w:t>
      </w:r>
      <w:r w:rsidR="00CE56D5" w:rsidRPr="00C90AC9">
        <w:rPr>
          <w:lang w:eastAsia="en-US"/>
        </w:rPr>
        <w:tab/>
      </w:r>
      <w:r w:rsidRPr="00C90AC9">
        <w:rPr>
          <w:lang w:eastAsia="en-US"/>
        </w:rPr>
        <w:br/>
      </w:r>
      <m:oMath>
        <m:r>
          <w:rPr>
            <w:rFonts w:ascii="Cambria Math" w:eastAsiaTheme="minorHAnsi" w:hAnsi="Cambria Math"/>
            <w:lang w:eastAsia="en-US"/>
          </w:rPr>
          <m:t>τ</m:t>
        </m:r>
      </m:oMath>
      <w:r w:rsidRPr="00C90AC9">
        <w:rPr>
          <w:lang w:eastAsia="en-US"/>
        </w:rPr>
        <w:t xml:space="preserve"> - Glass Tranmissivity (-)</w:t>
      </w:r>
      <w:r w:rsidR="00CE56D5" w:rsidRPr="00C90AC9">
        <w:rPr>
          <w:lang w:eastAsia="en-US"/>
        </w:rPr>
        <w:tab/>
      </w:r>
      <w:r w:rsidRPr="00C90AC9">
        <w:rPr>
          <w:lang w:eastAsia="en-US"/>
        </w:rPr>
        <w:br/>
      </w:r>
      <m:oMath>
        <m:r>
          <m:rPr>
            <m:sty m:val="p"/>
          </m:rPr>
          <w:rPr>
            <w:rFonts w:ascii="Cambria Math" w:eastAsiaTheme="minorHAnsi" w:hAnsi="Cambria Math"/>
            <w:lang w:eastAsia="en-US"/>
          </w:rPr>
          <m:t>α</m:t>
        </m:r>
      </m:oMath>
      <w:r w:rsidRPr="00C90AC9">
        <w:rPr>
          <w:lang w:eastAsia="en-US"/>
        </w:rPr>
        <w:t xml:space="preserve"> – Plate Emissivity (-)</w:t>
      </w:r>
      <w:r w:rsidR="00CE56D5" w:rsidRPr="00C90AC9">
        <w:rPr>
          <w:lang w:eastAsia="en-US"/>
        </w:rPr>
        <w:tab/>
      </w:r>
      <w:r w:rsidRPr="00C90AC9">
        <w:rPr>
          <w:lang w:eastAsia="en-US"/>
        </w:rPr>
        <w:br/>
        <w:t>R – Reflectance (-)</w:t>
      </w:r>
    </w:p>
    <w:p w:rsidR="00AE6DE9" w:rsidRPr="00C90AC9" w:rsidRDefault="00AE6DE9" w:rsidP="00B06779">
      <w:pPr>
        <w:rPr>
          <w:lang w:eastAsia="en-US"/>
        </w:rPr>
      </w:pPr>
    </w:p>
    <w:p w:rsidR="00A16B8C" w:rsidRPr="00C90AC9" w:rsidRDefault="00A16B8C" w:rsidP="00F064E4">
      <w:pPr>
        <w:pStyle w:val="BodyText"/>
        <w:spacing w:line="360" w:lineRule="auto"/>
        <w:rPr>
          <w:lang w:eastAsia="en-US"/>
        </w:rPr>
      </w:pPr>
      <w:r w:rsidRPr="00C90AC9">
        <w:rPr>
          <w:lang w:eastAsia="en-US"/>
        </w:rPr>
        <w:t>With one final assumption, (that there are no heat losses from the top and the bottom of the flat plate collector) using the above equations, the final amount of the useful energy (Q</w:t>
      </w:r>
      <w:r w:rsidRPr="00C90AC9">
        <w:rPr>
          <w:vertAlign w:val="subscript"/>
          <w:lang w:eastAsia="en-US"/>
        </w:rPr>
        <w:t>U</w:t>
      </w:r>
      <w:r w:rsidRPr="00C90AC9">
        <w:rPr>
          <w:lang w:eastAsia="en-US"/>
        </w:rPr>
        <w:t>) can be calculated for the solar thermal panel:</w:t>
      </w:r>
    </w:p>
    <w:p w:rsidR="00A16B8C" w:rsidRPr="00C90AC9" w:rsidRDefault="0074402A" w:rsidP="00B06779">
      <w:pPr>
        <w:pStyle w:val="BodyText"/>
        <w:rPr>
          <w:vertAlign w:val="subscript"/>
          <w:lang w:eastAsia="en-US"/>
        </w:rPr>
      </w:pPr>
      <w:r w:rsidRPr="00C90AC9">
        <w:rPr>
          <w:rFonts w:eastAsiaTheme="minorHAnsi"/>
          <w:noProof/>
        </w:rPr>
        <mc:AlternateContent>
          <mc:Choice Requires="wps">
            <w:drawing>
              <wp:anchor distT="0" distB="0" distL="114300" distR="114300" simplePos="0" relativeHeight="251841536" behindDoc="0" locked="0" layoutInCell="1" allowOverlap="1" wp14:anchorId="4EC444EF" wp14:editId="5A956794">
                <wp:simplePos x="0" y="0"/>
                <wp:positionH relativeFrom="column">
                  <wp:posOffset>1676400</wp:posOffset>
                </wp:positionH>
                <wp:positionV relativeFrom="paragraph">
                  <wp:posOffset>182880</wp:posOffset>
                </wp:positionV>
                <wp:extent cx="2552700" cy="438150"/>
                <wp:effectExtent l="0" t="0" r="19050" b="19050"/>
                <wp:wrapNone/>
                <wp:docPr id="348" name="Rectangle 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52700" cy="438150"/>
                        </a:xfrm>
                        <a:prstGeom prst="rect">
                          <a:avLst/>
                        </a:prstGeom>
                        <a:solidFill>
                          <a:srgbClr val="4F81BD">
                            <a:alpha val="30000"/>
                          </a:srgb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8F15E8" id="Rectangle 348" o:spid="_x0000_s1026" style="position:absolute;margin-left:132pt;margin-top:14.4pt;width:201pt;height:34.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" fillcolor="#4f81bd" strokecolor="#385d8a" strokeweight="1pt">
                <v:fill opacity="19789f"/>
                <v:path arrowok="t"/>
              </v:rect>
            </w:pict>
          </mc:Fallback>
        </mc:AlternateContent>
      </w:r>
      <w:r w:rsidR="00A16B8C" w:rsidRPr="00C90AC9">
        <w:rPr>
          <w:lang w:eastAsia="en-US"/>
        </w:rPr>
        <w:t>Useful Energy, Q</w:t>
      </w:r>
      <w:r w:rsidR="00A16B8C" w:rsidRPr="00C90AC9">
        <w:rPr>
          <w:vertAlign w:val="subscript"/>
          <w:lang w:eastAsia="en-US"/>
        </w:rPr>
        <w:t>U:</w:t>
      </w:r>
    </w:p>
    <w:tbl>
      <w:tblPr>
        <w:tblStyle w:val="TableGrid3"/>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
        <w:gridCol w:w="8224"/>
        <w:gridCol w:w="851"/>
      </w:tblGrid>
      <w:tr w:rsidR="00A16B8C" w:rsidRPr="00C90AC9" w:rsidTr="007E6333">
        <w:tc>
          <w:tcPr>
            <w:tcW w:w="531" w:type="dxa"/>
          </w:tcPr>
          <w:p w:rsidR="00A16B8C" w:rsidRPr="00C90AC9" w:rsidRDefault="00A16B8C" w:rsidP="00B06779">
            <w:pPr>
              <w:rPr>
                <w:rFonts w:eastAsiaTheme="minorHAnsi"/>
                <w:lang w:eastAsia="en-US"/>
              </w:rPr>
            </w:pPr>
          </w:p>
        </w:tc>
        <w:tc>
          <w:tcPr>
            <w:tcW w:w="8224" w:type="dxa"/>
          </w:tcPr>
          <w:p w:rsidR="00A16B8C" w:rsidRPr="00C90AC9" w:rsidRDefault="00A16B8C" w:rsidP="00B06779">
            <w:pPr>
              <w:rPr>
                <w:rFonts w:eastAsiaTheme="minorHAnsi"/>
                <w:lang w:eastAsia="en-US"/>
              </w:rPr>
            </w:pPr>
            <m:oMathPara>
              <m:oMath>
                <m:r>
                  <m:rPr>
                    <m:sty m:val="p"/>
                  </m:rPr>
                  <w:rPr>
                    <w:rFonts w:ascii="Cambria Math" w:hAnsi="Cambria Math"/>
                    <w:vertAlign w:val="subscript"/>
                    <w:lang w:eastAsia="en-US"/>
                  </w:rPr>
                  <m:t xml:space="preserve">  </m:t>
                </m:r>
                <m:sSub>
                  <m:sSubPr>
                    <m:ctrlPr>
                      <w:rPr>
                        <w:rFonts w:ascii="Cambria Math" w:hAnsi="Cambria Math"/>
                        <w:vertAlign w:val="subscript"/>
                        <w:lang w:eastAsia="en-US"/>
                      </w:rPr>
                    </m:ctrlPr>
                  </m:sSubPr>
                  <m:e>
                    <m:r>
                      <m:rPr>
                        <m:sty m:val="p"/>
                      </m:rPr>
                      <w:rPr>
                        <w:rFonts w:ascii="Cambria Math" w:hAnsi="Cambria Math"/>
                        <w:vertAlign w:val="subscript"/>
                        <w:lang w:eastAsia="en-US"/>
                      </w:rPr>
                      <m:t xml:space="preserve"> </m:t>
                    </m:r>
                    <m:r>
                      <w:rPr>
                        <w:rFonts w:ascii="Cambria Math" w:hAnsi="Cambria Math"/>
                        <w:vertAlign w:val="subscript"/>
                        <w:lang w:eastAsia="en-US"/>
                      </w:rPr>
                      <m:t>Q</m:t>
                    </m:r>
                  </m:e>
                  <m:sub>
                    <m:r>
                      <w:rPr>
                        <w:rFonts w:ascii="Cambria Math" w:hAnsi="Cambria Math"/>
                        <w:vertAlign w:val="subscript"/>
                        <w:lang w:eastAsia="en-US"/>
                      </w:rPr>
                      <m:t>U</m:t>
                    </m:r>
                  </m:sub>
                </m:sSub>
                <m:r>
                  <m:rPr>
                    <m:sty m:val="p"/>
                  </m:rPr>
                  <w:rPr>
                    <w:rFonts w:ascii="Cambria Math" w:hAnsi="Cambria Math"/>
                    <w:vertAlign w:val="subscript"/>
                    <w:lang w:eastAsia="en-US"/>
                  </w:rPr>
                  <m:t>=</m:t>
                </m:r>
                <m:acc>
                  <m:accPr>
                    <m:chr m:val="̇"/>
                    <m:ctrlPr>
                      <w:rPr>
                        <w:rFonts w:ascii="Cambria Math" w:hAnsi="Cambria Math"/>
                        <w:vertAlign w:val="subscript"/>
                        <w:lang w:eastAsia="en-US"/>
                      </w:rPr>
                    </m:ctrlPr>
                  </m:accPr>
                  <m:e>
                    <m:r>
                      <w:rPr>
                        <w:rFonts w:ascii="Cambria Math" w:hAnsi="Cambria Math"/>
                        <w:vertAlign w:val="subscript"/>
                        <w:lang w:eastAsia="en-US"/>
                      </w:rPr>
                      <m:t>m</m:t>
                    </m:r>
                    <m:r>
                      <m:rPr>
                        <m:sty m:val="p"/>
                      </m:rPr>
                      <w:rPr>
                        <w:rFonts w:ascii="Cambria Math" w:hAnsi="Cambria Math"/>
                        <w:vertAlign w:val="subscript"/>
                        <w:lang w:eastAsia="en-US"/>
                      </w:rPr>
                      <m:t> </m:t>
                    </m:r>
                  </m:e>
                </m:acc>
                <m:sSub>
                  <m:sSubPr>
                    <m:ctrlPr>
                      <w:rPr>
                        <w:rFonts w:ascii="Cambria Math" w:hAnsi="Cambria Math"/>
                        <w:vertAlign w:val="subscript"/>
                        <w:lang w:eastAsia="en-US"/>
                      </w:rPr>
                    </m:ctrlPr>
                  </m:sSubPr>
                  <m:e>
                    <m:r>
                      <w:rPr>
                        <w:rFonts w:ascii="Cambria Math" w:hAnsi="Cambria Math"/>
                        <w:vertAlign w:val="subscript"/>
                        <w:lang w:eastAsia="en-US"/>
                      </w:rPr>
                      <m:t>C</m:t>
                    </m:r>
                  </m:e>
                  <m:sub>
                    <m:r>
                      <w:rPr>
                        <w:rFonts w:ascii="Cambria Math" w:hAnsi="Cambria Math"/>
                        <w:vertAlign w:val="subscript"/>
                        <w:lang w:eastAsia="en-US"/>
                      </w:rPr>
                      <m:t>P</m:t>
                    </m:r>
                  </m:sub>
                </m:sSub>
                <m:d>
                  <m:dPr>
                    <m:ctrlPr>
                      <w:rPr>
                        <w:rFonts w:ascii="Cambria Math" w:hAnsi="Cambria Math"/>
                        <w:vertAlign w:val="subscript"/>
                        <w:lang w:eastAsia="en-US"/>
                      </w:rPr>
                    </m:ctrlPr>
                  </m:dPr>
                  <m:e>
                    <m:sSub>
                      <m:sSubPr>
                        <m:ctrlPr>
                          <w:rPr>
                            <w:rFonts w:ascii="Cambria Math" w:hAnsi="Cambria Math"/>
                            <w:vertAlign w:val="subscript"/>
                            <w:lang w:eastAsia="en-US"/>
                          </w:rPr>
                        </m:ctrlPr>
                      </m:sSubPr>
                      <m:e>
                        <m:r>
                          <w:rPr>
                            <w:rFonts w:ascii="Cambria Math" w:hAnsi="Cambria Math"/>
                            <w:vertAlign w:val="subscript"/>
                            <w:lang w:eastAsia="en-US"/>
                          </w:rPr>
                          <m:t>T</m:t>
                        </m:r>
                      </m:e>
                      <m:sub>
                        <m:r>
                          <w:rPr>
                            <w:rFonts w:ascii="Cambria Math" w:hAnsi="Cambria Math"/>
                            <w:vertAlign w:val="subscript"/>
                            <w:lang w:eastAsia="en-US"/>
                          </w:rPr>
                          <m:t>f</m:t>
                        </m:r>
                        <m:r>
                          <m:rPr>
                            <m:sty m:val="p"/>
                          </m:rPr>
                          <w:rPr>
                            <w:rFonts w:ascii="Cambria Math" w:hAnsi="Cambria Math"/>
                            <w:vertAlign w:val="subscript"/>
                            <w:lang w:eastAsia="en-US"/>
                          </w:rPr>
                          <m:t xml:space="preserve">, </m:t>
                        </m:r>
                        <m:r>
                          <w:rPr>
                            <w:rFonts w:ascii="Cambria Math" w:hAnsi="Cambria Math"/>
                            <w:vertAlign w:val="subscript"/>
                            <w:lang w:eastAsia="en-US"/>
                          </w:rPr>
                          <m:t>out</m:t>
                        </m:r>
                      </m:sub>
                    </m:sSub>
                    <m:r>
                      <m:rPr>
                        <m:sty m:val="p"/>
                      </m:rPr>
                      <w:rPr>
                        <w:rFonts w:ascii="Cambria Math" w:hAnsi="Cambria Math"/>
                        <w:vertAlign w:val="subscript"/>
                        <w:lang w:eastAsia="en-US"/>
                      </w:rPr>
                      <m:t>-</m:t>
                    </m:r>
                    <m:sSub>
                      <m:sSubPr>
                        <m:ctrlPr>
                          <w:rPr>
                            <w:rFonts w:ascii="Cambria Math" w:hAnsi="Cambria Math"/>
                            <w:vertAlign w:val="subscript"/>
                            <w:lang w:eastAsia="en-US"/>
                          </w:rPr>
                        </m:ctrlPr>
                      </m:sSubPr>
                      <m:e>
                        <m:r>
                          <w:rPr>
                            <w:rFonts w:ascii="Cambria Math" w:hAnsi="Cambria Math"/>
                            <w:vertAlign w:val="subscript"/>
                            <w:lang w:eastAsia="en-US"/>
                          </w:rPr>
                          <m:t>T</m:t>
                        </m:r>
                      </m:e>
                      <m:sub>
                        <m:r>
                          <w:rPr>
                            <w:rFonts w:ascii="Cambria Math" w:hAnsi="Cambria Math"/>
                            <w:vertAlign w:val="subscript"/>
                            <w:lang w:eastAsia="en-US"/>
                          </w:rPr>
                          <m:t>f</m:t>
                        </m:r>
                        <m:r>
                          <m:rPr>
                            <m:sty m:val="p"/>
                          </m:rPr>
                          <w:rPr>
                            <w:rFonts w:ascii="Cambria Math" w:hAnsi="Cambria Math"/>
                            <w:vertAlign w:val="subscript"/>
                            <w:lang w:eastAsia="en-US"/>
                          </w:rPr>
                          <m:t xml:space="preserve">, </m:t>
                        </m:r>
                        <m:r>
                          <w:rPr>
                            <w:rFonts w:ascii="Cambria Math" w:hAnsi="Cambria Math"/>
                            <w:vertAlign w:val="subscript"/>
                            <w:lang w:eastAsia="en-US"/>
                          </w:rPr>
                          <m:t>in</m:t>
                        </m:r>
                      </m:sub>
                    </m:sSub>
                  </m:e>
                </m:d>
                <m:r>
                  <m:rPr>
                    <m:sty m:val="p"/>
                  </m:rPr>
                  <w:rPr>
                    <w:rFonts w:ascii="Cambria Math" w:hAnsi="Cambria Math"/>
                    <w:vertAlign w:val="subscript"/>
                    <w:lang w:eastAsia="en-US"/>
                  </w:rPr>
                  <m:t>=</m:t>
                </m:r>
                <m:sSub>
                  <m:sSubPr>
                    <m:ctrlPr>
                      <w:rPr>
                        <w:rFonts w:ascii="Cambria Math" w:hAnsi="Cambria Math"/>
                        <w:vertAlign w:val="subscript"/>
                        <w:lang w:eastAsia="en-US"/>
                      </w:rPr>
                    </m:ctrlPr>
                  </m:sSubPr>
                  <m:e>
                    <m:r>
                      <w:rPr>
                        <w:rFonts w:ascii="Cambria Math" w:hAnsi="Cambria Math"/>
                        <w:vertAlign w:val="subscript"/>
                        <w:lang w:eastAsia="en-US"/>
                      </w:rPr>
                      <m:t>A</m:t>
                    </m:r>
                  </m:e>
                  <m:sub>
                    <m:r>
                      <w:rPr>
                        <w:rFonts w:ascii="Cambria Math" w:hAnsi="Cambria Math"/>
                        <w:vertAlign w:val="subscript"/>
                        <w:lang w:eastAsia="en-US"/>
                      </w:rPr>
                      <m:t>C</m:t>
                    </m:r>
                  </m:sub>
                </m:sSub>
                <m:sSub>
                  <m:sSubPr>
                    <m:ctrlPr>
                      <w:rPr>
                        <w:rFonts w:ascii="Cambria Math" w:hAnsi="Cambria Math"/>
                        <w:vertAlign w:val="subscript"/>
                        <w:lang w:eastAsia="en-US"/>
                      </w:rPr>
                    </m:ctrlPr>
                  </m:sSubPr>
                  <m:e>
                    <m:r>
                      <w:rPr>
                        <w:rFonts w:ascii="Cambria Math" w:hAnsi="Cambria Math"/>
                        <w:vertAlign w:val="subscript"/>
                        <w:lang w:eastAsia="en-US"/>
                      </w:rPr>
                      <m:t>I</m:t>
                    </m:r>
                  </m:e>
                  <m:sub>
                    <m:r>
                      <w:rPr>
                        <w:rFonts w:ascii="Cambria Math" w:hAnsi="Cambria Math"/>
                        <w:vertAlign w:val="subscript"/>
                        <w:lang w:eastAsia="en-US"/>
                      </w:rPr>
                      <m:t>T</m:t>
                    </m:r>
                  </m:sub>
                </m:sSub>
                <m:sSub>
                  <m:sSubPr>
                    <m:ctrlPr>
                      <w:rPr>
                        <w:rFonts w:ascii="Cambria Math" w:hAnsi="Cambria Math"/>
                        <w:vertAlign w:val="subscript"/>
                        <w:lang w:eastAsia="en-US"/>
                      </w:rPr>
                    </m:ctrlPr>
                  </m:sSubPr>
                  <m:e>
                    <m:r>
                      <w:rPr>
                        <w:rFonts w:ascii="Cambria Math" w:hAnsi="Cambria Math"/>
                        <w:vertAlign w:val="subscript"/>
                        <w:lang w:eastAsia="en-US"/>
                      </w:rPr>
                      <m:t>η</m:t>
                    </m:r>
                  </m:e>
                  <m:sub>
                    <m:r>
                      <w:rPr>
                        <w:rFonts w:ascii="Cambria Math" w:hAnsi="Cambria Math"/>
                        <w:vertAlign w:val="subscript"/>
                        <w:lang w:eastAsia="en-US"/>
                      </w:rPr>
                      <m:t>C</m:t>
                    </m:r>
                  </m:sub>
                </m:sSub>
              </m:oMath>
            </m:oMathPara>
          </w:p>
        </w:tc>
        <w:tc>
          <w:tcPr>
            <w:tcW w:w="851" w:type="dxa"/>
            <w:vAlign w:val="center"/>
          </w:tcPr>
          <w:p w:rsidR="00A16B8C" w:rsidRPr="00C90AC9" w:rsidRDefault="0096721A" w:rsidP="00B06779">
            <w:pPr>
              <w:rPr>
                <w:rFonts w:eastAsiaTheme="minorHAnsi"/>
                <w:lang w:eastAsia="en-US"/>
              </w:rPr>
            </w:pPr>
            <w:r w:rsidRPr="00C90AC9">
              <w:rPr>
                <w:rFonts w:eastAsiaTheme="minorHAnsi"/>
                <w:lang w:eastAsia="en-US"/>
              </w:rPr>
              <w:t>(13</w:t>
            </w:r>
            <w:r w:rsidR="00A16B8C" w:rsidRPr="00C90AC9">
              <w:rPr>
                <w:rFonts w:eastAsiaTheme="minorHAnsi"/>
                <w:lang w:eastAsia="en-US"/>
              </w:rPr>
              <w:t>)</w:t>
            </w:r>
          </w:p>
        </w:tc>
      </w:tr>
    </w:tbl>
    <w:p w:rsidR="00A16B8C" w:rsidRPr="00C90AC9" w:rsidRDefault="00A16B8C" w:rsidP="00B06779">
      <w:pPr>
        <w:pStyle w:val="BodyText"/>
        <w:rPr>
          <w:rFonts w:eastAsiaTheme="minorHAnsi"/>
        </w:rPr>
      </w:pPr>
      <w:r w:rsidRPr="00C90AC9">
        <w:rPr>
          <w:lang w:eastAsia="en-US"/>
        </w:rPr>
        <w:t>Where:</w:t>
      </w:r>
      <w:r w:rsidRPr="00C90AC9">
        <w:rPr>
          <w:lang w:eastAsia="en-US"/>
        </w:rPr>
        <w:br/>
      </w:r>
      <m:oMath>
        <m:sSub>
          <m:sSubPr>
            <m:ctrlPr>
              <w:rPr>
                <w:rFonts w:ascii="Cambria Math" w:hAnsi="Cambria Math"/>
                <w:i/>
                <w:vertAlign w:val="subscript"/>
                <w:lang w:eastAsia="en-US"/>
              </w:rPr>
            </m:ctrlPr>
          </m:sSubPr>
          <m:e>
            <m:r>
              <w:rPr>
                <w:rFonts w:ascii="Cambria Math" w:hAnsi="Cambria Math"/>
                <w:vertAlign w:val="subscript"/>
                <w:lang w:eastAsia="en-US"/>
              </w:rPr>
              <m:t>Q</m:t>
            </m:r>
          </m:e>
          <m:sub>
            <m:r>
              <w:rPr>
                <w:rFonts w:ascii="Cambria Math" w:hAnsi="Cambria Math"/>
                <w:vertAlign w:val="subscript"/>
                <w:lang w:eastAsia="en-US"/>
              </w:rPr>
              <m:t>U</m:t>
            </m:r>
          </m:sub>
        </m:sSub>
      </m:oMath>
      <w:r w:rsidRPr="00C90AC9">
        <w:rPr>
          <w:lang w:eastAsia="en-US"/>
        </w:rPr>
        <w:t xml:space="preserve"> - Useful Energy into the collector (W)</w:t>
      </w:r>
      <w:r w:rsidRPr="00C90AC9">
        <w:rPr>
          <w:lang w:eastAsia="en-US"/>
        </w:rPr>
        <w:tab/>
      </w:r>
      <w:r w:rsidRPr="00C90AC9">
        <w:rPr>
          <w:lang w:eastAsia="en-US"/>
        </w:rPr>
        <w:br/>
        <w:t>I</w:t>
      </w:r>
      <w:r w:rsidRPr="00C90AC9">
        <w:rPr>
          <w:vertAlign w:val="subscript"/>
          <w:lang w:eastAsia="en-US"/>
        </w:rPr>
        <w:t>T</w:t>
      </w:r>
      <w:r w:rsidRPr="00C90AC9">
        <w:rPr>
          <w:lang w:eastAsia="en-US"/>
        </w:rPr>
        <w:t xml:space="preserve"> – Total Irradiation on the STP (W/m</w:t>
      </w:r>
      <w:r w:rsidRPr="00C90AC9">
        <w:rPr>
          <w:vertAlign w:val="superscript"/>
          <w:lang w:eastAsia="en-US"/>
        </w:rPr>
        <w:t>2</w:t>
      </w:r>
      <w:r w:rsidRPr="00C90AC9">
        <w:rPr>
          <w:lang w:eastAsia="en-US"/>
        </w:rPr>
        <w:t>)</w:t>
      </w:r>
      <w:r w:rsidRPr="00C90AC9">
        <w:rPr>
          <w:lang w:eastAsia="en-US"/>
        </w:rPr>
        <w:tab/>
      </w:r>
      <w:r w:rsidRPr="00C90AC9">
        <w:rPr>
          <w:vertAlign w:val="subscript"/>
          <w:lang w:eastAsia="en-US"/>
        </w:rPr>
        <w:br/>
      </w:r>
      <m:oMath>
        <m:r>
          <w:rPr>
            <w:rFonts w:ascii="Cambria Math" w:hAnsi="Cambria Math"/>
            <w:vertAlign w:val="subscript"/>
            <w:lang w:eastAsia="en-US"/>
          </w:rPr>
          <m:t>ṁ</m:t>
        </m:r>
      </m:oMath>
      <w:r w:rsidRPr="00C90AC9">
        <w:rPr>
          <w:lang w:eastAsia="en-US"/>
        </w:rPr>
        <w:t xml:space="preserve"> -</w:t>
      </w:r>
      <m:oMath>
        <m:r>
          <m:rPr>
            <m:sty m:val="p"/>
          </m:rPr>
          <w:rPr>
            <w:rFonts w:ascii="Cambria Math" w:hAnsi="Cambria Math"/>
            <w:vertAlign w:val="subscript"/>
            <w:lang w:eastAsia="en-US"/>
          </w:rPr>
          <m:t xml:space="preserve"> mass flow rate of the heating fluid</m:t>
        </m:r>
      </m:oMath>
      <w:r w:rsidRPr="00C90AC9">
        <w:rPr>
          <w:lang w:eastAsia="en-US"/>
        </w:rPr>
        <w:t xml:space="preserve"> </w:t>
      </w:r>
      <m:oMath>
        <m:r>
          <m:rPr>
            <m:sty m:val="p"/>
          </m:rPr>
          <w:rPr>
            <w:rFonts w:ascii="Cambria Math" w:hAnsi="Cambria Math"/>
            <w:vertAlign w:val="subscript"/>
            <w:lang w:eastAsia="en-US"/>
          </w:rPr>
          <m:t>(</m:t>
        </m:r>
        <m:f>
          <m:fPr>
            <m:ctrlPr>
              <w:rPr>
                <w:rFonts w:ascii="Cambria Math" w:hAnsi="Cambria Math"/>
                <w:vertAlign w:val="subscript"/>
                <w:lang w:eastAsia="en-US"/>
              </w:rPr>
            </m:ctrlPr>
          </m:fPr>
          <m:num>
            <m:r>
              <m:rPr>
                <m:sty m:val="p"/>
              </m:rPr>
              <w:rPr>
                <w:rFonts w:ascii="Cambria Math" w:hAnsi="Cambria Math"/>
                <w:vertAlign w:val="subscript"/>
                <w:lang w:eastAsia="en-US"/>
              </w:rPr>
              <m:t>Kg</m:t>
            </m:r>
          </m:num>
          <m:den>
            <m:r>
              <m:rPr>
                <m:sty m:val="p"/>
              </m:rPr>
              <w:rPr>
                <w:rFonts w:ascii="Cambria Math" w:hAnsi="Cambria Math"/>
                <w:vertAlign w:val="subscript"/>
                <w:lang w:eastAsia="en-US"/>
              </w:rPr>
              <m:t>m</m:t>
            </m:r>
          </m:den>
        </m:f>
        <m:r>
          <m:rPr>
            <m:sty m:val="p"/>
          </m:rPr>
          <w:rPr>
            <w:rFonts w:ascii="Cambria Math" w:hAnsi="Cambria Math"/>
            <w:vertAlign w:val="subscript"/>
            <w:lang w:eastAsia="en-US"/>
          </w:rPr>
          <m:t>/s</m:t>
        </m:r>
      </m:oMath>
      <w:r w:rsidRPr="00C90AC9">
        <w:rPr>
          <w:vertAlign w:val="subscript"/>
          <w:lang w:eastAsia="en-US"/>
        </w:rPr>
        <w:tab/>
      </w:r>
      <w:r w:rsidRPr="00C90AC9">
        <w:rPr>
          <w:vertAlign w:val="subscript"/>
          <w:lang w:eastAsia="en-US"/>
        </w:rPr>
        <w:br/>
      </w:r>
      <w:r w:rsidRPr="00C90AC9">
        <w:rPr>
          <w:lang w:eastAsia="en-US"/>
        </w:rPr>
        <w:t>C</w:t>
      </w:r>
      <w:r w:rsidRPr="00C90AC9">
        <w:rPr>
          <w:vertAlign w:val="subscript"/>
          <w:lang w:eastAsia="en-US"/>
        </w:rPr>
        <w:t>P</w:t>
      </w:r>
      <w:r w:rsidRPr="00C90AC9">
        <w:rPr>
          <w:lang w:eastAsia="en-US"/>
        </w:rPr>
        <w:t xml:space="preserve"> -</w:t>
      </w:r>
      <w:r w:rsidRPr="00C90AC9">
        <w:rPr>
          <w:rFonts w:eastAsiaTheme="minorHAnsi"/>
          <w:lang w:eastAsia="en-US"/>
        </w:rPr>
        <w:t xml:space="preserve"> Specific heat capacity of water (kJ/</w:t>
      </w:r>
      <w:proofErr w:type="spellStart"/>
      <w:r w:rsidRPr="00C90AC9">
        <w:rPr>
          <w:rFonts w:eastAsiaTheme="minorHAnsi"/>
          <w:lang w:eastAsia="en-US"/>
        </w:rPr>
        <w:t>kgK</w:t>
      </w:r>
      <w:proofErr w:type="spellEnd"/>
      <w:r w:rsidRPr="00C90AC9">
        <w:rPr>
          <w:rFonts w:eastAsiaTheme="minorHAnsi"/>
          <w:lang w:eastAsia="en-US"/>
        </w:rPr>
        <w:t>)</w:t>
      </w:r>
      <w:r w:rsidRPr="00C90AC9">
        <w:rPr>
          <w:rFonts w:eastAsiaTheme="minorHAnsi"/>
        </w:rPr>
        <w:t xml:space="preserve"> </w:t>
      </w:r>
    </w:p>
    <w:p w:rsidR="00A16B8C" w:rsidRPr="00C90AC9" w:rsidRDefault="00A16B8C" w:rsidP="00B06779">
      <w:pPr>
        <w:rPr>
          <w:lang w:eastAsia="en-US"/>
        </w:rPr>
      </w:pPr>
    </w:p>
    <w:p w:rsidR="00A16B8C" w:rsidRPr="00C90AC9" w:rsidRDefault="004524CB" w:rsidP="00B06779">
      <w:pPr>
        <w:pStyle w:val="BodyText"/>
        <w:rPr>
          <w:rFonts w:eastAsiaTheme="minorHAnsi"/>
          <w:lang w:eastAsia="en-US"/>
        </w:rPr>
      </w:pPr>
      <w:r w:rsidRPr="00C90AC9">
        <w:rPr>
          <w:rFonts w:eastAsiaTheme="minorHAnsi"/>
          <w:lang w:eastAsia="en-US"/>
        </w:rPr>
        <w:t>By r</w:t>
      </w:r>
      <w:r w:rsidR="0096721A" w:rsidRPr="00C90AC9">
        <w:rPr>
          <w:rFonts w:eastAsiaTheme="minorHAnsi"/>
          <w:lang w:eastAsia="en-US"/>
        </w:rPr>
        <w:t>earranging Equation (13</w:t>
      </w:r>
      <w:r w:rsidR="00A16B8C" w:rsidRPr="00C90AC9">
        <w:rPr>
          <w:rFonts w:eastAsiaTheme="minorHAnsi"/>
          <w:lang w:eastAsia="en-US"/>
        </w:rPr>
        <w:t>) the Fluid Outlet Temperature (</w:t>
      </w:r>
      <w:proofErr w:type="spellStart"/>
      <w:proofErr w:type="gramStart"/>
      <w:r w:rsidR="00A16B8C" w:rsidRPr="00C90AC9">
        <w:rPr>
          <w:rFonts w:eastAsiaTheme="minorHAnsi"/>
          <w:lang w:eastAsia="en-US"/>
        </w:rPr>
        <w:t>T</w:t>
      </w:r>
      <w:r w:rsidR="00A16B8C" w:rsidRPr="00C90AC9">
        <w:rPr>
          <w:rFonts w:eastAsiaTheme="minorHAnsi"/>
          <w:vertAlign w:val="subscript"/>
          <w:lang w:eastAsia="en-US"/>
        </w:rPr>
        <w:t>f,out</w:t>
      </w:r>
      <w:proofErr w:type="spellEnd"/>
      <w:proofErr w:type="gramEnd"/>
      <w:r w:rsidR="00A16B8C" w:rsidRPr="00C90AC9">
        <w:rPr>
          <w:rFonts w:eastAsiaTheme="minorHAnsi"/>
          <w:lang w:eastAsia="en-US"/>
        </w:rPr>
        <w:t>) as it leaves the STP</w:t>
      </w:r>
      <w:r w:rsidRPr="00C90AC9">
        <w:rPr>
          <w:rFonts w:eastAsiaTheme="minorHAnsi"/>
          <w:lang w:eastAsia="en-US"/>
        </w:rPr>
        <w:t xml:space="preserve"> can be calculated as shown below in Equation (14)</w:t>
      </w:r>
      <w:r w:rsidR="00A16B8C" w:rsidRPr="00C90AC9">
        <w:rPr>
          <w:rFonts w:eastAsiaTheme="minorHAnsi"/>
          <w:lang w:eastAsia="en-US"/>
        </w:rPr>
        <w:t>:</w:t>
      </w:r>
    </w:p>
    <w:p w:rsidR="00F064E4" w:rsidRPr="00C90AC9" w:rsidRDefault="00F064E4" w:rsidP="00B06779">
      <w:pPr>
        <w:pStyle w:val="BodyText"/>
        <w:rPr>
          <w:rFonts w:eastAsiaTheme="minorHAnsi"/>
          <w:lang w:eastAsia="en-US"/>
        </w:rPr>
      </w:pPr>
      <w:r w:rsidRPr="00C90AC9">
        <w:rPr>
          <w:rFonts w:eastAsiaTheme="minorHAnsi"/>
          <w:noProof/>
        </w:rPr>
        <mc:AlternateContent>
          <mc:Choice Requires="wps">
            <w:drawing>
              <wp:anchor distT="0" distB="0" distL="114300" distR="114300" simplePos="0" relativeHeight="251759616" behindDoc="0" locked="0" layoutInCell="1" allowOverlap="1" wp14:anchorId="30B3820B" wp14:editId="71909B56">
                <wp:simplePos x="0" y="0"/>
                <wp:positionH relativeFrom="column">
                  <wp:posOffset>1860550</wp:posOffset>
                </wp:positionH>
                <wp:positionV relativeFrom="paragraph">
                  <wp:posOffset>190500</wp:posOffset>
                </wp:positionV>
                <wp:extent cx="1857375" cy="526415"/>
                <wp:effectExtent l="0" t="0" r="28575" b="26035"/>
                <wp:wrapNone/>
                <wp:docPr id="349" name="Rectangle 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7375" cy="526415"/>
                        </a:xfrm>
                        <a:prstGeom prst="rect">
                          <a:avLst/>
                        </a:prstGeom>
                        <a:solidFill>
                          <a:srgbClr val="4F81BD">
                            <a:alpha val="30000"/>
                          </a:srgb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9E08ED" id="Rectangle 349" o:spid="_x0000_s1026" style="position:absolute;margin-left:146.5pt;margin-top:15pt;width:146.25pt;height:41.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" fillcolor="#4f81bd" strokecolor="#385d8a" strokeweight="1pt">
                <v:fill opacity="19789f"/>
                <v:path arrowok="t"/>
              </v:rect>
            </w:pict>
          </mc:Fallback>
        </mc:AlternateContent>
      </w:r>
    </w:p>
    <w:tbl>
      <w:tblPr>
        <w:tblStyle w:val="TableGrid3"/>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0"/>
        <w:gridCol w:w="856"/>
      </w:tblGrid>
      <w:tr w:rsidR="00A16B8C" w:rsidRPr="00C90AC9" w:rsidTr="008C4189">
        <w:tc>
          <w:tcPr>
            <w:tcW w:w="8750" w:type="dxa"/>
          </w:tcPr>
          <w:p w:rsidR="00A16B8C" w:rsidRPr="00C90AC9" w:rsidRDefault="006F0C85" w:rsidP="00B06779">
            <w:pPr>
              <w:rPr>
                <w:rFonts w:eastAsiaTheme="minorHAnsi"/>
                <w:lang w:eastAsia="en-US"/>
              </w:rPr>
            </w:pPr>
            <m:oMathPara>
              <m:oMathParaPr>
                <m:jc m:val="center"/>
              </m:oMathParaPr>
              <m:oMath>
                <m:sSub>
                  <m:sSubPr>
                    <m:ctrlPr>
                      <w:rPr>
                        <w:rFonts w:ascii="Cambria Math" w:eastAsiaTheme="minorHAnsi" w:hAnsi="Cambria Math"/>
                        <w:lang w:eastAsia="en-US"/>
                      </w:rPr>
                    </m:ctrlPr>
                  </m:sSubPr>
                  <m:e>
                    <m:r>
                      <w:rPr>
                        <w:rFonts w:ascii="Cambria Math" w:eastAsiaTheme="minorHAnsi" w:hAnsi="Cambria Math"/>
                        <w:lang w:eastAsia="en-US"/>
                      </w:rPr>
                      <m:t>T</m:t>
                    </m:r>
                  </m:e>
                  <m:sub>
                    <m:r>
                      <w:rPr>
                        <w:rFonts w:ascii="Cambria Math" w:eastAsiaTheme="minorHAnsi" w:hAnsi="Cambria Math"/>
                        <w:lang w:eastAsia="en-US"/>
                      </w:rPr>
                      <m:t>f</m:t>
                    </m:r>
                    <m:r>
                      <m:rPr>
                        <m:sty m:val="p"/>
                      </m:rPr>
                      <w:rPr>
                        <w:rFonts w:ascii="Cambria Math" w:eastAsiaTheme="minorHAnsi" w:hAnsi="Cambria Math"/>
                        <w:lang w:eastAsia="en-US"/>
                      </w:rPr>
                      <m:t xml:space="preserve">, </m:t>
                    </m:r>
                    <m:r>
                      <w:rPr>
                        <w:rFonts w:ascii="Cambria Math" w:eastAsiaTheme="minorHAnsi" w:hAnsi="Cambria Math"/>
                        <w:lang w:eastAsia="en-US"/>
                      </w:rPr>
                      <m:t>Out</m:t>
                    </m:r>
                  </m:sub>
                </m:sSub>
                <m:r>
                  <m:rPr>
                    <m:sty m:val="p"/>
                  </m:rPr>
                  <w:rPr>
                    <w:rFonts w:ascii="Cambria Math" w:eastAsiaTheme="minorHAnsi" w:hAnsi="Cambria Math"/>
                    <w:lang w:eastAsia="en-US"/>
                  </w:rPr>
                  <m:t>=</m:t>
                </m:r>
                <m:sSub>
                  <m:sSubPr>
                    <m:ctrlPr>
                      <w:rPr>
                        <w:rFonts w:ascii="Cambria Math" w:eastAsiaTheme="minorHAnsi" w:hAnsi="Cambria Math"/>
                        <w:lang w:eastAsia="en-US"/>
                      </w:rPr>
                    </m:ctrlPr>
                  </m:sSubPr>
                  <m:e>
                    <m:r>
                      <w:rPr>
                        <w:rFonts w:ascii="Cambria Math" w:eastAsiaTheme="minorHAnsi" w:hAnsi="Cambria Math"/>
                        <w:lang w:eastAsia="en-US"/>
                      </w:rPr>
                      <m:t>T</m:t>
                    </m:r>
                  </m:e>
                  <m:sub>
                    <m:r>
                      <w:rPr>
                        <w:rFonts w:ascii="Cambria Math" w:eastAsiaTheme="minorHAnsi" w:hAnsi="Cambria Math"/>
                        <w:lang w:eastAsia="en-US"/>
                      </w:rPr>
                      <m:t>f</m:t>
                    </m:r>
                    <m:r>
                      <m:rPr>
                        <m:sty m:val="p"/>
                      </m:rPr>
                      <w:rPr>
                        <w:rFonts w:ascii="Cambria Math" w:eastAsiaTheme="minorHAnsi" w:hAnsi="Cambria Math"/>
                        <w:lang w:eastAsia="en-US"/>
                      </w:rPr>
                      <m:t xml:space="preserve">, </m:t>
                    </m:r>
                    <m:r>
                      <w:rPr>
                        <w:rFonts w:ascii="Cambria Math" w:eastAsiaTheme="minorHAnsi" w:hAnsi="Cambria Math"/>
                        <w:lang w:eastAsia="en-US"/>
                      </w:rPr>
                      <m:t>in</m:t>
                    </m:r>
                  </m:sub>
                </m:sSub>
                <m:r>
                  <m:rPr>
                    <m:sty m:val="p"/>
                  </m:rPr>
                  <w:rPr>
                    <w:rFonts w:ascii="Cambria Math" w:eastAsiaTheme="minorHAnsi" w:hAnsi="Cambria Math"/>
                    <w:lang w:eastAsia="en-US"/>
                  </w:rPr>
                  <m:t>+</m:t>
                </m:r>
                <m:f>
                  <m:fPr>
                    <m:ctrlPr>
                      <w:rPr>
                        <w:rFonts w:ascii="Cambria Math" w:eastAsiaTheme="minorHAnsi" w:hAnsi="Cambria Math"/>
                        <w:lang w:eastAsia="en-US"/>
                      </w:rPr>
                    </m:ctrlPr>
                  </m:fPr>
                  <m:num>
                    <m:sSub>
                      <m:sSubPr>
                        <m:ctrlPr>
                          <w:rPr>
                            <w:rFonts w:ascii="Cambria Math" w:eastAsiaTheme="minorHAnsi" w:hAnsi="Cambria Math"/>
                            <w:lang w:eastAsia="en-US"/>
                          </w:rPr>
                        </m:ctrlPr>
                      </m:sSubPr>
                      <m:e>
                        <m:r>
                          <w:rPr>
                            <w:rFonts w:ascii="Cambria Math" w:eastAsiaTheme="minorHAnsi" w:hAnsi="Cambria Math"/>
                            <w:lang w:eastAsia="en-US"/>
                          </w:rPr>
                          <m:t>A</m:t>
                        </m:r>
                      </m:e>
                      <m:sub>
                        <m:r>
                          <w:rPr>
                            <w:rFonts w:ascii="Cambria Math" w:eastAsiaTheme="minorHAnsi" w:hAnsi="Cambria Math"/>
                            <w:lang w:eastAsia="en-US"/>
                          </w:rPr>
                          <m:t>C</m:t>
                        </m:r>
                      </m:sub>
                    </m:sSub>
                    <m:sSub>
                      <m:sSubPr>
                        <m:ctrlPr>
                          <w:rPr>
                            <w:rFonts w:ascii="Cambria Math" w:eastAsiaTheme="minorHAnsi" w:hAnsi="Cambria Math"/>
                            <w:lang w:eastAsia="en-US"/>
                          </w:rPr>
                        </m:ctrlPr>
                      </m:sSubPr>
                      <m:e>
                        <m:r>
                          <w:rPr>
                            <w:rFonts w:ascii="Cambria Math" w:eastAsiaTheme="minorHAnsi" w:hAnsi="Cambria Math"/>
                            <w:lang w:eastAsia="en-US"/>
                          </w:rPr>
                          <m:t>I</m:t>
                        </m:r>
                      </m:e>
                      <m:sub>
                        <m:r>
                          <w:rPr>
                            <w:rFonts w:ascii="Cambria Math" w:eastAsiaTheme="minorHAnsi" w:hAnsi="Cambria Math"/>
                            <w:lang w:eastAsia="en-US"/>
                          </w:rPr>
                          <m:t>T</m:t>
                        </m:r>
                      </m:sub>
                    </m:sSub>
                    <m:sSub>
                      <m:sSubPr>
                        <m:ctrlPr>
                          <w:rPr>
                            <w:rFonts w:ascii="Cambria Math" w:eastAsiaTheme="minorHAnsi" w:hAnsi="Cambria Math"/>
                            <w:lang w:eastAsia="en-US"/>
                          </w:rPr>
                        </m:ctrlPr>
                      </m:sSubPr>
                      <m:e>
                        <m:r>
                          <w:rPr>
                            <w:rFonts w:ascii="Cambria Math" w:eastAsiaTheme="minorHAnsi" w:hAnsi="Cambria Math"/>
                            <w:lang w:eastAsia="en-US"/>
                          </w:rPr>
                          <m:t>η</m:t>
                        </m:r>
                      </m:e>
                      <m:sub>
                        <m:r>
                          <w:rPr>
                            <w:rFonts w:ascii="Cambria Math" w:eastAsiaTheme="minorHAnsi" w:hAnsi="Cambria Math"/>
                            <w:lang w:eastAsia="en-US"/>
                          </w:rPr>
                          <m:t>C</m:t>
                        </m:r>
                      </m:sub>
                    </m:sSub>
                  </m:num>
                  <m:den>
                    <m:acc>
                      <m:accPr>
                        <m:chr m:val="̇"/>
                        <m:ctrlPr>
                          <w:rPr>
                            <w:rFonts w:ascii="Cambria Math" w:eastAsiaTheme="minorHAnsi" w:hAnsi="Cambria Math"/>
                            <w:lang w:eastAsia="en-US"/>
                          </w:rPr>
                        </m:ctrlPr>
                      </m:accPr>
                      <m:e>
                        <m:r>
                          <w:rPr>
                            <w:rFonts w:ascii="Cambria Math" w:eastAsiaTheme="minorHAnsi" w:hAnsi="Cambria Math"/>
                            <w:lang w:eastAsia="en-US"/>
                          </w:rPr>
                          <m:t>m</m:t>
                        </m:r>
                      </m:e>
                    </m:acc>
                    <m:sSub>
                      <m:sSubPr>
                        <m:ctrlPr>
                          <w:rPr>
                            <w:rFonts w:ascii="Cambria Math" w:eastAsiaTheme="minorHAnsi" w:hAnsi="Cambria Math"/>
                            <w:lang w:eastAsia="en-US"/>
                          </w:rPr>
                        </m:ctrlPr>
                      </m:sSubPr>
                      <m:e>
                        <m:r>
                          <w:rPr>
                            <w:rFonts w:ascii="Cambria Math" w:eastAsiaTheme="minorHAnsi" w:hAnsi="Cambria Math"/>
                            <w:lang w:eastAsia="en-US"/>
                          </w:rPr>
                          <m:t>C</m:t>
                        </m:r>
                      </m:e>
                      <m:sub>
                        <m:r>
                          <w:rPr>
                            <w:rFonts w:ascii="Cambria Math" w:eastAsiaTheme="minorHAnsi" w:hAnsi="Cambria Math"/>
                            <w:lang w:eastAsia="en-US"/>
                          </w:rPr>
                          <m:t>P</m:t>
                        </m:r>
                      </m:sub>
                    </m:sSub>
                  </m:den>
                </m:f>
              </m:oMath>
            </m:oMathPara>
          </w:p>
        </w:tc>
        <w:tc>
          <w:tcPr>
            <w:tcW w:w="856" w:type="dxa"/>
            <w:vAlign w:val="center"/>
          </w:tcPr>
          <w:p w:rsidR="00A16B8C" w:rsidRPr="00C90AC9" w:rsidRDefault="00A16B8C" w:rsidP="00B06779">
            <w:pPr>
              <w:rPr>
                <w:rFonts w:eastAsiaTheme="minorHAnsi"/>
                <w:lang w:eastAsia="en-US"/>
              </w:rPr>
            </w:pPr>
            <w:r w:rsidRPr="00C90AC9">
              <w:rPr>
                <w:rFonts w:eastAsiaTheme="minorHAnsi"/>
                <w:lang w:eastAsia="en-US"/>
              </w:rPr>
              <w:t>(1</w:t>
            </w:r>
            <w:r w:rsidR="0096721A" w:rsidRPr="00C90AC9">
              <w:rPr>
                <w:rFonts w:eastAsiaTheme="minorHAnsi"/>
                <w:lang w:eastAsia="en-US"/>
              </w:rPr>
              <w:t>4</w:t>
            </w:r>
            <w:r w:rsidRPr="00C90AC9">
              <w:rPr>
                <w:rFonts w:eastAsiaTheme="minorHAnsi"/>
                <w:lang w:eastAsia="en-US"/>
              </w:rPr>
              <w:t>)</w:t>
            </w:r>
          </w:p>
        </w:tc>
      </w:tr>
    </w:tbl>
    <w:p w:rsidR="00A16B8C" w:rsidRPr="00C90AC9" w:rsidRDefault="00A16B8C" w:rsidP="00F064E4">
      <w:pPr>
        <w:pStyle w:val="BodyText"/>
        <w:spacing w:line="240" w:lineRule="auto"/>
        <w:rPr>
          <w:rFonts w:eastAsiaTheme="minorHAnsi"/>
          <w:lang w:eastAsia="en-US"/>
        </w:rPr>
      </w:pPr>
      <w:r w:rsidRPr="00C90AC9">
        <w:rPr>
          <w:rFonts w:eastAsiaTheme="minorHAnsi"/>
          <w:lang w:eastAsia="en-US"/>
        </w:rPr>
        <w:t>Where:</w:t>
      </w:r>
      <w:r w:rsidRPr="00C90AC9">
        <w:rPr>
          <w:rFonts w:eastAsiaTheme="minorHAnsi"/>
          <w:lang w:eastAsia="en-US"/>
        </w:rPr>
        <w:br/>
      </w:r>
      <w:proofErr w:type="spellStart"/>
      <w:r w:rsidRPr="00C90AC9">
        <w:rPr>
          <w:rFonts w:eastAsiaTheme="minorHAnsi"/>
          <w:lang w:eastAsia="en-US"/>
        </w:rPr>
        <w:t>T</w:t>
      </w:r>
      <w:r w:rsidRPr="00C90AC9">
        <w:rPr>
          <w:rFonts w:eastAsiaTheme="minorHAnsi"/>
          <w:vertAlign w:val="subscript"/>
          <w:lang w:eastAsia="en-US"/>
        </w:rPr>
        <w:t>f,Out</w:t>
      </w:r>
      <w:proofErr w:type="spellEnd"/>
      <w:r w:rsidRPr="00C90AC9">
        <w:rPr>
          <w:rFonts w:eastAsiaTheme="minorHAnsi"/>
          <w:vertAlign w:val="subscript"/>
          <w:lang w:eastAsia="en-US"/>
        </w:rPr>
        <w:t xml:space="preserve"> </w:t>
      </w:r>
      <w:r w:rsidRPr="00C90AC9">
        <w:rPr>
          <w:rFonts w:eastAsiaTheme="minorHAnsi"/>
          <w:lang w:eastAsia="en-US"/>
        </w:rPr>
        <w:t xml:space="preserve">- Fluid outlet temperature </w:t>
      </w:r>
      <w:r w:rsidR="00C80892" w:rsidRPr="00C90AC9">
        <w:rPr>
          <w:rFonts w:eastAsiaTheme="minorHAnsi"/>
          <w:lang w:eastAsia="en-US"/>
        </w:rPr>
        <w:t>©</w:t>
      </w:r>
      <w:r w:rsidRPr="00C90AC9">
        <w:rPr>
          <w:rFonts w:eastAsiaTheme="minorHAnsi"/>
          <w:lang w:eastAsia="en-US"/>
        </w:rPr>
        <w:tab/>
      </w:r>
      <w:r w:rsidRPr="00C90AC9">
        <w:rPr>
          <w:rFonts w:eastAsiaTheme="minorHAnsi"/>
          <w:lang w:eastAsia="en-US"/>
        </w:rPr>
        <w:br/>
      </w:r>
      <m:oMath>
        <m:sSub>
          <m:sSubPr>
            <m:ctrlPr>
              <w:rPr>
                <w:rFonts w:ascii="Cambria Math" w:eastAsiaTheme="minorHAnsi" w:hAnsi="Cambria Math"/>
                <w:i/>
                <w:lang w:eastAsia="en-US"/>
              </w:rPr>
            </m:ctrlPr>
          </m:sSubPr>
          <m:e>
            <m:r>
              <w:rPr>
                <w:rFonts w:ascii="Cambria Math" w:eastAsiaTheme="minorHAnsi" w:hAnsi="Cambria Math"/>
                <w:lang w:eastAsia="en-US"/>
              </w:rPr>
              <m:t>T</m:t>
            </m:r>
          </m:e>
          <m:sub>
            <m:r>
              <w:rPr>
                <w:rFonts w:ascii="Cambria Math" w:eastAsiaTheme="minorHAnsi" w:hAnsi="Cambria Math"/>
                <w:lang w:eastAsia="en-US"/>
              </w:rPr>
              <m:t>f, in</m:t>
            </m:r>
          </m:sub>
        </m:sSub>
      </m:oMath>
      <w:r w:rsidRPr="00C90AC9">
        <w:rPr>
          <w:lang w:eastAsia="en-US"/>
        </w:rPr>
        <w:t xml:space="preserve">- Fluid inlet temperature </w:t>
      </w:r>
      <w:r w:rsidR="00C80892" w:rsidRPr="00C90AC9">
        <w:rPr>
          <w:lang w:eastAsia="en-US"/>
        </w:rPr>
        <w:t>©</w:t>
      </w:r>
      <w:r w:rsidRPr="00C90AC9">
        <w:rPr>
          <w:vertAlign w:val="subscript"/>
          <w:lang w:eastAsia="en-US"/>
        </w:rPr>
        <w:tab/>
      </w:r>
      <w:r w:rsidRPr="00C90AC9">
        <w:rPr>
          <w:vertAlign w:val="subscript"/>
          <w:lang w:eastAsia="en-US"/>
        </w:rPr>
        <w:br/>
      </w:r>
      <m:oMath>
        <m:sSub>
          <m:sSubPr>
            <m:ctrlPr>
              <w:rPr>
                <w:rFonts w:ascii="Cambria Math" w:eastAsiaTheme="minorHAnsi" w:hAnsi="Cambria Math"/>
                <w:vertAlign w:val="subscript"/>
                <w:lang w:eastAsia="en-US"/>
              </w:rPr>
            </m:ctrlPr>
          </m:sSubPr>
          <m:e>
            <m:r>
              <w:rPr>
                <w:rFonts w:ascii="Cambria Math" w:eastAsiaTheme="minorHAnsi" w:hAnsi="Cambria Math"/>
                <w:vertAlign w:val="subscript"/>
                <w:lang w:eastAsia="en-US"/>
              </w:rPr>
              <m:t>A</m:t>
            </m:r>
          </m:e>
          <m:sub>
            <m:r>
              <w:rPr>
                <w:rFonts w:ascii="Cambria Math" w:eastAsiaTheme="minorHAnsi" w:hAnsi="Cambria Math"/>
                <w:vertAlign w:val="subscript"/>
                <w:lang w:eastAsia="en-US"/>
              </w:rPr>
              <m:t>C</m:t>
            </m:r>
          </m:sub>
        </m:sSub>
      </m:oMath>
      <w:r w:rsidRPr="00C90AC9">
        <w:rPr>
          <w:rFonts w:eastAsiaTheme="minorHAnsi"/>
          <w:lang w:eastAsia="en-US"/>
        </w:rPr>
        <w:t xml:space="preserve"> - Area of Collector (m</w:t>
      </w:r>
      <w:r w:rsidRPr="00C90AC9">
        <w:rPr>
          <w:rFonts w:eastAsiaTheme="minorHAnsi"/>
          <w:vertAlign w:val="superscript"/>
          <w:lang w:eastAsia="en-US"/>
        </w:rPr>
        <w:t>2</w:t>
      </w:r>
      <w:r w:rsidRPr="00C90AC9">
        <w:rPr>
          <w:rFonts w:eastAsiaTheme="minorHAnsi"/>
          <w:lang w:eastAsia="en-US"/>
        </w:rPr>
        <w:t>)</w:t>
      </w:r>
      <w:r w:rsidRPr="00C90AC9">
        <w:rPr>
          <w:rFonts w:eastAsiaTheme="minorHAnsi"/>
          <w:lang w:eastAsia="en-US"/>
        </w:rPr>
        <w:tab/>
      </w:r>
      <w:r w:rsidRPr="00C90AC9">
        <w:rPr>
          <w:rFonts w:eastAsiaTheme="minorHAnsi"/>
          <w:lang w:eastAsia="en-US"/>
        </w:rPr>
        <w:br/>
      </w:r>
      <m:oMath>
        <m:sSub>
          <m:sSubPr>
            <m:ctrlPr>
              <w:rPr>
                <w:rFonts w:ascii="Cambria Math" w:eastAsiaTheme="minorHAnsi" w:hAnsi="Cambria Math"/>
                <w:i/>
                <w:lang w:eastAsia="en-US"/>
              </w:rPr>
            </m:ctrlPr>
          </m:sSubPr>
          <m:e>
            <m:r>
              <w:rPr>
                <w:rFonts w:ascii="Cambria Math" w:eastAsiaTheme="minorHAnsi" w:hAnsi="Cambria Math"/>
                <w:lang w:eastAsia="en-US"/>
              </w:rPr>
              <m:t>η</m:t>
            </m:r>
          </m:e>
          <m:sub>
            <m:r>
              <w:rPr>
                <w:rFonts w:ascii="Cambria Math" w:eastAsiaTheme="minorHAnsi" w:hAnsi="Cambria Math"/>
                <w:lang w:eastAsia="en-US"/>
              </w:rPr>
              <m:t>C</m:t>
            </m:r>
          </m:sub>
        </m:sSub>
      </m:oMath>
      <w:r w:rsidRPr="00C90AC9">
        <w:rPr>
          <w:lang w:eastAsia="en-US"/>
        </w:rPr>
        <w:t>- Efficiency of collector (-)</w:t>
      </w:r>
      <w:r w:rsidRPr="00C90AC9">
        <w:rPr>
          <w:lang w:eastAsia="en-US"/>
        </w:rPr>
        <w:tab/>
      </w:r>
      <w:r w:rsidRPr="00C90AC9">
        <w:rPr>
          <w:vertAlign w:val="subscript"/>
          <w:lang w:eastAsia="en-US"/>
        </w:rPr>
        <w:tab/>
      </w:r>
      <w:r w:rsidRPr="00C90AC9">
        <w:rPr>
          <w:vertAlign w:val="subscript"/>
          <w:lang w:eastAsia="en-US"/>
        </w:rPr>
        <w:br/>
      </w:r>
      <m:oMath>
        <m:r>
          <w:rPr>
            <w:rFonts w:ascii="Cambria Math" w:hAnsi="Cambria Math"/>
            <w:vertAlign w:val="subscript"/>
            <w:lang w:eastAsia="en-US"/>
          </w:rPr>
          <m:t>ṁ</m:t>
        </m:r>
      </m:oMath>
      <w:r w:rsidRPr="00C90AC9">
        <w:rPr>
          <w:lang w:eastAsia="en-US"/>
        </w:rPr>
        <w:t>-</w:t>
      </w:r>
      <m:oMath>
        <m:r>
          <m:rPr>
            <m:sty m:val="p"/>
          </m:rPr>
          <w:rPr>
            <w:rFonts w:ascii="Cambria Math" w:hAnsi="Cambria Math"/>
            <w:vertAlign w:val="subscript"/>
            <w:lang w:eastAsia="en-US"/>
          </w:rPr>
          <m:t xml:space="preserve"> mass flow rate of the heating fluid</m:t>
        </m:r>
      </m:oMath>
      <w:r w:rsidRPr="00C90AC9">
        <w:rPr>
          <w:lang w:eastAsia="en-US"/>
        </w:rPr>
        <w:t xml:space="preserve"> </w:t>
      </w:r>
      <m:oMath>
        <m:r>
          <m:rPr>
            <m:sty m:val="p"/>
          </m:rPr>
          <w:rPr>
            <w:rFonts w:ascii="Cambria Math" w:hAnsi="Cambria Math"/>
            <w:vertAlign w:val="subscript"/>
            <w:lang w:eastAsia="en-US"/>
          </w:rPr>
          <m:t>(kg/s</m:t>
        </m:r>
      </m:oMath>
      <w:r w:rsidRPr="00C90AC9">
        <w:rPr>
          <w:lang w:eastAsia="en-US"/>
        </w:rPr>
        <w:t>)</w:t>
      </w:r>
      <w:r w:rsidRPr="00C90AC9">
        <w:rPr>
          <w:vertAlign w:val="subscript"/>
          <w:lang w:eastAsia="en-US"/>
        </w:rPr>
        <w:tab/>
      </w:r>
      <w:r w:rsidRPr="00C90AC9">
        <w:rPr>
          <w:lang w:eastAsia="en-US"/>
        </w:rPr>
        <w:br/>
        <w:t>C</w:t>
      </w:r>
      <w:r w:rsidRPr="00C90AC9">
        <w:rPr>
          <w:vertAlign w:val="subscript"/>
          <w:lang w:eastAsia="en-US"/>
        </w:rPr>
        <w:t>P</w:t>
      </w:r>
      <w:r w:rsidRPr="00C90AC9">
        <w:rPr>
          <w:lang w:eastAsia="en-US"/>
        </w:rPr>
        <w:t xml:space="preserve"> -</w:t>
      </w:r>
      <w:r w:rsidRPr="00C90AC9">
        <w:rPr>
          <w:rFonts w:eastAsiaTheme="minorHAnsi"/>
          <w:lang w:eastAsia="en-US"/>
        </w:rPr>
        <w:t xml:space="preserve"> Specific heat capacity of water (kJ/</w:t>
      </w:r>
      <w:proofErr w:type="spellStart"/>
      <w:r w:rsidRPr="00C90AC9">
        <w:rPr>
          <w:rFonts w:eastAsiaTheme="minorHAnsi"/>
          <w:lang w:eastAsia="en-US"/>
        </w:rPr>
        <w:t>kgK</w:t>
      </w:r>
      <w:proofErr w:type="spellEnd"/>
      <w:r w:rsidRPr="00C90AC9">
        <w:rPr>
          <w:rFonts w:eastAsiaTheme="minorHAnsi"/>
          <w:lang w:eastAsia="en-US"/>
        </w:rPr>
        <w:t>)</w:t>
      </w:r>
    </w:p>
    <w:p w:rsidR="00A16B8C" w:rsidRPr="00C90AC9" w:rsidRDefault="00A16B8C" w:rsidP="00F064E4">
      <w:pPr>
        <w:pStyle w:val="BodyText"/>
        <w:spacing w:line="360" w:lineRule="auto"/>
        <w:rPr>
          <w:rFonts w:eastAsiaTheme="minorHAnsi"/>
          <w:lang w:eastAsia="en-US"/>
        </w:rPr>
      </w:pPr>
      <w:r w:rsidRPr="00C90AC9">
        <w:rPr>
          <w:rFonts w:eastAsiaTheme="minorHAnsi"/>
          <w:lang w:eastAsia="en-US"/>
        </w:rPr>
        <w:br/>
        <w:t>This final value of the temperature of the water, T</w:t>
      </w:r>
      <w:r w:rsidRPr="00C90AC9">
        <w:rPr>
          <w:rFonts w:eastAsiaTheme="minorHAnsi"/>
          <w:vertAlign w:val="subscript"/>
          <w:lang w:eastAsia="en-US"/>
        </w:rPr>
        <w:t>Out</w:t>
      </w:r>
      <w:r w:rsidRPr="00C90AC9">
        <w:rPr>
          <w:rFonts w:eastAsiaTheme="minorHAnsi"/>
          <w:lang w:eastAsia="en-US"/>
        </w:rPr>
        <w:t>, as it leaves the flat plate</w:t>
      </w:r>
      <w:r w:rsidR="000E1CF9" w:rsidRPr="00C90AC9">
        <w:rPr>
          <w:rFonts w:eastAsiaTheme="minorHAnsi"/>
          <w:lang w:eastAsia="en-US"/>
        </w:rPr>
        <w:t xml:space="preserve"> collector is calculated at secondly </w:t>
      </w:r>
      <w:r w:rsidRPr="00C90AC9">
        <w:rPr>
          <w:rFonts w:eastAsiaTheme="minorHAnsi"/>
          <w:lang w:eastAsia="en-US"/>
        </w:rPr>
        <w:t>intervals throughout each day of the year and the will vary:</w:t>
      </w:r>
    </w:p>
    <w:p w:rsidR="00A16B8C" w:rsidRPr="00C90AC9" w:rsidRDefault="00A16B8C" w:rsidP="00CA6E35">
      <w:pPr>
        <w:pStyle w:val="ListBullet2"/>
        <w:numPr>
          <w:ilvl w:val="0"/>
          <w:numId w:val="7"/>
        </w:numPr>
        <w:spacing w:line="360" w:lineRule="auto"/>
        <w:rPr>
          <w:rFonts w:eastAsiaTheme="minorHAnsi"/>
          <w:lang w:eastAsia="en-US"/>
        </w:rPr>
      </w:pPr>
      <w:r w:rsidRPr="00C90AC9">
        <w:rPr>
          <w:rFonts w:eastAsiaTheme="minorHAnsi"/>
          <w:lang w:eastAsia="en-US"/>
        </w:rPr>
        <w:t>As the direct and diffuse irradiation vary throughout each day;</w:t>
      </w:r>
    </w:p>
    <w:p w:rsidR="00A16B8C" w:rsidRPr="00C90AC9" w:rsidRDefault="00A16B8C" w:rsidP="00CA6E35">
      <w:pPr>
        <w:pStyle w:val="ListBullet2"/>
        <w:numPr>
          <w:ilvl w:val="0"/>
          <w:numId w:val="7"/>
        </w:numPr>
        <w:spacing w:line="360" w:lineRule="auto"/>
        <w:rPr>
          <w:rFonts w:eastAsiaTheme="minorHAnsi"/>
          <w:lang w:eastAsia="en-US"/>
        </w:rPr>
      </w:pPr>
      <w:r w:rsidRPr="00C90AC9">
        <w:rPr>
          <w:rFonts w:eastAsiaTheme="minorHAnsi"/>
          <w:lang w:eastAsia="en-US"/>
        </w:rPr>
        <w:t>As the day of the year varies, which correspondingly changes the angle of incidence of the direct radiation on the collector;</w:t>
      </w:r>
    </w:p>
    <w:p w:rsidR="00A16B8C" w:rsidRPr="00C90AC9" w:rsidRDefault="00A16B8C" w:rsidP="00CA6E35">
      <w:pPr>
        <w:pStyle w:val="ListBullet2"/>
        <w:numPr>
          <w:ilvl w:val="0"/>
          <w:numId w:val="7"/>
        </w:numPr>
        <w:spacing w:line="360" w:lineRule="auto"/>
        <w:rPr>
          <w:rFonts w:eastAsiaTheme="minorHAnsi"/>
          <w:lang w:eastAsia="en-US"/>
        </w:rPr>
      </w:pPr>
      <w:r w:rsidRPr="00C90AC9">
        <w:rPr>
          <w:rFonts w:eastAsiaTheme="minorHAnsi"/>
          <w:lang w:eastAsia="en-US"/>
        </w:rPr>
        <w:t>As the temperature of the water already in the collector changes</w:t>
      </w:r>
      <w:r w:rsidR="000E1CF9" w:rsidRPr="00C90AC9">
        <w:rPr>
          <w:rFonts w:eastAsiaTheme="minorHAnsi"/>
          <w:lang w:eastAsia="en-US"/>
        </w:rPr>
        <w:t xml:space="preserve"> due to the ta</w:t>
      </w:r>
      <w:r w:rsidR="00771BA7" w:rsidRPr="00C90AC9">
        <w:rPr>
          <w:rFonts w:eastAsiaTheme="minorHAnsi"/>
          <w:lang w:eastAsia="en-US"/>
        </w:rPr>
        <w:t>n</w:t>
      </w:r>
      <w:r w:rsidR="000E1CF9" w:rsidRPr="00C90AC9">
        <w:rPr>
          <w:rFonts w:eastAsiaTheme="minorHAnsi"/>
          <w:lang w:eastAsia="en-US"/>
        </w:rPr>
        <w:t>k heating up and the water being using throughout each day depending on the Tapping Cycle assigned to each day</w:t>
      </w:r>
      <w:r w:rsidRPr="00C90AC9">
        <w:rPr>
          <w:rFonts w:eastAsiaTheme="minorHAnsi"/>
          <w:lang w:eastAsia="en-US"/>
        </w:rPr>
        <w:t>.</w:t>
      </w:r>
      <w:r w:rsidR="00C80892" w:rsidRPr="00C90AC9">
        <w:rPr>
          <w:rFonts w:eastAsiaTheme="minorHAnsi"/>
          <w:lang w:eastAsia="en-US"/>
        </w:rPr>
        <w:t xml:space="preserve"> </w:t>
      </w:r>
      <w:r w:rsidR="00F064E4" w:rsidRPr="00C90AC9">
        <w:rPr>
          <w:rFonts w:eastAsiaTheme="minorHAnsi"/>
          <w:lang w:eastAsia="en-US"/>
        </w:rPr>
        <w:tab/>
      </w:r>
      <w:r w:rsidRPr="00C90AC9">
        <w:rPr>
          <w:rFonts w:eastAsiaTheme="minorHAnsi"/>
          <w:lang w:eastAsia="en-US"/>
        </w:rPr>
        <w:br/>
      </w:r>
    </w:p>
    <w:p w:rsidR="00A16B8C" w:rsidRPr="00C90AC9" w:rsidRDefault="00A16B8C" w:rsidP="00B06779">
      <w:pPr>
        <w:rPr>
          <w:rFonts w:eastAsiaTheme="majorEastAsia"/>
          <w:lang w:eastAsia="en-US"/>
        </w:rPr>
      </w:pPr>
      <w:r w:rsidRPr="00C90AC9">
        <w:rPr>
          <w:rFonts w:eastAsiaTheme="minorHAnsi"/>
          <w:lang w:eastAsia="en-US"/>
        </w:rPr>
        <w:br w:type="page"/>
      </w:r>
    </w:p>
    <w:p w:rsidR="00A16B8C" w:rsidRPr="00C90AC9" w:rsidRDefault="00A16B8C" w:rsidP="00CA6E35">
      <w:pPr>
        <w:pStyle w:val="List"/>
        <w:numPr>
          <w:ilvl w:val="1"/>
          <w:numId w:val="3"/>
        </w:numPr>
        <w:rPr>
          <w:rStyle w:val="SubtleEmphasis"/>
          <w:rFonts w:cs="Times New Roman"/>
          <w:iCs/>
          <w:szCs w:val="24"/>
        </w:rPr>
      </w:pPr>
      <w:bookmarkStart w:id="37" w:name="_Toc447173058"/>
      <w:r w:rsidRPr="00C90AC9">
        <w:rPr>
          <w:rStyle w:val="SubtleEmphasis"/>
          <w:rFonts w:cs="Times New Roman"/>
          <w:iCs/>
          <w:szCs w:val="24"/>
        </w:rPr>
        <w:lastRenderedPageBreak/>
        <w:t>Additional energy required by an auxiliary boiler</w:t>
      </w:r>
      <w:bookmarkEnd w:id="37"/>
    </w:p>
    <w:p w:rsidR="00A16B8C" w:rsidRPr="00C90AC9" w:rsidRDefault="0074402A" w:rsidP="00B06779">
      <w:pPr>
        <w:pStyle w:val="BodyTextFirstIndent"/>
        <w:rPr>
          <w:rFonts w:eastAsiaTheme="minorHAnsi"/>
          <w:lang w:eastAsia="en-US"/>
        </w:rPr>
      </w:pPr>
      <w:r w:rsidRPr="00C90AC9">
        <w:rPr>
          <w:rFonts w:eastAsiaTheme="minorHAnsi"/>
          <w:noProof/>
        </w:rPr>
        <mc:AlternateContent>
          <mc:Choice Requires="wps">
            <w:drawing>
              <wp:anchor distT="0" distB="0" distL="114300" distR="114300" simplePos="0" relativeHeight="251837440" behindDoc="0" locked="0" layoutInCell="1" allowOverlap="1" wp14:anchorId="1758BC8B" wp14:editId="4245E9C7">
                <wp:simplePos x="0" y="0"/>
                <wp:positionH relativeFrom="margin">
                  <wp:posOffset>2095500</wp:posOffset>
                </wp:positionH>
                <wp:positionV relativeFrom="paragraph">
                  <wp:posOffset>1003299</wp:posOffset>
                </wp:positionV>
                <wp:extent cx="1638300" cy="352425"/>
                <wp:effectExtent l="0" t="0" r="19050" b="28575"/>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300" cy="352425"/>
                        </a:xfrm>
                        <a:prstGeom prst="rect">
                          <a:avLst/>
                        </a:prstGeom>
                        <a:solidFill>
                          <a:srgbClr val="4F81BD">
                            <a:alpha val="30000"/>
                          </a:srgb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789195" id="Rectangle 2" o:spid="_x0000_s1026" style="position:absolute;margin-left:165pt;margin-top:79pt;width:129pt;height:27.75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" fillcolor="#4f81bd" strokecolor="#385d8a" strokeweight="1pt">
                <v:fill opacity="19789f"/>
                <v:path arrowok="t"/>
                <w10:wrap anchorx="margin"/>
              </v:rect>
            </w:pict>
          </mc:Fallback>
        </mc:AlternateContent>
      </w:r>
      <w:r w:rsidR="00A16B8C" w:rsidRPr="00C90AC9">
        <w:rPr>
          <w:rFonts w:eastAsiaTheme="minorHAnsi"/>
          <w:lang w:eastAsia="en-US"/>
        </w:rPr>
        <w:t>At those times</w:t>
      </w:r>
      <w:r w:rsidR="00DE53AC" w:rsidRPr="00C90AC9">
        <w:rPr>
          <w:rFonts w:eastAsiaTheme="minorHAnsi"/>
          <w:lang w:eastAsia="en-US"/>
        </w:rPr>
        <w:t xml:space="preserve"> throughout the day when the heated water coming </w:t>
      </w:r>
      <w:r w:rsidR="00A16B8C" w:rsidRPr="00C90AC9">
        <w:rPr>
          <w:rFonts w:eastAsiaTheme="minorHAnsi"/>
          <w:lang w:eastAsia="en-US"/>
        </w:rPr>
        <w:t>from the STP is insufficient for the demand then an auxiliary heater is designed using natural gas to raise the temperature of the water to the requisite temperature (45 °C). For each additional kilogram of water that has to be raised by each additional degree the additional heat required by an auxiliary boiler is given by:</w:t>
      </w:r>
    </w:p>
    <w:tbl>
      <w:tblPr>
        <w:tblStyle w:val="TableGrid3"/>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
        <w:gridCol w:w="8167"/>
        <w:gridCol w:w="765"/>
      </w:tblGrid>
      <w:tr w:rsidR="00A16B8C" w:rsidRPr="00C90AC9" w:rsidTr="008C4189">
        <w:tc>
          <w:tcPr>
            <w:tcW w:w="532" w:type="dxa"/>
          </w:tcPr>
          <w:p w:rsidR="00A16B8C" w:rsidRPr="00C90AC9" w:rsidRDefault="00A16B8C" w:rsidP="00EC14DF">
            <w:pPr>
              <w:rPr>
                <w:rFonts w:eastAsiaTheme="minorHAnsi"/>
                <w:lang w:eastAsia="en-US"/>
              </w:rPr>
            </w:pPr>
          </w:p>
        </w:tc>
        <w:tc>
          <w:tcPr>
            <w:tcW w:w="8167" w:type="dxa"/>
          </w:tcPr>
          <w:p w:rsidR="00A16B8C" w:rsidRPr="00C90AC9" w:rsidRDefault="006F0C85" w:rsidP="00EC14DF">
            <w:pPr>
              <w:jc w:val="center"/>
              <w:rPr>
                <w:rFonts w:eastAsiaTheme="minorHAnsi"/>
                <w:lang w:eastAsia="en-US"/>
              </w:rPr>
            </w:pPr>
            <m:oMath>
              <m:sSub>
                <m:sSubPr>
                  <m:ctrlPr>
                    <w:rPr>
                      <w:rFonts w:ascii="Cambria Math" w:eastAsiaTheme="minorHAnsi" w:hAnsi="Cambria Math"/>
                      <w:lang w:eastAsia="en-US"/>
                    </w:rPr>
                  </m:ctrlPr>
                </m:sSubPr>
                <m:e>
                  <m:r>
                    <w:rPr>
                      <w:rFonts w:ascii="Cambria Math" w:eastAsiaTheme="minorHAnsi" w:hAnsi="Cambria Math"/>
                      <w:lang w:eastAsia="en-US"/>
                    </w:rPr>
                    <m:t>Q</m:t>
                  </m:r>
                </m:e>
                <m:sub>
                  <m:r>
                    <w:rPr>
                      <w:rFonts w:ascii="Cambria Math" w:eastAsiaTheme="minorHAnsi" w:hAnsi="Cambria Math"/>
                      <w:lang w:eastAsia="en-US"/>
                    </w:rPr>
                    <m:t>AUX</m:t>
                  </m:r>
                </m:sub>
              </m:sSub>
              <m:r>
                <m:rPr>
                  <m:sty m:val="p"/>
                </m:rPr>
                <w:rPr>
                  <w:rFonts w:ascii="Cambria Math" w:eastAsiaTheme="minorHAnsi" w:hAnsi="Cambria Math"/>
                  <w:lang w:eastAsia="en-US"/>
                </w:rPr>
                <m:t>=</m:t>
              </m:r>
              <m:sSub>
                <m:sSubPr>
                  <m:ctrlPr>
                    <w:rPr>
                      <w:rFonts w:ascii="Cambria Math" w:hAnsi="Cambria Math"/>
                      <w:lang w:eastAsia="en-US"/>
                    </w:rPr>
                  </m:ctrlPr>
                </m:sSubPr>
                <m:e>
                  <m:r>
                    <w:rPr>
                      <w:rFonts w:ascii="Cambria Math" w:hAnsi="Cambria Math"/>
                      <w:lang w:eastAsia="en-US"/>
                    </w:rPr>
                    <m:t>C</m:t>
                  </m:r>
                </m:e>
                <m:sub>
                  <m:r>
                    <w:rPr>
                      <w:rFonts w:ascii="Cambria Math" w:hAnsi="Cambria Math"/>
                      <w:lang w:eastAsia="en-US"/>
                    </w:rPr>
                    <m:t>P</m:t>
                  </m:r>
                </m:sub>
              </m:sSub>
              <m:r>
                <m:rPr>
                  <m:sty m:val="p"/>
                </m:rPr>
                <w:rPr>
                  <w:rFonts w:ascii="Cambria Math" w:hAnsi="Cambria Math"/>
                  <w:lang w:eastAsia="en-US"/>
                </w:rPr>
                <m:t xml:space="preserve"> .  </m:t>
              </m:r>
              <m:r>
                <w:rPr>
                  <w:rFonts w:ascii="Cambria Math" w:hAnsi="Cambria Math"/>
                  <w:lang w:eastAsia="en-US"/>
                </w:rPr>
                <m:t>m</m:t>
              </m:r>
              <m:r>
                <m:rPr>
                  <m:sty m:val="p"/>
                </m:rPr>
                <w:rPr>
                  <w:rFonts w:ascii="Cambria Math" w:hAnsi="Cambria Math"/>
                  <w:lang w:eastAsia="en-US"/>
                </w:rPr>
                <m:t xml:space="preserve"> .  </m:t>
              </m:r>
              <m:r>
                <w:rPr>
                  <w:rFonts w:ascii="Cambria Math" w:hAnsi="Cambria Math"/>
                  <w:lang w:eastAsia="en-US"/>
                </w:rPr>
                <m:t>d</m:t>
              </m:r>
            </m:oMath>
            <w:r w:rsidR="00A16B8C" w:rsidRPr="00C90AC9">
              <w:rPr>
                <w:lang w:eastAsia="en-US"/>
              </w:rPr>
              <w:t>T</w:t>
            </w:r>
          </w:p>
        </w:tc>
        <w:tc>
          <w:tcPr>
            <w:tcW w:w="765" w:type="dxa"/>
            <w:vAlign w:val="center"/>
          </w:tcPr>
          <w:p w:rsidR="00A16B8C" w:rsidRPr="00C90AC9" w:rsidRDefault="0096721A" w:rsidP="00B06779">
            <w:pPr>
              <w:rPr>
                <w:rFonts w:eastAsiaTheme="minorHAnsi"/>
                <w:lang w:eastAsia="en-US"/>
              </w:rPr>
            </w:pPr>
            <w:r w:rsidRPr="00C90AC9">
              <w:rPr>
                <w:rFonts w:eastAsiaTheme="minorHAnsi"/>
                <w:lang w:eastAsia="en-US"/>
              </w:rPr>
              <w:t>(15</w:t>
            </w:r>
            <w:r w:rsidR="00A16B8C" w:rsidRPr="00C90AC9">
              <w:rPr>
                <w:rFonts w:eastAsiaTheme="minorHAnsi"/>
                <w:lang w:eastAsia="en-US"/>
              </w:rPr>
              <w:t>)</w:t>
            </w:r>
          </w:p>
        </w:tc>
      </w:tr>
    </w:tbl>
    <w:p w:rsidR="00A16B8C" w:rsidRPr="00C90AC9" w:rsidRDefault="00A16B8C" w:rsidP="00B06779">
      <w:pPr>
        <w:pStyle w:val="BodyText"/>
        <w:rPr>
          <w:rFonts w:eastAsiaTheme="minorHAnsi"/>
          <w:lang w:eastAsia="en-US"/>
        </w:rPr>
      </w:pPr>
      <w:r w:rsidRPr="00C90AC9">
        <w:rPr>
          <w:rFonts w:eastAsiaTheme="minorHAnsi"/>
          <w:lang w:eastAsia="en-US"/>
        </w:rPr>
        <w:t>Where:</w:t>
      </w:r>
      <w:r w:rsidRPr="00C90AC9">
        <w:rPr>
          <w:rFonts w:eastAsiaTheme="minorHAnsi"/>
          <w:lang w:eastAsia="en-US"/>
        </w:rPr>
        <w:br/>
        <w:t>Q</w:t>
      </w:r>
      <w:r w:rsidRPr="00C90AC9">
        <w:rPr>
          <w:rFonts w:eastAsiaTheme="minorHAnsi"/>
          <w:vertAlign w:val="subscript"/>
          <w:lang w:eastAsia="en-US"/>
        </w:rPr>
        <w:t>AUX</w:t>
      </w:r>
      <w:r w:rsidRPr="00C90AC9">
        <w:rPr>
          <w:rFonts w:eastAsiaTheme="minorHAnsi"/>
          <w:lang w:eastAsia="en-US"/>
        </w:rPr>
        <w:t xml:space="preserve"> - Amount of heat required by auxiliary heater (kJ)</w:t>
      </w:r>
      <w:r w:rsidRPr="00C90AC9">
        <w:rPr>
          <w:rFonts w:eastAsiaTheme="minorHAnsi"/>
          <w:lang w:eastAsia="en-US"/>
        </w:rPr>
        <w:tab/>
        <w:t xml:space="preserve"> </w:t>
      </w:r>
      <w:r w:rsidRPr="00C90AC9">
        <w:rPr>
          <w:rFonts w:eastAsiaTheme="minorHAnsi"/>
          <w:lang w:eastAsia="en-US"/>
        </w:rPr>
        <w:br/>
        <w:t>C</w:t>
      </w:r>
      <w:r w:rsidRPr="00C90AC9">
        <w:rPr>
          <w:rFonts w:eastAsiaTheme="minorHAnsi"/>
          <w:vertAlign w:val="subscript"/>
          <w:lang w:eastAsia="en-US"/>
        </w:rPr>
        <w:t xml:space="preserve">P </w:t>
      </w:r>
      <w:r w:rsidRPr="00C90AC9">
        <w:rPr>
          <w:rFonts w:eastAsiaTheme="minorHAnsi"/>
          <w:lang w:eastAsia="en-US"/>
        </w:rPr>
        <w:t>- Specific heat of water (kJ/</w:t>
      </w:r>
      <w:proofErr w:type="spellStart"/>
      <w:proofErr w:type="gramStart"/>
      <w:r w:rsidRPr="00C90AC9">
        <w:rPr>
          <w:rFonts w:eastAsiaTheme="minorHAnsi"/>
          <w:lang w:eastAsia="en-US"/>
        </w:rPr>
        <w:t>kg.K</w:t>
      </w:r>
      <w:proofErr w:type="spellEnd"/>
      <w:proofErr w:type="gramEnd"/>
      <w:r w:rsidRPr="00C90AC9">
        <w:rPr>
          <w:rFonts w:eastAsiaTheme="minorHAnsi"/>
          <w:lang w:eastAsia="en-US"/>
        </w:rPr>
        <w:t>)</w:t>
      </w:r>
      <w:r w:rsidRPr="00C90AC9">
        <w:rPr>
          <w:rFonts w:eastAsiaTheme="minorHAnsi"/>
          <w:vertAlign w:val="subscript"/>
          <w:lang w:eastAsia="en-US"/>
        </w:rPr>
        <w:tab/>
      </w:r>
      <w:r w:rsidRPr="00C90AC9">
        <w:rPr>
          <w:rFonts w:eastAsiaTheme="minorHAnsi"/>
          <w:lang w:eastAsia="en-US"/>
        </w:rPr>
        <w:br/>
      </w:r>
      <m:oMath>
        <m:r>
          <w:rPr>
            <w:rFonts w:ascii="Cambria Math" w:eastAsiaTheme="minorHAnsi" w:hAnsi="Cambria Math"/>
            <w:lang w:eastAsia="en-US"/>
          </w:rPr>
          <m:t>m</m:t>
        </m:r>
      </m:oMath>
      <w:r w:rsidRPr="00C90AC9">
        <w:rPr>
          <w:rFonts w:eastAsiaTheme="minorHAnsi"/>
          <w:lang w:eastAsia="en-US"/>
        </w:rPr>
        <w:t>- mass of water (1 Kg)</w:t>
      </w:r>
      <w:r w:rsidRPr="00C90AC9">
        <w:rPr>
          <w:rFonts w:eastAsiaTheme="minorHAnsi"/>
          <w:lang w:eastAsia="en-US"/>
        </w:rPr>
        <w:tab/>
      </w:r>
      <w:r w:rsidRPr="00C90AC9">
        <w:rPr>
          <w:rFonts w:eastAsiaTheme="minorHAnsi"/>
          <w:lang w:eastAsia="en-US"/>
        </w:rPr>
        <w:br/>
        <w:t>dT - temperature difference between required temperature and temperature of water as it leaves the tank</w:t>
      </w:r>
      <w:r w:rsidR="002A3697" w:rsidRPr="00C90AC9">
        <w:rPr>
          <w:rFonts w:eastAsiaTheme="minorHAnsi"/>
          <w:lang w:eastAsia="en-US"/>
        </w:rPr>
        <w:t xml:space="preserve"> (</w:t>
      </w:r>
      <w:r w:rsidR="002A3697" w:rsidRPr="00C90AC9">
        <w:rPr>
          <w:rFonts w:eastAsiaTheme="minorHAnsi"/>
          <w:lang w:eastAsia="en-US"/>
        </w:rPr>
        <w:sym w:font="Symbol" w:char="F0B0"/>
      </w:r>
      <w:r w:rsidR="002A3697" w:rsidRPr="00C90AC9">
        <w:rPr>
          <w:rFonts w:eastAsiaTheme="minorHAnsi"/>
          <w:lang w:eastAsia="en-US"/>
        </w:rPr>
        <w:t>C)</w:t>
      </w:r>
    </w:p>
    <w:p w:rsidR="00A16B8C" w:rsidRPr="00C90AC9" w:rsidRDefault="00A16B8C" w:rsidP="00B06779">
      <w:pPr>
        <w:rPr>
          <w:rFonts w:eastAsiaTheme="minorHAnsi"/>
          <w:lang w:eastAsia="en-US"/>
        </w:rPr>
      </w:pPr>
    </w:p>
    <w:p w:rsidR="00A16B8C" w:rsidRPr="00C90AC9" w:rsidRDefault="00A16B8C" w:rsidP="00CA6E35">
      <w:pPr>
        <w:pStyle w:val="List"/>
        <w:numPr>
          <w:ilvl w:val="1"/>
          <w:numId w:val="3"/>
        </w:numPr>
        <w:rPr>
          <w:rStyle w:val="SubtleEmphasis"/>
          <w:rFonts w:cs="Times New Roman"/>
          <w:iCs/>
          <w:szCs w:val="24"/>
        </w:rPr>
      </w:pPr>
      <w:bookmarkStart w:id="38" w:name="_Toc447173059"/>
      <w:r w:rsidRPr="00C90AC9">
        <w:rPr>
          <w:rStyle w:val="SubtleEmphasis"/>
          <w:rFonts w:cs="Times New Roman"/>
          <w:iCs/>
          <w:szCs w:val="24"/>
        </w:rPr>
        <w:t>Cost of using an auxiliary boiler</w:t>
      </w:r>
      <w:bookmarkEnd w:id="38"/>
    </w:p>
    <w:p w:rsidR="00A16B8C" w:rsidRPr="00C90AC9" w:rsidRDefault="00F7423A" w:rsidP="00B06779">
      <w:pPr>
        <w:pStyle w:val="BodyTextFirstIndent"/>
        <w:rPr>
          <w:rFonts w:eastAsiaTheme="minorHAnsi"/>
          <w:lang w:eastAsia="en-US"/>
        </w:rPr>
      </w:pPr>
      <w:r w:rsidRPr="00C90AC9">
        <w:rPr>
          <w:rFonts w:eastAsiaTheme="minorHAnsi"/>
          <w:noProof/>
        </w:rPr>
        <mc:AlternateContent>
          <mc:Choice Requires="wps">
            <w:drawing>
              <wp:anchor distT="0" distB="0" distL="114300" distR="114300" simplePos="0" relativeHeight="251842560" behindDoc="0" locked="0" layoutInCell="1" allowOverlap="1" wp14:anchorId="0710986C" wp14:editId="22B4195D">
                <wp:simplePos x="0" y="0"/>
                <wp:positionH relativeFrom="column">
                  <wp:posOffset>428625</wp:posOffset>
                </wp:positionH>
                <wp:positionV relativeFrom="paragraph">
                  <wp:posOffset>405765</wp:posOffset>
                </wp:positionV>
                <wp:extent cx="4819650" cy="676275"/>
                <wp:effectExtent l="0" t="0" r="19050" b="28575"/>
                <wp:wrapNone/>
                <wp:docPr id="318"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19650" cy="676275"/>
                        </a:xfrm>
                        <a:prstGeom prst="rect">
                          <a:avLst/>
                        </a:prstGeom>
                        <a:solidFill>
                          <a:srgbClr val="1F497D">
                            <a:lumMod val="60000"/>
                            <a:lumOff val="40000"/>
                            <a:alpha val="30000"/>
                          </a:srgb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345AF" id="Rectangle 318" o:spid="_x0000_s1026" style="position:absolute;margin-left:33.75pt;margin-top:31.95pt;width:379.5pt;height:53.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" fillcolor="#558ed5" strokecolor="#385d8a" strokeweight="1pt">
                <v:fill opacity="19789f"/>
                <v:path arrowok="t"/>
              </v:rect>
            </w:pict>
          </mc:Fallback>
        </mc:AlternateContent>
      </w:r>
      <w:r w:rsidR="00A16B8C" w:rsidRPr="00C90AC9">
        <w:rPr>
          <w:rFonts w:eastAsiaTheme="minorHAnsi"/>
          <w:lang w:eastAsia="en-US"/>
        </w:rPr>
        <w:t>Using Eq. (1</w:t>
      </w:r>
      <w:r w:rsidR="00DE53AC" w:rsidRPr="00C90AC9">
        <w:rPr>
          <w:rFonts w:eastAsiaTheme="minorHAnsi"/>
          <w:lang w:eastAsia="en-US"/>
        </w:rPr>
        <w:t>5</w:t>
      </w:r>
      <w:r w:rsidR="00A16B8C" w:rsidRPr="00C90AC9">
        <w:rPr>
          <w:rFonts w:eastAsiaTheme="minorHAnsi"/>
          <w:lang w:eastAsia="en-US"/>
        </w:rPr>
        <w:t>) and knowing the cost of gas</w:t>
      </w:r>
      <w:r w:rsidR="00DE53AC" w:rsidRPr="00C90AC9">
        <w:rPr>
          <w:rFonts w:eastAsiaTheme="minorHAnsi"/>
          <w:lang w:eastAsia="en-US"/>
        </w:rPr>
        <w:t xml:space="preserve"> (C</w:t>
      </w:r>
      <w:r w:rsidR="00DE53AC" w:rsidRPr="00C90AC9">
        <w:rPr>
          <w:rFonts w:eastAsiaTheme="minorHAnsi"/>
          <w:vertAlign w:val="subscript"/>
          <w:lang w:eastAsia="en-US"/>
        </w:rPr>
        <w:t>GAS</w:t>
      </w:r>
      <w:r w:rsidR="00DE53AC" w:rsidRPr="00C90AC9">
        <w:rPr>
          <w:rFonts w:eastAsiaTheme="minorHAnsi"/>
          <w:lang w:eastAsia="en-US"/>
        </w:rPr>
        <w:t>)</w:t>
      </w:r>
      <w:r w:rsidR="00A16B8C" w:rsidRPr="00C90AC9">
        <w:rPr>
          <w:rFonts w:eastAsiaTheme="minorHAnsi"/>
          <w:lang w:eastAsia="en-US"/>
        </w:rPr>
        <w:t>, the cost of using an auxiliary boiler can be calculated:</w:t>
      </w:r>
    </w:p>
    <w:tbl>
      <w:tblPr>
        <w:tblStyle w:val="TableGrid3"/>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42"/>
        <w:gridCol w:w="7513"/>
        <w:gridCol w:w="851"/>
      </w:tblGrid>
      <w:tr w:rsidR="00A16B8C" w:rsidRPr="00C90AC9" w:rsidTr="000B2E93">
        <w:tc>
          <w:tcPr>
            <w:tcW w:w="1242" w:type="dxa"/>
          </w:tcPr>
          <w:p w:rsidR="00A16B8C" w:rsidRPr="00C90AC9" w:rsidRDefault="00A16B8C" w:rsidP="00B06779">
            <w:pPr>
              <w:rPr>
                <w:rFonts w:eastAsiaTheme="minorHAnsi"/>
                <w:lang w:eastAsia="en-US"/>
              </w:rPr>
            </w:pPr>
          </w:p>
        </w:tc>
        <w:tc>
          <w:tcPr>
            <w:tcW w:w="7513" w:type="dxa"/>
          </w:tcPr>
          <w:p w:rsidR="00A16B8C" w:rsidRPr="00C90AC9" w:rsidRDefault="00A16B8C" w:rsidP="00B06779">
            <w:pPr>
              <w:rPr>
                <w:rFonts w:eastAsiaTheme="minorHAnsi"/>
                <w:lang w:eastAsia="en-US"/>
              </w:rPr>
            </w:pPr>
            <w:r w:rsidRPr="00C90AC9">
              <w:rPr>
                <w:rFonts w:eastAsiaTheme="minorHAnsi"/>
                <w:lang w:eastAsia="en-US"/>
              </w:rPr>
              <w:t>Cost of using an auxiliary boiler       = Q</w:t>
            </w:r>
            <w:r w:rsidRPr="00C90AC9">
              <w:rPr>
                <w:rFonts w:eastAsiaTheme="minorHAnsi"/>
                <w:vertAlign w:val="subscript"/>
                <w:lang w:eastAsia="en-US"/>
              </w:rPr>
              <w:t xml:space="preserve">AUX </w:t>
            </w:r>
            <w:r w:rsidR="00DE53AC" w:rsidRPr="00C90AC9">
              <w:rPr>
                <w:rFonts w:eastAsiaTheme="minorHAnsi"/>
                <w:vertAlign w:val="subscript"/>
                <w:lang w:eastAsia="en-US"/>
              </w:rPr>
              <w:t xml:space="preserve">  </w:t>
            </w:r>
            <w:r w:rsidRPr="00C90AC9">
              <w:rPr>
                <w:rFonts w:eastAsiaTheme="minorHAnsi"/>
                <w:lang w:eastAsia="en-US"/>
              </w:rPr>
              <w:t>x Volume of water x C</w:t>
            </w:r>
            <w:r w:rsidRPr="00C90AC9">
              <w:rPr>
                <w:rFonts w:eastAsiaTheme="minorHAnsi"/>
                <w:vertAlign w:val="subscript"/>
                <w:lang w:eastAsia="en-US"/>
              </w:rPr>
              <w:t>GAS</w:t>
            </w:r>
            <w:r w:rsidRPr="00C90AC9">
              <w:rPr>
                <w:rFonts w:eastAsiaTheme="minorHAnsi"/>
                <w:lang w:eastAsia="en-US"/>
              </w:rPr>
              <w:br/>
              <w:t xml:space="preserve">to heat required volume of water          </w:t>
            </w:r>
            <w:r w:rsidRPr="00C90AC9">
              <w:rPr>
                <w:rFonts w:eastAsiaTheme="minorHAnsi"/>
                <w:lang w:eastAsia="en-US"/>
              </w:rPr>
              <w:br/>
              <w:t xml:space="preserve">needed </w:t>
            </w:r>
          </w:p>
          <w:p w:rsidR="00A16B8C" w:rsidRPr="00C90AC9" w:rsidRDefault="00A16B8C" w:rsidP="00B06779">
            <w:pPr>
              <w:rPr>
                <w:rFonts w:eastAsiaTheme="minorHAnsi"/>
                <w:lang w:eastAsia="en-US"/>
              </w:rPr>
            </w:pPr>
          </w:p>
        </w:tc>
        <w:tc>
          <w:tcPr>
            <w:tcW w:w="851" w:type="dxa"/>
            <w:vAlign w:val="center"/>
          </w:tcPr>
          <w:p w:rsidR="00A16B8C" w:rsidRPr="00C90AC9" w:rsidRDefault="00A16B8C" w:rsidP="00B06779">
            <w:pPr>
              <w:rPr>
                <w:rFonts w:eastAsiaTheme="minorHAnsi"/>
                <w:lang w:eastAsia="en-US"/>
              </w:rPr>
            </w:pPr>
            <w:r w:rsidRPr="00C90AC9">
              <w:rPr>
                <w:rFonts w:eastAsiaTheme="minorHAnsi"/>
                <w:lang w:eastAsia="en-US"/>
              </w:rPr>
              <w:t>(1</w:t>
            </w:r>
            <w:r w:rsidR="0096721A" w:rsidRPr="00C90AC9">
              <w:rPr>
                <w:rFonts w:eastAsiaTheme="minorHAnsi"/>
                <w:lang w:eastAsia="en-US"/>
              </w:rPr>
              <w:t>6</w:t>
            </w:r>
            <w:r w:rsidRPr="00C90AC9">
              <w:rPr>
                <w:rFonts w:eastAsiaTheme="minorHAnsi"/>
                <w:lang w:eastAsia="en-US"/>
              </w:rPr>
              <w:t>)</w:t>
            </w:r>
          </w:p>
        </w:tc>
      </w:tr>
    </w:tbl>
    <w:p w:rsidR="00A16B8C" w:rsidRPr="00C90AC9" w:rsidRDefault="00A16B8C" w:rsidP="00B06779">
      <w:pPr>
        <w:rPr>
          <w:rFonts w:eastAsiaTheme="minorHAnsi"/>
          <w:sz w:val="28"/>
          <w:lang w:eastAsia="en-US"/>
        </w:rPr>
      </w:pPr>
    </w:p>
    <w:p w:rsidR="00A16B8C" w:rsidRPr="00C90AC9" w:rsidRDefault="00A16B8C" w:rsidP="00CA6E35">
      <w:pPr>
        <w:pStyle w:val="List"/>
        <w:numPr>
          <w:ilvl w:val="1"/>
          <w:numId w:val="3"/>
        </w:numPr>
        <w:rPr>
          <w:rFonts w:eastAsiaTheme="majorEastAsia"/>
          <w:sz w:val="28"/>
          <w:lang w:eastAsia="en-US"/>
        </w:rPr>
      </w:pPr>
      <w:bookmarkStart w:id="39" w:name="_Toc447173060"/>
      <w:r w:rsidRPr="00C90AC9">
        <w:rPr>
          <w:rFonts w:eastAsiaTheme="majorEastAsia"/>
          <w:sz w:val="28"/>
          <w:lang w:eastAsia="en-US"/>
        </w:rPr>
        <w:t>Final energy savings</w:t>
      </w:r>
      <w:bookmarkEnd w:id="39"/>
    </w:p>
    <w:p w:rsidR="00A16B8C" w:rsidRPr="00C90AC9" w:rsidRDefault="00A16B8C" w:rsidP="00B06779">
      <w:pPr>
        <w:pStyle w:val="ListContinue"/>
        <w:rPr>
          <w:rFonts w:eastAsiaTheme="minorHAnsi"/>
          <w:lang w:eastAsia="en-US"/>
        </w:rPr>
      </w:pPr>
      <w:r w:rsidRPr="00C90AC9">
        <w:rPr>
          <w:rFonts w:eastAsiaTheme="minorHAnsi"/>
          <w:lang w:eastAsia="en-US"/>
        </w:rPr>
        <w:t>From (1</w:t>
      </w:r>
      <w:r w:rsidR="0096721A" w:rsidRPr="00C90AC9">
        <w:rPr>
          <w:rFonts w:eastAsiaTheme="minorHAnsi"/>
          <w:lang w:eastAsia="en-US"/>
        </w:rPr>
        <w:t>6</w:t>
      </w:r>
      <w:r w:rsidRPr="00C90AC9">
        <w:rPr>
          <w:rFonts w:eastAsiaTheme="minorHAnsi"/>
          <w:lang w:eastAsia="en-US"/>
        </w:rPr>
        <w:t>) the Final Energy Savings can be calculated:</w:t>
      </w:r>
    </w:p>
    <w:p w:rsidR="00C0462B" w:rsidRPr="00C90AC9" w:rsidRDefault="00C0462B" w:rsidP="00B06779">
      <w:pPr>
        <w:pStyle w:val="ListContinue"/>
        <w:rPr>
          <w:rFonts w:eastAsiaTheme="minorHAnsi"/>
          <w:lang w:eastAsia="en-US"/>
        </w:rPr>
      </w:pPr>
      <w:r w:rsidRPr="00C90AC9">
        <w:rPr>
          <w:rFonts w:eastAsiaTheme="minorHAnsi"/>
          <w:noProof/>
        </w:rPr>
        <mc:AlternateContent>
          <mc:Choice Requires="wps">
            <w:drawing>
              <wp:anchor distT="0" distB="0" distL="114300" distR="114300" simplePos="0" relativeHeight="251840512" behindDoc="0" locked="0" layoutInCell="1" allowOverlap="1" wp14:anchorId="723DCC1D" wp14:editId="47CC71BD">
                <wp:simplePos x="0" y="0"/>
                <wp:positionH relativeFrom="column">
                  <wp:posOffset>-200025</wp:posOffset>
                </wp:positionH>
                <wp:positionV relativeFrom="paragraph">
                  <wp:posOffset>149860</wp:posOffset>
                </wp:positionV>
                <wp:extent cx="6055995" cy="571500"/>
                <wp:effectExtent l="0" t="0" r="20955" b="19050"/>
                <wp:wrapNone/>
                <wp:docPr id="350" name="Rectangle 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55995" cy="571500"/>
                        </a:xfrm>
                        <a:prstGeom prst="rect">
                          <a:avLst/>
                        </a:prstGeom>
                        <a:solidFill>
                          <a:srgbClr val="1F497D">
                            <a:lumMod val="60000"/>
                            <a:lumOff val="40000"/>
                            <a:alpha val="30000"/>
                          </a:srgb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C0A06" id="Rectangle 350" o:spid="_x0000_s1026" style="position:absolute;margin-left:-15.75pt;margin-top:11.8pt;width:476.85pt;height:4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" fillcolor="#558ed5" strokecolor="#385d8a" strokeweight="1pt">
                <v:fill opacity="19789f"/>
                <v:path arrowok="t"/>
              </v:rect>
            </w:pict>
          </mc:Fallback>
        </mc:AlternateContent>
      </w:r>
    </w:p>
    <w:tbl>
      <w:tblPr>
        <w:tblStyle w:val="TableGrid3"/>
        <w:tblW w:w="11341"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
        <w:gridCol w:w="9782"/>
        <w:gridCol w:w="1134"/>
      </w:tblGrid>
      <w:tr w:rsidR="00A16B8C" w:rsidRPr="00C90AC9" w:rsidTr="000B2E93">
        <w:tc>
          <w:tcPr>
            <w:tcW w:w="425" w:type="dxa"/>
          </w:tcPr>
          <w:p w:rsidR="00A16B8C" w:rsidRPr="00C90AC9" w:rsidRDefault="00A16B8C" w:rsidP="00B06779">
            <w:pPr>
              <w:rPr>
                <w:rFonts w:eastAsiaTheme="minorHAnsi"/>
                <w:lang w:eastAsia="en-US"/>
              </w:rPr>
            </w:pPr>
          </w:p>
        </w:tc>
        <w:tc>
          <w:tcPr>
            <w:tcW w:w="9782" w:type="dxa"/>
          </w:tcPr>
          <w:p w:rsidR="00A16B8C" w:rsidRPr="00C90AC9" w:rsidRDefault="00A16B8C" w:rsidP="00EC14DF">
            <w:pPr>
              <w:jc w:val="center"/>
              <w:rPr>
                <w:rFonts w:eastAsiaTheme="minorHAnsi"/>
                <w:lang w:eastAsia="en-US"/>
              </w:rPr>
            </w:pPr>
            <w:r w:rsidRPr="00C90AC9">
              <w:rPr>
                <w:lang w:eastAsia="en-US"/>
              </w:rPr>
              <w:t>F</w:t>
            </w:r>
            <m:oMath>
              <m:r>
                <m:rPr>
                  <m:sty m:val="p"/>
                </m:rPr>
                <w:rPr>
                  <w:rFonts w:ascii="Cambria Math" w:eastAsiaTheme="minorHAnsi" w:hAnsi="Cambria Math"/>
                  <w:lang w:eastAsia="en-US"/>
                </w:rPr>
                <m:t xml:space="preserve">inal Energy Savings, </m:t>
              </m:r>
              <m:sSub>
                <m:sSubPr>
                  <m:ctrlPr>
                    <w:rPr>
                      <w:rFonts w:ascii="Cambria Math" w:eastAsiaTheme="minorHAnsi" w:hAnsi="Cambria Math"/>
                      <w:lang w:eastAsia="en-US"/>
                    </w:rPr>
                  </m:ctrlPr>
                </m:sSubPr>
                <m:e>
                  <m:r>
                    <w:rPr>
                      <w:rFonts w:ascii="Cambria Math" w:eastAsiaTheme="minorHAnsi" w:hAnsi="Cambria Math"/>
                      <w:lang w:eastAsia="en-US"/>
                    </w:rPr>
                    <m:t>E</m:t>
                  </m:r>
                </m:e>
                <m:sub>
                  <m:r>
                    <m:rPr>
                      <m:sty m:val="p"/>
                    </m:rPr>
                    <w:rPr>
                      <w:rFonts w:ascii="Cambria Math" w:eastAsiaTheme="minorHAnsi" w:hAnsi="Cambria Math"/>
                      <w:vertAlign w:val="subscript"/>
                      <w:lang w:eastAsia="en-US"/>
                    </w:rPr>
                    <m:t>Save</m:t>
                  </m:r>
                  <m:r>
                    <m:rPr>
                      <m:sty m:val="p"/>
                    </m:rPr>
                    <w:rPr>
                      <w:rFonts w:ascii="Cambria Math" w:eastAsiaTheme="minorHAnsi" w:hAnsi="Cambria Math"/>
                      <w:lang w:eastAsia="en-US"/>
                    </w:rPr>
                    <m:t xml:space="preserve"> </m:t>
                  </m:r>
                </m:sub>
              </m:sSub>
              <m:r>
                <m:rPr>
                  <m:sty m:val="p"/>
                </m:rPr>
                <w:rPr>
                  <w:rFonts w:ascii="Cambria Math" w:eastAsiaTheme="minorHAnsi" w:hAnsi="Cambria Math"/>
                  <w:lang w:eastAsia="en-US"/>
                </w:rPr>
                <m:t xml:space="preserve">=Energy needed for heating water via auxilliary boiler, </m:t>
              </m:r>
              <m:sSub>
                <m:sSubPr>
                  <m:ctrlPr>
                    <w:rPr>
                      <w:rFonts w:ascii="Cambria Math" w:eastAsiaTheme="minorHAnsi" w:hAnsi="Cambria Math"/>
                      <w:vertAlign w:val="subscript"/>
                      <w:lang w:eastAsia="en-US"/>
                    </w:rPr>
                  </m:ctrlPr>
                </m:sSubPr>
                <m:e>
                  <m:r>
                    <w:rPr>
                      <w:rFonts w:ascii="Cambria Math" w:eastAsiaTheme="minorHAnsi" w:hAnsi="Cambria Math"/>
                      <w:vertAlign w:val="subscript"/>
                      <w:lang w:eastAsia="en-US"/>
                    </w:rPr>
                    <m:t>E</m:t>
                  </m:r>
                </m:e>
                <m:sub>
                  <m:r>
                    <w:rPr>
                      <w:rFonts w:ascii="Cambria Math" w:eastAsiaTheme="minorHAnsi" w:hAnsi="Cambria Math"/>
                      <w:vertAlign w:val="subscript"/>
                      <w:lang w:eastAsia="en-US"/>
                    </w:rPr>
                    <m:t>GAS</m:t>
                  </m:r>
                </m:sub>
              </m:sSub>
              <m:r>
                <m:rPr>
                  <m:sty m:val="p"/>
                </m:rPr>
                <w:rPr>
                  <w:rFonts w:ascii="Cambria Math" w:eastAsiaTheme="minorHAnsi" w:hAnsi="Cambria Math"/>
                  <w:lang w:eastAsia="en-US"/>
                </w:rPr>
                <m:t>-Energy provided by STP</m:t>
              </m:r>
            </m:oMath>
          </w:p>
        </w:tc>
        <w:tc>
          <w:tcPr>
            <w:tcW w:w="1134" w:type="dxa"/>
            <w:vAlign w:val="center"/>
          </w:tcPr>
          <w:p w:rsidR="00A16B8C" w:rsidRPr="00C90AC9" w:rsidRDefault="00A16B8C" w:rsidP="00B06779">
            <w:pPr>
              <w:rPr>
                <w:rFonts w:eastAsiaTheme="minorHAnsi"/>
                <w:lang w:eastAsia="en-US"/>
              </w:rPr>
            </w:pPr>
          </w:p>
        </w:tc>
      </w:tr>
    </w:tbl>
    <w:p w:rsidR="00A16B8C" w:rsidRPr="00C90AC9" w:rsidRDefault="00A16B8C" w:rsidP="00B06779">
      <w:pPr>
        <w:rPr>
          <w:rFonts w:eastAsiaTheme="majorEastAsia"/>
          <w:lang w:eastAsia="en-US"/>
        </w:rPr>
      </w:pPr>
    </w:p>
    <w:p w:rsidR="00A16B8C" w:rsidRPr="00C90AC9" w:rsidRDefault="00A16B8C" w:rsidP="00EC14DF">
      <w:pPr>
        <w:pStyle w:val="BodyText"/>
        <w:jc w:val="right"/>
        <w:rPr>
          <w:rFonts w:eastAsiaTheme="minorHAnsi"/>
          <w:lang w:eastAsia="en-US"/>
        </w:rPr>
      </w:pPr>
      <w:r w:rsidRPr="00C90AC9">
        <w:rPr>
          <w:rFonts w:eastAsiaTheme="minorHAnsi"/>
          <w:lang w:eastAsia="en-US"/>
        </w:rPr>
        <w:t>(1</w:t>
      </w:r>
      <w:r w:rsidR="0096721A" w:rsidRPr="00C90AC9">
        <w:rPr>
          <w:rFonts w:eastAsiaTheme="minorHAnsi"/>
          <w:lang w:eastAsia="en-US"/>
        </w:rPr>
        <w:t>7</w:t>
      </w:r>
      <w:r w:rsidRPr="00C90AC9">
        <w:rPr>
          <w:rFonts w:eastAsiaTheme="minorHAnsi"/>
          <w:lang w:eastAsia="en-US"/>
        </w:rPr>
        <w:t>)</w:t>
      </w:r>
    </w:p>
    <w:p w:rsidR="00A16B8C" w:rsidRPr="00C90AC9" w:rsidRDefault="00A16B8C" w:rsidP="00B06779">
      <w:pPr>
        <w:rPr>
          <w:rFonts w:eastAsiaTheme="majorEastAsia"/>
          <w:lang w:eastAsia="en-US"/>
        </w:rPr>
      </w:pPr>
      <w:r w:rsidRPr="00C90AC9">
        <w:rPr>
          <w:rFonts w:eastAsiaTheme="minorHAnsi"/>
          <w:lang w:eastAsia="en-US"/>
        </w:rPr>
        <w:br w:type="page"/>
      </w:r>
    </w:p>
    <w:p w:rsidR="00A16B8C" w:rsidRPr="00C90AC9" w:rsidRDefault="00A16B8C" w:rsidP="00D0095B">
      <w:pPr>
        <w:pStyle w:val="List"/>
        <w:numPr>
          <w:ilvl w:val="1"/>
          <w:numId w:val="3"/>
        </w:numPr>
        <w:ind w:hanging="720"/>
        <w:rPr>
          <w:rStyle w:val="SubtleEmphasis"/>
          <w:rFonts w:cs="Times New Roman"/>
          <w:i/>
          <w:iCs/>
          <w:szCs w:val="24"/>
        </w:rPr>
      </w:pPr>
      <w:bookmarkStart w:id="40" w:name="_Toc447173061"/>
      <w:r w:rsidRPr="00C90AC9">
        <w:rPr>
          <w:rStyle w:val="SubtleEmphasis"/>
          <w:rFonts w:cs="Times New Roman"/>
          <w:iCs/>
          <w:szCs w:val="24"/>
        </w:rPr>
        <w:lastRenderedPageBreak/>
        <w:t>Final choice of parameters to measure when evaluating the performance of the</w:t>
      </w:r>
      <w:r w:rsidRPr="00C90AC9">
        <w:rPr>
          <w:rStyle w:val="SubtleEmphasis"/>
          <w:rFonts w:cs="Times New Roman"/>
          <w:i/>
          <w:iCs/>
          <w:szCs w:val="24"/>
        </w:rPr>
        <w:t xml:space="preserve"> </w:t>
      </w:r>
      <w:r w:rsidRPr="00C90AC9">
        <w:rPr>
          <w:rStyle w:val="SubtleEmphasis"/>
          <w:rFonts w:cs="Times New Roman"/>
          <w:iCs/>
          <w:szCs w:val="24"/>
        </w:rPr>
        <w:t>STP system</w:t>
      </w:r>
      <w:bookmarkEnd w:id="40"/>
    </w:p>
    <w:p w:rsidR="00A16B8C" w:rsidRPr="00C90AC9" w:rsidRDefault="00A16B8C" w:rsidP="00B06779">
      <w:pPr>
        <w:pStyle w:val="BodyText"/>
        <w:rPr>
          <w:rFonts w:eastAsiaTheme="minorHAnsi"/>
          <w:lang w:eastAsia="en-US"/>
        </w:rPr>
      </w:pPr>
      <w:r w:rsidRPr="00C90AC9">
        <w:rPr>
          <w:rFonts w:eastAsiaTheme="minorHAnsi"/>
          <w:lang w:eastAsia="en-US"/>
        </w:rPr>
        <w:t xml:space="preserve">The final </w:t>
      </w:r>
      <w:r w:rsidR="00C0462B" w:rsidRPr="00C90AC9">
        <w:rPr>
          <w:rFonts w:eastAsiaTheme="minorHAnsi"/>
          <w:lang w:eastAsia="en-US"/>
        </w:rPr>
        <w:t xml:space="preserve">parameter </w:t>
      </w:r>
      <w:r w:rsidRPr="00C90AC9">
        <w:rPr>
          <w:rFonts w:eastAsiaTheme="minorHAnsi"/>
          <w:lang w:eastAsia="en-US"/>
        </w:rPr>
        <w:t xml:space="preserve">choices to measure when evaluating the performance of the STP system </w:t>
      </w:r>
      <w:r w:rsidR="00C747A5" w:rsidRPr="00C90AC9">
        <w:rPr>
          <w:rFonts w:eastAsiaTheme="minorHAnsi"/>
          <w:lang w:eastAsia="en-US"/>
        </w:rPr>
        <w:t xml:space="preserve">which are similar to those measured by Rogers </w:t>
      </w:r>
      <w:r w:rsidRPr="00C90AC9">
        <w:rPr>
          <w:rFonts w:eastAsiaTheme="minorHAnsi"/>
          <w:lang w:eastAsia="en-US"/>
        </w:rPr>
        <w:t>are:</w:t>
      </w:r>
    </w:p>
    <w:p w:rsidR="00C0462B" w:rsidRPr="00C90AC9" w:rsidRDefault="00C0462B" w:rsidP="00B06779">
      <w:pPr>
        <w:pStyle w:val="BodyText"/>
        <w:rPr>
          <w:rFonts w:eastAsiaTheme="minorHAnsi"/>
          <w:lang w:eastAsia="en-US"/>
        </w:rPr>
      </w:pPr>
      <w:r w:rsidRPr="00C90AC9">
        <w:rPr>
          <w:rFonts w:eastAsiaTheme="minorHAnsi"/>
          <w:noProof/>
        </w:rPr>
        <mc:AlternateContent>
          <mc:Choice Requires="wps">
            <w:drawing>
              <wp:anchor distT="0" distB="0" distL="114300" distR="114300" simplePos="0" relativeHeight="251838464" behindDoc="0" locked="0" layoutInCell="1" allowOverlap="1" wp14:anchorId="09344D95" wp14:editId="36911283">
                <wp:simplePos x="0" y="0"/>
                <wp:positionH relativeFrom="column">
                  <wp:posOffset>561975</wp:posOffset>
                </wp:positionH>
                <wp:positionV relativeFrom="paragraph">
                  <wp:posOffset>184150</wp:posOffset>
                </wp:positionV>
                <wp:extent cx="4370070" cy="733425"/>
                <wp:effectExtent l="0" t="0" r="11430" b="28575"/>
                <wp:wrapNone/>
                <wp:docPr id="351" name="Rectangle 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0070" cy="733425"/>
                        </a:xfrm>
                        <a:prstGeom prst="rect">
                          <a:avLst/>
                        </a:prstGeom>
                        <a:solidFill>
                          <a:srgbClr val="4F81BD">
                            <a:alpha val="30000"/>
                          </a:srgb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0636B" id="Rectangle 351" o:spid="_x0000_s1026" style="position:absolute;margin-left:44.25pt;margin-top:14.5pt;width:344.1pt;height:57.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" fillcolor="#4f81bd" strokecolor="#385d8a" strokeweight="1pt">
                <v:fill opacity="19789f"/>
                <v:path arrowok="t"/>
              </v:rect>
            </w:pict>
          </mc:Fallback>
        </mc:AlternateContent>
      </w:r>
    </w:p>
    <w:p w:rsidR="00A16B8C" w:rsidRPr="00C90AC9" w:rsidRDefault="00A16B8C" w:rsidP="00CA6E35">
      <w:pPr>
        <w:pStyle w:val="List2"/>
        <w:numPr>
          <w:ilvl w:val="0"/>
          <w:numId w:val="8"/>
        </w:numPr>
        <w:ind w:left="-284" w:hanging="283"/>
        <w:jc w:val="center"/>
        <w:rPr>
          <w:rFonts w:eastAsiaTheme="minorHAnsi"/>
          <w:lang w:eastAsia="en-US"/>
        </w:rPr>
      </w:pPr>
      <w:r w:rsidRPr="00C90AC9">
        <w:rPr>
          <w:rFonts w:eastAsiaTheme="minorHAnsi"/>
          <w:lang w:eastAsia="en-US"/>
        </w:rPr>
        <w:t>The Temperature of the water as it leaves the STP, Eq. (14);</w:t>
      </w:r>
    </w:p>
    <w:p w:rsidR="00A16B8C" w:rsidRPr="00C90AC9" w:rsidRDefault="00A16B8C" w:rsidP="00CA6E35">
      <w:pPr>
        <w:pStyle w:val="List2"/>
        <w:numPr>
          <w:ilvl w:val="0"/>
          <w:numId w:val="8"/>
        </w:numPr>
        <w:ind w:left="-709" w:hanging="283"/>
        <w:jc w:val="center"/>
        <w:rPr>
          <w:rFonts w:eastAsiaTheme="minorHAnsi"/>
          <w:lang w:eastAsia="en-US"/>
        </w:rPr>
      </w:pPr>
      <w:r w:rsidRPr="00C90AC9">
        <w:rPr>
          <w:rFonts w:eastAsiaTheme="minorHAnsi"/>
          <w:lang w:eastAsia="en-US"/>
        </w:rPr>
        <w:t xml:space="preserve">The Cost of Heating the required water, </w:t>
      </w:r>
      <w:proofErr w:type="spellStart"/>
      <w:r w:rsidRPr="00C90AC9">
        <w:rPr>
          <w:rFonts w:eastAsiaTheme="minorHAnsi"/>
          <w:lang w:eastAsia="en-US"/>
        </w:rPr>
        <w:t>C</w:t>
      </w:r>
      <w:r w:rsidRPr="00C90AC9">
        <w:rPr>
          <w:rFonts w:eastAsiaTheme="minorHAnsi"/>
          <w:vertAlign w:val="subscript"/>
          <w:lang w:eastAsia="en-US"/>
        </w:rPr>
        <w:t>Cost</w:t>
      </w:r>
      <w:proofErr w:type="spellEnd"/>
      <w:r w:rsidRPr="00C90AC9">
        <w:rPr>
          <w:rFonts w:eastAsiaTheme="minorHAnsi"/>
          <w:vertAlign w:val="subscript"/>
          <w:lang w:eastAsia="en-US"/>
        </w:rPr>
        <w:t xml:space="preserve">, </w:t>
      </w:r>
      <w:r w:rsidR="001D658A" w:rsidRPr="00C90AC9">
        <w:rPr>
          <w:rFonts w:eastAsiaTheme="minorHAnsi"/>
          <w:lang w:eastAsia="en-US"/>
        </w:rPr>
        <w:t>Eq.</w:t>
      </w:r>
      <w:r w:rsidR="00241D38" w:rsidRPr="00C90AC9">
        <w:rPr>
          <w:rFonts w:eastAsiaTheme="minorHAnsi"/>
          <w:lang w:eastAsia="en-US"/>
        </w:rPr>
        <w:t xml:space="preserve"> </w:t>
      </w:r>
      <w:r w:rsidR="001D658A" w:rsidRPr="00C90AC9">
        <w:rPr>
          <w:rFonts w:eastAsiaTheme="minorHAnsi"/>
          <w:lang w:eastAsia="en-US"/>
        </w:rPr>
        <w:t>(16</w:t>
      </w:r>
      <w:r w:rsidRPr="00C90AC9">
        <w:rPr>
          <w:rFonts w:eastAsiaTheme="minorHAnsi"/>
          <w:lang w:eastAsia="en-US"/>
        </w:rPr>
        <w:t>);</w:t>
      </w:r>
    </w:p>
    <w:p w:rsidR="00C0462B" w:rsidRPr="00C90AC9" w:rsidRDefault="00A16B8C" w:rsidP="00CA6E35">
      <w:pPr>
        <w:pStyle w:val="List2"/>
        <w:numPr>
          <w:ilvl w:val="0"/>
          <w:numId w:val="8"/>
        </w:numPr>
        <w:ind w:left="-142" w:hanging="142"/>
        <w:jc w:val="center"/>
        <w:rPr>
          <w:rFonts w:eastAsiaTheme="minorHAnsi"/>
          <w:lang w:eastAsia="en-US"/>
        </w:rPr>
      </w:pPr>
      <w:r w:rsidRPr="00C90AC9">
        <w:rPr>
          <w:rFonts w:eastAsiaTheme="minorHAnsi"/>
          <w:lang w:eastAsia="en-US"/>
        </w:rPr>
        <w:t xml:space="preserve">The Final Energy Savings, </w:t>
      </w:r>
      <w:proofErr w:type="spellStart"/>
      <w:r w:rsidRPr="00C90AC9">
        <w:rPr>
          <w:rFonts w:eastAsiaTheme="minorHAnsi"/>
          <w:lang w:eastAsia="en-US"/>
        </w:rPr>
        <w:t>E</w:t>
      </w:r>
      <w:r w:rsidRPr="00C90AC9">
        <w:rPr>
          <w:rFonts w:eastAsiaTheme="minorHAnsi"/>
          <w:vertAlign w:val="subscript"/>
          <w:lang w:eastAsia="en-US"/>
        </w:rPr>
        <w:t>Save</w:t>
      </w:r>
      <w:proofErr w:type="spellEnd"/>
      <w:r w:rsidRPr="00C90AC9">
        <w:rPr>
          <w:rFonts w:eastAsiaTheme="minorHAnsi"/>
          <w:vertAlign w:val="subscript"/>
          <w:lang w:eastAsia="en-US"/>
        </w:rPr>
        <w:t>,</w:t>
      </w:r>
      <w:r w:rsidR="001D658A" w:rsidRPr="00C90AC9">
        <w:rPr>
          <w:rFonts w:eastAsiaTheme="minorHAnsi"/>
          <w:lang w:eastAsia="en-US"/>
        </w:rPr>
        <w:t xml:space="preserve"> Eq. (17</w:t>
      </w:r>
      <w:r w:rsidRPr="00C90AC9">
        <w:rPr>
          <w:rFonts w:eastAsiaTheme="minorHAnsi"/>
          <w:lang w:eastAsia="en-US"/>
        </w:rPr>
        <w:t>).</w:t>
      </w:r>
      <w:bookmarkStart w:id="41" w:name="_Hlk526835870"/>
      <w:r w:rsidR="00C0462B" w:rsidRPr="00C90AC9">
        <w:rPr>
          <w:rFonts w:eastAsiaTheme="minorHAnsi"/>
          <w:lang w:eastAsia="en-US"/>
        </w:rPr>
        <w:t xml:space="preserve"> </w:t>
      </w:r>
      <w:r w:rsidR="00C0462B" w:rsidRPr="00C90AC9">
        <w:rPr>
          <w:rFonts w:eastAsiaTheme="minorHAnsi"/>
          <w:lang w:eastAsia="en-US"/>
        </w:rPr>
        <w:fldChar w:fldCharType="begin"/>
      </w:r>
      <w:r w:rsidR="00C0462B" w:rsidRPr="00C90AC9">
        <w:rPr>
          <w:rFonts w:eastAsiaTheme="minorHAnsi"/>
          <w:lang w:eastAsia="en-US"/>
        </w:rPr>
        <w:instrText xml:space="preserve"> ADDIN EN.CITE &lt;EndNote&gt;&lt;Cite&gt;&lt;Author&gt;Rogers&lt;/Author&gt;&lt;Year&gt;2013&lt;/Year&gt;&lt;RecNum&gt;222&lt;/RecNum&gt;&lt;DisplayText&gt;(Rogers et al., 2013)&lt;/DisplayText&gt;&lt;record&gt;&lt;rec-number&gt;222&lt;/rec-number&gt;&lt;foreign-keys&gt;&lt;key app="EN" db-id="50wxdpzd9vd5r7e9t5b595djrfpttrxw9avp" timestamp="1525592564"&gt;222&lt;/key&gt;&lt;/foreign-keys&gt;&lt;ref-type name="Journal Article"&gt;17&lt;/ref-type&gt;&lt;contributors&gt;&lt;authors&gt;&lt;author&gt;Rogers, J. G.&lt;/author&gt;&lt;author&gt;McManus, M. C.&lt;/author&gt;&lt;author&gt;Cooper, S. J. G.&lt;/author&gt;&lt;/authors&gt;&lt;/contributors&gt;&lt;titles&gt;&lt;title&gt;Potential for reliance on solar water heating throughout the summer in northern cloudy climates&lt;/title&gt;&lt;secondary-title&gt;Energy and Buildings&lt;/secondary-title&gt;&lt;/titles&gt;&lt;pages&gt;128-135&lt;/pages&gt;&lt;volume&gt;66&lt;/volume&gt;&lt;keywords&gt;&lt;keyword&gt;Solar water heating&lt;/keyword&gt;&lt;keyword&gt;Domestic hot water&lt;/keyword&gt;&lt;keyword&gt;Northern climate&lt;/keyword&gt;&lt;keyword&gt;Summer time usage&lt;/keyword&gt;&lt;keyword&gt;Thermal stores&lt;/keyword&gt;&lt;/keywords&gt;&lt;dates&gt;&lt;year&gt;2013&lt;/year&gt;&lt;pub-dates&gt;&lt;date&gt;2013/11/01/&lt;/date&gt;&lt;/pub-dates&gt;&lt;/dates&gt;&lt;isbn&gt;0378-7788&lt;/isbn&gt;&lt;urls&gt;&lt;related-urls&gt;&lt;url&gt;http://www.sciencedirect.com/science/article/pii/S0378778813004192&lt;/url&gt;&lt;/related-urls&gt;&lt;/urls&gt;&lt;electronic-resource-num&gt;https://doi.org/10.1016/j.enbuild.2013.07.031&lt;/electronic-resource-num&gt;&lt;/record&gt;&lt;/Cite&gt;&lt;/EndNote&gt;</w:instrText>
      </w:r>
      <w:r w:rsidR="00C0462B" w:rsidRPr="00C90AC9">
        <w:rPr>
          <w:rFonts w:eastAsiaTheme="minorHAnsi"/>
          <w:lang w:eastAsia="en-US"/>
        </w:rPr>
        <w:fldChar w:fldCharType="separate"/>
      </w:r>
      <w:r w:rsidR="00C0462B" w:rsidRPr="00C90AC9">
        <w:rPr>
          <w:rFonts w:eastAsiaTheme="minorHAnsi"/>
          <w:lang w:eastAsia="en-US"/>
        </w:rPr>
        <w:t>(Rogers et al., 2</w:t>
      </w:r>
      <w:bookmarkStart w:id="42" w:name="_Hlk526835824"/>
      <w:r w:rsidR="00C0462B" w:rsidRPr="00C90AC9">
        <w:rPr>
          <w:rFonts w:eastAsiaTheme="minorHAnsi"/>
          <w:lang w:eastAsia="en-US"/>
        </w:rPr>
        <w:t>013)</w:t>
      </w:r>
      <w:bookmarkEnd w:id="42"/>
      <w:r w:rsidR="00C0462B" w:rsidRPr="00C90AC9">
        <w:rPr>
          <w:rFonts w:eastAsiaTheme="minorHAnsi"/>
          <w:lang w:eastAsia="en-US"/>
        </w:rPr>
        <w:fldChar w:fldCharType="end"/>
      </w:r>
      <w:bookmarkEnd w:id="41"/>
    </w:p>
    <w:p w:rsidR="00C0462B" w:rsidRPr="00C90AC9" w:rsidRDefault="00C0462B" w:rsidP="00C0462B">
      <w:pPr>
        <w:pStyle w:val="List2"/>
        <w:jc w:val="center"/>
        <w:rPr>
          <w:rFonts w:eastAsiaTheme="minorHAnsi"/>
          <w:lang w:eastAsia="en-US"/>
        </w:rPr>
      </w:pPr>
    </w:p>
    <w:p w:rsidR="00C0462B" w:rsidRPr="00C90AC9" w:rsidRDefault="00C0462B" w:rsidP="000E6BD1">
      <w:pPr>
        <w:pStyle w:val="List2"/>
        <w:spacing w:line="360" w:lineRule="auto"/>
        <w:ind w:left="0" w:firstLine="0"/>
        <w:rPr>
          <w:rFonts w:eastAsiaTheme="minorHAnsi"/>
          <w:lang w:eastAsia="en-US"/>
        </w:rPr>
      </w:pPr>
      <w:r w:rsidRPr="00C90AC9">
        <w:rPr>
          <w:rFonts w:eastAsiaTheme="minorHAnsi"/>
          <w:lang w:eastAsia="en-US"/>
        </w:rPr>
        <w:tab/>
        <w:t xml:space="preserve">These three parameters represent the most important variable effects when applying an STP two domestic hot water production in a temperate climate such as the UK. By measuring the temperature of the heated water as it leaves the STP one is able to calculate the final two parameters as listed above (using equations 16 and 17). All three parameters have a direct impact on the user of the STP as these parameters impact on the effectiveness of the technology to perform its stated capability and they will impact on the householders’ finances. Thus, these three final parameters </w:t>
      </w:r>
      <w:r w:rsidR="00B94094" w:rsidRPr="00C90AC9">
        <w:rPr>
          <w:rFonts w:eastAsiaTheme="minorHAnsi"/>
          <w:lang w:eastAsia="en-US"/>
        </w:rPr>
        <w:t xml:space="preserve">are </w:t>
      </w:r>
      <w:r w:rsidRPr="00C90AC9">
        <w:rPr>
          <w:rFonts w:eastAsiaTheme="minorHAnsi"/>
          <w:lang w:eastAsia="en-US"/>
        </w:rPr>
        <w:t>considered for the re</w:t>
      </w:r>
      <w:r w:rsidR="00E82522" w:rsidRPr="00C90AC9">
        <w:rPr>
          <w:rFonts w:eastAsiaTheme="minorHAnsi"/>
          <w:lang w:eastAsia="en-US"/>
        </w:rPr>
        <w:t>main</w:t>
      </w:r>
      <w:r w:rsidRPr="00C90AC9">
        <w:rPr>
          <w:rFonts w:eastAsiaTheme="minorHAnsi"/>
          <w:lang w:eastAsia="en-US"/>
        </w:rPr>
        <w:t>der of this research</w:t>
      </w:r>
      <w:r w:rsidR="00B94094" w:rsidRPr="00C90AC9">
        <w:rPr>
          <w:rFonts w:eastAsiaTheme="minorHAnsi"/>
          <w:lang w:eastAsia="en-US"/>
        </w:rPr>
        <w:t xml:space="preserve"> when determining the engineering variables which will result in a more efficient hot water system utilised in a domestic setting</w:t>
      </w:r>
      <w:r w:rsidRPr="00C90AC9">
        <w:rPr>
          <w:rFonts w:eastAsiaTheme="minorHAnsi"/>
          <w:lang w:eastAsia="en-US"/>
        </w:rPr>
        <w:t xml:space="preserve">. </w:t>
      </w:r>
      <w:r w:rsidR="00A16B8C" w:rsidRPr="00C90AC9">
        <w:rPr>
          <w:rFonts w:eastAsiaTheme="minorHAnsi"/>
          <w:lang w:eastAsia="en-US"/>
        </w:rPr>
        <w:br w:type="page"/>
      </w:r>
    </w:p>
    <w:p w:rsidR="00A16B8C" w:rsidRPr="00C90AC9" w:rsidRDefault="00A16B8C" w:rsidP="00D0095B">
      <w:pPr>
        <w:pStyle w:val="List"/>
        <w:numPr>
          <w:ilvl w:val="1"/>
          <w:numId w:val="3"/>
        </w:numPr>
        <w:ind w:hanging="720"/>
        <w:rPr>
          <w:rStyle w:val="SubtleEmphasis"/>
          <w:rFonts w:cs="Times New Roman"/>
          <w:iCs/>
          <w:szCs w:val="24"/>
        </w:rPr>
      </w:pPr>
      <w:bookmarkStart w:id="43" w:name="_Toc447173062"/>
      <w:r w:rsidRPr="00C90AC9">
        <w:rPr>
          <w:rStyle w:val="SubtleEmphasis"/>
          <w:rFonts w:cs="Times New Roman"/>
          <w:iCs/>
          <w:szCs w:val="24"/>
        </w:rPr>
        <w:lastRenderedPageBreak/>
        <w:t>Calculating the heat from a solar thermal panel throughout the day</w:t>
      </w:r>
      <w:bookmarkEnd w:id="43"/>
    </w:p>
    <w:p w:rsidR="00E1005F" w:rsidRPr="00C90AC9" w:rsidRDefault="00A16B8C" w:rsidP="00B06779">
      <w:pPr>
        <w:pStyle w:val="BodyTextFirstIndent"/>
        <w:rPr>
          <w:rFonts w:eastAsiaTheme="minorHAnsi"/>
          <w:lang w:eastAsia="en-US"/>
        </w:rPr>
      </w:pPr>
      <w:r w:rsidRPr="00C90AC9">
        <w:rPr>
          <w:rFonts w:eastAsiaTheme="minorHAnsi"/>
          <w:lang w:eastAsia="en-US"/>
        </w:rPr>
        <w:t xml:space="preserve">To calculate the heat coming from a solar thermal panel a number of constants are initially needed, such as the location of the flat plate panel on the Earth (latitude, λ) and the tilt of the collector relative to the ground. </w:t>
      </w:r>
    </w:p>
    <w:p w:rsidR="00E1005F" w:rsidRPr="00C90AC9" w:rsidRDefault="00065512" w:rsidP="00B06779">
      <w:pPr>
        <w:pStyle w:val="BodyText"/>
        <w:rPr>
          <w:rFonts w:eastAsiaTheme="minorHAnsi"/>
          <w:lang w:eastAsia="en-US"/>
        </w:rPr>
      </w:pPr>
      <w:r w:rsidRPr="00C90AC9">
        <w:rPr>
          <w:rFonts w:eastAsiaTheme="minorHAnsi"/>
          <w:noProof/>
        </w:rPr>
        <mc:AlternateContent>
          <mc:Choice Requires="wps">
            <w:drawing>
              <wp:anchor distT="0" distB="0" distL="114300" distR="114300" simplePos="0" relativeHeight="251874304" behindDoc="0" locked="0" layoutInCell="1" allowOverlap="1" wp14:anchorId="0665F875" wp14:editId="10F96331">
                <wp:simplePos x="0" y="0"/>
                <wp:positionH relativeFrom="column">
                  <wp:posOffset>2257425</wp:posOffset>
                </wp:positionH>
                <wp:positionV relativeFrom="paragraph">
                  <wp:posOffset>227329</wp:posOffset>
                </wp:positionV>
                <wp:extent cx="1209675" cy="466725"/>
                <wp:effectExtent l="0" t="0" r="28575" b="28575"/>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9675" cy="466725"/>
                        </a:xfrm>
                        <a:prstGeom prst="rect">
                          <a:avLst/>
                        </a:prstGeom>
                        <a:solidFill>
                          <a:srgbClr val="4F81BD">
                            <a:alpha val="30000"/>
                          </a:srgb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44242D" id="Rectangle 6" o:spid="_x0000_s1026" style="position:absolute;margin-left:177.75pt;margin-top:17.9pt;width:95.25pt;height:36.7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" fillcolor="#4f81bd" strokecolor="#385d8a" strokeweight="1pt">
                <v:fill opacity="19789f"/>
                <v:path arrowok="t"/>
              </v:rect>
            </w:pict>
          </mc:Fallback>
        </mc:AlternateContent>
      </w:r>
      <w:r w:rsidR="001D658A" w:rsidRPr="00C90AC9">
        <w:rPr>
          <w:rFonts w:eastAsiaTheme="minorHAnsi"/>
          <w:lang w:eastAsia="en-US"/>
        </w:rPr>
        <w:t>Using Eq. (9</w:t>
      </w:r>
      <w:r w:rsidR="00E1005F" w:rsidRPr="00C90AC9">
        <w:rPr>
          <w:rFonts w:eastAsiaTheme="minorHAnsi"/>
          <w:lang w:eastAsia="en-US"/>
        </w:rPr>
        <w:t>) and the constants from Table 3.3 the Transmittance can be calculated:</w:t>
      </w:r>
    </w:p>
    <w:p w:rsidR="00B046B0" w:rsidRPr="00C90AC9" w:rsidRDefault="006F0C85" w:rsidP="00B046B0">
      <w:pPr>
        <w:pStyle w:val="BodyText"/>
        <w:jc w:val="center"/>
        <w:rPr>
          <w:lang w:eastAsia="en-US"/>
        </w:rPr>
      </w:pPr>
      <m:oMathPara>
        <m:oMath>
          <m:sSub>
            <m:sSubPr>
              <m:ctrlPr>
                <w:rPr>
                  <w:rFonts w:ascii="Cambria Math" w:eastAsiaTheme="minorHAnsi" w:hAnsi="Cambria Math"/>
                  <w:lang w:eastAsia="en-US"/>
                </w:rPr>
              </m:ctrlPr>
            </m:sSubPr>
            <m:e>
              <m:r>
                <w:rPr>
                  <w:rFonts w:ascii="Cambria Math" w:eastAsiaTheme="minorHAnsi" w:hAnsi="Cambria Math"/>
                  <w:lang w:eastAsia="en-US"/>
                </w:rPr>
                <m:t>T</m:t>
              </m:r>
            </m:e>
            <m:sub>
              <m:r>
                <w:rPr>
                  <w:rFonts w:ascii="Cambria Math" w:eastAsiaTheme="minorHAnsi" w:hAnsi="Cambria Math"/>
                  <w:lang w:eastAsia="en-US"/>
                </w:rPr>
                <m:t>r</m:t>
              </m:r>
            </m:sub>
          </m:sSub>
          <m:r>
            <m:rPr>
              <m:sty m:val="p"/>
            </m:rPr>
            <w:rPr>
              <w:rFonts w:ascii="Cambria Math" w:eastAsiaTheme="minorHAnsi" w:hAnsi="Cambria Math"/>
              <w:lang w:eastAsia="en-US"/>
            </w:rPr>
            <m:t>≈</m:t>
          </m:r>
          <m:r>
            <w:rPr>
              <w:rFonts w:ascii="Cambria Math" w:eastAsiaTheme="minorHAnsi" w:hAnsi="Cambria Math"/>
              <w:lang w:eastAsia="en-US"/>
            </w:rPr>
            <m:t>τ</m:t>
          </m:r>
          <m:d>
            <m:dPr>
              <m:ctrlPr>
                <w:rPr>
                  <w:rFonts w:ascii="Cambria Math" w:eastAsiaTheme="minorHAnsi" w:hAnsi="Cambria Math"/>
                  <w:lang w:eastAsia="en-US"/>
                </w:rPr>
              </m:ctrlPr>
            </m:dPr>
            <m:e>
              <m:f>
                <m:fPr>
                  <m:ctrlPr>
                    <w:rPr>
                      <w:rFonts w:ascii="Cambria Math" w:eastAsiaTheme="minorHAnsi" w:hAnsi="Cambria Math"/>
                      <w:lang w:eastAsia="en-US"/>
                    </w:rPr>
                  </m:ctrlPr>
                </m:fPr>
                <m:num>
                  <m:r>
                    <m:rPr>
                      <m:sty m:val="p"/>
                    </m:rPr>
                    <w:rPr>
                      <w:rFonts w:ascii="Cambria Math" w:eastAsiaTheme="minorHAnsi" w:hAnsi="Cambria Math"/>
                      <w:lang w:eastAsia="en-US"/>
                    </w:rPr>
                    <m:t>1-</m:t>
                  </m:r>
                  <m:r>
                    <w:rPr>
                      <w:rFonts w:ascii="Cambria Math" w:eastAsiaTheme="minorHAnsi" w:hAnsi="Cambria Math"/>
                      <w:lang w:eastAsia="en-US"/>
                    </w:rPr>
                    <m:t>ρ</m:t>
                  </m:r>
                </m:num>
                <m:den>
                  <m:r>
                    <m:rPr>
                      <m:sty m:val="p"/>
                    </m:rPr>
                    <w:rPr>
                      <w:rFonts w:ascii="Cambria Math" w:eastAsiaTheme="minorHAnsi" w:hAnsi="Cambria Math"/>
                      <w:lang w:eastAsia="en-US"/>
                    </w:rPr>
                    <m:t>1+</m:t>
                  </m:r>
                  <m:r>
                    <w:rPr>
                      <w:rFonts w:ascii="Cambria Math" w:eastAsiaTheme="minorHAnsi" w:hAnsi="Cambria Math"/>
                      <w:lang w:eastAsia="en-US"/>
                    </w:rPr>
                    <m:t>ρ</m:t>
                  </m:r>
                </m:den>
              </m:f>
            </m:e>
          </m:d>
        </m:oMath>
      </m:oMathPara>
    </w:p>
    <w:p w:rsidR="00E1005F" w:rsidRPr="00C90AC9" w:rsidRDefault="00B046B0" w:rsidP="00B046B0">
      <w:pPr>
        <w:pStyle w:val="BodyText"/>
        <w:jc w:val="right"/>
        <w:rPr>
          <w:lang w:eastAsia="en-US"/>
        </w:rPr>
      </w:pPr>
      <w:r w:rsidRPr="00C90AC9">
        <w:rPr>
          <w:rFonts w:eastAsiaTheme="minorHAnsi"/>
          <w:noProof/>
        </w:rPr>
        <mc:AlternateContent>
          <mc:Choice Requires="wps">
            <w:drawing>
              <wp:anchor distT="0" distB="0" distL="114300" distR="114300" simplePos="0" relativeHeight="251930624" behindDoc="0" locked="0" layoutInCell="1" allowOverlap="1" wp14:anchorId="4A5F1B9A" wp14:editId="3DB2C3C1">
                <wp:simplePos x="0" y="0"/>
                <wp:positionH relativeFrom="column">
                  <wp:posOffset>2085645</wp:posOffset>
                </wp:positionH>
                <wp:positionV relativeFrom="paragraph">
                  <wp:posOffset>173809</wp:posOffset>
                </wp:positionV>
                <wp:extent cx="1519555" cy="533400"/>
                <wp:effectExtent l="0" t="0" r="23495" b="19050"/>
                <wp:wrapNone/>
                <wp:docPr id="478" name="Rectangle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9555" cy="533400"/>
                        </a:xfrm>
                        <a:prstGeom prst="rect">
                          <a:avLst/>
                        </a:prstGeom>
                        <a:solidFill>
                          <a:srgbClr val="4F81BD">
                            <a:alpha val="30000"/>
                          </a:srgb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867B26" id="Rectangle 478" o:spid="_x0000_s1026" style="position:absolute;margin-left:164.2pt;margin-top:13.7pt;width:119.65pt;height:42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" fillcolor="#4f81bd" strokecolor="#385d8a" strokeweight="1pt">
                <v:fill opacity="19789f"/>
                <v:path arrowok="t"/>
              </v:rect>
            </w:pict>
          </mc:Fallback>
        </mc:AlternateContent>
      </w:r>
      <w:r w:rsidRPr="00C90AC9">
        <w:rPr>
          <w:rFonts w:eastAsiaTheme="minorHAnsi"/>
          <w:lang w:eastAsia="en-US"/>
        </w:rPr>
        <w:t>(18)</w:t>
      </w:r>
    </w:p>
    <w:p w:rsidR="00E1005F" w:rsidRPr="00C90AC9" w:rsidRDefault="006F0C85" w:rsidP="00065512">
      <w:pPr>
        <w:jc w:val="center"/>
        <w:rPr>
          <w:rFonts w:eastAsiaTheme="minorHAnsi"/>
          <w:lang w:eastAsia="en-US"/>
        </w:rPr>
      </w:pPr>
      <m:oMathPara>
        <m:oMath>
          <m:sSub>
            <m:sSubPr>
              <m:ctrlPr>
                <w:rPr>
                  <w:rFonts w:ascii="Cambria Math" w:eastAsiaTheme="minorHAnsi" w:hAnsi="Cambria Math"/>
                  <w:lang w:eastAsia="en-US"/>
                </w:rPr>
              </m:ctrlPr>
            </m:sSubPr>
            <m:e>
              <m:r>
                <w:rPr>
                  <w:rFonts w:ascii="Cambria Math" w:eastAsiaTheme="minorHAnsi" w:hAnsi="Cambria Math"/>
                  <w:lang w:eastAsia="en-US"/>
                </w:rPr>
                <m:t>T</m:t>
              </m:r>
            </m:e>
            <m:sub>
              <m:r>
                <w:rPr>
                  <w:rFonts w:ascii="Cambria Math" w:eastAsiaTheme="minorHAnsi" w:hAnsi="Cambria Math"/>
                  <w:lang w:eastAsia="en-US"/>
                </w:rPr>
                <m:t>r</m:t>
              </m:r>
            </m:sub>
          </m:sSub>
          <m:r>
            <m:rPr>
              <m:sty m:val="p"/>
            </m:rPr>
            <w:rPr>
              <w:rFonts w:ascii="Cambria Math" w:eastAsiaTheme="minorHAnsi" w:hAnsi="Cambria Math"/>
              <w:lang w:eastAsia="en-US"/>
            </w:rPr>
            <m:t>≈0.91</m:t>
          </m:r>
          <m:d>
            <m:dPr>
              <m:ctrlPr>
                <w:rPr>
                  <w:rFonts w:ascii="Cambria Math" w:eastAsiaTheme="minorHAnsi" w:hAnsi="Cambria Math"/>
                  <w:lang w:eastAsia="en-US"/>
                </w:rPr>
              </m:ctrlPr>
            </m:dPr>
            <m:e>
              <m:f>
                <m:fPr>
                  <m:ctrlPr>
                    <w:rPr>
                      <w:rFonts w:ascii="Cambria Math" w:eastAsiaTheme="minorHAnsi" w:hAnsi="Cambria Math"/>
                      <w:lang w:eastAsia="en-US"/>
                    </w:rPr>
                  </m:ctrlPr>
                </m:fPr>
                <m:num>
                  <m:r>
                    <m:rPr>
                      <m:sty m:val="p"/>
                    </m:rPr>
                    <w:rPr>
                      <w:rFonts w:ascii="Cambria Math" w:eastAsiaTheme="minorHAnsi" w:hAnsi="Cambria Math"/>
                      <w:lang w:eastAsia="en-US"/>
                    </w:rPr>
                    <m:t>1-0.05</m:t>
                  </m:r>
                </m:num>
                <m:den>
                  <m:r>
                    <m:rPr>
                      <m:sty m:val="p"/>
                    </m:rPr>
                    <w:rPr>
                      <w:rFonts w:ascii="Cambria Math" w:eastAsiaTheme="minorHAnsi" w:hAnsi="Cambria Math"/>
                      <w:lang w:eastAsia="en-US"/>
                    </w:rPr>
                    <m:t>1+0.05</m:t>
                  </m:r>
                </m:den>
              </m:f>
            </m:e>
          </m:d>
        </m:oMath>
      </m:oMathPara>
    </w:p>
    <w:p w:rsidR="00065512" w:rsidRPr="00C90AC9" w:rsidRDefault="00065512" w:rsidP="00BF282D">
      <w:pPr>
        <w:jc w:val="center"/>
        <w:rPr>
          <w:rFonts w:eastAsiaTheme="minorHAnsi"/>
          <w:b/>
          <w:u w:val="single"/>
          <w:lang w:eastAsia="en-US"/>
        </w:rPr>
      </w:pPr>
      <w:r w:rsidRPr="00C90AC9">
        <w:rPr>
          <w:b/>
          <w:lang w:eastAsia="en-US"/>
        </w:rPr>
        <w:br/>
      </w:r>
      <m:oMath>
        <m:sSub>
          <m:sSubPr>
            <m:ctrlPr>
              <w:rPr>
                <w:rFonts w:ascii="Cambria Math" w:eastAsiaTheme="minorHAnsi" w:hAnsi="Cambria Math"/>
                <w:b/>
                <w:lang w:eastAsia="en-US"/>
              </w:rPr>
            </m:ctrlPr>
          </m:sSubPr>
          <m:e>
            <m:r>
              <m:rPr>
                <m:sty m:val="bi"/>
              </m:rPr>
              <w:rPr>
                <w:rFonts w:ascii="Cambria Math" w:eastAsiaTheme="minorHAnsi" w:hAnsi="Cambria Math"/>
                <w:lang w:eastAsia="en-US"/>
              </w:rPr>
              <m:t>T</m:t>
            </m:r>
          </m:e>
          <m:sub>
            <m:r>
              <m:rPr>
                <m:sty m:val="bi"/>
              </m:rPr>
              <w:rPr>
                <w:rFonts w:ascii="Cambria Math" w:eastAsiaTheme="minorHAnsi" w:hAnsi="Cambria Math"/>
                <w:lang w:eastAsia="en-US"/>
              </w:rPr>
              <m:t>r</m:t>
            </m:r>
          </m:sub>
        </m:sSub>
      </m:oMath>
      <w:r w:rsidR="00E1005F" w:rsidRPr="00C90AC9">
        <w:rPr>
          <w:b/>
          <w:lang w:eastAsia="en-US"/>
        </w:rPr>
        <w:t>=</w:t>
      </w:r>
      <w:r w:rsidR="00E1005F" w:rsidRPr="00C90AC9">
        <w:rPr>
          <w:b/>
          <w:u w:val="single"/>
          <w:lang w:eastAsia="en-US"/>
        </w:rPr>
        <w:t>0.823</w:t>
      </w:r>
    </w:p>
    <w:p w:rsidR="00E1005F" w:rsidRPr="00C90AC9" w:rsidRDefault="001D658A" w:rsidP="00B06779">
      <w:pPr>
        <w:pStyle w:val="BodyText"/>
        <w:rPr>
          <w:rFonts w:eastAsiaTheme="minorHAnsi"/>
          <w:lang w:eastAsia="en-US"/>
        </w:rPr>
      </w:pPr>
      <w:r w:rsidRPr="00C90AC9">
        <w:rPr>
          <w:rFonts w:eastAsiaTheme="minorHAnsi"/>
          <w:lang w:eastAsia="en-US"/>
        </w:rPr>
        <w:t>Using Eq. (10</w:t>
      </w:r>
      <w:r w:rsidR="00E1005F" w:rsidRPr="00C90AC9">
        <w:rPr>
          <w:rFonts w:eastAsiaTheme="minorHAnsi"/>
          <w:lang w:eastAsia="en-US"/>
        </w:rPr>
        <w:t>) and the constants from Table 3.3 the Transmittance can be calculated:</w:t>
      </w:r>
    </w:p>
    <w:p w:rsidR="00E1005F" w:rsidRPr="00C90AC9" w:rsidRDefault="00E1005F" w:rsidP="00B06779">
      <w:pPr>
        <w:pStyle w:val="List2"/>
        <w:rPr>
          <w:lang w:eastAsia="zh-CN"/>
        </w:rPr>
      </w:pPr>
      <m:oMathPara>
        <m:oMath>
          <m:r>
            <m:rPr>
              <m:sty m:val="p"/>
            </m:rPr>
            <w:rPr>
              <w:rFonts w:ascii="Cambria Math" w:hAnsi="Cambria Math"/>
              <w:lang w:eastAsia="zh-CN"/>
            </w:rPr>
            <m:t xml:space="preserve">Absorptance, </m:t>
          </m:r>
          <m:sSub>
            <m:sSubPr>
              <m:ctrlPr>
                <w:rPr>
                  <w:rFonts w:ascii="Cambria Math" w:hAnsi="Cambria Math"/>
                  <w:lang w:eastAsia="zh-CN"/>
                </w:rPr>
              </m:ctrlPr>
            </m:sSubPr>
            <m:e>
              <m:r>
                <w:rPr>
                  <w:rFonts w:ascii="Cambria Math" w:hAnsi="Cambria Math"/>
                  <w:lang w:eastAsia="zh-CN"/>
                </w:rPr>
                <m:t>A</m:t>
              </m:r>
            </m:e>
            <m:sub>
              <m:r>
                <w:rPr>
                  <w:rFonts w:ascii="Cambria Math" w:hAnsi="Cambria Math"/>
                  <w:lang w:eastAsia="zh-CN"/>
                </w:rPr>
                <m:t>b</m:t>
              </m:r>
            </m:sub>
          </m:sSub>
          <m:r>
            <m:rPr>
              <m:sty m:val="p"/>
            </m:rPr>
            <w:rPr>
              <w:rFonts w:ascii="Cambria Math" w:hAnsi="Cambria Math"/>
              <w:lang w:eastAsia="zh-CN"/>
            </w:rPr>
            <m:t>=</m:t>
          </m:r>
          <m:f>
            <m:fPr>
              <m:ctrlPr>
                <w:rPr>
                  <w:rFonts w:ascii="Cambria Math" w:hAnsi="Cambria Math"/>
                  <w:lang w:eastAsia="zh-CN"/>
                </w:rPr>
              </m:ctrlPr>
            </m:fPr>
            <m:num>
              <m:d>
                <m:dPr>
                  <m:ctrlPr>
                    <w:rPr>
                      <w:rFonts w:ascii="Cambria Math" w:hAnsi="Cambria Math"/>
                      <w:lang w:eastAsia="zh-CN"/>
                    </w:rPr>
                  </m:ctrlPr>
                </m:dPr>
                <m:e>
                  <m:r>
                    <m:rPr>
                      <m:sty m:val="p"/>
                    </m:rPr>
                    <w:rPr>
                      <w:rFonts w:ascii="Cambria Math" w:hAnsi="Cambria Math"/>
                      <w:lang w:eastAsia="zh-CN"/>
                    </w:rPr>
                    <m:t>1-ρ</m:t>
                  </m:r>
                </m:e>
              </m:d>
              <m:d>
                <m:dPr>
                  <m:ctrlPr>
                    <w:rPr>
                      <w:rFonts w:ascii="Cambria Math" w:hAnsi="Cambria Math"/>
                      <w:lang w:eastAsia="zh-CN"/>
                    </w:rPr>
                  </m:ctrlPr>
                </m:dPr>
                <m:e>
                  <m:r>
                    <m:rPr>
                      <m:sty m:val="p"/>
                    </m:rPr>
                    <w:rPr>
                      <w:rFonts w:ascii="Cambria Math" w:hAnsi="Cambria Math"/>
                      <w:lang w:eastAsia="zh-CN"/>
                    </w:rPr>
                    <m:t>1-τ</m:t>
                  </m:r>
                </m:e>
              </m:d>
            </m:num>
            <m:den>
              <m:r>
                <m:rPr>
                  <m:sty m:val="p"/>
                </m:rPr>
                <w:rPr>
                  <w:rFonts w:ascii="Cambria Math" w:hAnsi="Cambria Math"/>
                  <w:lang w:eastAsia="zh-CN"/>
                </w:rPr>
                <m:t>1-ρτ</m:t>
              </m:r>
            </m:den>
          </m:f>
        </m:oMath>
      </m:oMathPara>
    </w:p>
    <w:p w:rsidR="00E1005F" w:rsidRPr="00C90AC9" w:rsidRDefault="00E1005F" w:rsidP="00B06779">
      <w:pPr>
        <w:pStyle w:val="List2"/>
        <w:rPr>
          <w:lang w:eastAsia="zh-CN"/>
        </w:rPr>
      </w:pPr>
      <m:oMathPara>
        <m:oMath>
          <m:r>
            <m:rPr>
              <m:sty m:val="p"/>
            </m:rPr>
            <w:rPr>
              <w:rFonts w:ascii="Cambria Math" w:hAnsi="Cambria Math"/>
              <w:lang w:eastAsia="zh-CN"/>
            </w:rPr>
            <m:t xml:space="preserve">Absorptance, </m:t>
          </m:r>
          <m:sSub>
            <m:sSubPr>
              <m:ctrlPr>
                <w:rPr>
                  <w:rFonts w:ascii="Cambria Math" w:hAnsi="Cambria Math"/>
                  <w:lang w:eastAsia="zh-CN"/>
                </w:rPr>
              </m:ctrlPr>
            </m:sSubPr>
            <m:e>
              <m:r>
                <w:rPr>
                  <w:rFonts w:ascii="Cambria Math" w:hAnsi="Cambria Math"/>
                  <w:lang w:eastAsia="zh-CN"/>
                </w:rPr>
                <m:t>A</m:t>
              </m:r>
            </m:e>
            <m:sub>
              <m:r>
                <w:rPr>
                  <w:rFonts w:ascii="Cambria Math" w:hAnsi="Cambria Math"/>
                  <w:lang w:eastAsia="zh-CN"/>
                </w:rPr>
                <m:t>b</m:t>
              </m:r>
            </m:sub>
          </m:sSub>
          <m:r>
            <m:rPr>
              <m:sty m:val="p"/>
            </m:rPr>
            <w:rPr>
              <w:rFonts w:ascii="Cambria Math" w:hAnsi="Cambria Math"/>
              <w:lang w:eastAsia="zh-CN"/>
            </w:rPr>
            <m:t>=</m:t>
          </m:r>
          <m:f>
            <m:fPr>
              <m:ctrlPr>
                <w:rPr>
                  <w:rFonts w:ascii="Cambria Math" w:hAnsi="Cambria Math"/>
                  <w:lang w:eastAsia="zh-CN"/>
                </w:rPr>
              </m:ctrlPr>
            </m:fPr>
            <m:num>
              <m:r>
                <m:rPr>
                  <m:sty m:val="p"/>
                </m:rPr>
                <w:rPr>
                  <w:rFonts w:ascii="Cambria Math" w:hAnsi="Cambria Math"/>
                  <w:lang w:eastAsia="zh-CN"/>
                </w:rPr>
                <m:t>(1-0.05)(1-0.91)</m:t>
              </m:r>
            </m:num>
            <m:den>
              <m:r>
                <m:rPr>
                  <m:sty m:val="p"/>
                </m:rPr>
                <w:rPr>
                  <w:rFonts w:ascii="Cambria Math" w:hAnsi="Cambria Math"/>
                  <w:lang w:eastAsia="zh-CN"/>
                </w:rPr>
                <m:t>1-(0.05 . 0.91)</m:t>
              </m:r>
            </m:den>
          </m:f>
        </m:oMath>
      </m:oMathPara>
    </w:p>
    <w:p w:rsidR="00E1005F" w:rsidRPr="00C90AC9" w:rsidRDefault="00E1005F" w:rsidP="00B06779">
      <w:pPr>
        <w:pStyle w:val="List2"/>
        <w:rPr>
          <w:lang w:eastAsia="zh-CN"/>
        </w:rPr>
      </w:pPr>
      <m:oMathPara>
        <m:oMath>
          <m:r>
            <m:rPr>
              <m:sty m:val="p"/>
            </m:rPr>
            <w:rPr>
              <w:rFonts w:ascii="Cambria Math" w:hAnsi="Cambria Math"/>
              <w:lang w:eastAsia="zh-CN"/>
            </w:rPr>
            <m:t xml:space="preserve">Absorptance, </m:t>
          </m:r>
          <m:sSub>
            <m:sSubPr>
              <m:ctrlPr>
                <w:rPr>
                  <w:rFonts w:ascii="Cambria Math" w:hAnsi="Cambria Math"/>
                  <w:lang w:eastAsia="zh-CN"/>
                </w:rPr>
              </m:ctrlPr>
            </m:sSubPr>
            <m:e>
              <m:r>
                <w:rPr>
                  <w:rFonts w:ascii="Cambria Math" w:hAnsi="Cambria Math"/>
                  <w:lang w:eastAsia="zh-CN"/>
                </w:rPr>
                <m:t>A</m:t>
              </m:r>
            </m:e>
            <m:sub>
              <m:r>
                <w:rPr>
                  <w:rFonts w:ascii="Cambria Math" w:hAnsi="Cambria Math"/>
                  <w:lang w:eastAsia="zh-CN"/>
                </w:rPr>
                <m:t>b</m:t>
              </m:r>
            </m:sub>
          </m:sSub>
          <m:r>
            <m:rPr>
              <m:sty m:val="p"/>
            </m:rPr>
            <w:rPr>
              <w:rFonts w:ascii="Cambria Math" w:hAnsi="Cambria Math"/>
              <w:lang w:eastAsia="zh-CN"/>
            </w:rPr>
            <m:t>=</m:t>
          </m:r>
          <m:f>
            <m:fPr>
              <m:ctrlPr>
                <w:rPr>
                  <w:rFonts w:ascii="Cambria Math" w:hAnsi="Cambria Math"/>
                  <w:lang w:eastAsia="zh-CN"/>
                </w:rPr>
              </m:ctrlPr>
            </m:fPr>
            <m:num>
              <m:d>
                <m:dPr>
                  <m:ctrlPr>
                    <w:rPr>
                      <w:rFonts w:ascii="Cambria Math" w:hAnsi="Cambria Math"/>
                      <w:i/>
                      <w:lang w:eastAsia="zh-CN"/>
                    </w:rPr>
                  </m:ctrlPr>
                </m:dPr>
                <m:e>
                  <m:r>
                    <w:rPr>
                      <w:rFonts w:ascii="Cambria Math" w:hAnsi="Cambria Math"/>
                      <w:lang w:eastAsia="zh-CN"/>
                    </w:rPr>
                    <m:t>0.95</m:t>
                  </m:r>
                </m:e>
              </m:d>
              <m:r>
                <w:rPr>
                  <w:rFonts w:ascii="Cambria Math" w:hAnsi="Cambria Math"/>
                  <w:lang w:eastAsia="zh-CN"/>
                </w:rPr>
                <m:t>(0.09)</m:t>
              </m:r>
            </m:num>
            <m:den>
              <m:r>
                <m:rPr>
                  <m:sty m:val="p"/>
                </m:rPr>
                <w:rPr>
                  <w:rFonts w:ascii="Cambria Math" w:hAnsi="Cambria Math"/>
                  <w:lang w:eastAsia="zh-CN"/>
                </w:rPr>
                <m:t>1-0.0455</m:t>
              </m:r>
            </m:den>
          </m:f>
        </m:oMath>
      </m:oMathPara>
    </w:p>
    <w:p w:rsidR="00D747DC" w:rsidRPr="00C90AC9" w:rsidRDefault="00B046B0" w:rsidP="00B046B0">
      <w:pPr>
        <w:pStyle w:val="Heading2"/>
        <w:rPr>
          <w:b/>
        </w:rPr>
      </w:pPr>
      <w:r w:rsidRPr="00C90AC9">
        <w:rPr>
          <w:rFonts w:eastAsiaTheme="minorHAnsi"/>
          <w:noProof/>
        </w:rPr>
        <mc:AlternateContent>
          <mc:Choice Requires="wps">
            <w:drawing>
              <wp:anchor distT="0" distB="0" distL="114300" distR="114300" simplePos="0" relativeHeight="251876352" behindDoc="0" locked="0" layoutInCell="1" allowOverlap="1" wp14:anchorId="0E0C90AB" wp14:editId="1316A386">
                <wp:simplePos x="0" y="0"/>
                <wp:positionH relativeFrom="column">
                  <wp:posOffset>1866900</wp:posOffset>
                </wp:positionH>
                <wp:positionV relativeFrom="paragraph">
                  <wp:posOffset>339090</wp:posOffset>
                </wp:positionV>
                <wp:extent cx="2019300" cy="390525"/>
                <wp:effectExtent l="0" t="0" r="19050" b="28575"/>
                <wp:wrapNone/>
                <wp:docPr id="465" name="Rectangle 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9300" cy="390525"/>
                        </a:xfrm>
                        <a:prstGeom prst="rect">
                          <a:avLst/>
                        </a:prstGeom>
                        <a:solidFill>
                          <a:srgbClr val="4F81BD">
                            <a:alpha val="30000"/>
                          </a:srgb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633A8" id="Rectangle 465" o:spid="_x0000_s1026" style="position:absolute;margin-left:147pt;margin-top:26.7pt;width:159pt;height:30.7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" fillcolor="#4f81bd" strokecolor="#385d8a" strokeweight="1pt">
                <v:fill opacity="19789f"/>
                <v:path arrowok="t"/>
              </v:rect>
            </w:pict>
          </mc:Fallback>
        </mc:AlternateContent>
      </w:r>
      <m:oMath>
        <m:r>
          <m:rPr>
            <m:sty m:val="p"/>
          </m:rPr>
          <w:rPr>
            <w:rFonts w:ascii="Cambria Math" w:hAnsi="Cambria Math"/>
            <w:sz w:val="24"/>
          </w:rPr>
          <m:t xml:space="preserve">Absorptance, </m:t>
        </m:r>
        <m:sSub>
          <m:sSubPr>
            <m:ctrlPr>
              <w:rPr>
                <w:rFonts w:ascii="Cambria Math" w:hAnsi="Cambria Math"/>
                <w:sz w:val="24"/>
              </w:rPr>
            </m:ctrlPr>
          </m:sSubPr>
          <m:e>
            <m:r>
              <w:rPr>
                <w:rFonts w:ascii="Cambria Math" w:hAnsi="Cambria Math"/>
                <w:sz w:val="24"/>
              </w:rPr>
              <m:t>A</m:t>
            </m:r>
          </m:e>
          <m:sub>
            <m:r>
              <w:rPr>
                <w:rFonts w:ascii="Cambria Math" w:hAnsi="Cambria Math"/>
                <w:sz w:val="24"/>
              </w:rPr>
              <m:t>b</m:t>
            </m:r>
          </m:sub>
        </m:sSub>
        <m:r>
          <m:rPr>
            <m:sty m:val="p"/>
          </m:rPr>
          <w:rPr>
            <w:rFonts w:ascii="Cambria Math" w:hAnsi="Cambria Math"/>
            <w:sz w:val="24"/>
          </w:rPr>
          <m:t>=</m:t>
        </m:r>
        <m:f>
          <m:fPr>
            <m:ctrlPr>
              <w:rPr>
                <w:rFonts w:ascii="Cambria Math" w:hAnsi="Cambria Math"/>
                <w:sz w:val="24"/>
              </w:rPr>
            </m:ctrlPr>
          </m:fPr>
          <m:num>
            <m:r>
              <m:rPr>
                <m:sty m:val="p"/>
              </m:rPr>
              <w:rPr>
                <w:rFonts w:ascii="Cambria Math" w:hAnsi="Cambria Math"/>
                <w:sz w:val="24"/>
              </w:rPr>
              <m:t>0.0855</m:t>
            </m:r>
          </m:num>
          <m:den>
            <m:eqArr>
              <m:eqArrPr>
                <m:ctrlPr>
                  <w:rPr>
                    <w:rFonts w:ascii="Cambria Math" w:hAnsi="Cambria Math"/>
                    <w:i/>
                    <w:sz w:val="24"/>
                  </w:rPr>
                </m:ctrlPr>
              </m:eqArrPr>
              <m:e>
                <m:r>
                  <w:rPr>
                    <w:rFonts w:ascii="Cambria Math" w:hAnsi="Cambria Math"/>
                    <w:sz w:val="24"/>
                  </w:rPr>
                  <m:t>0.9545</m:t>
                </m:r>
              </m:e>
              <m:e/>
            </m:eqArr>
          </m:den>
        </m:f>
      </m:oMath>
    </w:p>
    <w:p w:rsidR="00E1005F" w:rsidRPr="00C90AC9" w:rsidRDefault="00E1005F" w:rsidP="00D747DC">
      <w:pPr>
        <w:pStyle w:val="NoSpacing"/>
        <w:rPr>
          <w:rFonts w:ascii="Times New Roman" w:hAnsi="Times New Roman" w:cs="Times New Roman"/>
          <w:b/>
          <w:sz w:val="24"/>
          <w:lang w:val="en-GB" w:eastAsia="zh-CN"/>
        </w:rPr>
      </w:pPr>
      <m:oMathPara>
        <m:oMath>
          <m:r>
            <m:rPr>
              <m:sty m:val="b"/>
            </m:rPr>
            <w:rPr>
              <w:rFonts w:ascii="Cambria Math" w:hAnsi="Cambria Math" w:cs="Times New Roman"/>
              <w:sz w:val="24"/>
              <w:lang w:val="en-GB" w:eastAsia="zh-CN"/>
            </w:rPr>
            <m:t xml:space="preserve">Absorptance, </m:t>
          </m:r>
          <m:sSub>
            <m:sSubPr>
              <m:ctrlPr>
                <w:rPr>
                  <w:rFonts w:ascii="Cambria Math" w:hAnsi="Cambria Math" w:cs="Times New Roman"/>
                  <w:b/>
                  <w:sz w:val="24"/>
                  <w:lang w:val="en-GB" w:eastAsia="zh-CN"/>
                </w:rPr>
              </m:ctrlPr>
            </m:sSubPr>
            <m:e>
              <m:r>
                <m:rPr>
                  <m:sty m:val="bi"/>
                </m:rPr>
                <w:rPr>
                  <w:rFonts w:ascii="Cambria Math" w:hAnsi="Cambria Math" w:cs="Times New Roman"/>
                  <w:sz w:val="24"/>
                  <w:lang w:val="en-GB" w:eastAsia="zh-CN"/>
                </w:rPr>
                <m:t>A</m:t>
              </m:r>
            </m:e>
            <m:sub>
              <m:r>
                <m:rPr>
                  <m:sty m:val="bi"/>
                </m:rPr>
                <w:rPr>
                  <w:rFonts w:ascii="Cambria Math" w:hAnsi="Cambria Math" w:cs="Times New Roman"/>
                  <w:sz w:val="24"/>
                  <w:lang w:val="en-GB" w:eastAsia="zh-CN"/>
                </w:rPr>
                <m:t>b</m:t>
              </m:r>
            </m:sub>
          </m:sSub>
          <m:r>
            <m:rPr>
              <m:sty m:val="b"/>
            </m:rPr>
            <w:rPr>
              <w:rFonts w:ascii="Cambria Math" w:hAnsi="Cambria Math" w:cs="Times New Roman"/>
              <w:sz w:val="24"/>
              <w:lang w:val="en-GB" w:eastAsia="zh-CN"/>
            </w:rPr>
            <m:t>=0.0896</m:t>
          </m:r>
        </m:oMath>
      </m:oMathPara>
    </w:p>
    <w:p w:rsidR="00D747DC" w:rsidRPr="00C90AC9" w:rsidRDefault="00D747DC" w:rsidP="00D747DC">
      <w:pPr>
        <w:pStyle w:val="NoSpacing"/>
        <w:rPr>
          <w:rFonts w:ascii="Times New Roman" w:hAnsi="Times New Roman" w:cs="Times New Roman"/>
          <w:sz w:val="24"/>
          <w:lang w:val="en-GB" w:eastAsia="en-US"/>
        </w:rPr>
      </w:pPr>
    </w:p>
    <w:p w:rsidR="00E1005F" w:rsidRPr="00C90AC9" w:rsidRDefault="001D658A" w:rsidP="00B06779">
      <w:pPr>
        <w:pStyle w:val="BodyText"/>
        <w:rPr>
          <w:rFonts w:eastAsiaTheme="minorHAnsi"/>
          <w:lang w:eastAsia="en-US"/>
        </w:rPr>
      </w:pPr>
      <w:r w:rsidRPr="00C90AC9">
        <w:rPr>
          <w:rFonts w:eastAsiaTheme="minorHAnsi"/>
          <w:lang w:eastAsia="en-US"/>
        </w:rPr>
        <w:t>Using Eq. (11</w:t>
      </w:r>
      <w:r w:rsidR="00E1005F" w:rsidRPr="00C90AC9">
        <w:rPr>
          <w:rFonts w:eastAsiaTheme="minorHAnsi"/>
          <w:lang w:eastAsia="en-US"/>
        </w:rPr>
        <w:t>) and the constants from Table 3.3 the Reflectance can be calculated:</w:t>
      </w:r>
    </w:p>
    <w:p w:rsidR="00E3686B" w:rsidRPr="00C90AC9" w:rsidRDefault="00E3686B" w:rsidP="00B06779">
      <w:pPr>
        <w:pStyle w:val="BodyText"/>
        <w:rPr>
          <w:rFonts w:eastAsiaTheme="minorHAnsi"/>
          <w:lang w:eastAsia="en-US"/>
        </w:rPr>
      </w:pPr>
      <w:r w:rsidRPr="00C90AC9">
        <w:rPr>
          <w:rFonts w:eastAsiaTheme="minorHAnsi"/>
          <w:noProof/>
        </w:rPr>
        <mc:AlternateContent>
          <mc:Choice Requires="wps">
            <w:drawing>
              <wp:anchor distT="0" distB="0" distL="114300" distR="114300" simplePos="0" relativeHeight="251922432" behindDoc="0" locked="0" layoutInCell="1" allowOverlap="1" wp14:anchorId="668C1662" wp14:editId="27438B1D">
                <wp:simplePos x="0" y="0"/>
                <wp:positionH relativeFrom="margin">
                  <wp:posOffset>2101850</wp:posOffset>
                </wp:positionH>
                <wp:positionV relativeFrom="paragraph">
                  <wp:posOffset>208915</wp:posOffset>
                </wp:positionV>
                <wp:extent cx="1602740" cy="390525"/>
                <wp:effectExtent l="0" t="0" r="16510" b="28575"/>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2740" cy="390525"/>
                        </a:xfrm>
                        <a:prstGeom prst="rect">
                          <a:avLst/>
                        </a:prstGeom>
                        <a:solidFill>
                          <a:srgbClr val="4F81BD">
                            <a:alpha val="30000"/>
                          </a:srgb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50325" id="Rectangle 15" o:spid="_x0000_s1026" style="position:absolute;margin-left:165.5pt;margin-top:16.45pt;width:126.2pt;height:30.75pt;z-index:25192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" fillcolor="#4f81bd" strokecolor="#385d8a" strokeweight="1pt">
                <v:fill opacity="19789f"/>
                <v:path arrowok="t"/>
                <w10:wrap anchorx="margin"/>
              </v:rect>
            </w:pict>
          </mc:Fallback>
        </mc:AlternateContent>
      </w:r>
    </w:p>
    <w:p w:rsidR="00E1005F" w:rsidRPr="00C90AC9" w:rsidRDefault="00E1005F" w:rsidP="00065512">
      <w:pPr>
        <w:jc w:val="center"/>
        <w:rPr>
          <w:vertAlign w:val="subscript"/>
          <w:lang w:eastAsia="en-US"/>
        </w:rPr>
      </w:pPr>
      <w:r w:rsidRPr="00C90AC9">
        <w:rPr>
          <w:lang w:eastAsia="en-US"/>
        </w:rPr>
        <w:t>R = ρ</w:t>
      </w:r>
      <m:oMath>
        <m:r>
          <m:rPr>
            <m:sty m:val="p"/>
          </m:rPr>
          <w:rPr>
            <w:rFonts w:ascii="Cambria Math" w:hAnsi="Cambria Math"/>
            <w:lang w:eastAsia="en-US"/>
          </w:rPr>
          <m:t xml:space="preserve"> </m:t>
        </m:r>
        <m:d>
          <m:dPr>
            <m:begChr m:val="["/>
            <m:endChr m:val="]"/>
            <m:ctrlPr>
              <w:rPr>
                <w:rFonts w:ascii="Cambria Math" w:hAnsi="Cambria Math"/>
                <w:lang w:eastAsia="en-US"/>
              </w:rPr>
            </m:ctrlPr>
          </m:dPr>
          <m:e>
            <m:r>
              <m:rPr>
                <m:sty m:val="p"/>
              </m:rPr>
              <w:rPr>
                <w:rFonts w:ascii="Cambria Math" w:hAnsi="Cambria Math"/>
                <w:lang w:eastAsia="en-US"/>
              </w:rPr>
              <m:t xml:space="preserve">1+ </m:t>
            </m:r>
            <m:f>
              <m:fPr>
                <m:ctrlPr>
                  <w:rPr>
                    <w:rFonts w:ascii="Cambria Math" w:hAnsi="Cambria Math"/>
                    <w:lang w:eastAsia="en-US"/>
                  </w:rPr>
                </m:ctrlPr>
              </m:fPr>
              <m:num>
                <m:d>
                  <m:dPr>
                    <m:ctrlPr>
                      <w:rPr>
                        <w:rFonts w:ascii="Cambria Math" w:hAnsi="Cambria Math"/>
                        <w:lang w:eastAsia="en-US"/>
                      </w:rPr>
                    </m:ctrlPr>
                  </m:dPr>
                  <m:e>
                    <m:r>
                      <m:rPr>
                        <m:sty m:val="p"/>
                      </m:rPr>
                      <w:rPr>
                        <w:rFonts w:ascii="Cambria Math" w:hAnsi="Cambria Math"/>
                        <w:lang w:eastAsia="en-US"/>
                      </w:rPr>
                      <m:t>1-</m:t>
                    </m:r>
                    <m:r>
                      <w:rPr>
                        <w:rFonts w:ascii="Cambria Math" w:hAnsi="Cambria Math"/>
                        <w:lang w:eastAsia="en-US"/>
                      </w:rPr>
                      <m:t>ρ</m:t>
                    </m:r>
                  </m:e>
                </m:d>
                <m:r>
                  <m:rPr>
                    <m:sty m:val="p"/>
                  </m:rPr>
                  <w:rPr>
                    <w:rFonts w:ascii="Cambria Math" w:hAnsi="Cambria Math"/>
                    <w:lang w:eastAsia="en-US"/>
                  </w:rPr>
                  <m:t xml:space="preserve"> </m:t>
                </m:r>
                <m:r>
                  <w:rPr>
                    <w:rFonts w:ascii="Cambria Math" w:hAnsi="Cambria Math"/>
                    <w:lang w:eastAsia="en-US"/>
                  </w:rPr>
                  <m:t>τ</m:t>
                </m:r>
                <m:r>
                  <m:rPr>
                    <m:sty m:val="p"/>
                  </m:rPr>
                  <w:rPr>
                    <w:rFonts w:ascii="Cambria Math" w:hAnsi="Cambria Math"/>
                    <w:lang w:eastAsia="en-US"/>
                  </w:rPr>
                  <m:t>2</m:t>
                </m:r>
              </m:num>
              <m:den>
                <m:r>
                  <m:rPr>
                    <m:sty m:val="p"/>
                  </m:rPr>
                  <w:rPr>
                    <w:rFonts w:ascii="Cambria Math" w:hAnsi="Cambria Math"/>
                    <w:lang w:eastAsia="en-US"/>
                  </w:rPr>
                  <m:t>1-</m:t>
                </m:r>
                <m:r>
                  <w:rPr>
                    <w:rFonts w:ascii="Cambria Math" w:hAnsi="Cambria Math"/>
                    <w:lang w:eastAsia="en-US"/>
                  </w:rPr>
                  <m:t>ρ</m:t>
                </m:r>
                <m:r>
                  <m:rPr>
                    <m:sty m:val="p"/>
                  </m:rPr>
                  <w:rPr>
                    <w:rFonts w:ascii="Cambria Math" w:hAnsi="Cambria Math"/>
                    <w:lang w:eastAsia="en-US"/>
                  </w:rPr>
                  <m:t>2</m:t>
                </m:r>
                <m:sSup>
                  <m:sSupPr>
                    <m:ctrlPr>
                      <w:rPr>
                        <w:rFonts w:ascii="Cambria Math" w:hAnsi="Cambria Math"/>
                        <w:lang w:eastAsia="en-US"/>
                      </w:rPr>
                    </m:ctrlPr>
                  </m:sSupPr>
                  <m:e>
                    <m:r>
                      <w:rPr>
                        <w:rFonts w:ascii="Cambria Math" w:hAnsi="Cambria Math"/>
                        <w:lang w:eastAsia="en-US"/>
                      </w:rPr>
                      <m:t>τ</m:t>
                    </m:r>
                  </m:e>
                  <m:sup>
                    <m:r>
                      <m:rPr>
                        <m:sty m:val="p"/>
                      </m:rPr>
                      <w:rPr>
                        <w:rFonts w:ascii="Cambria Math" w:hAnsi="Cambria Math"/>
                        <w:lang w:eastAsia="en-US"/>
                      </w:rPr>
                      <m:t>2</m:t>
                    </m:r>
                  </m:sup>
                </m:sSup>
              </m:den>
            </m:f>
          </m:e>
        </m:d>
      </m:oMath>
    </w:p>
    <w:p w:rsidR="00BF282D" w:rsidRPr="00C90AC9" w:rsidRDefault="00BF282D" w:rsidP="00BF282D">
      <w:pPr>
        <w:jc w:val="right"/>
        <w:rPr>
          <w:lang w:eastAsia="en-US"/>
        </w:rPr>
      </w:pPr>
      <w:r w:rsidRPr="00C90AC9">
        <w:rPr>
          <w:rFonts w:eastAsiaTheme="minorHAnsi"/>
          <w:lang w:eastAsia="en-US"/>
        </w:rPr>
        <w:t>(19)</w:t>
      </w:r>
    </w:p>
    <w:p w:rsidR="004D16AA" w:rsidRPr="00C90AC9" w:rsidRDefault="004D16AA" w:rsidP="00065512">
      <w:pPr>
        <w:jc w:val="center"/>
        <w:rPr>
          <w:vertAlign w:val="subscript"/>
          <w:lang w:eastAsia="en-US"/>
        </w:rPr>
      </w:pPr>
      <w:r w:rsidRPr="00C90AC9">
        <w:rPr>
          <w:lang w:eastAsia="en-US"/>
        </w:rPr>
        <w:t>R = 0.05</w:t>
      </w:r>
      <m:oMath>
        <m:r>
          <m:rPr>
            <m:sty m:val="p"/>
          </m:rPr>
          <w:rPr>
            <w:rFonts w:ascii="Cambria Math" w:hAnsi="Cambria Math"/>
            <w:lang w:eastAsia="en-US"/>
          </w:rPr>
          <m:t xml:space="preserve"> </m:t>
        </m:r>
        <m:d>
          <m:dPr>
            <m:begChr m:val="["/>
            <m:endChr m:val="]"/>
            <m:ctrlPr>
              <w:rPr>
                <w:rFonts w:ascii="Cambria Math" w:hAnsi="Cambria Math"/>
                <w:lang w:eastAsia="en-US"/>
              </w:rPr>
            </m:ctrlPr>
          </m:dPr>
          <m:e>
            <m:r>
              <m:rPr>
                <m:sty m:val="p"/>
              </m:rPr>
              <w:rPr>
                <w:rFonts w:ascii="Cambria Math" w:hAnsi="Cambria Math"/>
                <w:lang w:eastAsia="en-US"/>
              </w:rPr>
              <m:t xml:space="preserve">1+ </m:t>
            </m:r>
            <m:f>
              <m:fPr>
                <m:ctrlPr>
                  <w:rPr>
                    <w:rFonts w:ascii="Cambria Math" w:hAnsi="Cambria Math"/>
                    <w:lang w:eastAsia="en-US"/>
                  </w:rPr>
                </m:ctrlPr>
              </m:fPr>
              <m:num>
                <m:d>
                  <m:dPr>
                    <m:ctrlPr>
                      <w:rPr>
                        <w:rFonts w:ascii="Cambria Math" w:hAnsi="Cambria Math"/>
                        <w:lang w:eastAsia="en-US"/>
                      </w:rPr>
                    </m:ctrlPr>
                  </m:dPr>
                  <m:e>
                    <m:r>
                      <m:rPr>
                        <m:sty m:val="p"/>
                      </m:rPr>
                      <w:rPr>
                        <w:rFonts w:ascii="Cambria Math" w:hAnsi="Cambria Math"/>
                        <w:lang w:eastAsia="en-US"/>
                      </w:rPr>
                      <m:t>1-0.05</m:t>
                    </m:r>
                  </m:e>
                </m:d>
                <m:r>
                  <m:rPr>
                    <m:sty m:val="p"/>
                  </m:rPr>
                  <w:rPr>
                    <w:rFonts w:ascii="Cambria Math" w:hAnsi="Cambria Math"/>
                    <w:lang w:eastAsia="en-US"/>
                  </w:rPr>
                  <m:t xml:space="preserve"> </m:t>
                </m:r>
                <m:sSup>
                  <m:sSupPr>
                    <m:ctrlPr>
                      <w:rPr>
                        <w:rFonts w:ascii="Cambria Math" w:hAnsi="Cambria Math"/>
                        <w:lang w:eastAsia="en-US"/>
                      </w:rPr>
                    </m:ctrlPr>
                  </m:sSupPr>
                  <m:e>
                    <m:r>
                      <m:rPr>
                        <m:sty m:val="p"/>
                      </m:rPr>
                      <w:rPr>
                        <w:rFonts w:ascii="Cambria Math" w:hAnsi="Cambria Math"/>
                        <w:lang w:eastAsia="en-US"/>
                      </w:rPr>
                      <m:t>0.91</m:t>
                    </m:r>
                  </m:e>
                  <m:sup>
                    <m:r>
                      <m:rPr>
                        <m:sty m:val="p"/>
                      </m:rPr>
                      <w:rPr>
                        <w:rFonts w:ascii="Cambria Math" w:hAnsi="Cambria Math"/>
                        <w:lang w:eastAsia="en-US"/>
                      </w:rPr>
                      <m:t>2</m:t>
                    </m:r>
                  </m:sup>
                </m:sSup>
              </m:num>
              <m:den>
                <m:r>
                  <m:rPr>
                    <m:sty m:val="p"/>
                  </m:rPr>
                  <w:rPr>
                    <w:rFonts w:ascii="Cambria Math" w:hAnsi="Cambria Math"/>
                    <w:lang w:eastAsia="en-US"/>
                  </w:rPr>
                  <m:t>1-0.05²</m:t>
                </m:r>
                <m:sSup>
                  <m:sSupPr>
                    <m:ctrlPr>
                      <w:rPr>
                        <w:rFonts w:ascii="Cambria Math" w:hAnsi="Cambria Math"/>
                        <w:lang w:eastAsia="en-US"/>
                      </w:rPr>
                    </m:ctrlPr>
                  </m:sSupPr>
                  <m:e>
                    <m:r>
                      <m:rPr>
                        <m:sty m:val="p"/>
                      </m:rPr>
                      <w:rPr>
                        <w:rFonts w:ascii="Cambria Math" w:hAnsi="Cambria Math"/>
                        <w:lang w:eastAsia="en-US"/>
                      </w:rPr>
                      <m:t>0.91</m:t>
                    </m:r>
                  </m:e>
                  <m:sup>
                    <m:r>
                      <m:rPr>
                        <m:sty m:val="p"/>
                      </m:rPr>
                      <w:rPr>
                        <w:rFonts w:ascii="Cambria Math" w:hAnsi="Cambria Math"/>
                        <w:lang w:eastAsia="en-US"/>
                      </w:rPr>
                      <m:t>2</m:t>
                    </m:r>
                  </m:sup>
                </m:sSup>
              </m:den>
            </m:f>
          </m:e>
        </m:d>
      </m:oMath>
    </w:p>
    <w:p w:rsidR="004D16AA" w:rsidRPr="00C90AC9" w:rsidRDefault="00B046B0" w:rsidP="00065512">
      <w:pPr>
        <w:jc w:val="center"/>
        <w:rPr>
          <w:lang w:eastAsia="en-US"/>
        </w:rPr>
      </w:pPr>
      <w:r w:rsidRPr="00C90AC9">
        <w:rPr>
          <w:rFonts w:eastAsiaTheme="minorHAnsi"/>
          <w:noProof/>
        </w:rPr>
        <mc:AlternateContent>
          <mc:Choice Requires="wps">
            <w:drawing>
              <wp:anchor distT="0" distB="0" distL="114300" distR="114300" simplePos="0" relativeHeight="251932672" behindDoc="0" locked="0" layoutInCell="1" allowOverlap="1" wp14:anchorId="653CA562" wp14:editId="62A1963D">
                <wp:simplePos x="0" y="0"/>
                <wp:positionH relativeFrom="margin">
                  <wp:posOffset>2200275</wp:posOffset>
                </wp:positionH>
                <wp:positionV relativeFrom="paragraph">
                  <wp:posOffset>323215</wp:posOffset>
                </wp:positionV>
                <wp:extent cx="1323975" cy="296883"/>
                <wp:effectExtent l="0" t="0" r="28575" b="27305"/>
                <wp:wrapNone/>
                <wp:docPr id="487" name="Rectangle 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3975" cy="296883"/>
                        </a:xfrm>
                        <a:prstGeom prst="rect">
                          <a:avLst/>
                        </a:prstGeom>
                        <a:solidFill>
                          <a:srgbClr val="4F81BD">
                            <a:alpha val="30000"/>
                          </a:srgb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AC242" id="Rectangle 487" o:spid="_x0000_s1026" style="position:absolute;margin-left:173.25pt;margin-top:25.45pt;width:104.25pt;height:23.4pt;z-index:25193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" fillcolor="#4f81bd" strokecolor="#385d8a" strokeweight="1pt">
                <v:fill opacity="19789f"/>
                <v:path arrowok="t"/>
                <w10:wrap anchorx="margin"/>
              </v:rect>
            </w:pict>
          </mc:Fallback>
        </mc:AlternateContent>
      </w:r>
      <w:r w:rsidR="004D16AA" w:rsidRPr="00C90AC9">
        <w:rPr>
          <w:lang w:eastAsia="en-US"/>
        </w:rPr>
        <w:t xml:space="preserve">R = 0.05 </w:t>
      </w:r>
      <m:oMath>
        <m:d>
          <m:dPr>
            <m:begChr m:val="["/>
            <m:endChr m:val="]"/>
            <m:ctrlPr>
              <w:rPr>
                <w:rFonts w:ascii="Cambria Math" w:hAnsi="Cambria Math"/>
                <w:i/>
                <w:lang w:eastAsia="en-US"/>
              </w:rPr>
            </m:ctrlPr>
          </m:dPr>
          <m:e>
            <m:r>
              <w:rPr>
                <w:rFonts w:ascii="Cambria Math" w:hAnsi="Cambria Math"/>
                <w:lang w:eastAsia="en-US"/>
              </w:rPr>
              <m:t xml:space="preserve">1+ </m:t>
            </m:r>
            <m:f>
              <m:fPr>
                <m:ctrlPr>
                  <w:rPr>
                    <w:rFonts w:ascii="Cambria Math" w:hAnsi="Cambria Math"/>
                    <w:i/>
                    <w:lang w:eastAsia="en-US"/>
                  </w:rPr>
                </m:ctrlPr>
              </m:fPr>
              <m:num>
                <m:r>
                  <w:rPr>
                    <w:rFonts w:ascii="Cambria Math" w:hAnsi="Cambria Math"/>
                    <w:lang w:eastAsia="en-US"/>
                  </w:rPr>
                  <m:t xml:space="preserve"> </m:t>
                </m:r>
                <m:r>
                  <m:rPr>
                    <m:sty m:val="p"/>
                  </m:rPr>
                  <w:rPr>
                    <w:rFonts w:ascii="Cambria Math" w:hAnsi="Cambria Math"/>
                    <w:lang w:eastAsia="en-US"/>
                  </w:rPr>
                  <m:t>0.7867</m:t>
                </m:r>
              </m:num>
              <m:den>
                <m:r>
                  <w:rPr>
                    <w:rFonts w:ascii="Cambria Math" w:hAnsi="Cambria Math"/>
                    <w:lang w:eastAsia="en-US"/>
                  </w:rPr>
                  <m:t>0.989</m:t>
                </m:r>
              </m:den>
            </m:f>
          </m:e>
        </m:d>
      </m:oMath>
      <w:r w:rsidR="004D16AA" w:rsidRPr="00C90AC9">
        <w:rPr>
          <w:lang w:eastAsia="en-US"/>
        </w:rPr>
        <w:t xml:space="preserve"> 0.786695</w:t>
      </w:r>
    </w:p>
    <w:p w:rsidR="00065512" w:rsidRPr="00C90AC9" w:rsidRDefault="00065512" w:rsidP="00B046B0">
      <w:pPr>
        <w:jc w:val="center"/>
        <w:rPr>
          <w:rFonts w:ascii="Cambria Math" w:hAnsi="Cambria Math"/>
          <w:b/>
          <w:lang w:eastAsia="en-US"/>
        </w:rPr>
      </w:pPr>
      <w:r w:rsidRPr="00C90AC9">
        <w:rPr>
          <w:rFonts w:ascii="Cambria Math" w:hAnsi="Cambria Math"/>
          <w:b/>
          <w:lang w:eastAsia="en-US"/>
        </w:rPr>
        <w:t>⇒</w:t>
      </w:r>
      <w:r w:rsidR="00B046B0" w:rsidRPr="00C90AC9">
        <w:rPr>
          <w:rFonts w:ascii="Cambria Math" w:hAnsi="Cambria Math"/>
          <w:b/>
          <w:lang w:eastAsia="en-US"/>
        </w:rPr>
        <w:t xml:space="preserve"> R = 0.071</w:t>
      </w:r>
    </w:p>
    <w:p w:rsidR="00BF282D" w:rsidRPr="00C90AC9" w:rsidRDefault="00A16B8C" w:rsidP="000E6BD1">
      <w:pPr>
        <w:spacing w:line="360" w:lineRule="auto"/>
        <w:rPr>
          <w:rFonts w:eastAsiaTheme="minorHAnsi"/>
          <w:lang w:eastAsia="en-US"/>
        </w:rPr>
      </w:pPr>
      <w:r w:rsidRPr="00C90AC9">
        <w:rPr>
          <w:rFonts w:eastAsiaTheme="minorHAnsi"/>
          <w:lang w:eastAsia="en-US"/>
        </w:rPr>
        <w:t xml:space="preserve">The dimensions of the cylindrical tank (height and radius) as well as the dimensions of the heating coil (length and radius) are given in </w:t>
      </w:r>
      <w:r w:rsidR="002E2617" w:rsidRPr="00C90AC9">
        <w:rPr>
          <w:rFonts w:eastAsiaTheme="minorHAnsi"/>
          <w:lang w:eastAsia="en-US"/>
        </w:rPr>
        <w:t xml:space="preserve">in </w:t>
      </w:r>
      <w:r w:rsidR="00416D02" w:rsidRPr="00C90AC9">
        <w:rPr>
          <w:rFonts w:eastAsiaTheme="minorHAnsi"/>
          <w:lang w:eastAsia="en-US"/>
        </w:rPr>
        <w:t xml:space="preserve">Table 7.8. in </w:t>
      </w:r>
      <w:r w:rsidR="002E2617" w:rsidRPr="00C90AC9">
        <w:rPr>
          <w:rFonts w:eastAsiaTheme="minorHAnsi"/>
          <w:lang w:eastAsia="en-US"/>
        </w:rPr>
        <w:t>the Appendix</w:t>
      </w:r>
      <w:r w:rsidRPr="00C90AC9">
        <w:rPr>
          <w:rFonts w:eastAsiaTheme="minorHAnsi"/>
          <w:lang w:eastAsia="en-US"/>
        </w:rPr>
        <w:t xml:space="preserve"> </w:t>
      </w:r>
      <w:bookmarkStart w:id="44" w:name="_Hlk526835764"/>
      <w:r w:rsidRPr="00C90AC9">
        <w:rPr>
          <w:rFonts w:eastAsiaTheme="minorHAnsi"/>
          <w:lang w:eastAsia="en-US"/>
        </w:rPr>
        <w:t>(Kingspan and Worc</w:t>
      </w:r>
      <w:r w:rsidR="000E6BD1" w:rsidRPr="00C90AC9">
        <w:rPr>
          <w:rFonts w:eastAsiaTheme="minorHAnsi"/>
          <w:lang w:eastAsia="en-US"/>
        </w:rPr>
        <w:t>ester Bosch)</w:t>
      </w:r>
      <w:bookmarkEnd w:id="44"/>
      <w:r w:rsidR="000E6BD1" w:rsidRPr="00C90AC9">
        <w:rPr>
          <w:rFonts w:eastAsiaTheme="minorHAnsi"/>
          <w:lang w:eastAsia="en-US"/>
        </w:rPr>
        <w:t>.</w:t>
      </w:r>
    </w:p>
    <w:p w:rsidR="0093376F" w:rsidRPr="00C90AC9" w:rsidRDefault="0093376F" w:rsidP="00065512">
      <w:pPr>
        <w:rPr>
          <w:rFonts w:eastAsiaTheme="minorHAnsi"/>
          <w:lang w:eastAsia="en-US"/>
        </w:rPr>
      </w:pPr>
    </w:p>
    <w:p w:rsidR="00B046B0" w:rsidRPr="00C90AC9" w:rsidRDefault="00B046B0" w:rsidP="00D0095B">
      <w:pPr>
        <w:pStyle w:val="List"/>
        <w:numPr>
          <w:ilvl w:val="1"/>
          <w:numId w:val="3"/>
        </w:numPr>
        <w:ind w:hanging="720"/>
        <w:rPr>
          <w:rStyle w:val="SubtleEmphasis"/>
          <w:rFonts w:cs="Times New Roman"/>
          <w:iCs/>
          <w:szCs w:val="24"/>
        </w:rPr>
      </w:pPr>
      <w:r w:rsidRPr="00C90AC9">
        <w:rPr>
          <w:rStyle w:val="SubtleEmphasis"/>
          <w:rFonts w:cs="Times New Roman"/>
          <w:iCs/>
          <w:szCs w:val="24"/>
        </w:rPr>
        <w:lastRenderedPageBreak/>
        <w:t xml:space="preserve">Final constant values used in the </w:t>
      </w:r>
      <w:proofErr w:type="spellStart"/>
      <w:r w:rsidRPr="00C90AC9">
        <w:rPr>
          <w:rStyle w:val="SubtleEmphasis"/>
          <w:rFonts w:cs="Times New Roman"/>
          <w:iCs/>
          <w:szCs w:val="24"/>
        </w:rPr>
        <w:t>Matlab</w:t>
      </w:r>
      <w:proofErr w:type="spellEnd"/>
      <w:r w:rsidRPr="00C90AC9">
        <w:rPr>
          <w:rStyle w:val="SubtleEmphasis"/>
          <w:rFonts w:cs="Times New Roman"/>
          <w:iCs/>
          <w:szCs w:val="24"/>
        </w:rPr>
        <w:t xml:space="preserve"> program</w:t>
      </w:r>
    </w:p>
    <w:p w:rsidR="00B046B0" w:rsidRPr="00C90AC9" w:rsidRDefault="00C0462B" w:rsidP="00C76368">
      <w:pPr>
        <w:rPr>
          <w:rFonts w:cs="Times New Roman"/>
          <w:szCs w:val="24"/>
        </w:rPr>
      </w:pPr>
      <w:bookmarkStart w:id="45" w:name="_Toc447173064"/>
      <w:r w:rsidRPr="00C90AC9">
        <w:rPr>
          <w:rFonts w:eastAsiaTheme="majorEastAsia"/>
          <w:lang w:eastAsia="en-US"/>
        </w:rPr>
        <w:tab/>
      </w:r>
      <w:r w:rsidR="00BF282D" w:rsidRPr="00C90AC9">
        <w:rPr>
          <w:rFonts w:eastAsiaTheme="majorEastAsia"/>
          <w:lang w:eastAsia="en-US"/>
        </w:rPr>
        <w:t>In Table 3.3. t</w:t>
      </w:r>
      <w:r w:rsidR="00B046B0" w:rsidRPr="00C90AC9">
        <w:rPr>
          <w:rFonts w:eastAsiaTheme="majorEastAsia"/>
          <w:lang w:eastAsia="en-US"/>
        </w:rPr>
        <w:t>he</w:t>
      </w:r>
      <w:r w:rsidRPr="00C90AC9">
        <w:rPr>
          <w:rFonts w:eastAsiaTheme="majorEastAsia"/>
          <w:lang w:eastAsia="en-US"/>
        </w:rPr>
        <w:t xml:space="preserve"> various </w:t>
      </w:r>
      <w:r w:rsidR="006930DF" w:rsidRPr="00C90AC9">
        <w:rPr>
          <w:rFonts w:eastAsiaTheme="majorEastAsia"/>
          <w:lang w:eastAsia="en-US"/>
        </w:rPr>
        <w:t xml:space="preserve">constants, their values and </w:t>
      </w:r>
      <w:r w:rsidR="00B046B0" w:rsidRPr="00C90AC9">
        <w:rPr>
          <w:rFonts w:eastAsiaTheme="majorEastAsia"/>
          <w:lang w:eastAsia="en-US"/>
        </w:rPr>
        <w:t xml:space="preserve">their respective units used in the final </w:t>
      </w:r>
      <w:proofErr w:type="spellStart"/>
      <w:r w:rsidR="00B046B0" w:rsidRPr="00C90AC9">
        <w:rPr>
          <w:rFonts w:eastAsiaTheme="majorEastAsia"/>
          <w:lang w:eastAsia="en-US"/>
        </w:rPr>
        <w:t>Matlab</w:t>
      </w:r>
      <w:proofErr w:type="spellEnd"/>
      <w:r w:rsidR="00B046B0" w:rsidRPr="00C90AC9">
        <w:rPr>
          <w:rFonts w:eastAsiaTheme="majorEastAsia"/>
          <w:lang w:eastAsia="en-US"/>
        </w:rPr>
        <w:t xml:space="preserve"> program</w:t>
      </w:r>
      <w:r w:rsidR="00426D28" w:rsidRPr="00C90AC9">
        <w:rPr>
          <w:rFonts w:eastAsiaTheme="majorEastAsia"/>
          <w:lang w:eastAsia="en-US"/>
        </w:rPr>
        <w:t xml:space="preserve"> are shown</w:t>
      </w:r>
      <w:r w:rsidR="00B046B0" w:rsidRPr="00C90AC9">
        <w:rPr>
          <w:rFonts w:eastAsiaTheme="majorEastAsia"/>
          <w:lang w:eastAsia="en-US"/>
        </w:rPr>
        <w:t>. The constants relating to: the collector (blue); properties of water (green); the hot water tank (red); and the auxiliary boiler (grey).</w:t>
      </w:r>
      <w:bookmarkEnd w:id="45"/>
      <w:r w:rsidRPr="00C90AC9">
        <w:rPr>
          <w:rFonts w:eastAsiaTheme="majorEastAsia"/>
          <w:lang w:eastAsia="en-US"/>
        </w:rPr>
        <w:t xml:space="preserve"> These constants are in accordance previous research which has conducted concerning STP’s in the UK (see </w:t>
      </w:r>
      <w:r w:rsidR="00C76368" w:rsidRPr="00C90AC9">
        <w:rPr>
          <w:rFonts w:eastAsiaTheme="minorHAnsi" w:cs="Times New Roman"/>
          <w:szCs w:val="24"/>
          <w:lang w:eastAsia="en-US"/>
        </w:rPr>
        <w:fldChar w:fldCharType="begin"/>
      </w:r>
      <w:r w:rsidR="00C76368" w:rsidRPr="00C90AC9">
        <w:rPr>
          <w:rFonts w:eastAsiaTheme="minorHAnsi" w:cs="Times New Roman"/>
          <w:szCs w:val="24"/>
          <w:lang w:eastAsia="en-US"/>
        </w:rPr>
        <w:instrText xml:space="preserve"> ADDIN EN.CITE &lt;EndNote&gt;&lt;Cite&gt;&lt;Author&gt;Duffie&lt;/Author&gt;&lt;Year&gt;1980&lt;/Year&gt;&lt;RecNum&gt;248&lt;/RecNum&gt;&lt;DisplayText&gt;(Duffie &amp;amp; Beckman, 1980)&lt;/DisplayText&gt;&lt;record&gt;&lt;rec-number&gt;248&lt;/rec-number&gt;&lt;foreign-keys&gt;&lt;key app="EN" db-id="50wxdpzd9vd5r7e9t5b595djrfpttrxw9avp" timestamp="1525677801"&gt;248&lt;/key&gt;&lt;/foreign-keys&gt;&lt;ref-type name="Book"&gt;6&lt;/ref-type&gt;&lt;contributors&gt;&lt;authors&gt;&lt;author&gt;Duffie, John A.&lt;/author&gt;&lt;author&gt;Beckman, Willam A.&lt;/author&gt;&lt;/authors&gt;&lt;/contributors&gt;&lt;titles&gt;&lt;title&gt;Solutions manual for solar engineering of thermal processes&lt;/title&gt;&lt;/titles&gt;&lt;dates&gt;&lt;year&gt;1980&lt;/year&gt;&lt;/dates&gt;&lt;pub-location&gt;Madison, Wis.&lt;/pub-location&gt;&lt;publisher&gt;Solar Energy Laboratory, University of Wisconsin-Madison&lt;/publisher&gt;&lt;urls&gt;&lt;/urls&gt;&lt;remote-database-name&gt;/z-wcorg/&lt;/remote-database-name&gt;&lt;remote-database-provider&gt;http://worldcat.org&lt;/remote-database-provider&gt;&lt;language&gt;English&lt;/language&gt;&lt;/record&gt;&lt;/Cite&gt;&lt;/EndNote&gt;</w:instrText>
      </w:r>
      <w:r w:rsidR="00C76368" w:rsidRPr="00C90AC9">
        <w:rPr>
          <w:rFonts w:eastAsiaTheme="minorHAnsi" w:cs="Times New Roman"/>
          <w:szCs w:val="24"/>
          <w:lang w:eastAsia="en-US"/>
        </w:rPr>
        <w:fldChar w:fldCharType="separate"/>
      </w:r>
      <w:r w:rsidR="00C76368" w:rsidRPr="00C90AC9">
        <w:rPr>
          <w:rFonts w:eastAsiaTheme="minorHAnsi" w:cs="Times New Roman"/>
          <w:szCs w:val="24"/>
          <w:lang w:eastAsia="en-US"/>
        </w:rPr>
        <w:t>(Duffie &amp; Beckman, 1980)</w:t>
      </w:r>
      <w:r w:rsidR="00C76368" w:rsidRPr="00C90AC9">
        <w:rPr>
          <w:rFonts w:eastAsiaTheme="minorHAnsi" w:cs="Times New Roman"/>
          <w:szCs w:val="24"/>
          <w:lang w:eastAsia="en-US"/>
        </w:rPr>
        <w:fldChar w:fldCharType="end"/>
      </w:r>
      <w:r w:rsidR="00C76368" w:rsidRPr="00C90AC9">
        <w:rPr>
          <w:rFonts w:cs="Times New Roman"/>
          <w:szCs w:val="24"/>
        </w:rPr>
        <w:t xml:space="preserve"> ; </w:t>
      </w:r>
      <w:r w:rsidR="00C76368" w:rsidRPr="00C90AC9">
        <w:rPr>
          <w:rFonts w:eastAsiaTheme="minorHAnsi" w:cs="Times New Roman"/>
          <w:szCs w:val="24"/>
          <w:lang w:eastAsia="en-US"/>
        </w:rPr>
        <w:t>(L. T. Wong &amp; Chow, 2001)</w:t>
      </w:r>
      <w:r w:rsidR="00C76368" w:rsidRPr="00C90AC9">
        <w:rPr>
          <w:rFonts w:cs="Times New Roman"/>
          <w:szCs w:val="24"/>
        </w:rPr>
        <w:t>; (</w:t>
      </w:r>
      <w:proofErr w:type="spellStart"/>
      <w:r w:rsidR="00C76368" w:rsidRPr="00C90AC9">
        <w:rPr>
          <w:rFonts w:eastAsiaTheme="minorHAnsi" w:cs="Times New Roman"/>
          <w:szCs w:val="24"/>
          <w:lang w:eastAsia="en-US"/>
        </w:rPr>
        <w:t>Fraisse</w:t>
      </w:r>
      <w:proofErr w:type="spellEnd"/>
      <w:r w:rsidR="00C76368" w:rsidRPr="00C90AC9">
        <w:rPr>
          <w:rFonts w:eastAsiaTheme="minorHAnsi" w:cs="Times New Roman"/>
          <w:szCs w:val="24"/>
          <w:lang w:eastAsia="en-US"/>
        </w:rPr>
        <w:t xml:space="preserve"> et al., 2009)</w:t>
      </w:r>
      <w:r w:rsidR="00C76368" w:rsidRPr="00C90AC9">
        <w:rPr>
          <w:rFonts w:cs="Times New Roman"/>
          <w:szCs w:val="24"/>
        </w:rPr>
        <w:t xml:space="preserve">; </w:t>
      </w:r>
      <w:r w:rsidR="00C76368" w:rsidRPr="00C90AC9">
        <w:rPr>
          <w:rFonts w:eastAsiaTheme="minorHAnsi" w:cs="Times New Roman"/>
          <w:szCs w:val="24"/>
          <w:lang w:eastAsia="en-US"/>
        </w:rPr>
        <w:fldChar w:fldCharType="begin"/>
      </w:r>
      <w:r w:rsidR="00C76368" w:rsidRPr="00C90AC9">
        <w:rPr>
          <w:rFonts w:eastAsiaTheme="minorHAnsi" w:cs="Times New Roman"/>
          <w:szCs w:val="24"/>
          <w:lang w:eastAsia="en-US"/>
        </w:rPr>
        <w:instrText xml:space="preserve"> ADDIN EN.CITE &lt;EndNote&gt;&lt;Cite&gt;&lt;Author&gt;Rogers&lt;/Author&gt;&lt;Year&gt;2013&lt;/Year&gt;&lt;RecNum&gt;222&lt;/RecNum&gt;&lt;DisplayText&gt;(Rogers et al., 2013)&lt;/DisplayText&gt;&lt;record&gt;&lt;rec-number&gt;222&lt;/rec-number&gt;&lt;foreign-keys&gt;&lt;key app="EN" db-id="50wxdpzd9vd5r7e9t5b595djrfpttrxw9avp" timestamp="1525592564"&gt;222&lt;/key&gt;&lt;/foreign-keys&gt;&lt;ref-type name="Journal Article"&gt;17&lt;/ref-type&gt;&lt;contributors&gt;&lt;authors&gt;&lt;author&gt;Rogers, J. G.&lt;/author&gt;&lt;author&gt;McManus, M. C.&lt;/author&gt;&lt;author&gt;Cooper, S. J. G.&lt;/author&gt;&lt;/authors&gt;&lt;/contributors&gt;&lt;titles&gt;&lt;title&gt;Potential for reliance on solar water heating throughout the summer in northern cloudy climates&lt;/title&gt;&lt;secondary-title&gt;Energy and Buildings&lt;/secondary-title&gt;&lt;/titles&gt;&lt;pages&gt;128-135&lt;/pages&gt;&lt;volume&gt;66&lt;/volume&gt;&lt;keywords&gt;&lt;keyword&gt;Solar water heating&lt;/keyword&gt;&lt;keyword&gt;Domestic hot water&lt;/keyword&gt;&lt;keyword&gt;Northern climate&lt;/keyword&gt;&lt;keyword&gt;Summer time usage&lt;/keyword&gt;&lt;keyword&gt;Thermal stores&lt;/keyword&gt;&lt;/keywords&gt;&lt;dates&gt;&lt;year&gt;2013&lt;/year&gt;&lt;pub-dates&gt;&lt;date&gt;2013/11/01/&lt;/date&gt;&lt;/pub-dates&gt;&lt;/dates&gt;&lt;isbn&gt;0378-7788&lt;/isbn&gt;&lt;urls&gt;&lt;related-urls&gt;&lt;url&gt;http://www.sciencedirect.com/science/article/pii/S0378778813004192&lt;/url&gt;&lt;/related-urls&gt;&lt;/urls&gt;&lt;electronic-resource-num&gt;https://doi.org/10.1016/j.enbuild.2013.07.031&lt;/electronic-resource-num&gt;&lt;/record&gt;&lt;/Cite&gt;&lt;/EndNote&gt;</w:instrText>
      </w:r>
      <w:r w:rsidR="00C76368" w:rsidRPr="00C90AC9">
        <w:rPr>
          <w:rFonts w:eastAsiaTheme="minorHAnsi" w:cs="Times New Roman"/>
          <w:szCs w:val="24"/>
          <w:lang w:eastAsia="en-US"/>
        </w:rPr>
        <w:fldChar w:fldCharType="separate"/>
      </w:r>
      <w:r w:rsidR="00C76368" w:rsidRPr="00C90AC9">
        <w:rPr>
          <w:rFonts w:eastAsiaTheme="minorHAnsi" w:cs="Times New Roman"/>
          <w:szCs w:val="24"/>
          <w:lang w:eastAsia="en-US"/>
        </w:rPr>
        <w:t>(Rogers et al., 2013)</w:t>
      </w:r>
      <w:r w:rsidR="00C76368" w:rsidRPr="00C90AC9">
        <w:rPr>
          <w:rFonts w:eastAsiaTheme="minorHAnsi" w:cs="Times New Roman"/>
          <w:szCs w:val="24"/>
          <w:lang w:eastAsia="en-US"/>
        </w:rPr>
        <w:fldChar w:fldCharType="end"/>
      </w:r>
      <w:r w:rsidR="00C76368" w:rsidRPr="00C90AC9">
        <w:rPr>
          <w:rFonts w:cs="Times New Roman"/>
          <w:szCs w:val="24"/>
        </w:rPr>
        <w:t>; (</w:t>
      </w:r>
      <w:r w:rsidR="00C76368" w:rsidRPr="00C90AC9">
        <w:rPr>
          <w:rFonts w:cs="Times New Roman"/>
          <w:szCs w:val="24"/>
          <w:lang w:eastAsia="en-US"/>
        </w:rPr>
        <w:t>Wong &amp; Eames, 2015</w:t>
      </w:r>
      <w:r w:rsidR="00C76368" w:rsidRPr="00C90AC9">
        <w:rPr>
          <w:rFonts w:cs="Times New Roman"/>
          <w:szCs w:val="24"/>
        </w:rPr>
        <w:t xml:space="preserve">); </w:t>
      </w:r>
      <w:sdt>
        <w:sdtPr>
          <w:rPr>
            <w:rFonts w:eastAsiaTheme="minorHAnsi" w:cs="Times New Roman"/>
            <w:szCs w:val="24"/>
            <w:lang w:eastAsia="en-US"/>
          </w:rPr>
          <w:alias w:val="Don't edit this field"/>
          <w:tag w:val="CitaviPlaceholder#3ba43acf-c8b1-4060-9aa9-960e3e365fc7"/>
          <w:id w:val="-1556852423"/>
        </w:sdtPr>
        <w:sdtEndPr/>
        <w:sdtContent>
          <w:r w:rsidR="00C76368" w:rsidRPr="00C90AC9">
            <w:rPr>
              <w:rFonts w:eastAsiaTheme="minorHAnsi" w:cs="Times New Roman"/>
              <w:szCs w:val="24"/>
              <w:lang w:eastAsia="en-US"/>
            </w:rPr>
            <w:fldChar w:fldCharType="begin"/>
          </w:r>
          <w:r w:rsidR="00C76368" w:rsidRPr="00C90AC9">
            <w:rPr>
              <w:rFonts w:eastAsiaTheme="minorHAnsi" w:cs="Times New Roman"/>
              <w:szCs w:val="24"/>
              <w:lang w:eastAsia="en-US"/>
            </w:rPr>
            <w:instrText>ADDIN CitaviPlaceholder{eyIkaWQiOiIxIiwiRW50cmllcyI6W3siJGlkIjoiMiIsIkhhc1RlbXBvcmFyeVJlZmVyZW5jZSI6dHJ1ZSwiSWQiOiI4YTU2MmUyZC01ZWVjLTRlNGMtYjY1ZC05OWRjNDM5ZTFlODMiLCJSYW5nZUxlbmd0aCI6MTksIlJlZmVyZW5jZUlkIjoiMTk1NzgzYmItYjM0Ni00ODRjLWE0YmEtMjhkZjA1OWQ2N2Fl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}</w:instrText>
          </w:r>
          <w:r w:rsidR="00C76368" w:rsidRPr="00C90AC9">
            <w:rPr>
              <w:rFonts w:eastAsiaTheme="minorHAnsi" w:cs="Times New Roman"/>
              <w:szCs w:val="24"/>
              <w:lang w:eastAsia="en-US"/>
            </w:rPr>
            <w:fldChar w:fldCharType="separate"/>
          </w:r>
          <w:r w:rsidR="00C76368" w:rsidRPr="00C90AC9">
            <w:rPr>
              <w:rFonts w:eastAsiaTheme="minorHAnsi" w:cs="Times New Roman"/>
              <w:szCs w:val="24"/>
              <w:lang w:eastAsia="en-US"/>
            </w:rPr>
            <w:t>(SolarGIS Database)</w:t>
          </w:r>
          <w:r w:rsidR="00C76368" w:rsidRPr="00C90AC9">
            <w:rPr>
              <w:rFonts w:eastAsiaTheme="minorHAnsi" w:cs="Times New Roman"/>
              <w:szCs w:val="24"/>
              <w:lang w:eastAsia="en-US"/>
            </w:rPr>
            <w:fldChar w:fldCharType="end"/>
          </w:r>
        </w:sdtContent>
      </w:sdt>
      <w:r w:rsidR="00C76368" w:rsidRPr="00C90AC9">
        <w:rPr>
          <w:rFonts w:cs="Times New Roman"/>
          <w:szCs w:val="24"/>
        </w:rPr>
        <w:t xml:space="preserve">;  and </w:t>
      </w:r>
      <w:r w:rsidR="00C76368" w:rsidRPr="00C90AC9">
        <w:rPr>
          <w:rFonts w:eastAsiaTheme="minorHAnsi" w:cs="Times New Roman"/>
          <w:szCs w:val="24"/>
          <w:lang w:eastAsia="en-US"/>
        </w:rPr>
        <w:t>(Kingspan and Worcester Bosch).</w:t>
      </w:r>
    </w:p>
    <w:p w:rsidR="00426D28" w:rsidRPr="00C90AC9" w:rsidRDefault="00426D28" w:rsidP="00065512">
      <w:pPr>
        <w:rPr>
          <w:rFonts w:eastAsiaTheme="minorHAnsi"/>
          <w:lang w:eastAsia="en-US"/>
        </w:rPr>
      </w:pPr>
    </w:p>
    <w:p w:rsidR="00065512" w:rsidRPr="00C90AC9" w:rsidRDefault="002B75F0" w:rsidP="00065512">
      <w:pPr>
        <w:rPr>
          <w:rFonts w:eastAsiaTheme="minorHAnsi"/>
          <w:lang w:eastAsia="en-US"/>
        </w:rPr>
      </w:pPr>
      <w:r w:rsidRPr="00C90AC9">
        <w:rPr>
          <w:rFonts w:eastAsiaTheme="minorHAnsi"/>
          <w:lang w:eastAsia="en-US"/>
        </w:rPr>
        <w:t xml:space="preserve">Table 3.3. The final constants used in the </w:t>
      </w:r>
      <w:proofErr w:type="spellStart"/>
      <w:r w:rsidRPr="00C90AC9">
        <w:rPr>
          <w:rFonts w:eastAsiaTheme="minorHAnsi"/>
          <w:lang w:eastAsia="en-US"/>
        </w:rPr>
        <w:t>Matlab</w:t>
      </w:r>
      <w:proofErr w:type="spellEnd"/>
      <w:r w:rsidRPr="00C90AC9">
        <w:rPr>
          <w:rFonts w:eastAsiaTheme="minorHAnsi"/>
          <w:lang w:eastAsia="en-US"/>
        </w:rPr>
        <w:t xml:space="preserve"> code</w:t>
      </w:r>
    </w:p>
    <w:tbl>
      <w:tblPr>
        <w:tblStyle w:val="TableGrid3"/>
        <w:tblW w:w="9829" w:type="dxa"/>
        <w:tblInd w:w="-318" w:type="dxa"/>
        <w:tblLook w:val="04A0" w:firstRow="1" w:lastRow="0" w:firstColumn="1" w:lastColumn="0" w:noHBand="0" w:noVBand="1"/>
      </w:tblPr>
      <w:tblGrid>
        <w:gridCol w:w="3802"/>
        <w:gridCol w:w="2861"/>
        <w:gridCol w:w="1701"/>
        <w:gridCol w:w="1465"/>
      </w:tblGrid>
      <w:tr w:rsidR="00D747DC" w:rsidRPr="00C90AC9" w:rsidTr="0093376F">
        <w:trPr>
          <w:trHeight w:val="284"/>
        </w:trPr>
        <w:tc>
          <w:tcPr>
            <w:tcW w:w="3802" w:type="dxa"/>
            <w:tcBorders>
              <w:top w:val="single" w:sz="4" w:space="0" w:color="auto"/>
              <w:left w:val="single" w:sz="4" w:space="0" w:color="auto"/>
              <w:bottom w:val="double" w:sz="4" w:space="0" w:color="auto"/>
              <w:right w:val="single" w:sz="4" w:space="0" w:color="auto"/>
            </w:tcBorders>
            <w:vAlign w:val="center"/>
          </w:tcPr>
          <w:p w:rsidR="00D747DC" w:rsidRPr="00C90AC9" w:rsidRDefault="00D747DC" w:rsidP="00C0462B">
            <w:pPr>
              <w:jc w:val="center"/>
              <w:rPr>
                <w:rFonts w:eastAsiaTheme="minorHAnsi"/>
                <w:sz w:val="22"/>
                <w:lang w:eastAsia="en-US"/>
              </w:rPr>
            </w:pPr>
            <w:bookmarkStart w:id="46" w:name="_Toc447173063"/>
            <w:r w:rsidRPr="00C90AC9">
              <w:rPr>
                <w:rFonts w:eastAsiaTheme="minorHAnsi"/>
                <w:sz w:val="22"/>
                <w:lang w:eastAsia="en-US"/>
              </w:rPr>
              <w:t xml:space="preserve">Property, symbol in </w:t>
            </w:r>
            <w:proofErr w:type="spellStart"/>
            <w:r w:rsidRPr="00C90AC9">
              <w:rPr>
                <w:rFonts w:eastAsiaTheme="minorHAnsi"/>
                <w:sz w:val="22"/>
                <w:lang w:eastAsia="en-US"/>
              </w:rPr>
              <w:t>Matlab</w:t>
            </w:r>
            <w:proofErr w:type="spellEnd"/>
            <w:r w:rsidRPr="00C90AC9">
              <w:rPr>
                <w:rFonts w:eastAsiaTheme="minorHAnsi"/>
                <w:sz w:val="22"/>
                <w:lang w:eastAsia="en-US"/>
              </w:rPr>
              <w:t xml:space="preserve"> code</w:t>
            </w:r>
          </w:p>
        </w:tc>
        <w:tc>
          <w:tcPr>
            <w:tcW w:w="2861" w:type="dxa"/>
            <w:tcBorders>
              <w:top w:val="single" w:sz="4" w:space="0" w:color="auto"/>
              <w:left w:val="single" w:sz="4" w:space="0" w:color="auto"/>
              <w:bottom w:val="double" w:sz="4" w:space="0" w:color="auto"/>
              <w:right w:val="single" w:sz="4" w:space="0" w:color="auto"/>
            </w:tcBorders>
            <w:vAlign w:val="center"/>
          </w:tcPr>
          <w:p w:rsidR="00D747DC" w:rsidRPr="00C90AC9" w:rsidRDefault="00D747DC" w:rsidP="00C0462B">
            <w:pPr>
              <w:jc w:val="center"/>
              <w:rPr>
                <w:rFonts w:eastAsiaTheme="minorHAnsi"/>
                <w:sz w:val="22"/>
                <w:lang w:eastAsia="en-US"/>
              </w:rPr>
            </w:pPr>
            <w:r w:rsidRPr="00C90AC9">
              <w:rPr>
                <w:rFonts w:eastAsiaTheme="minorHAnsi"/>
                <w:sz w:val="22"/>
                <w:lang w:eastAsia="en-US"/>
              </w:rPr>
              <w:t xml:space="preserve">Symbol in </w:t>
            </w:r>
            <w:proofErr w:type="spellStart"/>
            <w:r w:rsidRPr="00C90AC9">
              <w:rPr>
                <w:rFonts w:eastAsiaTheme="minorHAnsi"/>
                <w:sz w:val="22"/>
                <w:lang w:eastAsia="en-US"/>
              </w:rPr>
              <w:t>Matlab</w:t>
            </w:r>
            <w:proofErr w:type="spellEnd"/>
            <w:r w:rsidRPr="00C90AC9">
              <w:rPr>
                <w:rFonts w:eastAsiaTheme="minorHAnsi"/>
                <w:sz w:val="22"/>
                <w:lang w:eastAsia="en-US"/>
              </w:rPr>
              <w:t xml:space="preserve"> program</w:t>
            </w:r>
          </w:p>
        </w:tc>
        <w:tc>
          <w:tcPr>
            <w:tcW w:w="1701" w:type="dxa"/>
            <w:tcBorders>
              <w:top w:val="single" w:sz="4" w:space="0" w:color="auto"/>
              <w:left w:val="single" w:sz="4" w:space="0" w:color="auto"/>
              <w:bottom w:val="double" w:sz="4" w:space="0" w:color="auto"/>
              <w:right w:val="single" w:sz="4" w:space="0" w:color="auto"/>
            </w:tcBorders>
            <w:vAlign w:val="center"/>
          </w:tcPr>
          <w:p w:rsidR="00D747DC" w:rsidRPr="00C90AC9" w:rsidRDefault="00D747DC" w:rsidP="00C0462B">
            <w:pPr>
              <w:jc w:val="center"/>
              <w:rPr>
                <w:rFonts w:eastAsiaTheme="minorHAnsi"/>
                <w:sz w:val="22"/>
                <w:lang w:eastAsia="en-US"/>
              </w:rPr>
            </w:pPr>
            <w:r w:rsidRPr="00C90AC9">
              <w:rPr>
                <w:rFonts w:eastAsiaTheme="minorHAnsi"/>
                <w:sz w:val="22"/>
                <w:lang w:eastAsia="en-US"/>
              </w:rPr>
              <w:t>Value</w:t>
            </w:r>
          </w:p>
        </w:tc>
        <w:tc>
          <w:tcPr>
            <w:tcW w:w="1465" w:type="dxa"/>
            <w:tcBorders>
              <w:top w:val="single" w:sz="4" w:space="0" w:color="auto"/>
              <w:left w:val="single" w:sz="4" w:space="0" w:color="auto"/>
              <w:bottom w:val="double" w:sz="4" w:space="0" w:color="auto"/>
              <w:right w:val="single" w:sz="4" w:space="0" w:color="auto"/>
            </w:tcBorders>
            <w:vAlign w:val="center"/>
          </w:tcPr>
          <w:p w:rsidR="00D747DC" w:rsidRPr="00C90AC9" w:rsidRDefault="00D747DC" w:rsidP="00C0462B">
            <w:pPr>
              <w:jc w:val="center"/>
              <w:rPr>
                <w:rFonts w:eastAsiaTheme="minorHAnsi"/>
                <w:sz w:val="22"/>
                <w:lang w:eastAsia="en-US"/>
              </w:rPr>
            </w:pPr>
            <w:r w:rsidRPr="00C90AC9">
              <w:rPr>
                <w:rFonts w:eastAsiaTheme="minorHAnsi"/>
                <w:sz w:val="22"/>
                <w:lang w:eastAsia="en-US"/>
              </w:rPr>
              <w:t>Unit</w:t>
            </w:r>
          </w:p>
        </w:tc>
      </w:tr>
      <w:tr w:rsidR="00D747DC" w:rsidRPr="00C90AC9" w:rsidTr="0093376F">
        <w:trPr>
          <w:trHeight w:val="284"/>
        </w:trPr>
        <w:tc>
          <w:tcPr>
            <w:tcW w:w="3802" w:type="dxa"/>
            <w:tcBorders>
              <w:top w:val="double" w:sz="4" w:space="0" w:color="auto"/>
            </w:tcBorders>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Capital cost of collector</w:t>
            </w:r>
          </w:p>
        </w:tc>
        <w:tc>
          <w:tcPr>
            <w:tcW w:w="2861" w:type="dxa"/>
            <w:tcBorders>
              <w:top w:val="double" w:sz="4" w:space="0" w:color="auto"/>
            </w:tcBorders>
            <w:shd w:val="clear" w:color="auto" w:fill="B8CCE4" w:themeFill="accent1" w:themeFillTint="66"/>
            <w:vAlign w:val="center"/>
          </w:tcPr>
          <w:p w:rsidR="00D747DC" w:rsidRPr="00C90AC9" w:rsidRDefault="00D747DC" w:rsidP="00C0462B">
            <w:pPr>
              <w:jc w:val="center"/>
              <w:rPr>
                <w:rFonts w:eastAsiaTheme="minorHAnsi"/>
                <w:sz w:val="22"/>
                <w:lang w:eastAsia="en-US"/>
              </w:rPr>
            </w:pPr>
            <w:proofErr w:type="spellStart"/>
            <w:r w:rsidRPr="00C90AC9">
              <w:rPr>
                <w:rFonts w:eastAsiaTheme="minorHAnsi"/>
                <w:sz w:val="22"/>
                <w:lang w:eastAsia="en-US"/>
              </w:rPr>
              <w:t>CollectorCapitalCost</w:t>
            </w:r>
            <w:proofErr w:type="spellEnd"/>
          </w:p>
        </w:tc>
        <w:tc>
          <w:tcPr>
            <w:tcW w:w="1701" w:type="dxa"/>
            <w:tcBorders>
              <w:top w:val="double" w:sz="4" w:space="0" w:color="auto"/>
            </w:tcBorders>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3000</w:t>
            </w:r>
          </w:p>
        </w:tc>
        <w:tc>
          <w:tcPr>
            <w:tcW w:w="1465" w:type="dxa"/>
            <w:tcBorders>
              <w:top w:val="double" w:sz="4" w:space="0" w:color="auto"/>
            </w:tcBorders>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w:t>
            </w:r>
          </w:p>
        </w:tc>
      </w:tr>
      <w:tr w:rsidR="00D747DC" w:rsidRPr="00C90AC9" w:rsidTr="0093376F">
        <w:trPr>
          <w:trHeight w:val="284"/>
        </w:trPr>
        <w:tc>
          <w:tcPr>
            <w:tcW w:w="3802" w:type="dxa"/>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Latitude of collector</w:t>
            </w:r>
          </w:p>
        </w:tc>
        <w:tc>
          <w:tcPr>
            <w:tcW w:w="2861" w:type="dxa"/>
            <w:shd w:val="clear" w:color="auto" w:fill="B8CCE4" w:themeFill="accent1" w:themeFillTint="66"/>
            <w:vAlign w:val="center"/>
          </w:tcPr>
          <w:p w:rsidR="00D747DC" w:rsidRPr="00C90AC9" w:rsidRDefault="00D747DC" w:rsidP="00C0462B">
            <w:pPr>
              <w:jc w:val="center"/>
              <w:rPr>
                <w:rFonts w:eastAsiaTheme="minorHAnsi"/>
                <w:sz w:val="22"/>
                <w:lang w:eastAsia="en-US"/>
              </w:rPr>
            </w:pPr>
            <w:r w:rsidRPr="00C90AC9">
              <w:rPr>
                <w:rFonts w:eastAsiaTheme="minorHAnsi"/>
                <w:sz w:val="22"/>
                <w:lang w:eastAsia="en-US"/>
              </w:rPr>
              <w:t>Latitude</w:t>
            </w:r>
          </w:p>
        </w:tc>
        <w:tc>
          <w:tcPr>
            <w:tcW w:w="1701" w:type="dxa"/>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53..380809</w:t>
            </w:r>
          </w:p>
        </w:tc>
        <w:tc>
          <w:tcPr>
            <w:tcW w:w="1465" w:type="dxa"/>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º (Degrees)</w:t>
            </w:r>
          </w:p>
        </w:tc>
      </w:tr>
      <w:tr w:rsidR="00D747DC" w:rsidRPr="00C90AC9" w:rsidTr="0093376F">
        <w:trPr>
          <w:trHeight w:val="284"/>
        </w:trPr>
        <w:tc>
          <w:tcPr>
            <w:tcW w:w="3802" w:type="dxa"/>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Longitude of collector</w:t>
            </w:r>
          </w:p>
        </w:tc>
        <w:tc>
          <w:tcPr>
            <w:tcW w:w="2861" w:type="dxa"/>
            <w:shd w:val="clear" w:color="auto" w:fill="B8CCE4" w:themeFill="accent1" w:themeFillTint="66"/>
            <w:vAlign w:val="center"/>
          </w:tcPr>
          <w:p w:rsidR="00D747DC" w:rsidRPr="00C90AC9" w:rsidRDefault="00D747DC" w:rsidP="00C0462B">
            <w:pPr>
              <w:jc w:val="center"/>
              <w:rPr>
                <w:rFonts w:eastAsiaTheme="minorHAnsi"/>
                <w:sz w:val="22"/>
                <w:lang w:eastAsia="en-US"/>
              </w:rPr>
            </w:pPr>
            <w:r w:rsidRPr="00C90AC9">
              <w:rPr>
                <w:rFonts w:eastAsiaTheme="minorHAnsi"/>
                <w:sz w:val="22"/>
                <w:lang w:eastAsia="en-US"/>
              </w:rPr>
              <w:t>Longitude</w:t>
            </w:r>
          </w:p>
        </w:tc>
        <w:tc>
          <w:tcPr>
            <w:tcW w:w="1701" w:type="dxa"/>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-1.485802</w:t>
            </w:r>
          </w:p>
        </w:tc>
        <w:tc>
          <w:tcPr>
            <w:tcW w:w="1465" w:type="dxa"/>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º (Degrees)</w:t>
            </w:r>
          </w:p>
        </w:tc>
      </w:tr>
      <w:tr w:rsidR="00D747DC" w:rsidRPr="00C90AC9" w:rsidTr="0093376F">
        <w:trPr>
          <w:trHeight w:val="284"/>
        </w:trPr>
        <w:tc>
          <w:tcPr>
            <w:tcW w:w="3802" w:type="dxa"/>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Height above ground of collector</w:t>
            </w:r>
          </w:p>
        </w:tc>
        <w:tc>
          <w:tcPr>
            <w:tcW w:w="2861" w:type="dxa"/>
            <w:shd w:val="clear" w:color="auto" w:fill="B8CCE4" w:themeFill="accent1" w:themeFillTint="66"/>
            <w:vAlign w:val="center"/>
          </w:tcPr>
          <w:p w:rsidR="00D747DC" w:rsidRPr="00C90AC9" w:rsidRDefault="00D747DC" w:rsidP="00C0462B">
            <w:pPr>
              <w:jc w:val="center"/>
              <w:rPr>
                <w:rFonts w:eastAsiaTheme="minorHAnsi"/>
                <w:sz w:val="22"/>
                <w:lang w:eastAsia="en-US"/>
              </w:rPr>
            </w:pPr>
            <w:proofErr w:type="spellStart"/>
            <w:r w:rsidRPr="00C90AC9">
              <w:rPr>
                <w:rFonts w:eastAsiaTheme="minorHAnsi"/>
                <w:sz w:val="22"/>
                <w:lang w:eastAsia="en-US"/>
              </w:rPr>
              <w:t>HeightCollector</w:t>
            </w:r>
            <w:proofErr w:type="spellEnd"/>
          </w:p>
        </w:tc>
        <w:tc>
          <w:tcPr>
            <w:tcW w:w="1701" w:type="dxa"/>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50</w:t>
            </w:r>
          </w:p>
        </w:tc>
        <w:tc>
          <w:tcPr>
            <w:tcW w:w="1465" w:type="dxa"/>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m</w:t>
            </w:r>
          </w:p>
        </w:tc>
      </w:tr>
      <w:tr w:rsidR="00D747DC" w:rsidRPr="00C90AC9" w:rsidTr="0093376F">
        <w:trPr>
          <w:trHeight w:val="284"/>
        </w:trPr>
        <w:tc>
          <w:tcPr>
            <w:tcW w:w="3802" w:type="dxa"/>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Collector Area</w:t>
            </w:r>
          </w:p>
        </w:tc>
        <w:tc>
          <w:tcPr>
            <w:tcW w:w="2861" w:type="dxa"/>
            <w:shd w:val="clear" w:color="auto" w:fill="B8CCE4" w:themeFill="accent1" w:themeFillTint="66"/>
            <w:vAlign w:val="center"/>
          </w:tcPr>
          <w:p w:rsidR="00D747DC" w:rsidRPr="00C90AC9" w:rsidRDefault="00D747DC" w:rsidP="00C0462B">
            <w:pPr>
              <w:jc w:val="center"/>
              <w:rPr>
                <w:rFonts w:eastAsiaTheme="minorHAnsi"/>
                <w:sz w:val="22"/>
                <w:lang w:eastAsia="en-US"/>
              </w:rPr>
            </w:pPr>
            <w:proofErr w:type="spellStart"/>
            <w:r w:rsidRPr="00C90AC9">
              <w:rPr>
                <w:rFonts w:eastAsiaTheme="minorHAnsi"/>
                <w:sz w:val="22"/>
                <w:lang w:eastAsia="en-US"/>
              </w:rPr>
              <w:t>CollectorPanelArea</w:t>
            </w:r>
            <w:proofErr w:type="spellEnd"/>
          </w:p>
        </w:tc>
        <w:tc>
          <w:tcPr>
            <w:tcW w:w="1701" w:type="dxa"/>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10</w:t>
            </w:r>
          </w:p>
        </w:tc>
        <w:tc>
          <w:tcPr>
            <w:tcW w:w="1465" w:type="dxa"/>
            <w:shd w:val="clear" w:color="auto" w:fill="B8CCE4" w:themeFill="accent1" w:themeFillTint="66"/>
            <w:vAlign w:val="center"/>
          </w:tcPr>
          <w:p w:rsidR="00D747DC" w:rsidRPr="00C90AC9" w:rsidRDefault="00D747DC" w:rsidP="002B75F0">
            <w:pPr>
              <w:jc w:val="center"/>
              <w:rPr>
                <w:rFonts w:eastAsiaTheme="minorHAnsi"/>
                <w:sz w:val="22"/>
                <w:vertAlign w:val="superscript"/>
                <w:lang w:eastAsia="en-US"/>
              </w:rPr>
            </w:pPr>
            <w:r w:rsidRPr="00C90AC9">
              <w:rPr>
                <w:rFonts w:eastAsiaTheme="minorHAnsi"/>
                <w:sz w:val="22"/>
                <w:lang w:eastAsia="en-US"/>
              </w:rPr>
              <w:t>m</w:t>
            </w:r>
            <w:r w:rsidRPr="00C90AC9">
              <w:rPr>
                <w:rFonts w:eastAsiaTheme="minorHAnsi"/>
                <w:sz w:val="22"/>
                <w:vertAlign w:val="superscript"/>
                <w:lang w:eastAsia="en-US"/>
              </w:rPr>
              <w:t>2</w:t>
            </w:r>
          </w:p>
        </w:tc>
      </w:tr>
      <w:tr w:rsidR="00D747DC" w:rsidRPr="00C90AC9" w:rsidTr="0093376F">
        <w:trPr>
          <w:trHeight w:val="284"/>
        </w:trPr>
        <w:tc>
          <w:tcPr>
            <w:tcW w:w="3802" w:type="dxa"/>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Tilt of collector</w:t>
            </w:r>
          </w:p>
        </w:tc>
        <w:tc>
          <w:tcPr>
            <w:tcW w:w="2861" w:type="dxa"/>
            <w:shd w:val="clear" w:color="auto" w:fill="B8CCE4" w:themeFill="accent1" w:themeFillTint="66"/>
            <w:vAlign w:val="center"/>
          </w:tcPr>
          <w:p w:rsidR="00D747DC" w:rsidRPr="00C90AC9" w:rsidRDefault="00D747DC" w:rsidP="00C0462B">
            <w:pPr>
              <w:jc w:val="center"/>
              <w:rPr>
                <w:rFonts w:eastAsiaTheme="minorHAnsi"/>
                <w:sz w:val="22"/>
                <w:lang w:eastAsia="en-US"/>
              </w:rPr>
            </w:pPr>
            <w:r w:rsidRPr="00C90AC9">
              <w:rPr>
                <w:rFonts w:eastAsiaTheme="minorHAnsi"/>
                <w:sz w:val="22"/>
                <w:lang w:eastAsia="en-US"/>
              </w:rPr>
              <w:t>Tilt</w:t>
            </w:r>
          </w:p>
        </w:tc>
        <w:tc>
          <w:tcPr>
            <w:tcW w:w="1701" w:type="dxa"/>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30</w:t>
            </w:r>
          </w:p>
        </w:tc>
        <w:tc>
          <w:tcPr>
            <w:tcW w:w="1465" w:type="dxa"/>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º (Degrees)</w:t>
            </w:r>
          </w:p>
        </w:tc>
      </w:tr>
      <w:tr w:rsidR="00D747DC" w:rsidRPr="00C90AC9" w:rsidTr="0093376F">
        <w:trPr>
          <w:trHeight w:val="284"/>
        </w:trPr>
        <w:tc>
          <w:tcPr>
            <w:tcW w:w="3802" w:type="dxa"/>
            <w:tcBorders>
              <w:bottom w:val="single" w:sz="4" w:space="0" w:color="auto"/>
            </w:tcBorders>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Azimuth (angle collector pointed at) due south, Orientation</w:t>
            </w:r>
          </w:p>
        </w:tc>
        <w:tc>
          <w:tcPr>
            <w:tcW w:w="2861" w:type="dxa"/>
            <w:tcBorders>
              <w:bottom w:val="single" w:sz="4" w:space="0" w:color="auto"/>
            </w:tcBorders>
            <w:shd w:val="clear" w:color="auto" w:fill="B8CCE4" w:themeFill="accent1" w:themeFillTint="66"/>
            <w:vAlign w:val="center"/>
          </w:tcPr>
          <w:p w:rsidR="00D747DC" w:rsidRPr="00C90AC9" w:rsidRDefault="00D747DC" w:rsidP="00C0462B">
            <w:pPr>
              <w:jc w:val="center"/>
              <w:rPr>
                <w:rFonts w:eastAsiaTheme="minorHAnsi"/>
                <w:sz w:val="22"/>
                <w:lang w:eastAsia="en-US"/>
              </w:rPr>
            </w:pPr>
            <w:r w:rsidRPr="00C90AC9">
              <w:rPr>
                <w:rFonts w:eastAsiaTheme="minorHAnsi"/>
                <w:sz w:val="22"/>
                <w:lang w:eastAsia="en-US"/>
              </w:rPr>
              <w:t>Orientation</w:t>
            </w:r>
          </w:p>
        </w:tc>
        <w:tc>
          <w:tcPr>
            <w:tcW w:w="1701" w:type="dxa"/>
            <w:tcBorders>
              <w:bottom w:val="single" w:sz="4" w:space="0" w:color="auto"/>
            </w:tcBorders>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180</w:t>
            </w:r>
          </w:p>
        </w:tc>
        <w:tc>
          <w:tcPr>
            <w:tcW w:w="1465" w:type="dxa"/>
            <w:tcBorders>
              <w:bottom w:val="single" w:sz="4" w:space="0" w:color="auto"/>
            </w:tcBorders>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º (Degrees)</w:t>
            </w:r>
          </w:p>
        </w:tc>
      </w:tr>
      <w:tr w:rsidR="00D747DC" w:rsidRPr="00C90AC9" w:rsidTr="0093376F">
        <w:trPr>
          <w:trHeight w:val="284"/>
        </w:trPr>
        <w:tc>
          <w:tcPr>
            <w:tcW w:w="3802" w:type="dxa"/>
            <w:tcBorders>
              <w:bottom w:val="single" w:sz="4" w:space="0" w:color="auto"/>
            </w:tcBorders>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Collector altitude</w:t>
            </w:r>
          </w:p>
        </w:tc>
        <w:tc>
          <w:tcPr>
            <w:tcW w:w="2861" w:type="dxa"/>
            <w:tcBorders>
              <w:bottom w:val="single" w:sz="4" w:space="0" w:color="auto"/>
            </w:tcBorders>
            <w:shd w:val="clear" w:color="auto" w:fill="B8CCE4" w:themeFill="accent1" w:themeFillTint="66"/>
            <w:vAlign w:val="center"/>
          </w:tcPr>
          <w:p w:rsidR="00D747DC" w:rsidRPr="00C90AC9" w:rsidRDefault="00D747DC" w:rsidP="00C0462B">
            <w:pPr>
              <w:jc w:val="center"/>
              <w:rPr>
                <w:rFonts w:eastAsiaTheme="minorHAnsi"/>
                <w:sz w:val="22"/>
                <w:lang w:eastAsia="en-US"/>
              </w:rPr>
            </w:pPr>
            <w:r w:rsidRPr="00C90AC9">
              <w:rPr>
                <w:rFonts w:eastAsiaTheme="minorHAnsi"/>
                <w:sz w:val="22"/>
                <w:lang w:eastAsia="en-US"/>
              </w:rPr>
              <w:t>Altitude</w:t>
            </w:r>
          </w:p>
        </w:tc>
        <w:tc>
          <w:tcPr>
            <w:tcW w:w="1701" w:type="dxa"/>
            <w:tcBorders>
              <w:bottom w:val="single" w:sz="4" w:space="0" w:color="auto"/>
            </w:tcBorders>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50</w:t>
            </w:r>
          </w:p>
        </w:tc>
        <w:tc>
          <w:tcPr>
            <w:tcW w:w="1465" w:type="dxa"/>
            <w:tcBorders>
              <w:bottom w:val="single" w:sz="4" w:space="0" w:color="auto"/>
            </w:tcBorders>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m</w:t>
            </w:r>
          </w:p>
        </w:tc>
      </w:tr>
      <w:tr w:rsidR="00D747DC" w:rsidRPr="00C90AC9" w:rsidTr="0093376F">
        <w:trPr>
          <w:trHeight w:val="284"/>
        </w:trPr>
        <w:tc>
          <w:tcPr>
            <w:tcW w:w="3802" w:type="dxa"/>
            <w:tcBorders>
              <w:bottom w:val="single" w:sz="4" w:space="0" w:color="auto"/>
            </w:tcBorders>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Collector efficiency</w:t>
            </w:r>
          </w:p>
        </w:tc>
        <w:tc>
          <w:tcPr>
            <w:tcW w:w="2861" w:type="dxa"/>
            <w:tcBorders>
              <w:bottom w:val="single" w:sz="4" w:space="0" w:color="auto"/>
            </w:tcBorders>
            <w:shd w:val="clear" w:color="auto" w:fill="B8CCE4" w:themeFill="accent1" w:themeFillTint="66"/>
            <w:vAlign w:val="center"/>
          </w:tcPr>
          <w:p w:rsidR="00D747DC" w:rsidRPr="00C90AC9" w:rsidRDefault="00D747DC" w:rsidP="00C0462B">
            <w:pPr>
              <w:jc w:val="center"/>
              <w:rPr>
                <w:rFonts w:eastAsiaTheme="minorHAnsi"/>
                <w:sz w:val="22"/>
                <w:lang w:eastAsia="en-US"/>
              </w:rPr>
            </w:pPr>
            <w:proofErr w:type="spellStart"/>
            <w:r w:rsidRPr="00C90AC9">
              <w:rPr>
                <w:rFonts w:eastAsiaTheme="minorHAnsi"/>
                <w:sz w:val="22"/>
                <w:lang w:eastAsia="en-US"/>
              </w:rPr>
              <w:t>CollectorEfficiency</w:t>
            </w:r>
            <w:proofErr w:type="spellEnd"/>
          </w:p>
        </w:tc>
        <w:tc>
          <w:tcPr>
            <w:tcW w:w="1701" w:type="dxa"/>
            <w:tcBorders>
              <w:bottom w:val="single" w:sz="4" w:space="0" w:color="auto"/>
            </w:tcBorders>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0.75</w:t>
            </w:r>
          </w:p>
        </w:tc>
        <w:tc>
          <w:tcPr>
            <w:tcW w:w="1465" w:type="dxa"/>
            <w:tcBorders>
              <w:bottom w:val="single" w:sz="4" w:space="0" w:color="auto"/>
            </w:tcBorders>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w:t>
            </w:r>
          </w:p>
        </w:tc>
      </w:tr>
      <w:tr w:rsidR="00D747DC" w:rsidRPr="00C90AC9" w:rsidTr="0093376F">
        <w:trPr>
          <w:trHeight w:val="284"/>
        </w:trPr>
        <w:tc>
          <w:tcPr>
            <w:tcW w:w="3802" w:type="dxa"/>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Glass Transmissivity</w:t>
            </w:r>
          </w:p>
        </w:tc>
        <w:tc>
          <w:tcPr>
            <w:tcW w:w="2861" w:type="dxa"/>
            <w:shd w:val="clear" w:color="auto" w:fill="B8CCE4" w:themeFill="accent1" w:themeFillTint="66"/>
            <w:vAlign w:val="center"/>
          </w:tcPr>
          <w:p w:rsidR="00D747DC" w:rsidRPr="00C90AC9" w:rsidRDefault="00D747DC" w:rsidP="00C0462B">
            <w:pPr>
              <w:jc w:val="center"/>
              <w:rPr>
                <w:rFonts w:eastAsiaTheme="minorHAnsi"/>
                <w:sz w:val="22"/>
                <w:lang w:eastAsia="en-US"/>
              </w:rPr>
            </w:pPr>
            <w:r w:rsidRPr="00C90AC9">
              <w:rPr>
                <w:rFonts w:eastAsiaTheme="minorHAnsi"/>
                <w:sz w:val="22"/>
                <w:lang w:eastAsia="en-US"/>
              </w:rPr>
              <w:t>Transmissivity</w:t>
            </w:r>
          </w:p>
        </w:tc>
        <w:tc>
          <w:tcPr>
            <w:tcW w:w="1701" w:type="dxa"/>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0.91</w:t>
            </w:r>
          </w:p>
        </w:tc>
        <w:tc>
          <w:tcPr>
            <w:tcW w:w="1465" w:type="dxa"/>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w:t>
            </w:r>
          </w:p>
        </w:tc>
      </w:tr>
      <w:tr w:rsidR="00D747DC" w:rsidRPr="00C90AC9" w:rsidTr="0093376F">
        <w:trPr>
          <w:trHeight w:val="284"/>
        </w:trPr>
        <w:tc>
          <w:tcPr>
            <w:tcW w:w="3802" w:type="dxa"/>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Glass Surface Reflectivity</w:t>
            </w:r>
          </w:p>
        </w:tc>
        <w:tc>
          <w:tcPr>
            <w:tcW w:w="2861" w:type="dxa"/>
            <w:shd w:val="clear" w:color="auto" w:fill="B8CCE4" w:themeFill="accent1" w:themeFillTint="66"/>
            <w:vAlign w:val="center"/>
          </w:tcPr>
          <w:p w:rsidR="00D747DC" w:rsidRPr="00C90AC9" w:rsidRDefault="00D747DC" w:rsidP="00C0462B">
            <w:pPr>
              <w:jc w:val="center"/>
              <w:rPr>
                <w:rFonts w:eastAsiaTheme="minorHAnsi"/>
                <w:sz w:val="22"/>
                <w:lang w:eastAsia="en-US"/>
              </w:rPr>
            </w:pPr>
            <w:proofErr w:type="spellStart"/>
            <w:r w:rsidRPr="00C90AC9">
              <w:rPr>
                <w:rFonts w:eastAsiaTheme="minorHAnsi"/>
                <w:sz w:val="22"/>
                <w:lang w:eastAsia="en-US"/>
              </w:rPr>
              <w:t>SurfaceReflectivity</w:t>
            </w:r>
            <w:proofErr w:type="spellEnd"/>
          </w:p>
        </w:tc>
        <w:tc>
          <w:tcPr>
            <w:tcW w:w="1701" w:type="dxa"/>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0.05</w:t>
            </w:r>
          </w:p>
        </w:tc>
        <w:tc>
          <w:tcPr>
            <w:tcW w:w="1465" w:type="dxa"/>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w:t>
            </w:r>
          </w:p>
        </w:tc>
      </w:tr>
      <w:tr w:rsidR="00D747DC" w:rsidRPr="00C90AC9" w:rsidTr="0093376F">
        <w:trPr>
          <w:trHeight w:val="284"/>
        </w:trPr>
        <w:tc>
          <w:tcPr>
            <w:tcW w:w="3802" w:type="dxa"/>
            <w:tcBorders>
              <w:bottom w:val="single" w:sz="4" w:space="0" w:color="auto"/>
            </w:tcBorders>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Plate Emissivity</w:t>
            </w:r>
          </w:p>
        </w:tc>
        <w:tc>
          <w:tcPr>
            <w:tcW w:w="2861" w:type="dxa"/>
            <w:tcBorders>
              <w:bottom w:val="single" w:sz="4" w:space="0" w:color="auto"/>
            </w:tcBorders>
            <w:shd w:val="clear" w:color="auto" w:fill="B8CCE4" w:themeFill="accent1" w:themeFillTint="66"/>
            <w:vAlign w:val="center"/>
          </w:tcPr>
          <w:p w:rsidR="00D747DC" w:rsidRPr="00C90AC9" w:rsidRDefault="00D747DC" w:rsidP="00C0462B">
            <w:pPr>
              <w:jc w:val="center"/>
              <w:rPr>
                <w:rFonts w:eastAsiaTheme="minorHAnsi"/>
                <w:sz w:val="22"/>
                <w:lang w:eastAsia="en-US"/>
              </w:rPr>
            </w:pPr>
            <w:r w:rsidRPr="00C90AC9">
              <w:rPr>
                <w:rFonts w:eastAsiaTheme="minorHAnsi"/>
                <w:sz w:val="22"/>
                <w:lang w:eastAsia="en-US"/>
              </w:rPr>
              <w:t>Emissivity</w:t>
            </w:r>
          </w:p>
        </w:tc>
        <w:tc>
          <w:tcPr>
            <w:tcW w:w="1701" w:type="dxa"/>
            <w:tcBorders>
              <w:bottom w:val="single" w:sz="4" w:space="0" w:color="auto"/>
            </w:tcBorders>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0.95</w:t>
            </w:r>
          </w:p>
        </w:tc>
        <w:tc>
          <w:tcPr>
            <w:tcW w:w="1465" w:type="dxa"/>
            <w:tcBorders>
              <w:bottom w:val="single" w:sz="4" w:space="0" w:color="auto"/>
            </w:tcBorders>
            <w:shd w:val="clear" w:color="auto" w:fill="B8CCE4" w:themeFill="accent1" w:themeFillTint="6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w:t>
            </w:r>
          </w:p>
        </w:tc>
      </w:tr>
      <w:tr w:rsidR="002B75F0" w:rsidRPr="00C90AC9" w:rsidTr="0093376F">
        <w:trPr>
          <w:trHeight w:val="284"/>
        </w:trPr>
        <w:tc>
          <w:tcPr>
            <w:tcW w:w="3802" w:type="dxa"/>
            <w:tcBorders>
              <w:bottom w:val="single" w:sz="4" w:space="0" w:color="auto"/>
            </w:tcBorders>
            <w:shd w:val="clear" w:color="auto" w:fill="B8CCE4" w:themeFill="accent1" w:themeFillTint="66"/>
            <w:vAlign w:val="center"/>
          </w:tcPr>
          <w:p w:rsidR="002B75F0" w:rsidRPr="00C90AC9" w:rsidRDefault="002B75F0" w:rsidP="002B75F0">
            <w:pPr>
              <w:jc w:val="center"/>
              <w:rPr>
                <w:rFonts w:eastAsiaTheme="minorHAnsi"/>
                <w:sz w:val="22"/>
                <w:lang w:eastAsia="en-US"/>
              </w:rPr>
            </w:pPr>
            <w:r w:rsidRPr="00C90AC9">
              <w:rPr>
                <w:rFonts w:eastAsiaTheme="minorHAnsi"/>
                <w:sz w:val="22"/>
                <w:lang w:eastAsia="en-US"/>
              </w:rPr>
              <w:t>Reflectance (-)</w:t>
            </w:r>
          </w:p>
        </w:tc>
        <w:tc>
          <w:tcPr>
            <w:tcW w:w="2861" w:type="dxa"/>
            <w:tcBorders>
              <w:bottom w:val="single" w:sz="4" w:space="0" w:color="auto"/>
            </w:tcBorders>
            <w:shd w:val="clear" w:color="auto" w:fill="B8CCE4" w:themeFill="accent1" w:themeFillTint="66"/>
            <w:vAlign w:val="center"/>
          </w:tcPr>
          <w:p w:rsidR="002B75F0" w:rsidRPr="00C90AC9" w:rsidRDefault="002B75F0" w:rsidP="00C0462B">
            <w:pPr>
              <w:jc w:val="center"/>
              <w:rPr>
                <w:rFonts w:eastAsiaTheme="minorHAnsi"/>
                <w:sz w:val="22"/>
                <w:lang w:eastAsia="en-US"/>
              </w:rPr>
            </w:pPr>
            <w:r w:rsidRPr="00C90AC9">
              <w:rPr>
                <w:rFonts w:eastAsiaTheme="minorHAnsi"/>
                <w:sz w:val="22"/>
                <w:lang w:eastAsia="en-US"/>
              </w:rPr>
              <w:t>Reflectance</w:t>
            </w:r>
          </w:p>
        </w:tc>
        <w:tc>
          <w:tcPr>
            <w:tcW w:w="1701" w:type="dxa"/>
            <w:tcBorders>
              <w:bottom w:val="single" w:sz="4" w:space="0" w:color="auto"/>
            </w:tcBorders>
            <w:shd w:val="clear" w:color="auto" w:fill="B8CCE4" w:themeFill="accent1" w:themeFillTint="66"/>
            <w:vAlign w:val="center"/>
          </w:tcPr>
          <w:p w:rsidR="002B75F0" w:rsidRPr="00C90AC9" w:rsidRDefault="002B75F0" w:rsidP="002B75F0">
            <w:pPr>
              <w:jc w:val="center"/>
              <w:rPr>
                <w:rFonts w:eastAsiaTheme="minorHAnsi"/>
                <w:sz w:val="22"/>
                <w:lang w:eastAsia="en-US"/>
              </w:rPr>
            </w:pPr>
            <w:r w:rsidRPr="00C90AC9">
              <w:rPr>
                <w:rFonts w:eastAsiaTheme="minorHAnsi"/>
                <w:sz w:val="22"/>
                <w:lang w:eastAsia="en-US"/>
              </w:rPr>
              <w:t>0.070</w:t>
            </w:r>
          </w:p>
        </w:tc>
        <w:tc>
          <w:tcPr>
            <w:tcW w:w="1465" w:type="dxa"/>
            <w:tcBorders>
              <w:bottom w:val="single" w:sz="4" w:space="0" w:color="auto"/>
            </w:tcBorders>
            <w:shd w:val="clear" w:color="auto" w:fill="B8CCE4" w:themeFill="accent1" w:themeFillTint="66"/>
            <w:vAlign w:val="center"/>
          </w:tcPr>
          <w:p w:rsidR="002B75F0" w:rsidRPr="00C90AC9" w:rsidRDefault="002B75F0" w:rsidP="002B75F0">
            <w:pPr>
              <w:jc w:val="center"/>
              <w:rPr>
                <w:rFonts w:eastAsiaTheme="minorHAnsi"/>
                <w:sz w:val="22"/>
                <w:lang w:eastAsia="en-US"/>
              </w:rPr>
            </w:pPr>
            <w:r w:rsidRPr="00C90AC9">
              <w:rPr>
                <w:rFonts w:eastAsiaTheme="minorHAnsi"/>
                <w:sz w:val="22"/>
                <w:lang w:eastAsia="en-US"/>
              </w:rPr>
              <w:t>-</w:t>
            </w:r>
          </w:p>
        </w:tc>
      </w:tr>
      <w:tr w:rsidR="00D747DC" w:rsidRPr="00C90AC9" w:rsidTr="0093376F">
        <w:trPr>
          <w:trHeight w:val="284"/>
        </w:trPr>
        <w:tc>
          <w:tcPr>
            <w:tcW w:w="3802" w:type="dxa"/>
            <w:shd w:val="clear" w:color="auto" w:fill="C2D69B" w:themeFill="accent3" w:themeFillTint="99"/>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Specific Heat Capacity of Water</w:t>
            </w:r>
          </w:p>
        </w:tc>
        <w:tc>
          <w:tcPr>
            <w:tcW w:w="2861" w:type="dxa"/>
            <w:shd w:val="clear" w:color="auto" w:fill="C2D69B" w:themeFill="accent3" w:themeFillTint="99"/>
            <w:vAlign w:val="center"/>
          </w:tcPr>
          <w:p w:rsidR="00D747DC" w:rsidRPr="00C90AC9" w:rsidRDefault="00D747DC" w:rsidP="00C0462B">
            <w:pPr>
              <w:jc w:val="center"/>
              <w:rPr>
                <w:rFonts w:eastAsiaTheme="minorHAnsi"/>
                <w:sz w:val="22"/>
                <w:lang w:eastAsia="en-US"/>
              </w:rPr>
            </w:pPr>
            <w:r w:rsidRPr="00C90AC9">
              <w:rPr>
                <w:rFonts w:eastAsiaTheme="minorHAnsi"/>
                <w:sz w:val="22"/>
                <w:lang w:eastAsia="en-US"/>
              </w:rPr>
              <w:t>Cp</w:t>
            </w:r>
          </w:p>
        </w:tc>
        <w:tc>
          <w:tcPr>
            <w:tcW w:w="1701" w:type="dxa"/>
            <w:shd w:val="clear" w:color="auto" w:fill="C2D69B" w:themeFill="accent3" w:themeFillTint="99"/>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4181</w:t>
            </w:r>
          </w:p>
        </w:tc>
        <w:tc>
          <w:tcPr>
            <w:tcW w:w="1465" w:type="dxa"/>
            <w:shd w:val="clear" w:color="auto" w:fill="C2D69B" w:themeFill="accent3" w:themeFillTint="99"/>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J/kg/K</w:t>
            </w:r>
          </w:p>
        </w:tc>
      </w:tr>
      <w:tr w:rsidR="00D747DC" w:rsidRPr="00C90AC9" w:rsidTr="0093376F">
        <w:trPr>
          <w:trHeight w:val="284"/>
        </w:trPr>
        <w:tc>
          <w:tcPr>
            <w:tcW w:w="3802" w:type="dxa"/>
            <w:shd w:val="clear" w:color="auto" w:fill="C2D69B" w:themeFill="accent3" w:themeFillTint="99"/>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Density</w:t>
            </w:r>
          </w:p>
        </w:tc>
        <w:tc>
          <w:tcPr>
            <w:tcW w:w="2861" w:type="dxa"/>
            <w:shd w:val="clear" w:color="auto" w:fill="C2D69B" w:themeFill="accent3" w:themeFillTint="99"/>
            <w:vAlign w:val="center"/>
          </w:tcPr>
          <w:p w:rsidR="00D747DC" w:rsidRPr="00C90AC9" w:rsidRDefault="00D747DC" w:rsidP="00C0462B">
            <w:pPr>
              <w:jc w:val="center"/>
              <w:rPr>
                <w:rFonts w:eastAsiaTheme="minorHAnsi"/>
                <w:sz w:val="22"/>
                <w:lang w:eastAsia="en-US"/>
              </w:rPr>
            </w:pPr>
            <w:r w:rsidRPr="00C90AC9">
              <w:rPr>
                <w:rFonts w:eastAsiaTheme="minorHAnsi"/>
                <w:sz w:val="22"/>
                <w:lang w:eastAsia="en-US"/>
              </w:rPr>
              <w:t>Density</w:t>
            </w:r>
          </w:p>
        </w:tc>
        <w:tc>
          <w:tcPr>
            <w:tcW w:w="1701" w:type="dxa"/>
            <w:shd w:val="clear" w:color="auto" w:fill="C2D69B" w:themeFill="accent3" w:themeFillTint="99"/>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988</w:t>
            </w:r>
          </w:p>
        </w:tc>
        <w:tc>
          <w:tcPr>
            <w:tcW w:w="1465" w:type="dxa"/>
            <w:shd w:val="clear" w:color="auto" w:fill="C2D69B" w:themeFill="accent3" w:themeFillTint="99"/>
            <w:vAlign w:val="center"/>
          </w:tcPr>
          <w:p w:rsidR="00D747DC" w:rsidRPr="00C90AC9" w:rsidRDefault="00D747DC" w:rsidP="002B75F0">
            <w:pPr>
              <w:jc w:val="center"/>
              <w:rPr>
                <w:rFonts w:eastAsiaTheme="minorHAnsi"/>
                <w:sz w:val="22"/>
                <w:vertAlign w:val="superscript"/>
                <w:lang w:eastAsia="en-US"/>
              </w:rPr>
            </w:pPr>
            <w:r w:rsidRPr="00C90AC9">
              <w:rPr>
                <w:rFonts w:eastAsiaTheme="minorHAnsi"/>
                <w:sz w:val="22"/>
                <w:lang w:eastAsia="en-US"/>
              </w:rPr>
              <w:t>Kg/m</w:t>
            </w:r>
            <w:r w:rsidRPr="00C90AC9">
              <w:rPr>
                <w:rFonts w:eastAsiaTheme="minorHAnsi"/>
                <w:sz w:val="22"/>
                <w:vertAlign w:val="superscript"/>
                <w:lang w:eastAsia="en-US"/>
              </w:rPr>
              <w:t>3</w:t>
            </w:r>
          </w:p>
        </w:tc>
      </w:tr>
      <w:tr w:rsidR="00D747DC" w:rsidRPr="00C90AC9" w:rsidTr="0093376F">
        <w:trPr>
          <w:trHeight w:val="284"/>
        </w:trPr>
        <w:tc>
          <w:tcPr>
            <w:tcW w:w="3802" w:type="dxa"/>
            <w:shd w:val="clear" w:color="auto" w:fill="C2D69B" w:themeFill="accent3" w:themeFillTint="99"/>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Liquid Volume in panel</w:t>
            </w:r>
          </w:p>
        </w:tc>
        <w:tc>
          <w:tcPr>
            <w:tcW w:w="2861" w:type="dxa"/>
            <w:shd w:val="clear" w:color="auto" w:fill="C2D69B" w:themeFill="accent3" w:themeFillTint="99"/>
            <w:vAlign w:val="center"/>
          </w:tcPr>
          <w:p w:rsidR="00D747DC" w:rsidRPr="00C90AC9" w:rsidRDefault="00D747DC" w:rsidP="00C0462B">
            <w:pPr>
              <w:jc w:val="center"/>
              <w:rPr>
                <w:rFonts w:eastAsiaTheme="minorHAnsi"/>
                <w:sz w:val="22"/>
                <w:lang w:eastAsia="en-US"/>
              </w:rPr>
            </w:pPr>
            <w:proofErr w:type="spellStart"/>
            <w:r w:rsidRPr="00C90AC9">
              <w:rPr>
                <w:rFonts w:eastAsiaTheme="minorHAnsi"/>
                <w:sz w:val="22"/>
                <w:lang w:eastAsia="en-US"/>
              </w:rPr>
              <w:t>CollectorVolume</w:t>
            </w:r>
            <w:proofErr w:type="spellEnd"/>
          </w:p>
        </w:tc>
        <w:tc>
          <w:tcPr>
            <w:tcW w:w="1701" w:type="dxa"/>
            <w:shd w:val="clear" w:color="auto" w:fill="C2D69B" w:themeFill="accent3" w:themeFillTint="99"/>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1.2</w:t>
            </w:r>
          </w:p>
        </w:tc>
        <w:tc>
          <w:tcPr>
            <w:tcW w:w="1465" w:type="dxa"/>
            <w:shd w:val="clear" w:color="auto" w:fill="C2D69B" w:themeFill="accent3" w:themeFillTint="99"/>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Litres</w:t>
            </w:r>
          </w:p>
        </w:tc>
      </w:tr>
      <w:tr w:rsidR="00D747DC" w:rsidRPr="00C90AC9" w:rsidTr="0093376F">
        <w:trPr>
          <w:trHeight w:val="284"/>
        </w:trPr>
        <w:tc>
          <w:tcPr>
            <w:tcW w:w="3802" w:type="dxa"/>
            <w:shd w:val="clear" w:color="auto" w:fill="C2D69B" w:themeFill="accent3" w:themeFillTint="99"/>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Flow Rate</w:t>
            </w:r>
          </w:p>
        </w:tc>
        <w:tc>
          <w:tcPr>
            <w:tcW w:w="2861" w:type="dxa"/>
            <w:shd w:val="clear" w:color="auto" w:fill="C2D69B" w:themeFill="accent3" w:themeFillTint="99"/>
            <w:vAlign w:val="center"/>
          </w:tcPr>
          <w:p w:rsidR="00D747DC" w:rsidRPr="00C90AC9" w:rsidRDefault="00D747DC" w:rsidP="00C0462B">
            <w:pPr>
              <w:jc w:val="center"/>
              <w:rPr>
                <w:rFonts w:eastAsiaTheme="minorHAnsi"/>
                <w:sz w:val="22"/>
                <w:lang w:eastAsia="en-US"/>
              </w:rPr>
            </w:pPr>
            <w:proofErr w:type="spellStart"/>
            <w:r w:rsidRPr="00C90AC9">
              <w:rPr>
                <w:rFonts w:eastAsiaTheme="minorHAnsi"/>
                <w:sz w:val="22"/>
                <w:lang w:eastAsia="en-US"/>
              </w:rPr>
              <w:t>MassFlowRate</w:t>
            </w:r>
            <w:proofErr w:type="spellEnd"/>
          </w:p>
        </w:tc>
        <w:tc>
          <w:tcPr>
            <w:tcW w:w="1701" w:type="dxa"/>
            <w:shd w:val="clear" w:color="auto" w:fill="C2D69B" w:themeFill="accent3" w:themeFillTint="99"/>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0.001</w:t>
            </w:r>
          </w:p>
        </w:tc>
        <w:tc>
          <w:tcPr>
            <w:tcW w:w="1465" w:type="dxa"/>
            <w:shd w:val="clear" w:color="auto" w:fill="C2D69B" w:themeFill="accent3" w:themeFillTint="99"/>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kg/s</w:t>
            </w:r>
          </w:p>
        </w:tc>
      </w:tr>
      <w:tr w:rsidR="00D747DC" w:rsidRPr="00C90AC9" w:rsidTr="0093376F">
        <w:trPr>
          <w:trHeight w:val="284"/>
        </w:trPr>
        <w:tc>
          <w:tcPr>
            <w:tcW w:w="3802" w:type="dxa"/>
            <w:shd w:val="clear" w:color="auto" w:fill="C2D69B" w:themeFill="accent3" w:themeFillTint="99"/>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U value water – copper - water</w:t>
            </w:r>
          </w:p>
        </w:tc>
        <w:tc>
          <w:tcPr>
            <w:tcW w:w="2861" w:type="dxa"/>
            <w:shd w:val="clear" w:color="auto" w:fill="C2D69B" w:themeFill="accent3" w:themeFillTint="99"/>
            <w:vAlign w:val="center"/>
          </w:tcPr>
          <w:p w:rsidR="00D747DC" w:rsidRPr="00C90AC9" w:rsidRDefault="00D747DC" w:rsidP="00C0462B">
            <w:pPr>
              <w:jc w:val="center"/>
              <w:rPr>
                <w:rFonts w:eastAsiaTheme="minorHAnsi"/>
                <w:sz w:val="22"/>
                <w:lang w:eastAsia="en-US"/>
              </w:rPr>
            </w:pPr>
            <w:proofErr w:type="spellStart"/>
            <w:r w:rsidRPr="00C90AC9">
              <w:rPr>
                <w:rFonts w:eastAsiaTheme="minorHAnsi"/>
                <w:sz w:val="22"/>
                <w:lang w:eastAsia="en-US"/>
              </w:rPr>
              <w:t>Uwcw</w:t>
            </w:r>
            <w:proofErr w:type="spellEnd"/>
          </w:p>
        </w:tc>
        <w:tc>
          <w:tcPr>
            <w:tcW w:w="1701" w:type="dxa"/>
            <w:shd w:val="clear" w:color="auto" w:fill="C2D69B" w:themeFill="accent3" w:themeFillTint="99"/>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450</w:t>
            </w:r>
          </w:p>
        </w:tc>
        <w:tc>
          <w:tcPr>
            <w:tcW w:w="1465" w:type="dxa"/>
            <w:shd w:val="clear" w:color="auto" w:fill="C2D69B" w:themeFill="accent3" w:themeFillTint="99"/>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W/m</w:t>
            </w:r>
            <w:r w:rsidRPr="00C90AC9">
              <w:rPr>
                <w:rFonts w:eastAsiaTheme="minorHAnsi"/>
                <w:sz w:val="22"/>
                <w:vertAlign w:val="superscript"/>
                <w:lang w:eastAsia="en-US"/>
              </w:rPr>
              <w:t xml:space="preserve">2 </w:t>
            </w:r>
            <w:r w:rsidRPr="00C90AC9">
              <w:rPr>
                <w:rFonts w:eastAsiaTheme="minorHAnsi"/>
                <w:sz w:val="22"/>
                <w:lang w:eastAsia="en-US"/>
              </w:rPr>
              <w:t>K</w:t>
            </w:r>
          </w:p>
        </w:tc>
      </w:tr>
      <w:tr w:rsidR="00D747DC" w:rsidRPr="00C90AC9" w:rsidTr="0093376F">
        <w:trPr>
          <w:trHeight w:val="284"/>
        </w:trPr>
        <w:tc>
          <w:tcPr>
            <w:tcW w:w="3802" w:type="dxa"/>
            <w:tcBorders>
              <w:bottom w:val="single" w:sz="4" w:space="0" w:color="auto"/>
            </w:tcBorders>
            <w:shd w:val="clear" w:color="auto" w:fill="C2D69B" w:themeFill="accent3" w:themeFillTint="99"/>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Temperature of water needed</w:t>
            </w:r>
          </w:p>
        </w:tc>
        <w:tc>
          <w:tcPr>
            <w:tcW w:w="2861" w:type="dxa"/>
            <w:tcBorders>
              <w:bottom w:val="single" w:sz="4" w:space="0" w:color="auto"/>
            </w:tcBorders>
            <w:shd w:val="clear" w:color="auto" w:fill="C2D69B" w:themeFill="accent3" w:themeFillTint="99"/>
            <w:vAlign w:val="center"/>
          </w:tcPr>
          <w:p w:rsidR="00D747DC" w:rsidRPr="00C90AC9" w:rsidRDefault="00D747DC" w:rsidP="00C0462B">
            <w:pPr>
              <w:jc w:val="center"/>
              <w:rPr>
                <w:rFonts w:eastAsiaTheme="minorHAnsi"/>
                <w:sz w:val="22"/>
                <w:lang w:eastAsia="en-US"/>
              </w:rPr>
            </w:pPr>
            <w:proofErr w:type="spellStart"/>
            <w:r w:rsidRPr="00C90AC9">
              <w:rPr>
                <w:rFonts w:eastAsiaTheme="minorHAnsi"/>
                <w:sz w:val="22"/>
                <w:lang w:eastAsia="en-US"/>
              </w:rPr>
              <w:t>RequiredWaterTemp</w:t>
            </w:r>
            <w:proofErr w:type="spellEnd"/>
          </w:p>
        </w:tc>
        <w:tc>
          <w:tcPr>
            <w:tcW w:w="1701" w:type="dxa"/>
            <w:tcBorders>
              <w:bottom w:val="single" w:sz="4" w:space="0" w:color="auto"/>
            </w:tcBorders>
            <w:shd w:val="clear" w:color="auto" w:fill="C2D69B" w:themeFill="accent3" w:themeFillTint="99"/>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45</w:t>
            </w:r>
          </w:p>
        </w:tc>
        <w:tc>
          <w:tcPr>
            <w:tcW w:w="1465" w:type="dxa"/>
            <w:tcBorders>
              <w:bottom w:val="single" w:sz="4" w:space="0" w:color="auto"/>
            </w:tcBorders>
            <w:shd w:val="clear" w:color="auto" w:fill="C2D69B" w:themeFill="accent3" w:themeFillTint="99"/>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ºC</w:t>
            </w:r>
          </w:p>
        </w:tc>
      </w:tr>
      <w:tr w:rsidR="00D747DC" w:rsidRPr="00C90AC9" w:rsidTr="0093376F">
        <w:trPr>
          <w:trHeight w:val="284"/>
        </w:trPr>
        <w:tc>
          <w:tcPr>
            <w:tcW w:w="3802" w:type="dxa"/>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Tank Volume</w:t>
            </w:r>
          </w:p>
        </w:tc>
        <w:tc>
          <w:tcPr>
            <w:tcW w:w="2861" w:type="dxa"/>
            <w:shd w:val="clear" w:color="auto" w:fill="F8785E"/>
            <w:vAlign w:val="center"/>
          </w:tcPr>
          <w:p w:rsidR="00D747DC" w:rsidRPr="00C90AC9" w:rsidRDefault="00D747DC" w:rsidP="00C0462B">
            <w:pPr>
              <w:jc w:val="center"/>
              <w:rPr>
                <w:rFonts w:eastAsiaTheme="minorHAnsi"/>
                <w:sz w:val="22"/>
                <w:lang w:eastAsia="en-US"/>
              </w:rPr>
            </w:pPr>
            <w:r w:rsidRPr="00C90AC9">
              <w:rPr>
                <w:rFonts w:eastAsiaTheme="minorHAnsi"/>
                <w:sz w:val="22"/>
                <w:lang w:eastAsia="en-US"/>
              </w:rPr>
              <w:t>Volume</w:t>
            </w:r>
          </w:p>
        </w:tc>
        <w:tc>
          <w:tcPr>
            <w:tcW w:w="1701" w:type="dxa"/>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200</w:t>
            </w:r>
          </w:p>
        </w:tc>
        <w:tc>
          <w:tcPr>
            <w:tcW w:w="1465" w:type="dxa"/>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Litres</w:t>
            </w:r>
          </w:p>
        </w:tc>
      </w:tr>
      <w:tr w:rsidR="00D747DC" w:rsidRPr="00C90AC9" w:rsidTr="0093376F">
        <w:trPr>
          <w:trHeight w:val="284"/>
        </w:trPr>
        <w:tc>
          <w:tcPr>
            <w:tcW w:w="3802" w:type="dxa"/>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U value water to water</w:t>
            </w:r>
          </w:p>
        </w:tc>
        <w:tc>
          <w:tcPr>
            <w:tcW w:w="2861" w:type="dxa"/>
            <w:shd w:val="clear" w:color="auto" w:fill="F8785E"/>
            <w:vAlign w:val="center"/>
          </w:tcPr>
          <w:p w:rsidR="00D747DC" w:rsidRPr="00C90AC9" w:rsidRDefault="00D747DC" w:rsidP="00C0462B">
            <w:pPr>
              <w:jc w:val="center"/>
              <w:rPr>
                <w:rFonts w:eastAsiaTheme="minorHAnsi"/>
                <w:sz w:val="22"/>
                <w:lang w:eastAsia="en-US"/>
              </w:rPr>
            </w:pPr>
            <w:proofErr w:type="spellStart"/>
            <w:r w:rsidRPr="00C90AC9">
              <w:rPr>
                <w:rFonts w:eastAsiaTheme="minorHAnsi"/>
                <w:sz w:val="22"/>
                <w:lang w:eastAsia="en-US"/>
              </w:rPr>
              <w:t>Uww</w:t>
            </w:r>
            <w:proofErr w:type="spellEnd"/>
          </w:p>
        </w:tc>
        <w:tc>
          <w:tcPr>
            <w:tcW w:w="1701" w:type="dxa"/>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1000</w:t>
            </w:r>
          </w:p>
        </w:tc>
        <w:tc>
          <w:tcPr>
            <w:tcW w:w="1465" w:type="dxa"/>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W/m</w:t>
            </w:r>
            <w:r w:rsidRPr="00C90AC9">
              <w:rPr>
                <w:rFonts w:eastAsiaTheme="minorHAnsi"/>
                <w:sz w:val="22"/>
                <w:vertAlign w:val="superscript"/>
                <w:lang w:eastAsia="en-US"/>
              </w:rPr>
              <w:t xml:space="preserve">2 </w:t>
            </w:r>
            <w:r w:rsidRPr="00C90AC9">
              <w:rPr>
                <w:rFonts w:eastAsiaTheme="minorHAnsi"/>
                <w:sz w:val="22"/>
                <w:lang w:eastAsia="en-US"/>
              </w:rPr>
              <w:t>K</w:t>
            </w:r>
          </w:p>
        </w:tc>
      </w:tr>
      <w:tr w:rsidR="00D747DC" w:rsidRPr="00C90AC9" w:rsidTr="0093376F">
        <w:trPr>
          <w:trHeight w:val="284"/>
        </w:trPr>
        <w:tc>
          <w:tcPr>
            <w:tcW w:w="3802" w:type="dxa"/>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Number of slices in tank,</w:t>
            </w:r>
          </w:p>
        </w:tc>
        <w:tc>
          <w:tcPr>
            <w:tcW w:w="2861" w:type="dxa"/>
            <w:shd w:val="clear" w:color="auto" w:fill="F8785E"/>
            <w:vAlign w:val="center"/>
          </w:tcPr>
          <w:p w:rsidR="00D747DC" w:rsidRPr="00C90AC9" w:rsidRDefault="00D747DC" w:rsidP="00C0462B">
            <w:pPr>
              <w:jc w:val="center"/>
              <w:rPr>
                <w:rFonts w:eastAsiaTheme="minorHAnsi"/>
                <w:sz w:val="22"/>
                <w:lang w:eastAsia="en-US"/>
              </w:rPr>
            </w:pPr>
            <w:proofErr w:type="spellStart"/>
            <w:r w:rsidRPr="00C90AC9">
              <w:rPr>
                <w:rFonts w:eastAsiaTheme="minorHAnsi"/>
                <w:sz w:val="22"/>
                <w:lang w:eastAsia="en-US"/>
              </w:rPr>
              <w:t>NumberSlices</w:t>
            </w:r>
            <w:proofErr w:type="spellEnd"/>
          </w:p>
        </w:tc>
        <w:tc>
          <w:tcPr>
            <w:tcW w:w="1701" w:type="dxa"/>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200</w:t>
            </w:r>
          </w:p>
        </w:tc>
        <w:tc>
          <w:tcPr>
            <w:tcW w:w="1465" w:type="dxa"/>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w:t>
            </w:r>
          </w:p>
        </w:tc>
      </w:tr>
      <w:tr w:rsidR="00D747DC" w:rsidRPr="00C90AC9" w:rsidTr="0093376F">
        <w:trPr>
          <w:trHeight w:val="284"/>
        </w:trPr>
        <w:tc>
          <w:tcPr>
            <w:tcW w:w="3802" w:type="dxa"/>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Height of tank, Height</w:t>
            </w:r>
          </w:p>
        </w:tc>
        <w:tc>
          <w:tcPr>
            <w:tcW w:w="2861" w:type="dxa"/>
            <w:shd w:val="clear" w:color="auto" w:fill="F8785E"/>
            <w:vAlign w:val="center"/>
          </w:tcPr>
          <w:p w:rsidR="00D747DC" w:rsidRPr="00C90AC9" w:rsidRDefault="00D747DC" w:rsidP="00C0462B">
            <w:pPr>
              <w:jc w:val="center"/>
              <w:rPr>
                <w:rFonts w:eastAsiaTheme="minorHAnsi"/>
                <w:sz w:val="22"/>
                <w:lang w:eastAsia="en-US"/>
              </w:rPr>
            </w:pPr>
            <w:r w:rsidRPr="00C90AC9">
              <w:rPr>
                <w:rFonts w:eastAsiaTheme="minorHAnsi"/>
                <w:sz w:val="22"/>
                <w:lang w:eastAsia="en-US"/>
              </w:rPr>
              <w:t>Height</w:t>
            </w:r>
          </w:p>
        </w:tc>
        <w:tc>
          <w:tcPr>
            <w:tcW w:w="1701" w:type="dxa"/>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2.0</w:t>
            </w:r>
          </w:p>
        </w:tc>
        <w:tc>
          <w:tcPr>
            <w:tcW w:w="1465" w:type="dxa"/>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m</w:t>
            </w:r>
          </w:p>
        </w:tc>
      </w:tr>
      <w:tr w:rsidR="00D747DC" w:rsidRPr="00C90AC9" w:rsidTr="0093376F">
        <w:trPr>
          <w:trHeight w:val="284"/>
        </w:trPr>
        <w:tc>
          <w:tcPr>
            <w:tcW w:w="3802" w:type="dxa"/>
            <w:shd w:val="clear" w:color="auto" w:fill="F8785E"/>
            <w:vAlign w:val="center"/>
          </w:tcPr>
          <w:p w:rsidR="00D747DC" w:rsidRPr="00C90AC9" w:rsidRDefault="00D747DC" w:rsidP="002B75F0">
            <w:pPr>
              <w:jc w:val="center"/>
              <w:rPr>
                <w:rFonts w:eastAsiaTheme="minorHAnsi"/>
                <w:sz w:val="22"/>
                <w:vertAlign w:val="subscript"/>
                <w:lang w:eastAsia="en-US"/>
              </w:rPr>
            </w:pPr>
            <w:r w:rsidRPr="00C90AC9">
              <w:rPr>
                <w:rFonts w:eastAsiaTheme="minorHAnsi"/>
                <w:sz w:val="22"/>
                <w:lang w:eastAsia="en-US"/>
              </w:rPr>
              <w:t>Radius Tank</w:t>
            </w:r>
          </w:p>
        </w:tc>
        <w:tc>
          <w:tcPr>
            <w:tcW w:w="2861" w:type="dxa"/>
            <w:shd w:val="clear" w:color="auto" w:fill="F8785E"/>
            <w:vAlign w:val="center"/>
          </w:tcPr>
          <w:p w:rsidR="00D747DC" w:rsidRPr="00C90AC9" w:rsidRDefault="00D747DC" w:rsidP="00C0462B">
            <w:pPr>
              <w:jc w:val="center"/>
              <w:rPr>
                <w:rFonts w:eastAsiaTheme="minorHAnsi"/>
                <w:sz w:val="22"/>
                <w:lang w:eastAsia="en-US"/>
              </w:rPr>
            </w:pPr>
            <w:proofErr w:type="spellStart"/>
            <w:r w:rsidRPr="00C90AC9">
              <w:rPr>
                <w:rFonts w:eastAsiaTheme="minorHAnsi"/>
                <w:sz w:val="22"/>
                <w:lang w:eastAsia="en-US"/>
              </w:rPr>
              <w:t>RadiusTank</w:t>
            </w:r>
            <w:proofErr w:type="spellEnd"/>
          </w:p>
        </w:tc>
        <w:tc>
          <w:tcPr>
            <w:tcW w:w="1701" w:type="dxa"/>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0.453</w:t>
            </w:r>
          </w:p>
        </w:tc>
        <w:tc>
          <w:tcPr>
            <w:tcW w:w="1465" w:type="dxa"/>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m</w:t>
            </w:r>
          </w:p>
        </w:tc>
      </w:tr>
      <w:tr w:rsidR="00D747DC" w:rsidRPr="00C90AC9" w:rsidTr="0093376F">
        <w:trPr>
          <w:trHeight w:val="284"/>
        </w:trPr>
        <w:tc>
          <w:tcPr>
            <w:tcW w:w="3802"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vertAlign w:val="subscript"/>
                <w:lang w:eastAsia="en-US"/>
              </w:rPr>
            </w:pPr>
            <w:r w:rsidRPr="00C90AC9">
              <w:rPr>
                <w:rFonts w:eastAsiaTheme="minorHAnsi"/>
                <w:sz w:val="22"/>
                <w:lang w:eastAsia="en-US"/>
              </w:rPr>
              <w:t>Length Coil</w:t>
            </w:r>
          </w:p>
        </w:tc>
        <w:tc>
          <w:tcPr>
            <w:tcW w:w="2861" w:type="dxa"/>
            <w:tcBorders>
              <w:bottom w:val="single" w:sz="4" w:space="0" w:color="auto"/>
            </w:tcBorders>
            <w:shd w:val="clear" w:color="auto" w:fill="F8785E"/>
            <w:vAlign w:val="center"/>
          </w:tcPr>
          <w:p w:rsidR="00D747DC" w:rsidRPr="00C90AC9" w:rsidRDefault="00D747DC" w:rsidP="00C0462B">
            <w:pPr>
              <w:jc w:val="center"/>
              <w:rPr>
                <w:rFonts w:eastAsiaTheme="minorHAnsi"/>
                <w:sz w:val="22"/>
                <w:lang w:eastAsia="en-US"/>
              </w:rPr>
            </w:pPr>
            <w:r w:rsidRPr="00C90AC9">
              <w:rPr>
                <w:rFonts w:eastAsiaTheme="minorHAnsi"/>
                <w:sz w:val="22"/>
                <w:lang w:eastAsia="en-US"/>
              </w:rPr>
              <w:t>Length</w:t>
            </w:r>
          </w:p>
        </w:tc>
        <w:tc>
          <w:tcPr>
            <w:tcW w:w="1701"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15</w:t>
            </w:r>
          </w:p>
        </w:tc>
        <w:tc>
          <w:tcPr>
            <w:tcW w:w="1465"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m</w:t>
            </w:r>
          </w:p>
        </w:tc>
      </w:tr>
      <w:tr w:rsidR="00D747DC" w:rsidRPr="00C90AC9" w:rsidTr="0093376F">
        <w:trPr>
          <w:trHeight w:val="284"/>
        </w:trPr>
        <w:tc>
          <w:tcPr>
            <w:tcW w:w="3802"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vertAlign w:val="subscript"/>
                <w:lang w:eastAsia="en-US"/>
              </w:rPr>
            </w:pPr>
            <w:r w:rsidRPr="00C90AC9">
              <w:rPr>
                <w:rFonts w:eastAsiaTheme="minorHAnsi"/>
                <w:sz w:val="22"/>
                <w:lang w:eastAsia="en-US"/>
              </w:rPr>
              <w:t>Radius Coil</w:t>
            </w:r>
          </w:p>
        </w:tc>
        <w:tc>
          <w:tcPr>
            <w:tcW w:w="2861" w:type="dxa"/>
            <w:tcBorders>
              <w:bottom w:val="single" w:sz="4" w:space="0" w:color="auto"/>
            </w:tcBorders>
            <w:shd w:val="clear" w:color="auto" w:fill="F8785E"/>
            <w:vAlign w:val="center"/>
          </w:tcPr>
          <w:p w:rsidR="00D747DC" w:rsidRPr="00C90AC9" w:rsidRDefault="00D747DC" w:rsidP="00C0462B">
            <w:pPr>
              <w:jc w:val="center"/>
              <w:rPr>
                <w:rFonts w:eastAsiaTheme="minorHAnsi"/>
                <w:sz w:val="22"/>
                <w:lang w:eastAsia="en-US"/>
              </w:rPr>
            </w:pPr>
            <w:proofErr w:type="spellStart"/>
            <w:r w:rsidRPr="00C90AC9">
              <w:rPr>
                <w:rFonts w:eastAsiaTheme="minorHAnsi"/>
                <w:sz w:val="22"/>
                <w:lang w:eastAsia="en-US"/>
              </w:rPr>
              <w:t>RadiusCoil</w:t>
            </w:r>
            <w:proofErr w:type="spellEnd"/>
          </w:p>
        </w:tc>
        <w:tc>
          <w:tcPr>
            <w:tcW w:w="1701"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0.0075</w:t>
            </w:r>
          </w:p>
        </w:tc>
        <w:tc>
          <w:tcPr>
            <w:tcW w:w="1465"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m</w:t>
            </w:r>
          </w:p>
        </w:tc>
      </w:tr>
      <w:tr w:rsidR="00D747DC" w:rsidRPr="00C90AC9" w:rsidTr="0093376F">
        <w:trPr>
          <w:trHeight w:val="284"/>
        </w:trPr>
        <w:tc>
          <w:tcPr>
            <w:tcW w:w="3802"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Area of coil (2π</w:t>
            </w:r>
            <w:proofErr w:type="spellStart"/>
            <w:r w:rsidRPr="00C90AC9">
              <w:rPr>
                <w:rFonts w:eastAsiaTheme="minorHAnsi"/>
                <w:sz w:val="22"/>
                <w:lang w:eastAsia="en-US"/>
              </w:rPr>
              <w:t>RadiusCoil</w:t>
            </w:r>
            <w:proofErr w:type="spellEnd"/>
            <w:r w:rsidRPr="00C90AC9">
              <w:rPr>
                <w:rFonts w:eastAsiaTheme="minorHAnsi"/>
                <w:sz w:val="22"/>
                <w:lang w:eastAsia="en-US"/>
              </w:rPr>
              <w:t>)</w:t>
            </w:r>
          </w:p>
        </w:tc>
        <w:tc>
          <w:tcPr>
            <w:tcW w:w="2861" w:type="dxa"/>
            <w:tcBorders>
              <w:bottom w:val="single" w:sz="4" w:space="0" w:color="auto"/>
            </w:tcBorders>
            <w:shd w:val="clear" w:color="auto" w:fill="F8785E"/>
            <w:vAlign w:val="center"/>
          </w:tcPr>
          <w:p w:rsidR="00D747DC" w:rsidRPr="00C90AC9" w:rsidRDefault="00D747DC" w:rsidP="00C0462B">
            <w:pPr>
              <w:jc w:val="center"/>
              <w:rPr>
                <w:rFonts w:eastAsiaTheme="minorHAnsi"/>
                <w:sz w:val="22"/>
                <w:lang w:eastAsia="en-US"/>
              </w:rPr>
            </w:pPr>
            <w:proofErr w:type="spellStart"/>
            <w:r w:rsidRPr="00C90AC9">
              <w:rPr>
                <w:rFonts w:eastAsiaTheme="minorHAnsi"/>
                <w:sz w:val="22"/>
                <w:lang w:eastAsia="en-US"/>
              </w:rPr>
              <w:t>AreaCoil</w:t>
            </w:r>
            <w:proofErr w:type="spellEnd"/>
          </w:p>
        </w:tc>
        <w:tc>
          <w:tcPr>
            <w:tcW w:w="1701"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0.0691</w:t>
            </w:r>
          </w:p>
        </w:tc>
        <w:tc>
          <w:tcPr>
            <w:tcW w:w="1465"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vertAlign w:val="superscript"/>
                <w:lang w:eastAsia="en-US"/>
              </w:rPr>
            </w:pPr>
            <w:r w:rsidRPr="00C90AC9">
              <w:rPr>
                <w:rFonts w:eastAsiaTheme="minorHAnsi"/>
                <w:sz w:val="22"/>
                <w:lang w:eastAsia="en-US"/>
              </w:rPr>
              <w:t>m</w:t>
            </w:r>
            <w:r w:rsidRPr="00C90AC9">
              <w:rPr>
                <w:rFonts w:eastAsiaTheme="minorHAnsi"/>
                <w:sz w:val="22"/>
                <w:vertAlign w:val="superscript"/>
                <w:lang w:eastAsia="en-US"/>
              </w:rPr>
              <w:t>2</w:t>
            </w:r>
          </w:p>
        </w:tc>
      </w:tr>
      <w:tr w:rsidR="00D747DC" w:rsidRPr="00C90AC9" w:rsidTr="0093376F">
        <w:trPr>
          <w:trHeight w:val="284"/>
        </w:trPr>
        <w:tc>
          <w:tcPr>
            <w:tcW w:w="3802"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Efficiency of auxiliary boiler</w:t>
            </w:r>
          </w:p>
        </w:tc>
        <w:tc>
          <w:tcPr>
            <w:tcW w:w="2861" w:type="dxa"/>
            <w:tcBorders>
              <w:bottom w:val="single" w:sz="4" w:space="0" w:color="auto"/>
            </w:tcBorders>
            <w:shd w:val="clear" w:color="auto" w:fill="F8785E"/>
            <w:vAlign w:val="center"/>
          </w:tcPr>
          <w:p w:rsidR="00D747DC" w:rsidRPr="00C90AC9" w:rsidRDefault="00D747DC" w:rsidP="00C0462B">
            <w:pPr>
              <w:jc w:val="center"/>
              <w:rPr>
                <w:rFonts w:eastAsiaTheme="minorHAnsi"/>
                <w:sz w:val="22"/>
                <w:lang w:eastAsia="en-US"/>
              </w:rPr>
            </w:pPr>
            <w:proofErr w:type="spellStart"/>
            <w:r w:rsidRPr="00C90AC9">
              <w:rPr>
                <w:rFonts w:eastAsiaTheme="minorHAnsi"/>
                <w:sz w:val="22"/>
                <w:lang w:eastAsia="en-US"/>
              </w:rPr>
              <w:t>EfficiencyBoiler</w:t>
            </w:r>
            <w:proofErr w:type="spellEnd"/>
          </w:p>
        </w:tc>
        <w:tc>
          <w:tcPr>
            <w:tcW w:w="1701"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90%, 0.9</w:t>
            </w:r>
          </w:p>
        </w:tc>
        <w:tc>
          <w:tcPr>
            <w:tcW w:w="1465"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w:t>
            </w:r>
          </w:p>
        </w:tc>
      </w:tr>
      <w:tr w:rsidR="00D747DC" w:rsidRPr="00C90AC9" w:rsidTr="0093376F">
        <w:trPr>
          <w:trHeight w:val="284"/>
        </w:trPr>
        <w:tc>
          <w:tcPr>
            <w:tcW w:w="3802"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Initial tank temperature</w:t>
            </w:r>
          </w:p>
        </w:tc>
        <w:tc>
          <w:tcPr>
            <w:tcW w:w="2861" w:type="dxa"/>
            <w:tcBorders>
              <w:bottom w:val="single" w:sz="4" w:space="0" w:color="auto"/>
            </w:tcBorders>
            <w:shd w:val="clear" w:color="auto" w:fill="F8785E"/>
            <w:vAlign w:val="center"/>
          </w:tcPr>
          <w:p w:rsidR="00D747DC" w:rsidRPr="00C90AC9" w:rsidRDefault="00D747DC" w:rsidP="00C0462B">
            <w:pPr>
              <w:jc w:val="center"/>
              <w:rPr>
                <w:rFonts w:eastAsiaTheme="minorHAnsi"/>
                <w:sz w:val="22"/>
                <w:lang w:eastAsia="en-US"/>
              </w:rPr>
            </w:pPr>
            <w:proofErr w:type="spellStart"/>
            <w:r w:rsidRPr="00C90AC9">
              <w:rPr>
                <w:rFonts w:eastAsiaTheme="minorHAnsi"/>
                <w:sz w:val="22"/>
                <w:lang w:eastAsia="en-US"/>
              </w:rPr>
              <w:t>InitialTankTemp</w:t>
            </w:r>
            <w:proofErr w:type="spellEnd"/>
          </w:p>
        </w:tc>
        <w:tc>
          <w:tcPr>
            <w:tcW w:w="1701"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10</w:t>
            </w:r>
          </w:p>
        </w:tc>
        <w:tc>
          <w:tcPr>
            <w:tcW w:w="1465"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ºC</w:t>
            </w:r>
          </w:p>
        </w:tc>
      </w:tr>
      <w:tr w:rsidR="00D747DC" w:rsidRPr="00C90AC9" w:rsidTr="0093376F">
        <w:trPr>
          <w:trHeight w:val="284"/>
        </w:trPr>
        <w:tc>
          <w:tcPr>
            <w:tcW w:w="3802"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Maximum operating temperature</w:t>
            </w:r>
          </w:p>
        </w:tc>
        <w:tc>
          <w:tcPr>
            <w:tcW w:w="2861" w:type="dxa"/>
            <w:tcBorders>
              <w:bottom w:val="single" w:sz="4" w:space="0" w:color="auto"/>
            </w:tcBorders>
            <w:shd w:val="clear" w:color="auto" w:fill="F8785E"/>
            <w:vAlign w:val="center"/>
          </w:tcPr>
          <w:p w:rsidR="00D747DC" w:rsidRPr="00C90AC9" w:rsidRDefault="00D747DC" w:rsidP="00C0462B">
            <w:pPr>
              <w:jc w:val="center"/>
              <w:rPr>
                <w:rFonts w:eastAsiaTheme="minorHAnsi"/>
                <w:sz w:val="22"/>
                <w:lang w:eastAsia="en-US"/>
              </w:rPr>
            </w:pPr>
            <w:proofErr w:type="spellStart"/>
            <w:r w:rsidRPr="00C90AC9">
              <w:rPr>
                <w:rFonts w:eastAsiaTheme="minorHAnsi"/>
                <w:sz w:val="22"/>
                <w:lang w:eastAsia="en-US"/>
              </w:rPr>
              <w:t>MaxTemp</w:t>
            </w:r>
            <w:proofErr w:type="spellEnd"/>
          </w:p>
        </w:tc>
        <w:tc>
          <w:tcPr>
            <w:tcW w:w="1701"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232</w:t>
            </w:r>
          </w:p>
        </w:tc>
        <w:tc>
          <w:tcPr>
            <w:tcW w:w="1465"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ºC</w:t>
            </w:r>
          </w:p>
        </w:tc>
      </w:tr>
      <w:tr w:rsidR="00D747DC" w:rsidRPr="00C90AC9" w:rsidTr="0093376F">
        <w:trPr>
          <w:trHeight w:val="284"/>
        </w:trPr>
        <w:tc>
          <w:tcPr>
            <w:tcW w:w="3802"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Maximum operating pressure</w:t>
            </w:r>
          </w:p>
        </w:tc>
        <w:tc>
          <w:tcPr>
            <w:tcW w:w="2861" w:type="dxa"/>
            <w:tcBorders>
              <w:bottom w:val="single" w:sz="4" w:space="0" w:color="auto"/>
            </w:tcBorders>
            <w:shd w:val="clear" w:color="auto" w:fill="F8785E"/>
            <w:vAlign w:val="center"/>
          </w:tcPr>
          <w:p w:rsidR="00D747DC" w:rsidRPr="00C90AC9" w:rsidRDefault="00D747DC" w:rsidP="00C0462B">
            <w:pPr>
              <w:jc w:val="center"/>
              <w:rPr>
                <w:rFonts w:eastAsiaTheme="minorHAnsi"/>
                <w:sz w:val="22"/>
                <w:lang w:eastAsia="en-US"/>
              </w:rPr>
            </w:pPr>
            <w:proofErr w:type="spellStart"/>
            <w:r w:rsidRPr="00C90AC9">
              <w:rPr>
                <w:rFonts w:eastAsiaTheme="minorHAnsi"/>
                <w:sz w:val="22"/>
                <w:lang w:eastAsia="en-US"/>
              </w:rPr>
              <w:t>MaxPressure</w:t>
            </w:r>
            <w:proofErr w:type="spellEnd"/>
          </w:p>
        </w:tc>
        <w:tc>
          <w:tcPr>
            <w:tcW w:w="1701"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vertAlign w:val="superscript"/>
                <w:lang w:eastAsia="en-US"/>
              </w:rPr>
            </w:pPr>
            <w:r w:rsidRPr="00C90AC9">
              <w:rPr>
                <w:rFonts w:eastAsiaTheme="minorHAnsi"/>
                <w:sz w:val="22"/>
                <w:lang w:eastAsia="en-US"/>
              </w:rPr>
              <w:t>10</w:t>
            </w:r>
          </w:p>
        </w:tc>
        <w:tc>
          <w:tcPr>
            <w:tcW w:w="1465" w:type="dxa"/>
            <w:tcBorders>
              <w:bottom w:val="single" w:sz="4" w:space="0" w:color="auto"/>
            </w:tcBorders>
            <w:shd w:val="clear" w:color="auto" w:fill="F8785E"/>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Bar/Pascal</w:t>
            </w:r>
          </w:p>
        </w:tc>
      </w:tr>
      <w:tr w:rsidR="00D747DC" w:rsidRPr="00C90AC9" w:rsidTr="0093376F">
        <w:trPr>
          <w:trHeight w:val="284"/>
        </w:trPr>
        <w:tc>
          <w:tcPr>
            <w:tcW w:w="3802" w:type="dxa"/>
            <w:tcBorders>
              <w:top w:val="single" w:sz="4" w:space="0" w:color="auto"/>
              <w:bottom w:val="single" w:sz="4" w:space="0" w:color="auto"/>
            </w:tcBorders>
            <w:shd w:val="clear" w:color="auto" w:fill="DDD9C3" w:themeFill="background2" w:themeFillShade="E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Accuracy of MET predictions</w:t>
            </w:r>
          </w:p>
        </w:tc>
        <w:tc>
          <w:tcPr>
            <w:tcW w:w="2861" w:type="dxa"/>
            <w:tcBorders>
              <w:top w:val="single" w:sz="4" w:space="0" w:color="auto"/>
              <w:bottom w:val="single" w:sz="4" w:space="0" w:color="auto"/>
            </w:tcBorders>
            <w:shd w:val="clear" w:color="auto" w:fill="DDD9C3" w:themeFill="background2" w:themeFillShade="E6"/>
            <w:vAlign w:val="center"/>
          </w:tcPr>
          <w:p w:rsidR="00D747DC" w:rsidRPr="00C90AC9" w:rsidRDefault="00D747DC" w:rsidP="00C0462B">
            <w:pPr>
              <w:jc w:val="center"/>
              <w:rPr>
                <w:rFonts w:eastAsiaTheme="minorHAnsi"/>
                <w:sz w:val="22"/>
                <w:lang w:eastAsia="en-US"/>
              </w:rPr>
            </w:pPr>
            <w:proofErr w:type="spellStart"/>
            <w:r w:rsidRPr="00C90AC9">
              <w:rPr>
                <w:rFonts w:eastAsiaTheme="minorHAnsi"/>
                <w:sz w:val="22"/>
                <w:lang w:eastAsia="en-US"/>
              </w:rPr>
              <w:t>AccuracyMET</w:t>
            </w:r>
            <w:proofErr w:type="spellEnd"/>
          </w:p>
        </w:tc>
        <w:tc>
          <w:tcPr>
            <w:tcW w:w="1701" w:type="dxa"/>
            <w:tcBorders>
              <w:top w:val="single" w:sz="4" w:space="0" w:color="auto"/>
              <w:bottom w:val="single" w:sz="4" w:space="0" w:color="auto"/>
            </w:tcBorders>
            <w:shd w:val="clear" w:color="auto" w:fill="DDD9C3" w:themeFill="background2" w:themeFillShade="E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80%, 0.8</w:t>
            </w:r>
          </w:p>
        </w:tc>
        <w:tc>
          <w:tcPr>
            <w:tcW w:w="1465" w:type="dxa"/>
            <w:tcBorders>
              <w:top w:val="single" w:sz="4" w:space="0" w:color="auto"/>
              <w:bottom w:val="single" w:sz="4" w:space="0" w:color="auto"/>
            </w:tcBorders>
            <w:shd w:val="clear" w:color="auto" w:fill="DDD9C3" w:themeFill="background2" w:themeFillShade="E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w:t>
            </w:r>
          </w:p>
        </w:tc>
      </w:tr>
      <w:tr w:rsidR="00D747DC" w:rsidRPr="00C90AC9" w:rsidTr="0093376F">
        <w:trPr>
          <w:trHeight w:val="284"/>
        </w:trPr>
        <w:tc>
          <w:tcPr>
            <w:tcW w:w="3802" w:type="dxa"/>
            <w:shd w:val="clear" w:color="auto" w:fill="DDD9C3" w:themeFill="background2" w:themeFillShade="E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Cost of gas used in auxiliary boiler</w:t>
            </w:r>
          </w:p>
        </w:tc>
        <w:tc>
          <w:tcPr>
            <w:tcW w:w="2861" w:type="dxa"/>
            <w:shd w:val="clear" w:color="auto" w:fill="DDD9C3" w:themeFill="background2" w:themeFillShade="E6"/>
            <w:vAlign w:val="center"/>
          </w:tcPr>
          <w:p w:rsidR="00D747DC" w:rsidRPr="00C90AC9" w:rsidRDefault="00D747DC" w:rsidP="00C0462B">
            <w:pPr>
              <w:jc w:val="center"/>
              <w:rPr>
                <w:rFonts w:eastAsiaTheme="minorHAnsi"/>
                <w:sz w:val="22"/>
                <w:lang w:eastAsia="en-US"/>
              </w:rPr>
            </w:pPr>
            <w:r w:rsidRPr="00C90AC9">
              <w:rPr>
                <w:rFonts w:eastAsiaTheme="minorHAnsi"/>
                <w:sz w:val="22"/>
                <w:lang w:eastAsia="en-US"/>
              </w:rPr>
              <w:t>CostGas2014</w:t>
            </w:r>
          </w:p>
        </w:tc>
        <w:tc>
          <w:tcPr>
            <w:tcW w:w="1701" w:type="dxa"/>
            <w:shd w:val="clear" w:color="auto" w:fill="DDD9C3" w:themeFill="background2" w:themeFillShade="E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5.0200</w:t>
            </w:r>
          </w:p>
        </w:tc>
        <w:tc>
          <w:tcPr>
            <w:tcW w:w="1465" w:type="dxa"/>
            <w:shd w:val="clear" w:color="auto" w:fill="DDD9C3" w:themeFill="background2" w:themeFillShade="E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p/kWh</w:t>
            </w:r>
          </w:p>
        </w:tc>
      </w:tr>
      <w:tr w:rsidR="00D747DC" w:rsidRPr="00C90AC9" w:rsidTr="0093376F">
        <w:trPr>
          <w:trHeight w:val="284"/>
        </w:trPr>
        <w:tc>
          <w:tcPr>
            <w:tcW w:w="3802" w:type="dxa"/>
            <w:shd w:val="clear" w:color="auto" w:fill="DDD9C3" w:themeFill="background2" w:themeFillShade="E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 xml:space="preserve">Specific </w:t>
            </w:r>
            <w:r w:rsidR="007E00BF" w:rsidRPr="00C90AC9">
              <w:rPr>
                <w:rFonts w:eastAsia="Calibri"/>
                <w:sz w:val="22"/>
                <w:lang w:eastAsia="en-US"/>
              </w:rPr>
              <w:t>CO</w:t>
            </w:r>
            <w:r w:rsidR="007E00BF" w:rsidRPr="00C90AC9">
              <w:rPr>
                <w:rFonts w:eastAsia="Calibri"/>
                <w:sz w:val="22"/>
                <w:vertAlign w:val="subscript"/>
                <w:lang w:eastAsia="en-US"/>
              </w:rPr>
              <w:t>2</w:t>
            </w:r>
            <w:r w:rsidRPr="00C90AC9">
              <w:rPr>
                <w:rFonts w:eastAsiaTheme="minorHAnsi"/>
                <w:sz w:val="22"/>
                <w:lang w:eastAsia="en-US"/>
              </w:rPr>
              <w:t xml:space="preserve"> Emissions</w:t>
            </w:r>
          </w:p>
        </w:tc>
        <w:tc>
          <w:tcPr>
            <w:tcW w:w="2861" w:type="dxa"/>
            <w:shd w:val="clear" w:color="auto" w:fill="DDD9C3" w:themeFill="background2" w:themeFillShade="E6"/>
            <w:vAlign w:val="center"/>
          </w:tcPr>
          <w:p w:rsidR="00D747DC" w:rsidRPr="00C90AC9" w:rsidRDefault="00D747DC" w:rsidP="00C0462B">
            <w:pPr>
              <w:jc w:val="center"/>
              <w:rPr>
                <w:rFonts w:eastAsiaTheme="minorHAnsi"/>
                <w:sz w:val="22"/>
                <w:vertAlign w:val="subscript"/>
                <w:lang w:eastAsia="en-US"/>
              </w:rPr>
            </w:pPr>
            <w:r w:rsidRPr="00C90AC9">
              <w:rPr>
                <w:rFonts w:eastAsiaTheme="minorHAnsi"/>
                <w:sz w:val="22"/>
                <w:lang w:eastAsia="en-US"/>
              </w:rPr>
              <w:t>GasCO</w:t>
            </w:r>
            <w:r w:rsidRPr="00C90AC9">
              <w:rPr>
                <w:rFonts w:eastAsiaTheme="minorHAnsi"/>
                <w:sz w:val="22"/>
                <w:vertAlign w:val="subscript"/>
                <w:lang w:eastAsia="en-US"/>
              </w:rPr>
              <w:t>2</w:t>
            </w:r>
          </w:p>
        </w:tc>
        <w:tc>
          <w:tcPr>
            <w:tcW w:w="1701" w:type="dxa"/>
            <w:shd w:val="clear" w:color="auto" w:fill="DDD9C3" w:themeFill="background2" w:themeFillShade="E6"/>
            <w:vAlign w:val="center"/>
          </w:tcPr>
          <w:p w:rsidR="00D747DC" w:rsidRPr="00C90AC9" w:rsidRDefault="00D747DC" w:rsidP="002B75F0">
            <w:pPr>
              <w:jc w:val="center"/>
              <w:rPr>
                <w:rFonts w:eastAsiaTheme="minorHAnsi"/>
                <w:sz w:val="22"/>
                <w:lang w:eastAsia="en-US"/>
              </w:rPr>
            </w:pPr>
            <w:r w:rsidRPr="00C90AC9">
              <w:rPr>
                <w:rFonts w:eastAsiaTheme="minorHAnsi"/>
                <w:sz w:val="22"/>
                <w:lang w:eastAsia="en-US"/>
              </w:rPr>
              <w:t>0.23</w:t>
            </w:r>
          </w:p>
        </w:tc>
        <w:tc>
          <w:tcPr>
            <w:tcW w:w="1465" w:type="dxa"/>
            <w:shd w:val="clear" w:color="auto" w:fill="DDD9C3" w:themeFill="background2" w:themeFillShade="E6"/>
            <w:vAlign w:val="center"/>
          </w:tcPr>
          <w:p w:rsidR="00D747DC" w:rsidRPr="00C90AC9" w:rsidRDefault="00D747DC" w:rsidP="002B75F0">
            <w:pPr>
              <w:jc w:val="center"/>
              <w:rPr>
                <w:rFonts w:eastAsiaTheme="minorHAnsi"/>
                <w:sz w:val="22"/>
                <w:vertAlign w:val="subscript"/>
                <w:lang w:eastAsia="en-US"/>
              </w:rPr>
            </w:pPr>
            <w:r w:rsidRPr="00C90AC9">
              <w:rPr>
                <w:rFonts w:eastAsiaTheme="minorHAnsi"/>
                <w:sz w:val="22"/>
                <w:lang w:eastAsia="en-US"/>
              </w:rPr>
              <w:t>kg</w:t>
            </w:r>
            <w:r w:rsidRPr="00C90AC9">
              <w:rPr>
                <w:rFonts w:eastAsiaTheme="minorHAnsi"/>
                <w:sz w:val="22"/>
                <w:vertAlign w:val="subscript"/>
                <w:lang w:eastAsia="en-US"/>
              </w:rPr>
              <w:t>CO2</w:t>
            </w:r>
            <w:r w:rsidRPr="00C90AC9">
              <w:rPr>
                <w:rFonts w:eastAsiaTheme="minorHAnsi"/>
                <w:sz w:val="22"/>
                <w:lang w:eastAsia="en-US"/>
              </w:rPr>
              <w:t>/</w:t>
            </w:r>
            <w:proofErr w:type="spellStart"/>
            <w:r w:rsidRPr="00C90AC9">
              <w:rPr>
                <w:rFonts w:eastAsiaTheme="minorHAnsi"/>
                <w:sz w:val="22"/>
                <w:lang w:eastAsia="en-US"/>
              </w:rPr>
              <w:t>kg</w:t>
            </w:r>
            <w:r w:rsidRPr="00C90AC9">
              <w:rPr>
                <w:rFonts w:eastAsiaTheme="minorHAnsi"/>
                <w:sz w:val="22"/>
                <w:vertAlign w:val="subscript"/>
                <w:lang w:eastAsia="en-US"/>
              </w:rPr>
              <w:t>FUEL</w:t>
            </w:r>
            <w:proofErr w:type="spellEnd"/>
          </w:p>
        </w:tc>
      </w:tr>
    </w:tbl>
    <w:p w:rsidR="00A16B8C" w:rsidRPr="00C90AC9" w:rsidRDefault="00A16B8C" w:rsidP="00CA6E35">
      <w:pPr>
        <w:pStyle w:val="List"/>
        <w:numPr>
          <w:ilvl w:val="1"/>
          <w:numId w:val="3"/>
        </w:numPr>
        <w:rPr>
          <w:rStyle w:val="SubtleEmphasis"/>
          <w:rFonts w:cs="Times New Roman"/>
          <w:iCs/>
          <w:szCs w:val="24"/>
        </w:rPr>
      </w:pPr>
      <w:bookmarkStart w:id="47" w:name="_Toc447173065"/>
      <w:bookmarkEnd w:id="46"/>
      <w:r w:rsidRPr="00C90AC9">
        <w:rPr>
          <w:rStyle w:val="SubtleEmphasis"/>
          <w:rFonts w:cs="Times New Roman"/>
          <w:iCs/>
          <w:szCs w:val="24"/>
        </w:rPr>
        <w:lastRenderedPageBreak/>
        <w:t xml:space="preserve">The </w:t>
      </w:r>
      <w:r w:rsidR="00E3686B" w:rsidRPr="00C90AC9">
        <w:rPr>
          <w:rStyle w:val="SubtleEmphasis"/>
          <w:rFonts w:cs="Times New Roman"/>
          <w:iCs/>
          <w:szCs w:val="24"/>
        </w:rPr>
        <w:t xml:space="preserve">hot water </w:t>
      </w:r>
      <w:proofErr w:type="gramStart"/>
      <w:r w:rsidRPr="00C90AC9">
        <w:rPr>
          <w:rStyle w:val="SubtleEmphasis"/>
          <w:rFonts w:cs="Times New Roman"/>
          <w:iCs/>
          <w:szCs w:val="24"/>
        </w:rPr>
        <w:t>tank</w:t>
      </w:r>
      <w:bookmarkEnd w:id="47"/>
      <w:proofErr w:type="gramEnd"/>
    </w:p>
    <w:p w:rsidR="00A16B8C" w:rsidRPr="00C90AC9" w:rsidRDefault="00A16B8C" w:rsidP="000E6BD1">
      <w:pPr>
        <w:pStyle w:val="BodyTextFirstIndent"/>
        <w:spacing w:line="360" w:lineRule="auto"/>
        <w:ind w:firstLine="357"/>
        <w:rPr>
          <w:rFonts w:eastAsiaTheme="minorHAnsi"/>
          <w:lang w:eastAsia="en-US"/>
        </w:rPr>
      </w:pPr>
      <w:r w:rsidRPr="00C90AC9">
        <w:rPr>
          <w:rFonts w:eastAsiaTheme="minorHAnsi"/>
          <w:lang w:eastAsia="en-US"/>
        </w:rPr>
        <w:t>The proposed hot water tank is shown in Figure 3.4.</w:t>
      </w:r>
      <w:r w:rsidR="007E6333" w:rsidRPr="00C90AC9">
        <w:rPr>
          <w:rFonts w:eastAsiaTheme="minorHAnsi"/>
          <w:lang w:eastAsia="en-US"/>
        </w:rPr>
        <w:t xml:space="preserve"> </w:t>
      </w:r>
      <w:r w:rsidR="002F595C" w:rsidRPr="00C90AC9">
        <w:rPr>
          <w:rFonts w:eastAsiaTheme="minorHAnsi"/>
          <w:lang w:eastAsia="en-US"/>
        </w:rPr>
        <w:t xml:space="preserve">A </w:t>
      </w:r>
      <w:r w:rsidRPr="00C90AC9">
        <w:rPr>
          <w:rFonts w:eastAsiaTheme="minorHAnsi"/>
          <w:lang w:eastAsia="en-US"/>
        </w:rPr>
        <w:t xml:space="preserve">heating coil </w:t>
      </w:r>
      <w:r w:rsidR="002F595C" w:rsidRPr="00C90AC9">
        <w:rPr>
          <w:rFonts w:eastAsiaTheme="minorHAnsi"/>
          <w:lang w:eastAsia="en-US"/>
        </w:rPr>
        <w:t>runs</w:t>
      </w:r>
      <w:r w:rsidRPr="00C90AC9">
        <w:rPr>
          <w:rFonts w:eastAsiaTheme="minorHAnsi"/>
          <w:lang w:eastAsia="en-US"/>
        </w:rPr>
        <w:t xml:space="preserve"> through the tank and the dimensions as shown in Table </w:t>
      </w:r>
      <w:r w:rsidR="007E6333" w:rsidRPr="00C90AC9">
        <w:rPr>
          <w:rFonts w:eastAsiaTheme="minorHAnsi"/>
          <w:lang w:eastAsia="en-US"/>
        </w:rPr>
        <w:t>3.4</w:t>
      </w:r>
      <w:r w:rsidRPr="00C90AC9">
        <w:rPr>
          <w:rFonts w:eastAsiaTheme="minorHAnsi"/>
          <w:lang w:eastAsia="en-US"/>
        </w:rPr>
        <w:t>. The heating coil is evenly distributed throughout the tank. The water in the tank is not shown</w:t>
      </w:r>
      <w:r w:rsidR="002F595C" w:rsidRPr="00C90AC9">
        <w:rPr>
          <w:rFonts w:eastAsiaTheme="minorHAnsi"/>
          <w:lang w:eastAsia="en-US"/>
        </w:rPr>
        <w:t xml:space="preserve"> in </w:t>
      </w:r>
      <w:r w:rsidR="00935419" w:rsidRPr="00C90AC9">
        <w:rPr>
          <w:rFonts w:eastAsiaTheme="minorHAnsi"/>
          <w:lang w:eastAsia="en-US"/>
        </w:rPr>
        <w:t>Figure</w:t>
      </w:r>
      <w:r w:rsidR="002F595C" w:rsidRPr="00C90AC9">
        <w:rPr>
          <w:rFonts w:eastAsiaTheme="minorHAnsi"/>
          <w:lang w:eastAsia="en-US"/>
        </w:rPr>
        <w:t xml:space="preserve"> 3.4.</w:t>
      </w:r>
      <w:r w:rsidRPr="00C90AC9">
        <w:rPr>
          <w:rFonts w:eastAsiaTheme="minorHAnsi"/>
          <w:lang w:eastAsia="en-US"/>
        </w:rPr>
        <w:t xml:space="preserve"> for clarity.</w:t>
      </w:r>
    </w:p>
    <w:p w:rsidR="00A16B8C" w:rsidRPr="00C90AC9" w:rsidRDefault="002B75F0" w:rsidP="00B06779">
      <w:pPr>
        <w:pStyle w:val="BodyText"/>
        <w:rPr>
          <w:rFonts w:eastAsiaTheme="minorHAnsi"/>
          <w:lang w:eastAsia="en-US"/>
        </w:rPr>
      </w:pPr>
      <w:r w:rsidRPr="00C90AC9">
        <w:rPr>
          <w:rFonts w:eastAsiaTheme="minorHAnsi"/>
          <w:noProof/>
        </w:rPr>
        <mc:AlternateContent>
          <mc:Choice Requires="wps">
            <w:drawing>
              <wp:anchor distT="0" distB="0" distL="114300" distR="114300" simplePos="0" relativeHeight="251788288" behindDoc="0" locked="0" layoutInCell="1" allowOverlap="1" wp14:anchorId="4DDC0AF1" wp14:editId="0D9C8B9B">
                <wp:simplePos x="0" y="0"/>
                <wp:positionH relativeFrom="column">
                  <wp:posOffset>-118753</wp:posOffset>
                </wp:positionH>
                <wp:positionV relativeFrom="paragraph">
                  <wp:posOffset>217441</wp:posOffset>
                </wp:positionV>
                <wp:extent cx="5972810" cy="3633849"/>
                <wp:effectExtent l="0" t="0" r="27940" b="24130"/>
                <wp:wrapNone/>
                <wp:docPr id="352" name="Rectangle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2810" cy="3633849"/>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C224663" id="Rectangle 352" o:spid="_x0000_s1026" style="position:absolute;margin-left:-9.35pt;margin-top:17.1pt;width:470.3pt;height:286.1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" filled="f" strokecolor="windowText" strokeweight="1pt">
                <v:path arrowok="t"/>
              </v:rect>
            </w:pict>
          </mc:Fallback>
        </mc:AlternateContent>
      </w:r>
      <w:r w:rsidR="0074402A" w:rsidRPr="00C90AC9">
        <w:rPr>
          <w:rFonts w:eastAsiaTheme="minorHAnsi"/>
          <w:noProof/>
        </w:rPr>
        <mc:AlternateContent>
          <mc:Choice Requires="wps">
            <w:drawing>
              <wp:anchor distT="0" distB="0" distL="114300" distR="114300" simplePos="0" relativeHeight="251977728" behindDoc="0" locked="0" layoutInCell="1" allowOverlap="1" wp14:anchorId="49A47ACC" wp14:editId="4607B482">
                <wp:simplePos x="0" y="0"/>
                <wp:positionH relativeFrom="column">
                  <wp:posOffset>3524250</wp:posOffset>
                </wp:positionH>
                <wp:positionV relativeFrom="paragraph">
                  <wp:posOffset>248920</wp:posOffset>
                </wp:positionV>
                <wp:extent cx="1447800" cy="466725"/>
                <wp:effectExtent l="0" t="0" r="0" b="9525"/>
                <wp:wrapNone/>
                <wp:docPr id="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466725"/>
                        </a:xfrm>
                        <a:prstGeom prst="rect">
                          <a:avLst/>
                        </a:prstGeom>
                        <a:solidFill>
                          <a:srgbClr val="FFFFFF"/>
                        </a:solidFill>
                        <a:ln w="9525">
                          <a:solidFill>
                            <a:srgbClr val="000000"/>
                          </a:solidFill>
                          <a:miter lim="800000"/>
                          <a:headEnd/>
                          <a:tailEnd/>
                        </a:ln>
                      </wps:spPr>
                      <wps:txbx>
                        <w:txbxContent>
                          <w:p w:rsidR="00521573" w:rsidRPr="00424988" w:rsidRDefault="00521573" w:rsidP="00B06779">
                            <w:r w:rsidRPr="00424988">
                              <w:t>Hot water drawn off for consumption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A47ACC" id="Text Box 2" o:spid="_x0000_s1054" type="#_x0000_t202" style="position:absolute;left:0;text-align:left;margin-left:277.5pt;margin-top:19.6pt;width:114pt;height:36.7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">
                <v:textbox>
                  <w:txbxContent>
                    <w:p w:rsidR="00521573" w:rsidRPr="00424988" w:rsidRDefault="00521573" w:rsidP="00B06779">
                      <w:r w:rsidRPr="00424988">
                        <w:t>Hot water drawn off for consumption</w:t>
                      </w:r>
                    </w:p>
                  </w:txbxContent>
                </v:textbox>
              </v:shape>
            </w:pict>
          </mc:Fallback>
        </mc:AlternateContent>
      </w:r>
      <w:r w:rsidR="00A16B8C" w:rsidRPr="00C90AC9">
        <w:rPr>
          <w:rFonts w:eastAsiaTheme="minorHAnsi"/>
          <w:lang w:eastAsia="en-US"/>
        </w:rPr>
        <w:t xml:space="preserve">Figure 3.4. </w:t>
      </w:r>
      <w:r w:rsidR="000B2E93" w:rsidRPr="00C90AC9">
        <w:rPr>
          <w:rFonts w:eastAsiaTheme="minorHAnsi"/>
          <w:lang w:eastAsia="en-US"/>
        </w:rPr>
        <w:t>T</w:t>
      </w:r>
      <w:r w:rsidR="00A16B8C" w:rsidRPr="00C90AC9">
        <w:rPr>
          <w:rFonts w:eastAsiaTheme="minorHAnsi"/>
          <w:lang w:eastAsia="en-US"/>
        </w:rPr>
        <w:t>he proposed hot water tank</w:t>
      </w:r>
    </w:p>
    <w:p w:rsidR="00A16B8C" w:rsidRPr="00C90AC9" w:rsidRDefault="002B75F0"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1936768" behindDoc="0" locked="0" layoutInCell="1" allowOverlap="1" wp14:anchorId="30A4B53F" wp14:editId="39C9F972">
                <wp:simplePos x="0" y="0"/>
                <wp:positionH relativeFrom="column">
                  <wp:posOffset>2828925</wp:posOffset>
                </wp:positionH>
                <wp:positionV relativeFrom="paragraph">
                  <wp:posOffset>155575</wp:posOffset>
                </wp:positionV>
                <wp:extent cx="1737995" cy="586105"/>
                <wp:effectExtent l="0" t="0" r="14605" b="23495"/>
                <wp:wrapNone/>
                <wp:docPr id="489" name="Straight Connector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737995" cy="586105"/>
                        </a:xfrm>
                        <a:prstGeom prst="line">
                          <a:avLst/>
                        </a:prstGeom>
                        <a:noFill/>
                        <a:ln w="158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BA8E311" id="Straight Connector 489" o:spid="_x0000_s1026" style="position:absolute;flip:x y;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75pt,12.25pt" to="359.6pt,5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" strokecolor="windowText" strokeweight="1.25pt">
                <o:lock v:ext="edit" shapetype="f"/>
              </v:line>
            </w:pict>
          </mc:Fallback>
        </mc:AlternateContent>
      </w:r>
      <w:r w:rsidRPr="00C90AC9">
        <w:rPr>
          <w:rFonts w:eastAsiaTheme="minorHAnsi"/>
          <w:noProof/>
        </w:rPr>
        <mc:AlternateContent>
          <mc:Choice Requires="wps">
            <w:drawing>
              <wp:anchor distT="0" distB="0" distL="114300" distR="114300" simplePos="0" relativeHeight="251804672" behindDoc="0" locked="0" layoutInCell="1" allowOverlap="1" wp14:anchorId="14734FCD" wp14:editId="26C92698">
                <wp:simplePos x="0" y="0"/>
                <wp:positionH relativeFrom="column">
                  <wp:posOffset>2825750</wp:posOffset>
                </wp:positionH>
                <wp:positionV relativeFrom="paragraph">
                  <wp:posOffset>153035</wp:posOffset>
                </wp:positionV>
                <wp:extent cx="771525" cy="94615"/>
                <wp:effectExtent l="0" t="0" r="28575" b="19685"/>
                <wp:wrapNone/>
                <wp:docPr id="360" name="Straight Connector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71525" cy="94615"/>
                        </a:xfrm>
                        <a:prstGeom prst="line">
                          <a:avLst/>
                        </a:prstGeom>
                        <a:noFill/>
                        <a:ln w="158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8BB9023" id="Straight Connector 360" o:spid="_x0000_s1026" style="position:absolute;flip:x;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5pt,12.05pt" to="283.2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" strokecolor="windowText" strokeweight="1.25pt">
                <o:lock v:ext="edit" shapetype="f"/>
              </v:line>
            </w:pict>
          </mc:Fallback>
        </mc:AlternateContent>
      </w:r>
      <w:r w:rsidRPr="00C90AC9">
        <w:rPr>
          <w:rFonts w:eastAsiaTheme="minorHAnsi"/>
          <w:noProof/>
        </w:rPr>
        <mc:AlternateContent>
          <mc:Choice Requires="wps">
            <w:drawing>
              <wp:anchor distT="0" distB="0" distL="114300" distR="114300" simplePos="0" relativeHeight="251811840" behindDoc="0" locked="0" layoutInCell="1" allowOverlap="1" wp14:anchorId="0DDA54C3" wp14:editId="0BF27185">
                <wp:simplePos x="0" y="0"/>
                <wp:positionH relativeFrom="column">
                  <wp:posOffset>213756</wp:posOffset>
                </wp:positionH>
                <wp:positionV relativeFrom="paragraph">
                  <wp:posOffset>10564</wp:posOffset>
                </wp:positionV>
                <wp:extent cx="982930" cy="704561"/>
                <wp:effectExtent l="0" t="0" r="27305" b="19685"/>
                <wp:wrapNone/>
                <wp:docPr id="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930" cy="704561"/>
                        </a:xfrm>
                        <a:prstGeom prst="rect">
                          <a:avLst/>
                        </a:prstGeom>
                        <a:solidFill>
                          <a:srgbClr val="FFFFFF"/>
                        </a:solidFill>
                        <a:ln w="9525">
                          <a:solidFill>
                            <a:srgbClr val="000000"/>
                          </a:solidFill>
                          <a:miter lim="800000"/>
                          <a:headEnd/>
                          <a:tailEnd/>
                        </a:ln>
                      </wps:spPr>
                      <wps:txbx>
                        <w:txbxContent>
                          <w:p w:rsidR="00521573" w:rsidRPr="00424988" w:rsidRDefault="00521573" w:rsidP="00F7423A">
                            <w:pPr>
                              <w:jc w:val="center"/>
                            </w:pPr>
                            <w:r>
                              <w:t>Perfect insulating material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DA54C3" id="_x0000_s1055" type="#_x0000_t202" style="position:absolute;left:0;text-align:left;margin-left:16.85pt;margin-top:.85pt;width:77.4pt;height:55.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">
                <v:textbox>
                  <w:txbxContent>
                    <w:p w:rsidR="00521573" w:rsidRPr="00424988" w:rsidRDefault="00521573" w:rsidP="00F7423A">
                      <w:pPr>
                        <w:jc w:val="center"/>
                      </w:pPr>
                      <w:r>
                        <w:t>Perfect insulating material</w:t>
                      </w:r>
                    </w:p>
                  </w:txbxContent>
                </v:textbox>
              </v:shape>
            </w:pict>
          </mc:Fallback>
        </mc:AlternateContent>
      </w:r>
      <w:r w:rsidR="0074402A" w:rsidRPr="00C90AC9">
        <w:rPr>
          <w:rFonts w:eastAsiaTheme="minorHAnsi"/>
          <w:noProof/>
        </w:rPr>
        <mc:AlternateContent>
          <mc:Choice Requires="wps">
            <w:drawing>
              <wp:anchor distT="0" distB="0" distL="114300" distR="114300" simplePos="0" relativeHeight="251845632" behindDoc="0" locked="0" layoutInCell="1" allowOverlap="1" wp14:anchorId="6EF9A307" wp14:editId="79F027B8">
                <wp:simplePos x="0" y="0"/>
                <wp:positionH relativeFrom="column">
                  <wp:posOffset>2633980</wp:posOffset>
                </wp:positionH>
                <wp:positionV relativeFrom="paragraph">
                  <wp:posOffset>118110</wp:posOffset>
                </wp:positionV>
                <wp:extent cx="222250" cy="321945"/>
                <wp:effectExtent l="95250" t="0" r="6350" b="0"/>
                <wp:wrapNone/>
                <wp:docPr id="353" name="Right Arrow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22250" cy="321945"/>
                        </a:xfrm>
                        <a:prstGeom prst="rightArrow">
                          <a:avLst/>
                        </a:prstGeom>
                        <a:solidFill>
                          <a:srgbClr val="FF3B3B"/>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8F0E4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53" o:spid="_x0000_s1026" type="#_x0000_t13" style="position:absolute;margin-left:207.4pt;margin-top:9.3pt;width:17.5pt;height:25.35pt;rotation:-90;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" adj="10800" fillcolor="#ff3b3b" strokecolor="#385d8a" strokeweight="1pt">
                <v:path arrowok="t"/>
              </v:shape>
            </w:pict>
          </mc:Fallback>
        </mc:AlternateContent>
      </w:r>
      <w:r w:rsidR="0074402A" w:rsidRPr="00C90AC9">
        <w:rPr>
          <w:rFonts w:eastAsiaTheme="minorHAnsi"/>
          <w:noProof/>
        </w:rPr>
        <mc:AlternateContent>
          <mc:Choice Requires="wps">
            <w:drawing>
              <wp:anchor distT="0" distB="0" distL="114300" distR="114300" simplePos="0" relativeHeight="251800576" behindDoc="0" locked="0" layoutInCell="1" allowOverlap="1" wp14:anchorId="0D30B881" wp14:editId="2122EDAE">
                <wp:simplePos x="0" y="0"/>
                <wp:positionH relativeFrom="column">
                  <wp:posOffset>2828925</wp:posOffset>
                </wp:positionH>
                <wp:positionV relativeFrom="paragraph">
                  <wp:posOffset>208280</wp:posOffset>
                </wp:positionV>
                <wp:extent cx="1085850" cy="66675"/>
                <wp:effectExtent l="0" t="0" r="0" b="9525"/>
                <wp:wrapNone/>
                <wp:docPr id="357" name="Straight Connector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85850" cy="66675"/>
                        </a:xfrm>
                        <a:prstGeom prst="line">
                          <a:avLst/>
                        </a:prstGeom>
                        <a:noFill/>
                        <a:ln w="158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F05F9D6" id="Straight Connector 357" o:spid="_x0000_s1026" style="position:absolute;flip:x;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75pt,16.4pt" to="308.25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" strokecolor="windowText" strokeweight="1.25pt">
                <o:lock v:ext="edit" shapetype="f"/>
              </v:line>
            </w:pict>
          </mc:Fallback>
        </mc:AlternateContent>
      </w:r>
      <w:r w:rsidR="002F595C" w:rsidRPr="00C90AC9">
        <w:rPr>
          <w:rFonts w:eastAsiaTheme="minorHAnsi"/>
          <w:noProof/>
        </w:rPr>
        <w:drawing>
          <wp:anchor distT="0" distB="0" distL="114300" distR="114300" simplePos="0" relativeHeight="251802624" behindDoc="0" locked="0" layoutInCell="1" allowOverlap="1" wp14:anchorId="5404E442" wp14:editId="5AB58CB8">
            <wp:simplePos x="0" y="0"/>
            <wp:positionH relativeFrom="column">
              <wp:posOffset>1147445</wp:posOffset>
            </wp:positionH>
            <wp:positionV relativeFrom="paragraph">
              <wp:posOffset>95885</wp:posOffset>
            </wp:positionV>
            <wp:extent cx="3327400" cy="2635885"/>
            <wp:effectExtent l="0" t="0" r="6350" b="0"/>
            <wp:wrapSquare wrapText="bothSides"/>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27400" cy="2635885"/>
                    </a:xfrm>
                    <a:prstGeom prst="rect">
                      <a:avLst/>
                    </a:prstGeom>
                    <a:noFill/>
                    <a:ln>
                      <a:noFill/>
                    </a:ln>
                  </pic:spPr>
                </pic:pic>
              </a:graphicData>
            </a:graphic>
          </wp:anchor>
        </w:drawing>
      </w:r>
      <w:r w:rsidR="0074402A" w:rsidRPr="00C90AC9">
        <w:rPr>
          <w:rFonts w:eastAsiaTheme="minorHAnsi"/>
          <w:noProof/>
        </w:rPr>
        <mc:AlternateContent>
          <mc:Choice Requires="wps">
            <w:drawing>
              <wp:anchor distT="0" distB="0" distL="114300" distR="114300" simplePos="0" relativeHeight="251806720" behindDoc="0" locked="0" layoutInCell="1" allowOverlap="1" wp14:anchorId="01E45965" wp14:editId="30463668">
                <wp:simplePos x="0" y="0"/>
                <wp:positionH relativeFrom="column">
                  <wp:posOffset>2596515</wp:posOffset>
                </wp:positionH>
                <wp:positionV relativeFrom="paragraph">
                  <wp:posOffset>54610</wp:posOffset>
                </wp:positionV>
                <wp:extent cx="318135" cy="170815"/>
                <wp:effectExtent l="0" t="0" r="5715" b="635"/>
                <wp:wrapNone/>
                <wp:docPr id="359" name="Rectangle 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8135" cy="170815"/>
                        </a:xfrm>
                        <a:prstGeom prst="rect">
                          <a:avLst/>
                        </a:prstGeom>
                        <a:solidFill>
                          <a:sysClr val="windowText" lastClr="000000">
                            <a:lumMod val="65000"/>
                            <a:lumOff val="35000"/>
                          </a:sysClr>
                        </a:solidFill>
                        <a:ln w="9525"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FC3C45" id="Rectangle 359" o:spid="_x0000_s1026" style="position:absolute;margin-left:204.45pt;margin-top:4.3pt;width:25.05pt;height:13.4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" fillcolor="#595959">
                <v:path arrowok="t"/>
              </v:rect>
            </w:pict>
          </mc:Fallback>
        </mc:AlternateContent>
      </w:r>
      <w:r w:rsidR="0074402A" w:rsidRPr="00C90AC9">
        <w:rPr>
          <w:rFonts w:eastAsiaTheme="minorHAnsi"/>
          <w:noProof/>
        </w:rPr>
        <mc:AlternateContent>
          <mc:Choice Requires="wps">
            <w:drawing>
              <wp:anchor distT="0" distB="0" distL="114300" distR="114300" simplePos="0" relativeHeight="251789312" behindDoc="0" locked="0" layoutInCell="1" allowOverlap="1" wp14:anchorId="10A20EE6" wp14:editId="3422533D">
                <wp:simplePos x="0" y="0"/>
                <wp:positionH relativeFrom="column">
                  <wp:posOffset>1552575</wp:posOffset>
                </wp:positionH>
                <wp:positionV relativeFrom="paragraph">
                  <wp:posOffset>186690</wp:posOffset>
                </wp:positionV>
                <wp:extent cx="2571750" cy="1905"/>
                <wp:effectExtent l="0" t="19050" r="0" b="17145"/>
                <wp:wrapNone/>
                <wp:docPr id="362" name="Straight Connector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71750" cy="1905"/>
                        </a:xfrm>
                        <a:prstGeom prst="line">
                          <a:avLst/>
                        </a:prstGeom>
                        <a:noFill/>
                        <a:ln w="41275" cap="flat" cmpd="sng" algn="ctr">
                          <a:solidFill>
                            <a:sysClr val="windowText" lastClr="000000">
                              <a:lumMod val="75000"/>
                              <a:lumOff val="2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5A927B9" id="Straight Connector 362" o:spid="_x0000_s1026" style="position:absolute;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25pt,14.7pt" to="324.7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" strokecolor="#404040" strokeweight="3.25pt">
                <o:lock v:ext="edit" shapetype="f"/>
              </v:line>
            </w:pict>
          </mc:Fallback>
        </mc:AlternateContent>
      </w:r>
    </w:p>
    <w:p w:rsidR="00A16B8C" w:rsidRPr="00C90AC9" w:rsidRDefault="004B00CC"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1850752" behindDoc="0" locked="0" layoutInCell="1" allowOverlap="1" wp14:anchorId="23E02227" wp14:editId="688B0796">
                <wp:simplePos x="0" y="0"/>
                <wp:positionH relativeFrom="column">
                  <wp:posOffset>1143000</wp:posOffset>
                </wp:positionH>
                <wp:positionV relativeFrom="paragraph">
                  <wp:posOffset>59690</wp:posOffset>
                </wp:positionV>
                <wp:extent cx="685800" cy="223202"/>
                <wp:effectExtent l="19050" t="19050" r="19050" b="43815"/>
                <wp:wrapNone/>
                <wp:docPr id="358" name="Right Arrow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75785">
                          <a:off x="0" y="0"/>
                          <a:ext cx="685800" cy="223202"/>
                        </a:xfrm>
                        <a:prstGeom prst="rightArrow">
                          <a:avLst/>
                        </a:prstGeom>
                        <a:solidFill>
                          <a:srgbClr val="CE533E"/>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6E8E4" id="Right Arrow 358" o:spid="_x0000_s1026" type="#_x0000_t13" style="position:absolute;margin-left:90pt;margin-top:4.7pt;width:54pt;height:17.55pt;rotation:301231fd;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" adj="18085" fillcolor="#ce533e" strokecolor="windowText" strokeweight=".5pt">
                <v:path arrowok="t"/>
              </v:shape>
            </w:pict>
          </mc:Fallback>
        </mc:AlternateContent>
      </w:r>
      <w:r w:rsidR="00F7423A" w:rsidRPr="00C90AC9">
        <w:rPr>
          <w:rFonts w:eastAsiaTheme="minorHAnsi"/>
          <w:noProof/>
        </w:rPr>
        <mc:AlternateContent>
          <mc:Choice Requires="wps">
            <w:drawing>
              <wp:anchor distT="0" distB="0" distL="114300" distR="114300" simplePos="0" relativeHeight="251833344" behindDoc="0" locked="0" layoutInCell="1" allowOverlap="1" wp14:anchorId="38AEE208" wp14:editId="28220CE6">
                <wp:simplePos x="0" y="0"/>
                <wp:positionH relativeFrom="column">
                  <wp:posOffset>4562475</wp:posOffset>
                </wp:positionH>
                <wp:positionV relativeFrom="paragraph">
                  <wp:posOffset>240030</wp:posOffset>
                </wp:positionV>
                <wp:extent cx="981075" cy="857250"/>
                <wp:effectExtent l="0" t="0" r="28575" b="19050"/>
                <wp:wrapNone/>
                <wp:docPr id="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857250"/>
                        </a:xfrm>
                        <a:prstGeom prst="rect">
                          <a:avLst/>
                        </a:prstGeom>
                        <a:solidFill>
                          <a:srgbClr val="FFFFFF"/>
                        </a:solidFill>
                        <a:ln w="9525">
                          <a:solidFill>
                            <a:srgbClr val="000000"/>
                          </a:solidFill>
                          <a:miter lim="800000"/>
                          <a:headEnd/>
                          <a:tailEnd/>
                        </a:ln>
                      </wps:spPr>
                      <wps:txbx>
                        <w:txbxContent>
                          <w:p w:rsidR="00521573" w:rsidRPr="00424988" w:rsidRDefault="00521573" w:rsidP="00F7423A">
                            <w:pPr>
                              <w:jc w:val="center"/>
                            </w:pPr>
                            <w:r>
                              <w:t>Valve to allow heated water to be used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AEE208" id="_x0000_s1056" type="#_x0000_t202" style="position:absolute;left:0;text-align:left;margin-left:359.25pt;margin-top:18.9pt;width:77.25pt;height:6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">
                <v:textbox>
                  <w:txbxContent>
                    <w:p w:rsidR="00521573" w:rsidRPr="00424988" w:rsidRDefault="00521573" w:rsidP="00F7423A">
                      <w:pPr>
                        <w:jc w:val="center"/>
                      </w:pPr>
                      <w:r>
                        <w:t>Valve to allow heated water to be used</w:t>
                      </w:r>
                    </w:p>
                  </w:txbxContent>
                </v:textbox>
              </v:shape>
            </w:pict>
          </mc:Fallback>
        </mc:AlternateContent>
      </w:r>
      <w:r w:rsidR="00F7423A" w:rsidRPr="00C90AC9">
        <w:rPr>
          <w:rFonts w:eastAsiaTheme="minorHAnsi"/>
          <w:noProof/>
        </w:rPr>
        <mc:AlternateContent>
          <mc:Choice Requires="wps">
            <w:drawing>
              <wp:anchor distT="0" distB="0" distL="114300" distR="114300" simplePos="0" relativeHeight="251934720" behindDoc="0" locked="0" layoutInCell="1" allowOverlap="1" wp14:anchorId="3D558BAD" wp14:editId="15DC4790">
                <wp:simplePos x="0" y="0"/>
                <wp:positionH relativeFrom="column">
                  <wp:posOffset>981075</wp:posOffset>
                </wp:positionH>
                <wp:positionV relativeFrom="paragraph">
                  <wp:posOffset>192405</wp:posOffset>
                </wp:positionV>
                <wp:extent cx="1234440" cy="573405"/>
                <wp:effectExtent l="0" t="0" r="22860" b="36195"/>
                <wp:wrapNone/>
                <wp:docPr id="488" name="Straight Connector 4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34440" cy="573405"/>
                        </a:xfrm>
                        <a:prstGeom prst="line">
                          <a:avLst/>
                        </a:prstGeom>
                        <a:noFill/>
                        <a:ln w="158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483C937" id="Straight Connector 488" o:spid="_x0000_s1026" style="position:absolute;flip:x;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25pt,15.15pt" to="174.45pt,6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" strokecolor="windowText" strokeweight="1.25pt">
                <o:lock v:ext="edit" shapetype="f"/>
              </v:line>
            </w:pict>
          </mc:Fallback>
        </mc:AlternateContent>
      </w:r>
      <w:r w:rsidR="0074402A" w:rsidRPr="00C90AC9">
        <w:rPr>
          <w:rFonts w:eastAsiaTheme="minorHAnsi"/>
          <w:noProof/>
        </w:rPr>
        <mc:AlternateContent>
          <mc:Choice Requires="wps">
            <w:drawing>
              <wp:anchor distT="0" distB="0" distL="114300" distR="114300" simplePos="0" relativeHeight="251809792" behindDoc="0" locked="0" layoutInCell="1" allowOverlap="1" wp14:anchorId="3EB21F60" wp14:editId="526A8B54">
                <wp:simplePos x="0" y="0"/>
                <wp:positionH relativeFrom="column">
                  <wp:posOffset>797560</wp:posOffset>
                </wp:positionH>
                <wp:positionV relativeFrom="paragraph">
                  <wp:posOffset>153670</wp:posOffset>
                </wp:positionV>
                <wp:extent cx="398145" cy="288925"/>
                <wp:effectExtent l="0" t="0" r="1905" b="15875"/>
                <wp:wrapNone/>
                <wp:docPr id="363" name="Straight Connector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98145" cy="288925"/>
                        </a:xfrm>
                        <a:prstGeom prst="line">
                          <a:avLst/>
                        </a:prstGeom>
                        <a:noFill/>
                        <a:ln w="158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9611AF8" id="Straight Connector 363" o:spid="_x0000_s1026" style="position:absolute;flip:x;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8pt,12.1pt" to="94.15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" strokecolor="windowText" strokeweight="1.25pt">
                <o:lock v:ext="edit" shapetype="f"/>
              </v:line>
            </w:pict>
          </mc:Fallback>
        </mc:AlternateContent>
      </w:r>
    </w:p>
    <w:p w:rsidR="00A16B8C" w:rsidRPr="00C90AC9" w:rsidRDefault="00F7423A" w:rsidP="00B06779">
      <w:pPr>
        <w:rPr>
          <w:rFonts w:eastAsiaTheme="minorHAnsi"/>
        </w:rPr>
      </w:pPr>
      <w:r w:rsidRPr="00C90AC9">
        <w:rPr>
          <w:rFonts w:eastAsiaTheme="minorHAnsi"/>
          <w:noProof/>
        </w:rPr>
        <mc:AlternateContent>
          <mc:Choice Requires="wps">
            <w:drawing>
              <wp:anchor distT="0" distB="0" distL="114300" distR="114300" simplePos="0" relativeHeight="251803648" behindDoc="0" locked="0" layoutInCell="1" allowOverlap="1" wp14:anchorId="5C6FED1B" wp14:editId="4CE80B9C">
                <wp:simplePos x="0" y="0"/>
                <wp:positionH relativeFrom="column">
                  <wp:posOffset>1181100</wp:posOffset>
                </wp:positionH>
                <wp:positionV relativeFrom="paragraph">
                  <wp:posOffset>57786</wp:posOffset>
                </wp:positionV>
                <wp:extent cx="382905" cy="107949"/>
                <wp:effectExtent l="0" t="0" r="17145" b="26035"/>
                <wp:wrapNone/>
                <wp:docPr id="354" name="Straight Connector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82905" cy="107949"/>
                        </a:xfrm>
                        <a:prstGeom prst="line">
                          <a:avLst/>
                        </a:prstGeom>
                        <a:noFill/>
                        <a:ln w="158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8DB6E59" id="Straight Connector 354" o:spid="_x0000_s1026" style="position:absolute;flip:x 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pt,4.55pt" to="123.1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" strokecolor="windowText" strokeweight="1.25pt">
                <o:lock v:ext="edit" shapetype="f"/>
              </v:line>
            </w:pict>
          </mc:Fallback>
        </mc:AlternateContent>
      </w:r>
      <w:r w:rsidR="002B75F0" w:rsidRPr="00C90AC9">
        <w:rPr>
          <w:rFonts w:eastAsiaTheme="minorHAnsi"/>
          <w:noProof/>
        </w:rPr>
        <mc:AlternateContent>
          <mc:Choice Requires="wps">
            <w:drawing>
              <wp:anchor distT="0" distB="0" distL="114300" distR="114300" simplePos="0" relativeHeight="251810816" behindDoc="0" locked="0" layoutInCell="1" allowOverlap="1" wp14:anchorId="7D12419A" wp14:editId="406B9A4B">
                <wp:simplePos x="0" y="0"/>
                <wp:positionH relativeFrom="column">
                  <wp:posOffset>82550</wp:posOffset>
                </wp:positionH>
                <wp:positionV relativeFrom="paragraph">
                  <wp:posOffset>190945</wp:posOffset>
                </wp:positionV>
                <wp:extent cx="857250" cy="676275"/>
                <wp:effectExtent l="0" t="0" r="19050" b="28575"/>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676275"/>
                        </a:xfrm>
                        <a:prstGeom prst="rect">
                          <a:avLst/>
                        </a:prstGeom>
                        <a:solidFill>
                          <a:srgbClr val="FFFFFF"/>
                        </a:solidFill>
                        <a:ln w="9525">
                          <a:solidFill>
                            <a:srgbClr val="000000"/>
                          </a:solidFill>
                          <a:miter lim="800000"/>
                          <a:headEnd/>
                          <a:tailEnd/>
                        </a:ln>
                      </wps:spPr>
                      <wps:txbx>
                        <w:txbxContent>
                          <w:p w:rsidR="00521573" w:rsidRPr="00424988" w:rsidRDefault="00521573" w:rsidP="00F7423A">
                            <w:pPr>
                              <w:jc w:val="center"/>
                            </w:pPr>
                            <w:r w:rsidRPr="00424988">
                              <w:t>Hot water from the STP</w:t>
                            </w:r>
                            <w:r>
                              <w:t xml:space="preserve"> (</w:t>
                            </w:r>
                            <w:r>
                              <w:rPr>
                                <w:rFonts w:cs="Times New Roman"/>
                              </w:rPr>
                              <w:t>ṁ</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12419A" id="_x0000_s1057" type="#_x0000_t202" style="position:absolute;left:0;text-align:left;margin-left:6.5pt;margin-top:15.05pt;width:67.5pt;height:53.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">
                <v:textbox>
                  <w:txbxContent>
                    <w:p w:rsidR="00521573" w:rsidRPr="00424988" w:rsidRDefault="00521573" w:rsidP="00F7423A">
                      <w:pPr>
                        <w:jc w:val="center"/>
                      </w:pPr>
                      <w:r w:rsidRPr="00424988">
                        <w:t>Hot water from the STP</w:t>
                      </w:r>
                      <w:r>
                        <w:t xml:space="preserve"> (</w:t>
                      </w:r>
                      <w:r>
                        <w:rPr>
                          <w:rFonts w:cs="Times New Roman"/>
                        </w:rPr>
                        <w:t>ṁ</w:t>
                      </w:r>
                      <w:r>
                        <w:t>)</w:t>
                      </w:r>
                    </w:p>
                  </w:txbxContent>
                </v:textbox>
              </v:shape>
            </w:pict>
          </mc:Fallback>
        </mc:AlternateContent>
      </w:r>
    </w:p>
    <w:p w:rsidR="00A16B8C" w:rsidRPr="00C90AC9" w:rsidRDefault="0074402A"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1813888" behindDoc="0" locked="0" layoutInCell="1" allowOverlap="1" wp14:anchorId="7B0B17EB" wp14:editId="73A1890E">
                <wp:simplePos x="0" y="0"/>
                <wp:positionH relativeFrom="column">
                  <wp:posOffset>3600450</wp:posOffset>
                </wp:positionH>
                <wp:positionV relativeFrom="paragraph">
                  <wp:posOffset>265430</wp:posOffset>
                </wp:positionV>
                <wp:extent cx="962025" cy="495300"/>
                <wp:effectExtent l="0" t="0" r="28575" b="19050"/>
                <wp:wrapNone/>
                <wp:docPr id="364" name="Straight Connector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962025" cy="495300"/>
                        </a:xfrm>
                        <a:prstGeom prst="line">
                          <a:avLst/>
                        </a:prstGeom>
                        <a:noFill/>
                        <a:ln w="158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4B06D60" id="Straight Connector 364" o:spid="_x0000_s1026" style="position:absolute;flip:x 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5pt,20.9pt" to="359.25pt,5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" strokecolor="windowText" strokeweight="1.25pt">
                <o:lock v:ext="edit" shapetype="f"/>
              </v:line>
            </w:pict>
          </mc:Fallback>
        </mc:AlternateContent>
      </w:r>
    </w:p>
    <w:p w:rsidR="00A16B8C" w:rsidRPr="00C90AC9" w:rsidRDefault="00A16B8C" w:rsidP="00B06779">
      <w:pPr>
        <w:rPr>
          <w:rFonts w:eastAsiaTheme="minorHAnsi"/>
          <w:lang w:eastAsia="en-US"/>
        </w:rPr>
      </w:pPr>
    </w:p>
    <w:p w:rsidR="00A16B8C" w:rsidRPr="00C90AC9" w:rsidRDefault="00F7423A"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1843584" behindDoc="0" locked="0" layoutInCell="1" allowOverlap="1" wp14:anchorId="1713D380" wp14:editId="6EA5A140">
                <wp:simplePos x="0" y="0"/>
                <wp:positionH relativeFrom="column">
                  <wp:posOffset>4464050</wp:posOffset>
                </wp:positionH>
                <wp:positionV relativeFrom="paragraph">
                  <wp:posOffset>204470</wp:posOffset>
                </wp:positionV>
                <wp:extent cx="1190625" cy="238125"/>
                <wp:effectExtent l="0" t="0" r="28575" b="28575"/>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38125"/>
                        </a:xfrm>
                        <a:prstGeom prst="rect">
                          <a:avLst/>
                        </a:prstGeom>
                        <a:solidFill>
                          <a:srgbClr val="FFFFFF"/>
                        </a:solidFill>
                        <a:ln w="9525">
                          <a:solidFill>
                            <a:srgbClr val="000000"/>
                          </a:solidFill>
                          <a:miter lim="800000"/>
                          <a:headEnd/>
                          <a:tailEnd/>
                        </a:ln>
                      </wps:spPr>
                      <wps:txbx>
                        <w:txbxContent>
                          <w:p w:rsidR="00521573" w:rsidRPr="00424988" w:rsidRDefault="00521573" w:rsidP="00F7423A">
                            <w:pPr>
                              <w:jc w:val="center"/>
                            </w:pPr>
                            <w:r w:rsidRPr="00424988">
                              <w:t>Metal support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13D380" id="_x0000_s1058" type="#_x0000_t202" style="position:absolute;left:0;text-align:left;margin-left:351.5pt;margin-top:16.1pt;width:93.75pt;height:18.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">
                <v:textbox>
                  <w:txbxContent>
                    <w:p w:rsidR="00521573" w:rsidRPr="00424988" w:rsidRDefault="00521573" w:rsidP="00F7423A">
                      <w:pPr>
                        <w:jc w:val="center"/>
                      </w:pPr>
                      <w:r w:rsidRPr="00424988">
                        <w:t>Metal support</w:t>
                      </w:r>
                    </w:p>
                  </w:txbxContent>
                </v:textbox>
              </v:shape>
            </w:pict>
          </mc:Fallback>
        </mc:AlternateContent>
      </w:r>
      <w:r w:rsidR="002B75F0" w:rsidRPr="00C90AC9">
        <w:rPr>
          <w:rFonts w:eastAsiaTheme="minorHAnsi"/>
          <w:noProof/>
        </w:rPr>
        <mc:AlternateContent>
          <mc:Choice Requires="wps">
            <w:drawing>
              <wp:anchor distT="0" distB="0" distL="114300" distR="114300" simplePos="0" relativeHeight="251816960" behindDoc="0" locked="0" layoutInCell="1" allowOverlap="1" wp14:anchorId="63280697" wp14:editId="1191AFBE">
                <wp:simplePos x="0" y="0"/>
                <wp:positionH relativeFrom="column">
                  <wp:posOffset>82550</wp:posOffset>
                </wp:positionH>
                <wp:positionV relativeFrom="paragraph">
                  <wp:posOffset>56960</wp:posOffset>
                </wp:positionV>
                <wp:extent cx="923925" cy="652780"/>
                <wp:effectExtent l="0" t="0" r="28575" b="13970"/>
                <wp:wrapNone/>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652780"/>
                        </a:xfrm>
                        <a:prstGeom prst="rect">
                          <a:avLst/>
                        </a:prstGeom>
                        <a:solidFill>
                          <a:srgbClr val="FFFFFF"/>
                        </a:solidFill>
                        <a:ln w="9525">
                          <a:solidFill>
                            <a:srgbClr val="000000"/>
                          </a:solidFill>
                          <a:miter lim="800000"/>
                          <a:headEnd/>
                          <a:tailEnd/>
                        </a:ln>
                      </wps:spPr>
                      <wps:txbx>
                        <w:txbxContent>
                          <w:p w:rsidR="00521573" w:rsidRPr="00424988" w:rsidRDefault="00521573" w:rsidP="00F7423A">
                            <w:pPr>
                              <w:jc w:val="center"/>
                            </w:pPr>
                            <w:r>
                              <w:t>Perfect insulating material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280697" id="_x0000_s1059" type="#_x0000_t202" style="position:absolute;left:0;text-align:left;margin-left:6.5pt;margin-top:4.5pt;width:72.75pt;height:51.4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">
                <v:textbox>
                  <w:txbxContent>
                    <w:p w:rsidR="00521573" w:rsidRPr="00424988" w:rsidRDefault="00521573" w:rsidP="00F7423A">
                      <w:pPr>
                        <w:jc w:val="center"/>
                      </w:pPr>
                      <w:r>
                        <w:t>Perfect insulating material</w:t>
                      </w:r>
                    </w:p>
                  </w:txbxContent>
                </v:textbox>
              </v:shape>
            </w:pict>
          </mc:Fallback>
        </mc:AlternateContent>
      </w:r>
      <w:r w:rsidR="0074402A" w:rsidRPr="00C90AC9">
        <w:rPr>
          <w:rFonts w:eastAsiaTheme="minorHAnsi"/>
          <w:noProof/>
        </w:rPr>
        <mc:AlternateContent>
          <mc:Choice Requires="wps">
            <w:drawing>
              <wp:anchor distT="0" distB="0" distL="114300" distR="114300" simplePos="0" relativeHeight="251814912" behindDoc="0" locked="0" layoutInCell="1" allowOverlap="1" wp14:anchorId="1D0FBA2F" wp14:editId="7F664C5A">
                <wp:simplePos x="0" y="0"/>
                <wp:positionH relativeFrom="column">
                  <wp:posOffset>755015</wp:posOffset>
                </wp:positionH>
                <wp:positionV relativeFrom="paragraph">
                  <wp:posOffset>111760</wp:posOffset>
                </wp:positionV>
                <wp:extent cx="811530" cy="276225"/>
                <wp:effectExtent l="0" t="0" r="7620" b="9525"/>
                <wp:wrapNone/>
                <wp:docPr id="368" name="Straight Connector 3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811530" cy="276225"/>
                        </a:xfrm>
                        <a:prstGeom prst="line">
                          <a:avLst/>
                        </a:prstGeom>
                        <a:noFill/>
                        <a:ln w="158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284314E" id="Straight Connector 368" o:spid="_x0000_s1026" style="position:absolute;flip:x 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45pt,8.8pt" to="123.35pt,3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" strokecolor="windowText" strokeweight="1.25pt">
                <o:lock v:ext="edit" shapetype="f"/>
              </v:line>
            </w:pict>
          </mc:Fallback>
        </mc:AlternateContent>
      </w:r>
      <w:r w:rsidR="0074402A" w:rsidRPr="00C90AC9">
        <w:rPr>
          <w:rFonts w:eastAsiaTheme="minorHAnsi"/>
          <w:noProof/>
        </w:rPr>
        <mc:AlternateContent>
          <mc:Choice Requires="wps">
            <w:drawing>
              <wp:anchor distT="0" distB="0" distL="114300" distR="114300" simplePos="0" relativeHeight="251795456" behindDoc="0" locked="0" layoutInCell="1" allowOverlap="1" wp14:anchorId="128C0A24" wp14:editId="216DBAB5">
                <wp:simplePos x="0" y="0"/>
                <wp:positionH relativeFrom="column">
                  <wp:posOffset>2924175</wp:posOffset>
                </wp:positionH>
                <wp:positionV relativeFrom="paragraph">
                  <wp:posOffset>51435</wp:posOffset>
                </wp:positionV>
                <wp:extent cx="1364615" cy="57150"/>
                <wp:effectExtent l="0" t="0" r="6985" b="0"/>
                <wp:wrapNone/>
                <wp:docPr id="369" name="Straight Connector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364615" cy="57150"/>
                        </a:xfrm>
                        <a:prstGeom prst="line">
                          <a:avLst/>
                        </a:prstGeom>
                        <a:noFill/>
                        <a:ln w="158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D13A820" id="Straight Connector 369" o:spid="_x0000_s1026" style="position:absolute;flip:x 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25pt,4.05pt" to="337.7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" strokecolor="windowText" strokeweight="1.25pt">
                <o:lock v:ext="edit" shapetype="f"/>
              </v:line>
            </w:pict>
          </mc:Fallback>
        </mc:AlternateContent>
      </w:r>
    </w:p>
    <w:p w:rsidR="00A16B8C" w:rsidRPr="00C90AC9" w:rsidRDefault="0074402A"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1797504" behindDoc="0" locked="0" layoutInCell="1" allowOverlap="1" wp14:anchorId="09A06B01" wp14:editId="6A35B025">
                <wp:simplePos x="0" y="0"/>
                <wp:positionH relativeFrom="column">
                  <wp:posOffset>3620770</wp:posOffset>
                </wp:positionH>
                <wp:positionV relativeFrom="paragraph">
                  <wp:posOffset>207010</wp:posOffset>
                </wp:positionV>
                <wp:extent cx="668655" cy="228600"/>
                <wp:effectExtent l="19050" t="0" r="0" b="38100"/>
                <wp:wrapNone/>
                <wp:docPr id="373" name="Right Arrow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364924">
                          <a:off x="0" y="0"/>
                          <a:ext cx="668655" cy="228600"/>
                        </a:xfrm>
                        <a:prstGeom prst="rightArrow">
                          <a:avLst/>
                        </a:prstGeom>
                        <a:solidFill>
                          <a:srgbClr val="4F81BD">
                            <a:lumMod val="75000"/>
                          </a:srgbClr>
                        </a:solidFill>
                        <a:ln w="12700" cap="flat" cmpd="sng" algn="ctr">
                          <a:solidFill>
                            <a:srgbClr val="4F81BD">
                              <a:shade val="50000"/>
                            </a:srgbClr>
                          </a:solidFill>
                          <a:prstDash val="solid"/>
                        </a:ln>
                        <a:effectLst/>
                      </wps:spPr>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F81D2" id="Right Arrow 373" o:spid="_x0000_s1026" type="#_x0000_t13" style="position:absolute;margin-left:285.1pt;margin-top:16.3pt;width:52.65pt;height:18pt;rotation:398594fd;z-index:251797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" adj="17908" fillcolor="#376092" strokecolor="#385d8a" strokeweight="1pt">
                <v:path arrowok="t"/>
              </v:shape>
            </w:pict>
          </mc:Fallback>
        </mc:AlternateContent>
      </w:r>
    </w:p>
    <w:p w:rsidR="00A16B8C" w:rsidRPr="00C90AC9" w:rsidRDefault="00C76368"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1817984" behindDoc="0" locked="0" layoutInCell="1" allowOverlap="1" wp14:anchorId="50427847" wp14:editId="210D206D">
                <wp:simplePos x="0" y="0"/>
                <wp:positionH relativeFrom="column">
                  <wp:posOffset>3609975</wp:posOffset>
                </wp:positionH>
                <wp:positionV relativeFrom="paragraph">
                  <wp:posOffset>269240</wp:posOffset>
                </wp:positionV>
                <wp:extent cx="589280" cy="257175"/>
                <wp:effectExtent l="19050" t="19050" r="20320" b="47625"/>
                <wp:wrapNone/>
                <wp:docPr id="370" name="Right Arrow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8108">
                          <a:off x="0" y="0"/>
                          <a:ext cx="589280" cy="257175"/>
                        </a:xfrm>
                        <a:prstGeom prst="rightArrow">
                          <a:avLst/>
                        </a:prstGeom>
                        <a:gradFill>
                          <a:gsLst>
                            <a:gs pos="42000">
                              <a:srgbClr val="9682B0"/>
                            </a:gs>
                            <a:gs pos="100000">
                              <a:srgbClr val="A492D0"/>
                            </a:gs>
                            <a:gs pos="0">
                              <a:schemeClr val="accent1">
                                <a:lumMod val="75000"/>
                              </a:schemeClr>
                            </a:gs>
                          </a:gsLst>
                          <a:lin ang="0" scaled="1"/>
                        </a:gra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0B640" id="Right Arrow 370" o:spid="_x0000_s1026" type="#_x0000_t13" style="position:absolute;margin-left:284.25pt;margin-top:21.2pt;width:46.4pt;height:20.25pt;rotation:227309fd;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" adj="16887" fillcolor="#365f91 [2404]" strokecolor="windowText" strokeweight=".5pt">
                <v:fill color2="#a492d0" angle="90" colors="0 #376092;27525f #9682b0;1 #a492d0" focus="100%" type="gradient"/>
                <v:path arrowok="t"/>
              </v:shape>
            </w:pict>
          </mc:Fallback>
        </mc:AlternateContent>
      </w:r>
      <w:r w:rsidR="00F7423A" w:rsidRPr="00C90AC9">
        <w:rPr>
          <w:rFonts w:eastAsiaTheme="minorHAnsi"/>
          <w:noProof/>
        </w:rPr>
        <mc:AlternateContent>
          <mc:Choice Requires="wps">
            <w:drawing>
              <wp:anchor distT="0" distB="0" distL="114300" distR="114300" simplePos="0" relativeHeight="251870208" behindDoc="0" locked="0" layoutInCell="1" allowOverlap="1" wp14:anchorId="28B370C8" wp14:editId="06FA6D5F">
                <wp:simplePos x="0" y="0"/>
                <wp:positionH relativeFrom="column">
                  <wp:posOffset>4324350</wp:posOffset>
                </wp:positionH>
                <wp:positionV relativeFrom="paragraph">
                  <wp:posOffset>145415</wp:posOffset>
                </wp:positionV>
                <wp:extent cx="1076325" cy="733425"/>
                <wp:effectExtent l="0" t="0" r="28575" b="28575"/>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733425"/>
                        </a:xfrm>
                        <a:prstGeom prst="rect">
                          <a:avLst/>
                        </a:prstGeom>
                        <a:solidFill>
                          <a:srgbClr val="FFFFFF"/>
                        </a:solidFill>
                        <a:ln w="9525">
                          <a:solidFill>
                            <a:srgbClr val="000000"/>
                          </a:solidFill>
                          <a:miter lim="800000"/>
                          <a:headEnd/>
                          <a:tailEnd/>
                        </a:ln>
                      </wps:spPr>
                      <wps:txbx>
                        <w:txbxContent>
                          <w:p w:rsidR="00521573" w:rsidRPr="00424988" w:rsidRDefault="00521573" w:rsidP="00F7423A">
                            <w:pPr>
                              <w:jc w:val="center"/>
                            </w:pPr>
                            <w:r w:rsidRPr="00424988">
                              <w:t xml:space="preserve">Cooler water </w:t>
                            </w:r>
                            <w:r>
                              <w:t>returning</w:t>
                            </w:r>
                            <w:r w:rsidRPr="00424988">
                              <w:t xml:space="preserve"> to STP</w:t>
                            </w:r>
                            <w:r>
                              <w:t xml:space="preserve"> (</w:t>
                            </w:r>
                            <w:r>
                              <w:rPr>
                                <w:rFonts w:cs="Times New Roman"/>
                              </w:rPr>
                              <w:t>ṁ</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B370C8" id="_x0000_s1060" type="#_x0000_t202" style="position:absolute;left:0;text-align:left;margin-left:340.5pt;margin-top:11.45pt;width:84.75pt;height:57.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">
                <v:textbox>
                  <w:txbxContent>
                    <w:p w:rsidR="00521573" w:rsidRPr="00424988" w:rsidRDefault="00521573" w:rsidP="00F7423A">
                      <w:pPr>
                        <w:jc w:val="center"/>
                      </w:pPr>
                      <w:r w:rsidRPr="00424988">
                        <w:t xml:space="preserve">Cooler water </w:t>
                      </w:r>
                      <w:r>
                        <w:t>returning</w:t>
                      </w:r>
                      <w:r w:rsidRPr="00424988">
                        <w:t xml:space="preserve"> to STP</w:t>
                      </w:r>
                      <w:r>
                        <w:t xml:space="preserve"> (</w:t>
                      </w:r>
                      <w:r>
                        <w:rPr>
                          <w:rFonts w:cs="Times New Roman"/>
                        </w:rPr>
                        <w:t>ṁ</w:t>
                      </w:r>
                      <w:r>
                        <w:t>)</w:t>
                      </w:r>
                    </w:p>
                  </w:txbxContent>
                </v:textbox>
              </v:shape>
            </w:pict>
          </mc:Fallback>
        </mc:AlternateContent>
      </w:r>
    </w:p>
    <w:p w:rsidR="00A16B8C" w:rsidRPr="00C90AC9" w:rsidRDefault="00F7423A"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1978752" behindDoc="0" locked="0" layoutInCell="1" allowOverlap="1" wp14:anchorId="0FA1A6E7" wp14:editId="478CB353">
                <wp:simplePos x="0" y="0"/>
                <wp:positionH relativeFrom="column">
                  <wp:posOffset>-9525</wp:posOffset>
                </wp:positionH>
                <wp:positionV relativeFrom="paragraph">
                  <wp:posOffset>19685</wp:posOffset>
                </wp:positionV>
                <wp:extent cx="1095375" cy="659765"/>
                <wp:effectExtent l="0" t="0" r="28575" b="26035"/>
                <wp:wrapNone/>
                <wp:docPr id="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659765"/>
                        </a:xfrm>
                        <a:prstGeom prst="rect">
                          <a:avLst/>
                        </a:prstGeom>
                        <a:solidFill>
                          <a:srgbClr val="FFFFFF"/>
                        </a:solidFill>
                        <a:ln w="9525">
                          <a:solidFill>
                            <a:srgbClr val="000000"/>
                          </a:solidFill>
                          <a:miter lim="800000"/>
                          <a:headEnd/>
                          <a:tailEnd/>
                        </a:ln>
                      </wps:spPr>
                      <wps:txbx>
                        <w:txbxContent>
                          <w:p w:rsidR="00521573" w:rsidRPr="00424988" w:rsidRDefault="00521573" w:rsidP="00F7423A">
                            <w:pPr>
                              <w:jc w:val="center"/>
                            </w:pPr>
                            <w:r>
                              <w:t>Valve to allow water in tank to be refilled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1A6E7" id="_x0000_s1061" type="#_x0000_t202" style="position:absolute;left:0;text-align:left;margin-left:-.75pt;margin-top:1.55pt;width:86.25pt;height:51.9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">
                <v:textbox>
                  <w:txbxContent>
                    <w:p w:rsidR="00521573" w:rsidRPr="00424988" w:rsidRDefault="00521573" w:rsidP="00F7423A">
                      <w:pPr>
                        <w:jc w:val="center"/>
                      </w:pPr>
                      <w:r>
                        <w:t>Valve to allow water in tank to be refilled</w:t>
                      </w:r>
                    </w:p>
                  </w:txbxContent>
                </v:textbox>
              </v:shape>
            </w:pict>
          </mc:Fallback>
        </mc:AlternateContent>
      </w:r>
      <w:r w:rsidR="0074402A" w:rsidRPr="00C90AC9">
        <w:rPr>
          <w:rFonts w:eastAsiaTheme="minorHAnsi"/>
          <w:noProof/>
        </w:rPr>
        <mc:AlternateContent>
          <mc:Choice Requires="wps">
            <w:drawing>
              <wp:anchor distT="0" distB="0" distL="114300" distR="114300" simplePos="0" relativeHeight="251807744" behindDoc="0" locked="0" layoutInCell="1" allowOverlap="1" wp14:anchorId="7BC854F6" wp14:editId="4F704B17">
                <wp:simplePos x="0" y="0"/>
                <wp:positionH relativeFrom="column">
                  <wp:posOffset>1057275</wp:posOffset>
                </wp:positionH>
                <wp:positionV relativeFrom="paragraph">
                  <wp:posOffset>21590</wp:posOffset>
                </wp:positionV>
                <wp:extent cx="1647825" cy="428625"/>
                <wp:effectExtent l="0" t="0" r="9525" b="9525"/>
                <wp:wrapNone/>
                <wp:docPr id="375" name="Straight Connector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647825" cy="428625"/>
                        </a:xfrm>
                        <a:prstGeom prst="line">
                          <a:avLst/>
                        </a:prstGeom>
                        <a:noFill/>
                        <a:ln w="158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854E7F2" id="Straight Connector 375" o:spid="_x0000_s1026" style="position:absolute;flip:x y;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25pt,1.7pt" to="213pt,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" strokecolor="windowText" strokeweight="1.25pt">
                <o:lock v:ext="edit" shapetype="f"/>
              </v:line>
            </w:pict>
          </mc:Fallback>
        </mc:AlternateContent>
      </w:r>
      <w:r w:rsidR="0074402A" w:rsidRPr="00C90AC9">
        <w:rPr>
          <w:rFonts w:eastAsiaTheme="minorHAnsi"/>
          <w:noProof/>
        </w:rPr>
        <mc:AlternateContent>
          <mc:Choice Requires="wps">
            <w:drawing>
              <wp:anchor distT="4294967295" distB="4294967295" distL="114300" distR="114300" simplePos="0" relativeHeight="251869184" behindDoc="0" locked="0" layoutInCell="1" allowOverlap="1" wp14:anchorId="21FD9696" wp14:editId="1886BB2E">
                <wp:simplePos x="0" y="0"/>
                <wp:positionH relativeFrom="column">
                  <wp:posOffset>4124325</wp:posOffset>
                </wp:positionH>
                <wp:positionV relativeFrom="paragraph">
                  <wp:posOffset>50164</wp:posOffset>
                </wp:positionV>
                <wp:extent cx="847725" cy="0"/>
                <wp:effectExtent l="0" t="0" r="9525" b="0"/>
                <wp:wrapNone/>
                <wp:docPr id="371" name="Straight Connector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7725" cy="0"/>
                        </a:xfrm>
                        <a:prstGeom prst="line">
                          <a:avLst/>
                        </a:prstGeom>
                        <a:noFill/>
                        <a:ln w="1270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2BDFB43" id="Straight Connector 371" o:spid="_x0000_s1026" style="position:absolute;z-index:251869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24.75pt,3.95pt" to="391.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" strokecolor="windowText" strokeweight="1pt">
                <o:lock v:ext="edit" shapetype="f"/>
              </v:line>
            </w:pict>
          </mc:Fallback>
        </mc:AlternateContent>
      </w:r>
    </w:p>
    <w:p w:rsidR="00A16B8C" w:rsidRPr="00C90AC9" w:rsidRDefault="0074402A"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1844608" behindDoc="0" locked="0" layoutInCell="1" allowOverlap="1" wp14:anchorId="03C7A084" wp14:editId="1C65A266">
                <wp:simplePos x="0" y="0"/>
                <wp:positionH relativeFrom="column">
                  <wp:posOffset>2596515</wp:posOffset>
                </wp:positionH>
                <wp:positionV relativeFrom="paragraph">
                  <wp:posOffset>142240</wp:posOffset>
                </wp:positionV>
                <wp:extent cx="282575" cy="334645"/>
                <wp:effectExtent l="38100" t="0" r="22225" b="0"/>
                <wp:wrapNone/>
                <wp:docPr id="316" name="Right Arrow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82575" cy="334645"/>
                        </a:xfrm>
                        <a:prstGeom prst="rightArrow">
                          <a:avLst/>
                        </a:prstGeom>
                        <a:solidFill>
                          <a:srgbClr val="6691C6"/>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F4DAC" id="Right Arrow 316" o:spid="_x0000_s1026" type="#_x0000_t13" style="position:absolute;margin-left:204.45pt;margin-top:11.2pt;width:22.25pt;height:26.35pt;rotation:-90;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" adj="10800" fillcolor="#6691c6" strokecolor="#385d8a" strokeweight="1pt">
                <v:path arrowok="t"/>
              </v:shape>
            </w:pict>
          </mc:Fallback>
        </mc:AlternateContent>
      </w:r>
      <w:r w:rsidRPr="00C90AC9">
        <w:rPr>
          <w:rFonts w:eastAsiaTheme="minorHAnsi"/>
          <w:noProof/>
        </w:rPr>
        <mc:AlternateContent>
          <mc:Choice Requires="wps">
            <w:drawing>
              <wp:anchor distT="0" distB="0" distL="114300" distR="114300" simplePos="0" relativeHeight="251835392" behindDoc="0" locked="0" layoutInCell="1" allowOverlap="1" wp14:anchorId="0213F09C" wp14:editId="52024412">
                <wp:simplePos x="0" y="0"/>
                <wp:positionH relativeFrom="column">
                  <wp:posOffset>2580005</wp:posOffset>
                </wp:positionH>
                <wp:positionV relativeFrom="paragraph">
                  <wp:posOffset>41910</wp:posOffset>
                </wp:positionV>
                <wp:extent cx="318135" cy="170815"/>
                <wp:effectExtent l="0" t="0" r="5715" b="635"/>
                <wp:wrapNone/>
                <wp:docPr id="374" name="Rectangle 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8135" cy="170815"/>
                        </a:xfrm>
                        <a:prstGeom prst="rect">
                          <a:avLst/>
                        </a:prstGeom>
                        <a:solidFill>
                          <a:sysClr val="windowText" lastClr="000000">
                            <a:lumMod val="65000"/>
                            <a:lumOff val="35000"/>
                          </a:sysClr>
                        </a:solidFill>
                        <a:ln w="9525"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63BA67" id="Rectangle 374" o:spid="_x0000_s1026" style="position:absolute;margin-left:203.15pt;margin-top:3.3pt;width:25.05pt;height:13.4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" fillcolor="#595959">
                <v:path arrowok="t"/>
              </v:rect>
            </w:pict>
          </mc:Fallback>
        </mc:AlternateContent>
      </w:r>
    </w:p>
    <w:p w:rsidR="00A16B8C" w:rsidRPr="00C90AC9" w:rsidRDefault="002B75F0"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1867136" behindDoc="0" locked="0" layoutInCell="1" allowOverlap="1" wp14:anchorId="3BFA579C" wp14:editId="0DFFC9D3">
                <wp:simplePos x="0" y="0"/>
                <wp:positionH relativeFrom="column">
                  <wp:posOffset>1330960</wp:posOffset>
                </wp:positionH>
                <wp:positionV relativeFrom="paragraph">
                  <wp:posOffset>106680</wp:posOffset>
                </wp:positionV>
                <wp:extent cx="1329690" cy="260985"/>
                <wp:effectExtent l="0" t="0" r="22860" b="24765"/>
                <wp:wrapNone/>
                <wp:docPr id="377" name="Straight Connector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329690" cy="260985"/>
                        </a:xfrm>
                        <a:prstGeom prst="line">
                          <a:avLst/>
                        </a:prstGeom>
                        <a:noFill/>
                        <a:ln w="158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22022A4" id="Straight Connector 377" o:spid="_x0000_s1026" style="position:absolute;flip:x;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8pt,8.4pt" to="209.5pt,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" strokecolor="windowText" strokeweight="1.25pt">
                <o:lock v:ext="edit" shapetype="f"/>
              </v:line>
            </w:pict>
          </mc:Fallback>
        </mc:AlternateContent>
      </w:r>
      <w:r w:rsidRPr="00C90AC9">
        <w:rPr>
          <w:rFonts w:eastAsiaTheme="minorHAnsi"/>
          <w:noProof/>
        </w:rPr>
        <mc:AlternateContent>
          <mc:Choice Requires="wps">
            <w:drawing>
              <wp:anchor distT="0" distB="0" distL="114300" distR="114300" simplePos="0" relativeHeight="251866112" behindDoc="0" locked="0" layoutInCell="1" allowOverlap="1" wp14:anchorId="28EE6870" wp14:editId="5D2960C9">
                <wp:simplePos x="0" y="0"/>
                <wp:positionH relativeFrom="column">
                  <wp:posOffset>-17145</wp:posOffset>
                </wp:positionH>
                <wp:positionV relativeFrom="paragraph">
                  <wp:posOffset>219982</wp:posOffset>
                </wp:positionV>
                <wp:extent cx="1343025" cy="466725"/>
                <wp:effectExtent l="0" t="0" r="28575" b="28575"/>
                <wp:wrapNone/>
                <wp:docPr id="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466725"/>
                        </a:xfrm>
                        <a:prstGeom prst="rect">
                          <a:avLst/>
                        </a:prstGeom>
                        <a:solidFill>
                          <a:srgbClr val="FFFFFF"/>
                        </a:solidFill>
                        <a:ln w="9525">
                          <a:solidFill>
                            <a:srgbClr val="000000"/>
                          </a:solidFill>
                          <a:miter lim="800000"/>
                          <a:headEnd/>
                          <a:tailEnd/>
                        </a:ln>
                      </wps:spPr>
                      <wps:txbx>
                        <w:txbxContent>
                          <w:p w:rsidR="00521573" w:rsidRPr="00424988" w:rsidRDefault="00521573" w:rsidP="00F7423A">
                            <w:pPr>
                              <w:jc w:val="center"/>
                            </w:pPr>
                            <w:r>
                              <w:t>Cold water refilling hot water tank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EE6870" id="_x0000_s1062" type="#_x0000_t202" style="position:absolute;left:0;text-align:left;margin-left:-1.35pt;margin-top:17.3pt;width:105.75pt;height:36.7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">
                <v:textbox>
                  <w:txbxContent>
                    <w:p w:rsidR="00521573" w:rsidRPr="00424988" w:rsidRDefault="00521573" w:rsidP="00F7423A">
                      <w:pPr>
                        <w:jc w:val="center"/>
                      </w:pPr>
                      <w:r>
                        <w:t>Cold water refilling hot water tank</w:t>
                      </w:r>
                    </w:p>
                  </w:txbxContent>
                </v:textbox>
              </v:shape>
            </w:pict>
          </mc:Fallback>
        </mc:AlternateContent>
      </w:r>
    </w:p>
    <w:p w:rsidR="002B75F0" w:rsidRPr="00C90AC9" w:rsidRDefault="002B75F0" w:rsidP="00B06779">
      <w:pPr>
        <w:pStyle w:val="BodyText"/>
        <w:rPr>
          <w:rFonts w:eastAsiaTheme="minorHAnsi"/>
          <w:lang w:eastAsia="en-US"/>
        </w:rPr>
      </w:pPr>
    </w:p>
    <w:p w:rsidR="002B75F0" w:rsidRPr="00C90AC9" w:rsidRDefault="002B75F0" w:rsidP="00B06779">
      <w:pPr>
        <w:pStyle w:val="BodyText"/>
        <w:rPr>
          <w:rFonts w:eastAsiaTheme="minorHAnsi"/>
          <w:lang w:eastAsia="en-US"/>
        </w:rPr>
      </w:pPr>
    </w:p>
    <w:p w:rsidR="00A16B8C" w:rsidRPr="00C90AC9" w:rsidRDefault="004C40BB" w:rsidP="000E6BD1">
      <w:pPr>
        <w:pStyle w:val="BodyText"/>
        <w:spacing w:line="360" w:lineRule="auto"/>
        <w:rPr>
          <w:rFonts w:eastAsiaTheme="minorHAnsi"/>
          <w:lang w:eastAsia="en-US"/>
        </w:rPr>
      </w:pPr>
      <w:r w:rsidRPr="00C90AC9">
        <w:rPr>
          <w:rFonts w:eastAsiaTheme="minorHAnsi"/>
          <w:lang w:eastAsia="en-US"/>
        </w:rPr>
        <w:br/>
      </w:r>
      <w:r w:rsidR="00A16B8C" w:rsidRPr="00C90AC9">
        <w:rPr>
          <w:rFonts w:eastAsiaTheme="minorHAnsi"/>
          <w:lang w:eastAsia="en-US"/>
        </w:rPr>
        <w:t xml:space="preserve">A domestic hot water tank typically has a volume ranging from 190ltrs – 950 </w:t>
      </w:r>
      <w:proofErr w:type="spellStart"/>
      <w:r w:rsidR="00497D2E" w:rsidRPr="00C90AC9">
        <w:rPr>
          <w:rFonts w:eastAsiaTheme="minorHAnsi"/>
          <w:lang w:eastAsia="en-US"/>
        </w:rPr>
        <w:t>lt</w:t>
      </w:r>
      <w:r w:rsidR="00A16B8C" w:rsidRPr="00C90AC9">
        <w:rPr>
          <w:rFonts w:eastAsiaTheme="minorHAnsi"/>
          <w:lang w:eastAsia="en-US"/>
        </w:rPr>
        <w:t>s</w:t>
      </w:r>
      <w:proofErr w:type="spellEnd"/>
      <w:r w:rsidR="00A16B8C" w:rsidRPr="00C90AC9">
        <w:rPr>
          <w:rFonts w:eastAsiaTheme="minorHAnsi"/>
          <w:lang w:eastAsia="en-US"/>
        </w:rPr>
        <w:t xml:space="preserve"> </w:t>
      </w:r>
      <w:r w:rsidR="00001059" w:rsidRPr="00C90AC9">
        <w:rPr>
          <w:rFonts w:eastAsiaTheme="minorHAnsi"/>
          <w:lang w:eastAsia="en-US"/>
        </w:rPr>
        <w:t>.</w:t>
      </w:r>
      <w:sdt>
        <w:sdtPr>
          <w:rPr>
            <w:rFonts w:eastAsiaTheme="minorHAnsi"/>
            <w:lang w:eastAsia="en-US"/>
          </w:rPr>
          <w:alias w:val="Don't edit this field"/>
          <w:tag w:val="CitaviPlaceholder#a8e2c8f2-04d1-4cf7-a139-c2217222bf7e"/>
          <w:id w:val="-1294599229"/>
        </w:sdtPr>
        <w:sdtEndPr/>
        <w:sdtContent>
          <w:r w:rsidR="00C05E2B" w:rsidRPr="00C90AC9">
            <w:rPr>
              <w:rFonts w:eastAsiaTheme="minorHAnsi"/>
              <w:lang w:eastAsia="en-US"/>
            </w:rPr>
            <w:fldChar w:fldCharType="begin"/>
          </w:r>
          <w:r w:rsidR="007835E8" w:rsidRPr="00C90AC9">
            <w:rPr>
              <w:rFonts w:eastAsiaTheme="minorHAnsi"/>
              <w:lang w:eastAsia="en-US"/>
            </w:rPr>
            <w:instrText>ADDIN CitaviPlaceholder{eyIkaWQiOiIxIiwiRW50cmllcyI6W3siJGlkIjoiMiIsIkhhc1RlbXBvcmFyeVJlZmVyZW5jZSI6dHJ1ZSwiSWQiOiJhNmZhMjRjOC1mZmM4LTRiMmItYWZiNS1kYTI2NzUwZmZlZDQiLCJSYW5nZUxlbmd0aCI6NDMsIlJlZmVyZW5jZUlkIjoiZGI4M2QyYTQtZjBmYi00MmNlLWEzOWYtMzIyNzg1OTVhNTBm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}</w:instrText>
          </w:r>
          <w:r w:rsidR="00C05E2B" w:rsidRPr="00C90AC9">
            <w:rPr>
              <w:rFonts w:eastAsiaTheme="minorHAnsi"/>
              <w:lang w:eastAsia="en-US"/>
            </w:rPr>
            <w:fldChar w:fldCharType="separate"/>
          </w:r>
          <w:r w:rsidR="007835E8" w:rsidRPr="00C90AC9">
            <w:rPr>
              <w:rFonts w:eastAsiaTheme="minorHAnsi"/>
              <w:lang w:eastAsia="en-US"/>
            </w:rPr>
            <w:t>(</w:t>
          </w:r>
          <w:proofErr w:type="spellStart"/>
          <w:r w:rsidR="007835E8" w:rsidRPr="00C90AC9">
            <w:rPr>
              <w:rFonts w:eastAsiaTheme="minorHAnsi"/>
              <w:lang w:eastAsia="en-US"/>
            </w:rPr>
            <w:t>Megaflo</w:t>
          </w:r>
          <w:proofErr w:type="spellEnd"/>
          <w:r w:rsidR="007835E8" w:rsidRPr="00C90AC9">
            <w:rPr>
              <w:rFonts w:eastAsiaTheme="minorHAnsi"/>
              <w:lang w:eastAsia="en-US"/>
            </w:rPr>
            <w:t xml:space="preserve"> eco, unvented hot water cylinders)</w:t>
          </w:r>
          <w:r w:rsidR="00C05E2B" w:rsidRPr="00C90AC9">
            <w:rPr>
              <w:rFonts w:eastAsiaTheme="minorHAnsi"/>
              <w:lang w:eastAsia="en-US"/>
            </w:rPr>
            <w:fldChar w:fldCharType="end"/>
          </w:r>
        </w:sdtContent>
      </w:sdt>
      <w:r w:rsidR="00001059" w:rsidRPr="00C90AC9">
        <w:rPr>
          <w:rFonts w:eastAsiaTheme="minorHAnsi"/>
          <w:lang w:eastAsia="en-US"/>
        </w:rPr>
        <w:t xml:space="preserve"> </w:t>
      </w:r>
      <w:r w:rsidR="00A16B8C" w:rsidRPr="00C90AC9">
        <w:rPr>
          <w:rFonts w:eastAsiaTheme="minorHAnsi"/>
          <w:lang w:eastAsia="en-US"/>
        </w:rPr>
        <w:t xml:space="preserve">An average of 200 </w:t>
      </w:r>
      <w:proofErr w:type="spellStart"/>
      <w:r w:rsidR="00497D2E" w:rsidRPr="00C90AC9">
        <w:rPr>
          <w:rFonts w:eastAsiaTheme="minorHAnsi"/>
          <w:lang w:eastAsia="en-US"/>
        </w:rPr>
        <w:t>lt</w:t>
      </w:r>
      <w:r w:rsidR="00A16B8C" w:rsidRPr="00C90AC9">
        <w:rPr>
          <w:rFonts w:eastAsiaTheme="minorHAnsi"/>
          <w:lang w:eastAsia="en-US"/>
        </w:rPr>
        <w:t>s</w:t>
      </w:r>
      <w:proofErr w:type="spellEnd"/>
      <w:r w:rsidR="00A16B8C" w:rsidRPr="00C90AC9">
        <w:rPr>
          <w:rFonts w:eastAsiaTheme="minorHAnsi"/>
          <w:lang w:eastAsia="en-US"/>
        </w:rPr>
        <w:t xml:space="preserve"> is assumed and with</w:t>
      </w:r>
      <w:r w:rsidR="00001059" w:rsidRPr="00C90AC9">
        <w:rPr>
          <w:rFonts w:eastAsiaTheme="minorHAnsi"/>
          <w:lang w:eastAsia="en-US"/>
        </w:rPr>
        <w:t xml:space="preserve"> the dimensions given in Table 3.3.</w:t>
      </w:r>
      <w:r w:rsidR="00A16B8C" w:rsidRPr="00C90AC9">
        <w:rPr>
          <w:rFonts w:eastAsiaTheme="minorHAnsi"/>
          <w:lang w:eastAsia="en-US"/>
        </w:rPr>
        <w:t xml:space="preserve"> it is possible to calculate the thickness of </w:t>
      </w:r>
      <w:r w:rsidR="00FB4823" w:rsidRPr="00C90AC9">
        <w:rPr>
          <w:rFonts w:eastAsiaTheme="minorHAnsi"/>
          <w:lang w:eastAsia="en-US"/>
        </w:rPr>
        <w:t>each 1 litre slice in the tank:</w:t>
      </w:r>
    </w:p>
    <w:tbl>
      <w:tblPr>
        <w:tblStyle w:val="TableGrid3"/>
        <w:tblW w:w="9566" w:type="dxa"/>
        <w:tblLayout w:type="fixed"/>
        <w:tblLook w:val="04A0" w:firstRow="1" w:lastRow="0" w:firstColumn="1" w:lastColumn="0" w:noHBand="0" w:noVBand="1"/>
      </w:tblPr>
      <w:tblGrid>
        <w:gridCol w:w="8755"/>
        <w:gridCol w:w="142"/>
        <w:gridCol w:w="567"/>
        <w:gridCol w:w="102"/>
      </w:tblGrid>
      <w:tr w:rsidR="00A16B8C" w:rsidRPr="00C90AC9" w:rsidTr="008C4189">
        <w:trPr>
          <w:gridAfter w:val="1"/>
          <w:wAfter w:w="102" w:type="dxa"/>
        </w:trPr>
        <w:tc>
          <w:tcPr>
            <w:tcW w:w="8755" w:type="dxa"/>
            <w:tcBorders>
              <w:top w:val="nil"/>
              <w:left w:val="nil"/>
              <w:bottom w:val="nil"/>
              <w:right w:val="nil"/>
            </w:tcBorders>
          </w:tcPr>
          <w:p w:rsidR="00A16B8C" w:rsidRPr="00C90AC9" w:rsidRDefault="00426D28" w:rsidP="002B75F0">
            <w:pPr>
              <w:jc w:val="center"/>
              <w:rPr>
                <w:rFonts w:eastAsiaTheme="minorHAnsi"/>
                <w:lang w:eastAsia="en-US"/>
              </w:rPr>
            </w:pPr>
            <w:r w:rsidRPr="00C90AC9">
              <w:rPr>
                <w:rFonts w:eastAsiaTheme="minorHAnsi"/>
                <w:noProof/>
              </w:rPr>
              <mc:AlternateContent>
                <mc:Choice Requires="wps">
                  <w:drawing>
                    <wp:anchor distT="0" distB="0" distL="114300" distR="114300" simplePos="0" relativeHeight="251783168" behindDoc="0" locked="0" layoutInCell="1" allowOverlap="1" wp14:anchorId="1772DF88" wp14:editId="2CF61616">
                      <wp:simplePos x="0" y="0"/>
                      <wp:positionH relativeFrom="column">
                        <wp:posOffset>1854835</wp:posOffset>
                      </wp:positionH>
                      <wp:positionV relativeFrom="paragraph">
                        <wp:posOffset>-59055</wp:posOffset>
                      </wp:positionV>
                      <wp:extent cx="1866900" cy="457200"/>
                      <wp:effectExtent l="0" t="0" r="19050" b="19050"/>
                      <wp:wrapNone/>
                      <wp:docPr id="378" name="Rectangle 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6900" cy="457200"/>
                              </a:xfrm>
                              <a:prstGeom prst="rect">
                                <a:avLst/>
                              </a:prstGeom>
                              <a:solidFill>
                                <a:srgbClr val="4F81BD">
                                  <a:alpha val="30000"/>
                                </a:srgbClr>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3DD3F1" id="Rectangle 378" o:spid="_x0000_s1026" style="position:absolute;margin-left:146.05pt;margin-top:-4.65pt;width:147pt;height:3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" fillcolor="#4f81bd" strokecolor="#385d8a">
                      <v:fill opacity="19789f"/>
                      <v:path arrowok="t"/>
                    </v:rect>
                  </w:pict>
                </mc:Fallback>
              </mc:AlternateContent>
            </w:r>
            <w:proofErr w:type="spellStart"/>
            <w:r w:rsidR="00A16B8C" w:rsidRPr="00C90AC9">
              <w:rPr>
                <w:rFonts w:eastAsiaTheme="minorHAnsi"/>
                <w:lang w:eastAsia="en-US"/>
              </w:rPr>
              <w:t>T</w:t>
            </w:r>
            <w:r w:rsidR="00A16B8C" w:rsidRPr="00C90AC9">
              <w:rPr>
                <w:rFonts w:eastAsiaTheme="minorHAnsi"/>
                <w:vertAlign w:val="subscript"/>
                <w:lang w:eastAsia="en-US"/>
              </w:rPr>
              <w:t>slice</w:t>
            </w:r>
            <w:proofErr w:type="spellEnd"/>
            <w:r w:rsidR="00A16B8C" w:rsidRPr="00C90AC9">
              <w:rPr>
                <w:rFonts w:eastAsiaTheme="minorHAnsi"/>
                <w:vertAlign w:val="subscript"/>
                <w:lang w:eastAsia="en-US"/>
              </w:rPr>
              <w:t xml:space="preserve"> </w:t>
            </w:r>
            <w:r w:rsidR="00A16B8C" w:rsidRPr="00C90AC9">
              <w:rPr>
                <w:rFonts w:eastAsiaTheme="minorHAnsi"/>
                <w:lang w:eastAsia="en-US"/>
              </w:rPr>
              <w:t xml:space="preserve">= </w:t>
            </w:r>
            <m:oMath>
              <m:f>
                <m:fPr>
                  <m:ctrlPr>
                    <w:rPr>
                      <w:rFonts w:ascii="Cambria Math" w:eastAsiaTheme="minorHAnsi" w:hAnsi="Cambria Math"/>
                      <w:lang w:eastAsia="en-US"/>
                    </w:rPr>
                  </m:ctrlPr>
                </m:fPr>
                <m:num>
                  <m:r>
                    <w:rPr>
                      <w:rFonts w:ascii="Cambria Math" w:eastAsiaTheme="minorHAnsi" w:hAnsi="Cambria Math"/>
                      <w:lang w:eastAsia="en-US"/>
                    </w:rPr>
                    <m:t>Height</m:t>
                  </m:r>
                  <m:r>
                    <m:rPr>
                      <m:sty m:val="p"/>
                    </m:rPr>
                    <w:rPr>
                      <w:rFonts w:ascii="Cambria Math" w:eastAsiaTheme="minorHAnsi" w:hAnsi="Cambria Math"/>
                      <w:lang w:eastAsia="en-US"/>
                    </w:rPr>
                    <m:t xml:space="preserve"> </m:t>
                  </m:r>
                  <m:r>
                    <w:rPr>
                      <w:rFonts w:ascii="Cambria Math" w:eastAsiaTheme="minorHAnsi" w:hAnsi="Cambria Math"/>
                      <w:lang w:eastAsia="en-US"/>
                    </w:rPr>
                    <m:t>of</m:t>
                  </m:r>
                  <m:r>
                    <m:rPr>
                      <m:sty m:val="p"/>
                    </m:rPr>
                    <w:rPr>
                      <w:rFonts w:ascii="Cambria Math" w:eastAsiaTheme="minorHAnsi" w:hAnsi="Cambria Math"/>
                      <w:lang w:eastAsia="en-US"/>
                    </w:rPr>
                    <m:t xml:space="preserve"> </m:t>
                  </m:r>
                  <m:r>
                    <w:rPr>
                      <w:rFonts w:ascii="Cambria Math" w:eastAsiaTheme="minorHAnsi" w:hAnsi="Cambria Math"/>
                      <w:lang w:eastAsia="en-US"/>
                    </w:rPr>
                    <m:t>tank</m:t>
                  </m:r>
                </m:num>
                <m:den>
                  <m:r>
                    <w:rPr>
                      <w:rFonts w:ascii="Cambria Math" w:eastAsiaTheme="minorHAnsi" w:hAnsi="Cambria Math"/>
                      <w:lang w:eastAsia="en-US"/>
                    </w:rPr>
                    <m:t>Numberof</m:t>
                  </m:r>
                  <m:r>
                    <m:rPr>
                      <m:sty m:val="p"/>
                    </m:rPr>
                    <w:rPr>
                      <w:rFonts w:ascii="Cambria Math" w:eastAsiaTheme="minorHAnsi" w:hAnsi="Cambria Math"/>
                      <w:lang w:eastAsia="en-US"/>
                    </w:rPr>
                    <m:t xml:space="preserve"> </m:t>
                  </m:r>
                  <m:r>
                    <w:rPr>
                      <w:rFonts w:ascii="Cambria Math" w:eastAsiaTheme="minorHAnsi" w:hAnsi="Cambria Math"/>
                      <w:lang w:eastAsia="en-US"/>
                    </w:rPr>
                    <m:t>slices</m:t>
                  </m:r>
                </m:den>
              </m:f>
            </m:oMath>
          </w:p>
        </w:tc>
        <w:tc>
          <w:tcPr>
            <w:tcW w:w="709" w:type="dxa"/>
            <w:gridSpan w:val="2"/>
            <w:tcBorders>
              <w:top w:val="nil"/>
              <w:left w:val="nil"/>
              <w:bottom w:val="nil"/>
              <w:right w:val="nil"/>
            </w:tcBorders>
            <w:vAlign w:val="center"/>
          </w:tcPr>
          <w:p w:rsidR="00A16B8C" w:rsidRPr="00C90AC9" w:rsidRDefault="00A16B8C" w:rsidP="002B75F0">
            <w:pPr>
              <w:jc w:val="center"/>
              <w:rPr>
                <w:rFonts w:eastAsiaTheme="minorHAnsi"/>
                <w:lang w:eastAsia="en-US"/>
              </w:rPr>
            </w:pPr>
            <w:r w:rsidRPr="00C90AC9">
              <w:rPr>
                <w:rFonts w:eastAsiaTheme="minorHAnsi"/>
                <w:lang w:eastAsia="en-US"/>
              </w:rPr>
              <w:t>(17)</w:t>
            </w:r>
          </w:p>
        </w:tc>
      </w:tr>
      <w:tr w:rsidR="00A16B8C" w:rsidRPr="00C90AC9" w:rsidTr="008C4189">
        <w:tc>
          <w:tcPr>
            <w:tcW w:w="8897" w:type="dxa"/>
            <w:gridSpan w:val="2"/>
            <w:tcBorders>
              <w:top w:val="nil"/>
              <w:left w:val="nil"/>
              <w:bottom w:val="nil"/>
              <w:right w:val="nil"/>
            </w:tcBorders>
          </w:tcPr>
          <w:p w:rsidR="00A16B8C" w:rsidRPr="00C90AC9" w:rsidRDefault="00A16B8C" w:rsidP="002B75F0">
            <w:pPr>
              <w:jc w:val="center"/>
              <w:rPr>
                <w:lang w:eastAsia="en-US"/>
              </w:rPr>
            </w:pPr>
            <w:r w:rsidRPr="00C90AC9">
              <w:rPr>
                <w:lang w:eastAsia="en-US"/>
              </w:rPr>
              <w:br/>
            </w:r>
            <w:r w:rsidRPr="00C90AC9">
              <w:rPr>
                <w:lang w:eastAsia="en-US"/>
              </w:rPr>
              <w:tab/>
            </w:r>
            <w:proofErr w:type="spellStart"/>
            <w:r w:rsidRPr="00C90AC9">
              <w:rPr>
                <w:rFonts w:eastAsiaTheme="minorHAnsi"/>
                <w:lang w:eastAsia="en-US"/>
              </w:rPr>
              <w:t>T</w:t>
            </w:r>
            <w:r w:rsidRPr="00C90AC9">
              <w:rPr>
                <w:rFonts w:eastAsiaTheme="minorHAnsi"/>
                <w:vertAlign w:val="subscript"/>
                <w:lang w:eastAsia="en-US"/>
              </w:rPr>
              <w:t>slice</w:t>
            </w:r>
            <w:proofErr w:type="spellEnd"/>
            <w:r w:rsidRPr="00C90AC9">
              <w:rPr>
                <w:rFonts w:eastAsiaTheme="minorHAnsi"/>
                <w:vertAlign w:val="subscript"/>
                <w:lang w:eastAsia="en-US"/>
              </w:rPr>
              <w:t xml:space="preserve"> </w:t>
            </w:r>
            <w:r w:rsidRPr="00C90AC9">
              <w:rPr>
                <w:rFonts w:eastAsiaTheme="minorHAnsi"/>
                <w:lang w:eastAsia="en-US"/>
              </w:rPr>
              <w:t xml:space="preserve">= </w:t>
            </w:r>
            <m:oMath>
              <m:f>
                <m:fPr>
                  <m:ctrlPr>
                    <w:rPr>
                      <w:rFonts w:ascii="Cambria Math" w:eastAsiaTheme="minorHAnsi" w:hAnsi="Cambria Math"/>
                      <w:i/>
                      <w:lang w:eastAsia="en-US"/>
                    </w:rPr>
                  </m:ctrlPr>
                </m:fPr>
                <m:num>
                  <m:r>
                    <w:rPr>
                      <w:rFonts w:ascii="Cambria Math" w:eastAsiaTheme="minorHAnsi" w:hAnsi="Cambria Math"/>
                      <w:lang w:eastAsia="en-US"/>
                    </w:rPr>
                    <m:t>2</m:t>
                  </m:r>
                </m:num>
                <m:den>
                  <m:r>
                    <w:rPr>
                      <w:rFonts w:ascii="Cambria Math" w:eastAsiaTheme="minorHAnsi" w:hAnsi="Cambria Math"/>
                      <w:lang w:eastAsia="en-US"/>
                    </w:rPr>
                    <m:t>200</m:t>
                  </m:r>
                </m:den>
              </m:f>
            </m:oMath>
          </w:p>
          <w:p w:rsidR="00A16B8C" w:rsidRPr="00C90AC9" w:rsidRDefault="00A16B8C" w:rsidP="002B75F0">
            <w:pPr>
              <w:jc w:val="center"/>
              <w:rPr>
                <w:rFonts w:eastAsiaTheme="minorHAnsi"/>
                <w:lang w:eastAsia="en-US"/>
              </w:rPr>
            </w:pPr>
          </w:p>
        </w:tc>
        <w:tc>
          <w:tcPr>
            <w:tcW w:w="669" w:type="dxa"/>
            <w:gridSpan w:val="2"/>
            <w:tcBorders>
              <w:top w:val="nil"/>
              <w:left w:val="nil"/>
              <w:bottom w:val="nil"/>
              <w:right w:val="nil"/>
            </w:tcBorders>
            <w:vAlign w:val="center"/>
          </w:tcPr>
          <w:p w:rsidR="00A16B8C" w:rsidRPr="00C90AC9" w:rsidRDefault="00A16B8C" w:rsidP="00B06779">
            <w:pPr>
              <w:rPr>
                <w:rFonts w:eastAsiaTheme="minorHAnsi"/>
                <w:lang w:eastAsia="en-US"/>
              </w:rPr>
            </w:pPr>
          </w:p>
        </w:tc>
      </w:tr>
      <w:tr w:rsidR="00A16B8C" w:rsidRPr="00C90AC9" w:rsidTr="008C4189">
        <w:tc>
          <w:tcPr>
            <w:tcW w:w="8897" w:type="dxa"/>
            <w:gridSpan w:val="2"/>
            <w:tcBorders>
              <w:top w:val="nil"/>
              <w:left w:val="nil"/>
              <w:bottom w:val="nil"/>
              <w:right w:val="nil"/>
            </w:tcBorders>
          </w:tcPr>
          <w:p w:rsidR="00A16B8C" w:rsidRPr="00C90AC9" w:rsidRDefault="00A16B8C" w:rsidP="002B75F0">
            <w:pPr>
              <w:jc w:val="center"/>
              <w:rPr>
                <w:lang w:eastAsia="en-US"/>
              </w:rPr>
            </w:pPr>
            <w:proofErr w:type="spellStart"/>
            <w:r w:rsidRPr="00C90AC9">
              <w:rPr>
                <w:rFonts w:eastAsiaTheme="minorHAnsi"/>
                <w:lang w:eastAsia="en-US"/>
              </w:rPr>
              <w:t>T</w:t>
            </w:r>
            <w:r w:rsidRPr="00C90AC9">
              <w:rPr>
                <w:rFonts w:eastAsiaTheme="minorHAnsi"/>
                <w:vertAlign w:val="subscript"/>
                <w:lang w:eastAsia="en-US"/>
              </w:rPr>
              <w:t>slice</w:t>
            </w:r>
            <w:proofErr w:type="spellEnd"/>
            <w:r w:rsidRPr="00C90AC9">
              <w:rPr>
                <w:rFonts w:eastAsiaTheme="minorHAnsi"/>
                <w:vertAlign w:val="subscript"/>
                <w:lang w:eastAsia="en-US"/>
              </w:rPr>
              <w:t xml:space="preserve"> </w:t>
            </w:r>
            <w:r w:rsidRPr="00C90AC9">
              <w:rPr>
                <w:rFonts w:eastAsiaTheme="minorHAnsi"/>
                <w:lang w:eastAsia="en-US"/>
              </w:rPr>
              <w:t xml:space="preserve">= </w:t>
            </w:r>
            <m:oMath>
              <m:f>
                <m:fPr>
                  <m:ctrlPr>
                    <w:rPr>
                      <w:rFonts w:ascii="Cambria Math" w:eastAsiaTheme="minorHAnsi" w:hAnsi="Cambria Math"/>
                      <w:i/>
                      <w:lang w:eastAsia="en-US"/>
                    </w:rPr>
                  </m:ctrlPr>
                </m:fPr>
                <m:num>
                  <m:r>
                    <w:rPr>
                      <w:rFonts w:ascii="Cambria Math" w:eastAsiaTheme="minorHAnsi" w:hAnsi="Cambria Math"/>
                      <w:lang w:eastAsia="en-US"/>
                    </w:rPr>
                    <m:t>2</m:t>
                  </m:r>
                </m:num>
                <m:den>
                  <m:r>
                    <w:rPr>
                      <w:rFonts w:ascii="Cambria Math" w:eastAsiaTheme="minorHAnsi" w:hAnsi="Cambria Math"/>
                      <w:lang w:eastAsia="en-US"/>
                    </w:rPr>
                    <m:t>200</m:t>
                  </m:r>
                </m:den>
              </m:f>
            </m:oMath>
          </w:p>
        </w:tc>
        <w:tc>
          <w:tcPr>
            <w:tcW w:w="669" w:type="dxa"/>
            <w:gridSpan w:val="2"/>
            <w:tcBorders>
              <w:top w:val="nil"/>
              <w:left w:val="nil"/>
              <w:bottom w:val="nil"/>
              <w:right w:val="nil"/>
            </w:tcBorders>
          </w:tcPr>
          <w:p w:rsidR="00A16B8C" w:rsidRPr="00C90AC9" w:rsidRDefault="00A16B8C" w:rsidP="00B06779">
            <w:pPr>
              <w:rPr>
                <w:rFonts w:eastAsiaTheme="minorHAnsi"/>
                <w:lang w:eastAsia="en-US"/>
              </w:rPr>
            </w:pPr>
          </w:p>
        </w:tc>
      </w:tr>
      <w:tr w:rsidR="00A16B8C" w:rsidRPr="00C90AC9" w:rsidTr="007E6333">
        <w:trPr>
          <w:trHeight w:val="80"/>
        </w:trPr>
        <w:tc>
          <w:tcPr>
            <w:tcW w:w="8897" w:type="dxa"/>
            <w:gridSpan w:val="2"/>
            <w:tcBorders>
              <w:top w:val="nil"/>
              <w:left w:val="nil"/>
              <w:bottom w:val="nil"/>
              <w:right w:val="nil"/>
            </w:tcBorders>
          </w:tcPr>
          <w:p w:rsidR="00001059" w:rsidRPr="00C90AC9" w:rsidRDefault="00A16B8C" w:rsidP="002B75F0">
            <w:pPr>
              <w:jc w:val="center"/>
              <w:rPr>
                <w:rFonts w:eastAsiaTheme="minorHAnsi"/>
                <w:b/>
                <w:sz w:val="28"/>
                <w:u w:val="single"/>
                <w:lang w:eastAsia="en-US"/>
              </w:rPr>
            </w:pPr>
            <w:proofErr w:type="spellStart"/>
            <w:r w:rsidRPr="00C90AC9">
              <w:rPr>
                <w:rFonts w:eastAsiaTheme="minorHAnsi"/>
                <w:b/>
                <w:sz w:val="28"/>
                <w:lang w:eastAsia="en-US"/>
              </w:rPr>
              <w:t>T</w:t>
            </w:r>
            <w:r w:rsidRPr="00C90AC9">
              <w:rPr>
                <w:rFonts w:eastAsiaTheme="minorHAnsi"/>
                <w:b/>
                <w:sz w:val="28"/>
                <w:vertAlign w:val="subscript"/>
                <w:lang w:eastAsia="en-US"/>
              </w:rPr>
              <w:t>slice</w:t>
            </w:r>
            <w:proofErr w:type="spellEnd"/>
            <w:r w:rsidRPr="00C90AC9">
              <w:rPr>
                <w:rFonts w:eastAsiaTheme="minorHAnsi"/>
                <w:b/>
                <w:sz w:val="28"/>
                <w:vertAlign w:val="subscript"/>
                <w:lang w:eastAsia="en-US"/>
              </w:rPr>
              <w:t xml:space="preserve"> </w:t>
            </w:r>
            <w:r w:rsidRPr="00C90AC9">
              <w:rPr>
                <w:rFonts w:eastAsiaTheme="minorHAnsi"/>
                <w:b/>
                <w:sz w:val="28"/>
                <w:lang w:eastAsia="en-US"/>
              </w:rPr>
              <w:t>=</w:t>
            </w:r>
            <w:r w:rsidRPr="00C90AC9">
              <w:rPr>
                <w:rFonts w:eastAsiaTheme="minorHAnsi"/>
                <w:b/>
                <w:sz w:val="28"/>
                <w:u w:val="single"/>
                <w:lang w:eastAsia="en-US"/>
              </w:rPr>
              <w:t xml:space="preserve"> 0.01m</w:t>
            </w:r>
          </w:p>
          <w:p w:rsidR="0093376F" w:rsidRPr="00C90AC9" w:rsidRDefault="0093376F" w:rsidP="002B75F0">
            <w:pPr>
              <w:jc w:val="center"/>
              <w:rPr>
                <w:rFonts w:eastAsiaTheme="minorHAnsi"/>
                <w:b/>
                <w:u w:val="single"/>
                <w:lang w:eastAsia="en-US"/>
              </w:rPr>
            </w:pPr>
          </w:p>
          <w:p w:rsidR="0093376F" w:rsidRPr="00C90AC9" w:rsidRDefault="0093376F" w:rsidP="002B75F0">
            <w:pPr>
              <w:jc w:val="center"/>
              <w:rPr>
                <w:rFonts w:eastAsiaTheme="minorHAnsi"/>
                <w:b/>
                <w:u w:val="single"/>
                <w:lang w:eastAsia="en-US"/>
              </w:rPr>
            </w:pPr>
          </w:p>
          <w:p w:rsidR="0093376F" w:rsidRPr="00C90AC9" w:rsidRDefault="0093376F" w:rsidP="002B75F0">
            <w:pPr>
              <w:jc w:val="center"/>
              <w:rPr>
                <w:rFonts w:eastAsiaTheme="minorHAnsi"/>
                <w:b/>
                <w:u w:val="single"/>
                <w:lang w:eastAsia="en-US"/>
              </w:rPr>
            </w:pPr>
          </w:p>
          <w:p w:rsidR="0093376F" w:rsidRPr="00C90AC9" w:rsidRDefault="0093376F" w:rsidP="002B75F0">
            <w:pPr>
              <w:jc w:val="center"/>
              <w:rPr>
                <w:rFonts w:eastAsiaTheme="minorHAnsi"/>
                <w:b/>
                <w:u w:val="single"/>
                <w:lang w:eastAsia="en-US"/>
              </w:rPr>
            </w:pPr>
          </w:p>
          <w:p w:rsidR="00C76368" w:rsidRPr="00C90AC9" w:rsidRDefault="00C76368" w:rsidP="002B75F0">
            <w:pPr>
              <w:jc w:val="center"/>
              <w:rPr>
                <w:rFonts w:eastAsiaTheme="minorHAnsi"/>
                <w:b/>
                <w:u w:val="single"/>
                <w:lang w:eastAsia="en-US"/>
              </w:rPr>
            </w:pPr>
          </w:p>
          <w:p w:rsidR="0093376F" w:rsidRPr="00C90AC9" w:rsidRDefault="0093376F" w:rsidP="002B75F0">
            <w:pPr>
              <w:jc w:val="center"/>
              <w:rPr>
                <w:rFonts w:eastAsiaTheme="minorHAnsi"/>
                <w:b/>
                <w:u w:val="single"/>
                <w:lang w:eastAsia="en-US"/>
              </w:rPr>
            </w:pPr>
          </w:p>
          <w:p w:rsidR="0093376F" w:rsidRPr="00C90AC9" w:rsidRDefault="0093376F" w:rsidP="002B75F0">
            <w:pPr>
              <w:jc w:val="center"/>
              <w:rPr>
                <w:b/>
                <w:u w:val="single"/>
                <w:lang w:eastAsia="en-US"/>
              </w:rPr>
            </w:pPr>
          </w:p>
        </w:tc>
        <w:tc>
          <w:tcPr>
            <w:tcW w:w="669" w:type="dxa"/>
            <w:gridSpan w:val="2"/>
            <w:tcBorders>
              <w:top w:val="nil"/>
              <w:left w:val="nil"/>
              <w:bottom w:val="nil"/>
              <w:right w:val="nil"/>
            </w:tcBorders>
          </w:tcPr>
          <w:p w:rsidR="00A16B8C" w:rsidRPr="00C90AC9" w:rsidRDefault="00A16B8C" w:rsidP="00B06779">
            <w:pPr>
              <w:rPr>
                <w:rFonts w:eastAsiaTheme="minorHAnsi"/>
                <w:lang w:eastAsia="en-US"/>
              </w:rPr>
            </w:pPr>
          </w:p>
        </w:tc>
      </w:tr>
    </w:tbl>
    <w:p w:rsidR="00A16B8C" w:rsidRPr="00C90AC9" w:rsidRDefault="00A16B8C" w:rsidP="00D0095B">
      <w:pPr>
        <w:pStyle w:val="Heading2"/>
        <w:numPr>
          <w:ilvl w:val="1"/>
          <w:numId w:val="3"/>
        </w:numPr>
        <w:ind w:hanging="720"/>
        <w:jc w:val="left"/>
        <w:rPr>
          <w:rStyle w:val="SubtleEmphasis"/>
        </w:rPr>
      </w:pPr>
      <w:bookmarkStart w:id="48" w:name="_Toc447173066"/>
      <w:r w:rsidRPr="00C90AC9">
        <w:rPr>
          <w:rStyle w:val="SubtleEmphasis"/>
        </w:rPr>
        <w:lastRenderedPageBreak/>
        <w:t xml:space="preserve">The heating </w:t>
      </w:r>
      <w:proofErr w:type="gramStart"/>
      <w:r w:rsidRPr="00C90AC9">
        <w:rPr>
          <w:rStyle w:val="SubtleEmphasis"/>
        </w:rPr>
        <w:t>coil</w:t>
      </w:r>
      <w:bookmarkEnd w:id="48"/>
      <w:proofErr w:type="gramEnd"/>
    </w:p>
    <w:p w:rsidR="00A16B8C" w:rsidRPr="00C90AC9" w:rsidRDefault="00A16B8C" w:rsidP="00E3686B">
      <w:pPr>
        <w:pStyle w:val="BodyTextFirstIndent"/>
        <w:spacing w:line="360" w:lineRule="auto"/>
        <w:ind w:firstLine="357"/>
        <w:rPr>
          <w:rFonts w:eastAsiaTheme="minorHAnsi"/>
          <w:lang w:eastAsia="en-US"/>
        </w:rPr>
      </w:pPr>
      <w:r w:rsidRPr="00C90AC9">
        <w:rPr>
          <w:rFonts w:eastAsiaTheme="minorHAnsi"/>
          <w:lang w:eastAsia="en-US"/>
        </w:rPr>
        <w:t>The total area of the heating coil can also be calculated using the radius of the heating coil and the length of the heating coil:</w:t>
      </w:r>
    </w:p>
    <w:p w:rsidR="00A16B8C" w:rsidRPr="00C90AC9" w:rsidRDefault="0074402A" w:rsidP="00B06779">
      <w:pPr>
        <w:pStyle w:val="BodyText"/>
        <w:rPr>
          <w:rFonts w:eastAsiaTheme="minorHAnsi"/>
          <w:lang w:eastAsia="en-US"/>
        </w:rPr>
      </w:pPr>
      <w:r w:rsidRPr="00C90AC9">
        <w:rPr>
          <w:rFonts w:eastAsiaTheme="minorHAnsi"/>
          <w:noProof/>
        </w:rPr>
        <mc:AlternateContent>
          <mc:Choice Requires="wps">
            <w:drawing>
              <wp:anchor distT="0" distB="0" distL="114300" distR="114300" simplePos="0" relativeHeight="251784192" behindDoc="0" locked="0" layoutInCell="1" allowOverlap="1" wp14:anchorId="77BA0DE0" wp14:editId="37B339F2">
                <wp:simplePos x="0" y="0"/>
                <wp:positionH relativeFrom="column">
                  <wp:posOffset>1476375</wp:posOffset>
                </wp:positionH>
                <wp:positionV relativeFrom="paragraph">
                  <wp:posOffset>191770</wp:posOffset>
                </wp:positionV>
                <wp:extent cx="2628900" cy="390525"/>
                <wp:effectExtent l="0" t="0" r="19050" b="28575"/>
                <wp:wrapNone/>
                <wp:docPr id="379" name="Rectangle 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8900" cy="390525"/>
                        </a:xfrm>
                        <a:prstGeom prst="rect">
                          <a:avLst/>
                        </a:prstGeom>
                        <a:solidFill>
                          <a:srgbClr val="4F81BD">
                            <a:alpha val="30000"/>
                          </a:srgbClr>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C3353" id="Rectangle 379" o:spid="_x0000_s1026" style="position:absolute;margin-left:116.25pt;margin-top:15.1pt;width:207pt;height:30.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" fillcolor="#4f81bd" strokecolor="#385d8a">
                <v:fill opacity="19789f"/>
                <v:path arrowok="t"/>
              </v:rect>
            </w:pict>
          </mc:Fallback>
        </mc:AlternateContent>
      </w:r>
      <w:r w:rsidR="00A16B8C" w:rsidRPr="00C90AC9">
        <w:rPr>
          <w:rFonts w:eastAsiaTheme="minorHAnsi"/>
          <w:lang w:eastAsia="en-US"/>
        </w:rPr>
        <w:t xml:space="preserve">Total area of heating coil, </w:t>
      </w:r>
    </w:p>
    <w:tbl>
      <w:tblPr>
        <w:tblStyle w:val="TableGrid3"/>
        <w:tblW w:w="9566" w:type="dxa"/>
        <w:tblLook w:val="04A0" w:firstRow="1" w:lastRow="0" w:firstColumn="1" w:lastColumn="0" w:noHBand="0" w:noVBand="1"/>
      </w:tblPr>
      <w:tblGrid>
        <w:gridCol w:w="8897"/>
        <w:gridCol w:w="669"/>
      </w:tblGrid>
      <w:tr w:rsidR="00A16B8C" w:rsidRPr="00C90AC9" w:rsidTr="008C4189">
        <w:tc>
          <w:tcPr>
            <w:tcW w:w="8897" w:type="dxa"/>
            <w:tcBorders>
              <w:top w:val="nil"/>
              <w:left w:val="nil"/>
              <w:bottom w:val="nil"/>
              <w:right w:val="nil"/>
            </w:tcBorders>
          </w:tcPr>
          <w:p w:rsidR="00A16B8C" w:rsidRPr="00C90AC9" w:rsidRDefault="00A16B8C" w:rsidP="002B75F0">
            <w:pPr>
              <w:jc w:val="center"/>
              <w:rPr>
                <w:lang w:eastAsia="en-US"/>
              </w:rPr>
            </w:pPr>
            <w:r w:rsidRPr="00C90AC9">
              <w:rPr>
                <w:rFonts w:eastAsiaTheme="minorHAnsi"/>
                <w:lang w:eastAsia="en-US"/>
              </w:rPr>
              <w:t>A</w:t>
            </w:r>
            <w:r w:rsidRPr="00C90AC9">
              <w:rPr>
                <w:rFonts w:eastAsiaTheme="minorHAnsi"/>
                <w:vertAlign w:val="subscript"/>
                <w:lang w:eastAsia="en-US"/>
              </w:rPr>
              <w:t>c</w:t>
            </w:r>
            <w:r w:rsidRPr="00C90AC9">
              <w:rPr>
                <w:rFonts w:eastAsiaTheme="minorHAnsi"/>
                <w:lang w:eastAsia="en-US"/>
              </w:rPr>
              <w:t xml:space="preserve"> </w:t>
            </w:r>
            <m:oMath>
              <m:r>
                <m:rPr>
                  <m:sty m:val="p"/>
                </m:rPr>
                <w:rPr>
                  <w:rFonts w:ascii="Cambria Math" w:eastAsiaTheme="minorHAnsi" w:hAnsi="Cambria Math"/>
                  <w:lang w:eastAsia="en-US"/>
                </w:rPr>
                <m:t>=</m:t>
              </m:r>
              <m:r>
                <w:rPr>
                  <w:rFonts w:ascii="Cambria Math" w:eastAsiaTheme="minorHAnsi" w:hAnsi="Cambria Math"/>
                  <w:lang w:eastAsia="en-US"/>
                </w:rPr>
                <m:t>Legth</m:t>
              </m:r>
              <m:r>
                <m:rPr>
                  <m:sty m:val="p"/>
                </m:rPr>
                <w:rPr>
                  <w:rFonts w:ascii="Cambria Math" w:eastAsiaTheme="minorHAnsi" w:hAnsi="Cambria Math"/>
                  <w:lang w:eastAsia="en-US"/>
                </w:rPr>
                <m:t xml:space="preserve"> </m:t>
              </m:r>
              <m:r>
                <w:rPr>
                  <w:rFonts w:ascii="Cambria Math" w:eastAsiaTheme="minorHAnsi" w:hAnsi="Cambria Math"/>
                  <w:lang w:eastAsia="en-US"/>
                </w:rPr>
                <m:t>of</m:t>
              </m:r>
              <m:r>
                <m:rPr>
                  <m:sty m:val="p"/>
                </m:rPr>
                <w:rPr>
                  <w:rFonts w:ascii="Cambria Math" w:eastAsiaTheme="minorHAnsi" w:hAnsi="Cambria Math"/>
                  <w:lang w:eastAsia="en-US"/>
                </w:rPr>
                <m:t xml:space="preserve"> </m:t>
              </m:r>
              <m:r>
                <w:rPr>
                  <w:rFonts w:ascii="Cambria Math" w:eastAsiaTheme="minorHAnsi" w:hAnsi="Cambria Math"/>
                  <w:lang w:eastAsia="en-US"/>
                </w:rPr>
                <m:t>coil</m:t>
              </m:r>
              <m:r>
                <m:rPr>
                  <m:sty m:val="p"/>
                </m:rPr>
                <w:rPr>
                  <w:rFonts w:ascii="Cambria Math" w:eastAsiaTheme="minorHAnsi" w:hAnsi="Cambria Math"/>
                  <w:lang w:eastAsia="en-US"/>
                </w:rPr>
                <m:t xml:space="preserve"> </m:t>
              </m:r>
              <m:d>
                <m:dPr>
                  <m:ctrlPr>
                    <w:rPr>
                      <w:rFonts w:ascii="Cambria Math" w:eastAsiaTheme="minorHAnsi" w:hAnsi="Cambria Math"/>
                      <w:lang w:eastAsia="en-US"/>
                    </w:rPr>
                  </m:ctrlPr>
                </m:dPr>
                <m:e>
                  <m:sSub>
                    <m:sSubPr>
                      <m:ctrlPr>
                        <w:rPr>
                          <w:rFonts w:ascii="Cambria Math" w:eastAsiaTheme="minorHAnsi" w:hAnsi="Cambria Math"/>
                          <w:lang w:eastAsia="en-US"/>
                        </w:rPr>
                      </m:ctrlPr>
                    </m:sSubPr>
                    <m:e>
                      <m:r>
                        <w:rPr>
                          <w:rFonts w:ascii="Cambria Math" w:eastAsiaTheme="minorHAnsi" w:hAnsi="Cambria Math"/>
                          <w:lang w:eastAsia="en-US"/>
                        </w:rPr>
                        <m:t>L</m:t>
                      </m:r>
                    </m:e>
                    <m:sub>
                      <m:r>
                        <w:rPr>
                          <w:rFonts w:ascii="Cambria Math" w:eastAsiaTheme="minorHAnsi" w:hAnsi="Cambria Math"/>
                          <w:lang w:eastAsia="en-US"/>
                        </w:rPr>
                        <m:t>coil</m:t>
                      </m:r>
                    </m:sub>
                  </m:sSub>
                </m:e>
              </m:d>
              <m:r>
                <m:rPr>
                  <m:sty m:val="p"/>
                </m:rPr>
                <w:rPr>
                  <w:rFonts w:ascii="Cambria Math" w:eastAsiaTheme="minorHAnsi" w:hAnsi="Cambria Math"/>
                  <w:lang w:eastAsia="en-US"/>
                </w:rPr>
                <m:t xml:space="preserve">  .   2 . π . r</m:t>
              </m:r>
            </m:oMath>
          </w:p>
        </w:tc>
        <w:tc>
          <w:tcPr>
            <w:tcW w:w="669" w:type="dxa"/>
            <w:tcBorders>
              <w:top w:val="nil"/>
              <w:left w:val="nil"/>
              <w:bottom w:val="nil"/>
              <w:right w:val="nil"/>
            </w:tcBorders>
            <w:vAlign w:val="center"/>
          </w:tcPr>
          <w:p w:rsidR="00A16B8C" w:rsidRPr="00C90AC9" w:rsidRDefault="00A16B8C" w:rsidP="00B06779">
            <w:pPr>
              <w:rPr>
                <w:rFonts w:eastAsiaTheme="minorHAnsi"/>
                <w:lang w:eastAsia="en-US"/>
              </w:rPr>
            </w:pPr>
            <w:r w:rsidRPr="00C90AC9">
              <w:rPr>
                <w:rFonts w:eastAsiaTheme="minorHAnsi"/>
                <w:lang w:eastAsia="en-US"/>
              </w:rPr>
              <w:t>(18)</w:t>
            </w:r>
          </w:p>
        </w:tc>
      </w:tr>
    </w:tbl>
    <w:p w:rsidR="002B75F0" w:rsidRPr="00C90AC9" w:rsidRDefault="002B75F0" w:rsidP="00B06779">
      <w:pPr>
        <w:pStyle w:val="BodyText"/>
        <w:rPr>
          <w:rFonts w:eastAsiaTheme="minorHAnsi"/>
          <w:lang w:eastAsia="en-US"/>
        </w:rPr>
      </w:pPr>
    </w:p>
    <w:p w:rsidR="00A16B8C" w:rsidRPr="00C90AC9" w:rsidRDefault="00A16B8C" w:rsidP="00B06779">
      <w:pPr>
        <w:pStyle w:val="BodyText"/>
        <w:rPr>
          <w:rFonts w:eastAsiaTheme="minorHAnsi"/>
          <w:lang w:eastAsia="en-US"/>
        </w:rPr>
      </w:pPr>
      <w:r w:rsidRPr="00C90AC9">
        <w:rPr>
          <w:rFonts w:eastAsiaTheme="minorHAnsi"/>
          <w:lang w:eastAsia="en-US"/>
        </w:rPr>
        <w:t>Where:</w:t>
      </w:r>
      <w:r w:rsidRPr="00C90AC9">
        <w:rPr>
          <w:rFonts w:eastAsiaTheme="minorHAnsi"/>
        </w:rPr>
        <w:t xml:space="preserve"> </w:t>
      </w:r>
      <w:r w:rsidRPr="00C90AC9">
        <w:rPr>
          <w:rFonts w:eastAsiaTheme="minorHAnsi"/>
          <w:lang w:eastAsia="en-US"/>
        </w:rPr>
        <w:br/>
        <w:t>A</w:t>
      </w:r>
      <w:r w:rsidRPr="00C90AC9">
        <w:rPr>
          <w:rFonts w:eastAsiaTheme="minorHAnsi"/>
          <w:vertAlign w:val="subscript"/>
          <w:lang w:eastAsia="en-US"/>
        </w:rPr>
        <w:t xml:space="preserve">C </w:t>
      </w:r>
      <w:r w:rsidRPr="00C90AC9">
        <w:rPr>
          <w:rFonts w:eastAsiaTheme="minorHAnsi"/>
          <w:lang w:eastAsia="en-US"/>
        </w:rPr>
        <w:t>- Area of heating coil (m</w:t>
      </w:r>
      <w:r w:rsidR="00C76368" w:rsidRPr="00C90AC9">
        <w:rPr>
          <w:rFonts w:eastAsiaTheme="minorHAnsi"/>
          <w:vertAlign w:val="superscript"/>
          <w:lang w:eastAsia="en-US"/>
        </w:rPr>
        <w:t>2</w:t>
      </w:r>
      <w:r w:rsidRPr="00C90AC9">
        <w:rPr>
          <w:rFonts w:eastAsiaTheme="minorHAnsi"/>
          <w:lang w:eastAsia="en-US"/>
        </w:rPr>
        <w:t>)</w:t>
      </w:r>
      <w:r w:rsidR="00CE56D5" w:rsidRPr="00C90AC9">
        <w:rPr>
          <w:rFonts w:eastAsiaTheme="minorHAnsi"/>
          <w:lang w:eastAsia="en-US"/>
        </w:rPr>
        <w:tab/>
      </w:r>
      <w:r w:rsidRPr="00C90AC9">
        <w:rPr>
          <w:rFonts w:eastAsiaTheme="minorHAnsi"/>
          <w:lang w:eastAsia="en-US"/>
        </w:rPr>
        <w:br/>
        <w:t>L</w:t>
      </w:r>
      <w:r w:rsidRPr="00C90AC9">
        <w:rPr>
          <w:rFonts w:eastAsiaTheme="minorHAnsi"/>
          <w:vertAlign w:val="subscript"/>
          <w:lang w:eastAsia="en-US"/>
        </w:rPr>
        <w:t xml:space="preserve">C </w:t>
      </w:r>
      <w:r w:rsidRPr="00C90AC9">
        <w:rPr>
          <w:rFonts w:eastAsiaTheme="minorHAnsi"/>
          <w:lang w:eastAsia="en-US"/>
        </w:rPr>
        <w:t>– Length of heating coil (m)</w:t>
      </w:r>
      <w:r w:rsidR="00CE56D5" w:rsidRPr="00C90AC9">
        <w:rPr>
          <w:rFonts w:eastAsiaTheme="minorHAnsi"/>
          <w:lang w:eastAsia="en-US"/>
        </w:rPr>
        <w:tab/>
      </w:r>
      <w:r w:rsidRPr="00C90AC9">
        <w:rPr>
          <w:rFonts w:eastAsiaTheme="minorHAnsi"/>
          <w:lang w:eastAsia="en-US"/>
        </w:rPr>
        <w:br/>
      </w:r>
      <w:proofErr w:type="spellStart"/>
      <w:r w:rsidRPr="00C90AC9">
        <w:rPr>
          <w:rFonts w:eastAsiaTheme="minorHAnsi"/>
          <w:lang w:eastAsia="en-US"/>
        </w:rPr>
        <w:t>r</w:t>
      </w:r>
      <w:r w:rsidRPr="00C90AC9">
        <w:rPr>
          <w:rFonts w:eastAsiaTheme="minorHAnsi"/>
          <w:vertAlign w:val="subscript"/>
          <w:lang w:eastAsia="en-US"/>
        </w:rPr>
        <w:t>Coil</w:t>
      </w:r>
      <w:proofErr w:type="spellEnd"/>
      <w:r w:rsidRPr="00C90AC9">
        <w:rPr>
          <w:rFonts w:eastAsiaTheme="minorHAnsi"/>
          <w:vertAlign w:val="subscript"/>
          <w:lang w:eastAsia="en-US"/>
        </w:rPr>
        <w:t xml:space="preserve"> </w:t>
      </w:r>
      <w:r w:rsidRPr="00C90AC9">
        <w:rPr>
          <w:rFonts w:eastAsiaTheme="minorHAnsi"/>
          <w:lang w:eastAsia="en-US"/>
        </w:rPr>
        <w:t>– Radius of coil (m)</w:t>
      </w:r>
    </w:p>
    <w:p w:rsidR="00A16B8C" w:rsidRPr="00C90AC9" w:rsidRDefault="00A16B8C" w:rsidP="00C76368">
      <w:pPr>
        <w:jc w:val="center"/>
        <w:rPr>
          <w:vertAlign w:val="superscript"/>
          <w:lang w:eastAsia="en-US"/>
        </w:rPr>
      </w:pPr>
      <w:r w:rsidRPr="00C90AC9">
        <w:rPr>
          <w:lang w:eastAsia="en-US"/>
        </w:rPr>
        <w:t>A</w:t>
      </w:r>
      <w:r w:rsidRPr="00C90AC9">
        <w:rPr>
          <w:vertAlign w:val="subscript"/>
          <w:lang w:eastAsia="en-US"/>
        </w:rPr>
        <w:t>c</w:t>
      </w:r>
      <w:r w:rsidRPr="00C90AC9">
        <w:rPr>
          <w:lang w:eastAsia="en-US"/>
        </w:rPr>
        <w:t xml:space="preserve">= </w:t>
      </w:r>
      <w:r w:rsidR="003B23E1" w:rsidRPr="00C90AC9">
        <w:rPr>
          <w:lang w:eastAsia="en-US"/>
        </w:rPr>
        <w:t>2</w:t>
      </w:r>
      <w:r w:rsidRPr="00C90AC9">
        <w:rPr>
          <w:lang w:eastAsia="en-US"/>
        </w:rPr>
        <w:t xml:space="preserve"> x π x </w:t>
      </w:r>
    </w:p>
    <w:p w:rsidR="00A16B8C" w:rsidRPr="00C90AC9" w:rsidRDefault="00A16B8C" w:rsidP="0093376F">
      <w:pPr>
        <w:jc w:val="center"/>
        <w:rPr>
          <w:b/>
          <w:sz w:val="28"/>
          <w:u w:val="single"/>
          <w:vertAlign w:val="superscript"/>
          <w:lang w:eastAsia="en-US"/>
        </w:rPr>
      </w:pPr>
      <w:r w:rsidRPr="00C90AC9">
        <w:rPr>
          <w:b/>
          <w:sz w:val="28"/>
          <w:lang w:eastAsia="en-US"/>
        </w:rPr>
        <w:t>A</w:t>
      </w:r>
      <w:r w:rsidRPr="00C90AC9">
        <w:rPr>
          <w:b/>
          <w:sz w:val="28"/>
          <w:vertAlign w:val="subscript"/>
          <w:lang w:eastAsia="en-US"/>
        </w:rPr>
        <w:t>c</w:t>
      </w:r>
      <w:r w:rsidRPr="00C90AC9">
        <w:rPr>
          <w:b/>
          <w:sz w:val="28"/>
          <w:lang w:eastAsia="en-US"/>
        </w:rPr>
        <w:t>=</w:t>
      </w:r>
      <w:r w:rsidRPr="00C90AC9">
        <w:rPr>
          <w:b/>
          <w:sz w:val="28"/>
          <w:u w:val="single"/>
          <w:lang w:eastAsia="en-US"/>
        </w:rPr>
        <w:t>0.006282</w:t>
      </w:r>
      <w:r w:rsidRPr="00C90AC9">
        <w:rPr>
          <w:b/>
          <w:sz w:val="28"/>
          <w:lang w:eastAsia="en-US"/>
        </w:rPr>
        <w:t>m</w:t>
      </w:r>
      <w:r w:rsidRPr="00C90AC9">
        <w:rPr>
          <w:b/>
          <w:sz w:val="28"/>
          <w:vertAlign w:val="superscript"/>
          <w:lang w:eastAsia="en-US"/>
        </w:rPr>
        <w:t>2</w:t>
      </w:r>
    </w:p>
    <w:p w:rsidR="00A16B8C" w:rsidRPr="00C90AC9" w:rsidRDefault="00A16B8C" w:rsidP="00E3686B">
      <w:pPr>
        <w:pStyle w:val="BodyText"/>
        <w:spacing w:line="360" w:lineRule="auto"/>
        <w:rPr>
          <w:rFonts w:eastAsiaTheme="minorHAnsi"/>
          <w:lang w:eastAsia="en-US"/>
        </w:rPr>
      </w:pPr>
      <w:r w:rsidRPr="00C90AC9">
        <w:rPr>
          <w:rFonts w:eastAsiaTheme="minorHAnsi"/>
          <w:lang w:eastAsia="en-US"/>
        </w:rPr>
        <w:t>Using the result from Eq. 17 and knowing the number of slices in the tank (200), the area that is heating each slice (</w:t>
      </w:r>
      <w:proofErr w:type="spellStart"/>
      <w:r w:rsidRPr="00C90AC9">
        <w:rPr>
          <w:rFonts w:eastAsiaTheme="minorHAnsi"/>
          <w:lang w:eastAsia="en-US"/>
        </w:rPr>
        <w:t>A</w:t>
      </w:r>
      <w:r w:rsidRPr="00C90AC9">
        <w:rPr>
          <w:rFonts w:eastAsiaTheme="minorHAnsi"/>
          <w:vertAlign w:val="subscript"/>
          <w:lang w:eastAsia="en-US"/>
        </w:rPr>
        <w:t>coil</w:t>
      </w:r>
      <w:proofErr w:type="spellEnd"/>
      <w:r w:rsidRPr="00C90AC9">
        <w:rPr>
          <w:rFonts w:eastAsiaTheme="minorHAnsi"/>
          <w:vertAlign w:val="subscript"/>
          <w:lang w:eastAsia="en-US"/>
        </w:rPr>
        <w:t>, slice</w:t>
      </w:r>
      <w:r w:rsidRPr="00C90AC9">
        <w:rPr>
          <w:rFonts w:eastAsiaTheme="minorHAnsi"/>
          <w:lang w:eastAsia="en-US"/>
        </w:rPr>
        <w:t>) can now be calculated:</w:t>
      </w:r>
      <w:r w:rsidRPr="00C90AC9">
        <w:rPr>
          <w:rFonts w:eastAsiaTheme="minorHAnsi"/>
          <w:lang w:eastAsia="en-US"/>
        </w:rPr>
        <w:tab/>
      </w:r>
      <w:r w:rsidRPr="00C90AC9">
        <w:rPr>
          <w:rFonts w:eastAsiaTheme="minorHAnsi"/>
          <w:lang w:eastAsia="en-US"/>
        </w:rPr>
        <w:br/>
      </w:r>
    </w:p>
    <w:tbl>
      <w:tblPr>
        <w:tblStyle w:val="TableGrid3"/>
        <w:tblW w:w="9566" w:type="dxa"/>
        <w:tblLook w:val="04A0" w:firstRow="1" w:lastRow="0" w:firstColumn="1" w:lastColumn="0" w:noHBand="0" w:noVBand="1"/>
      </w:tblPr>
      <w:tblGrid>
        <w:gridCol w:w="8897"/>
        <w:gridCol w:w="669"/>
      </w:tblGrid>
      <w:tr w:rsidR="00A16B8C" w:rsidRPr="00C90AC9" w:rsidTr="008C4189">
        <w:tc>
          <w:tcPr>
            <w:tcW w:w="8897" w:type="dxa"/>
            <w:tcBorders>
              <w:top w:val="nil"/>
              <w:left w:val="nil"/>
              <w:bottom w:val="nil"/>
              <w:right w:val="nil"/>
            </w:tcBorders>
          </w:tcPr>
          <w:p w:rsidR="00A16B8C" w:rsidRPr="00C90AC9" w:rsidRDefault="00426D28" w:rsidP="002B75F0">
            <w:pPr>
              <w:jc w:val="center"/>
              <w:rPr>
                <w:lang w:eastAsia="en-US"/>
              </w:rPr>
            </w:pPr>
            <w:r w:rsidRPr="00C90AC9">
              <w:rPr>
                <w:rFonts w:eastAsiaTheme="minorHAnsi"/>
                <w:noProof/>
              </w:rPr>
              <mc:AlternateContent>
                <mc:Choice Requires="wps">
                  <w:drawing>
                    <wp:anchor distT="0" distB="0" distL="114300" distR="114300" simplePos="0" relativeHeight="251785216" behindDoc="0" locked="0" layoutInCell="1" allowOverlap="1" wp14:anchorId="71C2BE38" wp14:editId="57086B38">
                      <wp:simplePos x="0" y="0"/>
                      <wp:positionH relativeFrom="column">
                        <wp:posOffset>1322070</wp:posOffset>
                      </wp:positionH>
                      <wp:positionV relativeFrom="paragraph">
                        <wp:posOffset>-81280</wp:posOffset>
                      </wp:positionV>
                      <wp:extent cx="2872740" cy="466725"/>
                      <wp:effectExtent l="0" t="0" r="22860" b="28575"/>
                      <wp:wrapNone/>
                      <wp:docPr id="380" name="Rectangle 3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2740" cy="466725"/>
                              </a:xfrm>
                              <a:prstGeom prst="rect">
                                <a:avLst/>
                              </a:prstGeom>
                              <a:solidFill>
                                <a:srgbClr val="4F81BD">
                                  <a:alpha val="30000"/>
                                </a:srgbClr>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84B3EB" id="Rectangle 380" o:spid="_x0000_s1026" style="position:absolute;margin-left:104.1pt;margin-top:-6.4pt;width:226.2pt;height:36.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" fillcolor="#4f81bd" strokecolor="#385d8a">
                      <v:fill opacity="19789f"/>
                      <v:path arrowok="t"/>
                    </v:rect>
                  </w:pict>
                </mc:Fallback>
              </mc:AlternateContent>
            </w:r>
            <w:proofErr w:type="spellStart"/>
            <w:r w:rsidR="00A16B8C" w:rsidRPr="00C90AC9">
              <w:rPr>
                <w:rFonts w:eastAsiaTheme="minorHAnsi"/>
                <w:lang w:eastAsia="en-US"/>
              </w:rPr>
              <w:t>A</w:t>
            </w:r>
            <w:r w:rsidR="00A16B8C" w:rsidRPr="00C90AC9">
              <w:rPr>
                <w:rFonts w:eastAsiaTheme="minorHAnsi"/>
                <w:vertAlign w:val="subscript"/>
                <w:lang w:eastAsia="en-US"/>
              </w:rPr>
              <w:t>coil</w:t>
            </w:r>
            <w:proofErr w:type="spellEnd"/>
            <w:r w:rsidR="00A16B8C" w:rsidRPr="00C90AC9">
              <w:rPr>
                <w:rFonts w:eastAsiaTheme="minorHAnsi"/>
                <w:vertAlign w:val="subscript"/>
                <w:lang w:eastAsia="en-US"/>
              </w:rPr>
              <w:t xml:space="preserve">, slice, </w:t>
            </w:r>
            <w:r w:rsidR="00A16B8C" w:rsidRPr="00C90AC9">
              <w:rPr>
                <w:rFonts w:eastAsiaTheme="minorHAnsi"/>
                <w:lang w:eastAsia="en-US"/>
              </w:rPr>
              <w:t xml:space="preserve">=   </w:t>
            </w:r>
            <m:oMath>
              <m:f>
                <m:fPr>
                  <m:ctrlPr>
                    <w:rPr>
                      <w:rFonts w:ascii="Cambria Math" w:eastAsiaTheme="minorHAnsi" w:hAnsi="Cambria Math"/>
                      <w:lang w:eastAsia="en-US"/>
                    </w:rPr>
                  </m:ctrlPr>
                </m:fPr>
                <m:num>
                  <m:r>
                    <m:rPr>
                      <m:sty m:val="p"/>
                    </m:rPr>
                    <w:rPr>
                      <w:rFonts w:ascii="Cambria Math" w:eastAsiaTheme="minorHAnsi" w:hAnsi="Cambria Math"/>
                      <w:lang w:eastAsia="en-US"/>
                    </w:rPr>
                    <m:t xml:space="preserve"> </m:t>
                  </m:r>
                  <m:r>
                    <w:rPr>
                      <w:rFonts w:ascii="Cambria Math" w:eastAsiaTheme="minorHAnsi" w:hAnsi="Cambria Math"/>
                      <w:lang w:eastAsia="en-US"/>
                    </w:rPr>
                    <m:t>Total</m:t>
                  </m:r>
                  <m:r>
                    <m:rPr>
                      <m:sty m:val="p"/>
                    </m:rPr>
                    <w:rPr>
                      <w:rFonts w:ascii="Cambria Math" w:eastAsiaTheme="minorHAnsi" w:hAnsi="Cambria Math"/>
                      <w:lang w:eastAsia="en-US"/>
                    </w:rPr>
                    <m:t xml:space="preserve"> </m:t>
                  </m:r>
                  <m:r>
                    <w:rPr>
                      <w:rFonts w:ascii="Cambria Math" w:eastAsiaTheme="minorHAnsi" w:hAnsi="Cambria Math"/>
                      <w:lang w:eastAsia="en-US"/>
                    </w:rPr>
                    <m:t>area</m:t>
                  </m:r>
                  <m:r>
                    <m:rPr>
                      <m:sty m:val="p"/>
                    </m:rPr>
                    <w:rPr>
                      <w:rFonts w:ascii="Cambria Math" w:eastAsiaTheme="minorHAnsi" w:hAnsi="Cambria Math"/>
                      <w:lang w:eastAsia="en-US"/>
                    </w:rPr>
                    <m:t xml:space="preserve"> </m:t>
                  </m:r>
                  <m:r>
                    <w:rPr>
                      <w:rFonts w:ascii="Cambria Math" w:eastAsiaTheme="minorHAnsi" w:hAnsi="Cambria Math"/>
                      <w:lang w:eastAsia="en-US"/>
                    </w:rPr>
                    <m:t>of</m:t>
                  </m:r>
                  <m:r>
                    <m:rPr>
                      <m:sty m:val="p"/>
                    </m:rPr>
                    <w:rPr>
                      <w:rFonts w:ascii="Cambria Math" w:eastAsiaTheme="minorHAnsi" w:hAnsi="Cambria Math"/>
                      <w:lang w:eastAsia="en-US"/>
                    </w:rPr>
                    <m:t xml:space="preserve"> </m:t>
                  </m:r>
                  <m:r>
                    <w:rPr>
                      <w:rFonts w:ascii="Cambria Math" w:eastAsiaTheme="minorHAnsi" w:hAnsi="Cambria Math"/>
                      <w:lang w:eastAsia="en-US"/>
                    </w:rPr>
                    <m:t>heating</m:t>
                  </m:r>
                  <m:r>
                    <m:rPr>
                      <m:sty m:val="p"/>
                    </m:rPr>
                    <w:rPr>
                      <w:rFonts w:ascii="Cambria Math" w:eastAsiaTheme="minorHAnsi" w:hAnsi="Cambria Math"/>
                      <w:lang w:eastAsia="en-US"/>
                    </w:rPr>
                    <m:t xml:space="preserve"> </m:t>
                  </m:r>
                  <m:r>
                    <w:rPr>
                      <w:rFonts w:ascii="Cambria Math" w:eastAsiaTheme="minorHAnsi" w:hAnsi="Cambria Math"/>
                      <w:lang w:eastAsia="en-US"/>
                    </w:rPr>
                    <m:t>coil</m:t>
                  </m:r>
                  <m:r>
                    <m:rPr>
                      <m:sty m:val="p"/>
                    </m:rPr>
                    <w:rPr>
                      <w:rFonts w:ascii="Cambria Math" w:eastAsiaTheme="minorHAnsi" w:hAnsi="Cambria Math"/>
                      <w:lang w:eastAsia="en-US"/>
                    </w:rPr>
                    <m:t xml:space="preserve">, </m:t>
                  </m:r>
                  <m:r>
                    <w:rPr>
                      <w:rFonts w:ascii="Cambria Math" w:eastAsiaTheme="minorHAnsi" w:hAnsi="Cambria Math"/>
                      <w:lang w:eastAsia="en-US"/>
                    </w:rPr>
                    <m:t>Ac</m:t>
                  </m:r>
                </m:num>
                <m:den>
                  <m:r>
                    <w:rPr>
                      <w:rFonts w:ascii="Cambria Math" w:eastAsiaTheme="minorHAnsi" w:hAnsi="Cambria Math"/>
                      <w:lang w:eastAsia="en-US"/>
                    </w:rPr>
                    <m:t>Number</m:t>
                  </m:r>
                  <m:r>
                    <m:rPr>
                      <m:sty m:val="p"/>
                    </m:rPr>
                    <w:rPr>
                      <w:rFonts w:ascii="Cambria Math" w:eastAsiaTheme="minorHAnsi" w:hAnsi="Cambria Math"/>
                      <w:lang w:eastAsia="en-US"/>
                    </w:rPr>
                    <m:t xml:space="preserve"> </m:t>
                  </m:r>
                  <m:r>
                    <w:rPr>
                      <w:rFonts w:ascii="Cambria Math" w:eastAsiaTheme="minorHAnsi" w:hAnsi="Cambria Math"/>
                      <w:lang w:eastAsia="en-US"/>
                    </w:rPr>
                    <m:t>of</m:t>
                  </m:r>
                  <m:r>
                    <m:rPr>
                      <m:sty m:val="p"/>
                    </m:rPr>
                    <w:rPr>
                      <w:rFonts w:ascii="Cambria Math" w:eastAsiaTheme="minorHAnsi" w:hAnsi="Cambria Math"/>
                      <w:lang w:eastAsia="en-US"/>
                    </w:rPr>
                    <m:t xml:space="preserve"> </m:t>
                  </m:r>
                  <m:r>
                    <w:rPr>
                      <w:rFonts w:ascii="Cambria Math" w:eastAsiaTheme="minorHAnsi" w:hAnsi="Cambria Math"/>
                      <w:lang w:eastAsia="en-US"/>
                    </w:rPr>
                    <m:t>slices</m:t>
                  </m:r>
                </m:den>
              </m:f>
            </m:oMath>
          </w:p>
          <w:p w:rsidR="00A16B8C" w:rsidRPr="00C90AC9" w:rsidRDefault="00A16B8C" w:rsidP="002B75F0">
            <w:pPr>
              <w:jc w:val="center"/>
              <w:rPr>
                <w:rFonts w:eastAsiaTheme="minorHAnsi"/>
                <w:lang w:eastAsia="en-US"/>
              </w:rPr>
            </w:pPr>
          </w:p>
        </w:tc>
        <w:tc>
          <w:tcPr>
            <w:tcW w:w="669" w:type="dxa"/>
            <w:tcBorders>
              <w:top w:val="nil"/>
              <w:left w:val="nil"/>
              <w:bottom w:val="nil"/>
              <w:right w:val="nil"/>
            </w:tcBorders>
            <w:vAlign w:val="center"/>
          </w:tcPr>
          <w:p w:rsidR="00A16B8C" w:rsidRPr="00C90AC9" w:rsidRDefault="00A16B8C" w:rsidP="00B06779">
            <w:pPr>
              <w:rPr>
                <w:rFonts w:eastAsiaTheme="minorHAnsi"/>
                <w:lang w:eastAsia="en-US"/>
              </w:rPr>
            </w:pPr>
            <w:r w:rsidRPr="00C90AC9">
              <w:rPr>
                <w:rFonts w:eastAsiaTheme="minorHAnsi"/>
                <w:lang w:eastAsia="en-US"/>
              </w:rPr>
              <w:t>(19)</w:t>
            </w:r>
          </w:p>
        </w:tc>
      </w:tr>
      <w:tr w:rsidR="00A16B8C" w:rsidRPr="00C90AC9" w:rsidTr="008C4189">
        <w:tc>
          <w:tcPr>
            <w:tcW w:w="8897" w:type="dxa"/>
            <w:tcBorders>
              <w:top w:val="nil"/>
              <w:left w:val="nil"/>
              <w:bottom w:val="nil"/>
              <w:right w:val="nil"/>
            </w:tcBorders>
          </w:tcPr>
          <w:p w:rsidR="00A16B8C" w:rsidRPr="00C90AC9" w:rsidRDefault="00A16B8C" w:rsidP="002B75F0">
            <w:pPr>
              <w:jc w:val="center"/>
              <w:rPr>
                <w:lang w:eastAsia="en-US"/>
              </w:rPr>
            </w:pPr>
            <w:proofErr w:type="spellStart"/>
            <w:r w:rsidRPr="00C90AC9">
              <w:rPr>
                <w:rFonts w:eastAsiaTheme="minorHAnsi"/>
                <w:lang w:eastAsia="en-US"/>
              </w:rPr>
              <w:t>A</w:t>
            </w:r>
            <w:r w:rsidRPr="00C90AC9">
              <w:rPr>
                <w:rFonts w:eastAsiaTheme="minorHAnsi"/>
                <w:vertAlign w:val="subscript"/>
                <w:lang w:eastAsia="en-US"/>
              </w:rPr>
              <w:t>coil</w:t>
            </w:r>
            <w:proofErr w:type="spellEnd"/>
            <w:r w:rsidRPr="00C90AC9">
              <w:rPr>
                <w:rFonts w:eastAsiaTheme="minorHAnsi"/>
                <w:vertAlign w:val="subscript"/>
                <w:lang w:eastAsia="en-US"/>
              </w:rPr>
              <w:t xml:space="preserve">, slice, </w:t>
            </w:r>
            <w:r w:rsidRPr="00C90AC9">
              <w:rPr>
                <w:rFonts w:eastAsiaTheme="minorHAnsi"/>
                <w:lang w:eastAsia="en-US"/>
              </w:rPr>
              <w:t xml:space="preserve">=   </w:t>
            </w:r>
            <m:oMath>
              <m:f>
                <m:fPr>
                  <m:ctrlPr>
                    <w:rPr>
                      <w:rFonts w:ascii="Cambria Math" w:eastAsiaTheme="minorHAnsi" w:hAnsi="Cambria Math"/>
                      <w:i/>
                      <w:lang w:eastAsia="en-US"/>
                    </w:rPr>
                  </m:ctrlPr>
                </m:fPr>
                <m:num>
                  <m:r>
                    <w:rPr>
                      <w:rFonts w:ascii="Cambria Math" w:eastAsiaTheme="minorHAnsi" w:hAnsi="Cambria Math"/>
                      <w:lang w:eastAsia="en-US"/>
                    </w:rPr>
                    <m:t xml:space="preserve"> 0.0076</m:t>
                  </m:r>
                </m:num>
                <m:den>
                  <m:r>
                    <w:rPr>
                      <w:rFonts w:ascii="Cambria Math" w:eastAsiaTheme="minorHAnsi" w:hAnsi="Cambria Math"/>
                      <w:lang w:eastAsia="en-US"/>
                    </w:rPr>
                    <m:t>200</m:t>
                  </m:r>
                </m:den>
              </m:f>
            </m:oMath>
            <w:r w:rsidRPr="00C90AC9">
              <w:rPr>
                <w:lang w:eastAsia="en-US"/>
              </w:rPr>
              <w:br/>
            </w:r>
          </w:p>
        </w:tc>
        <w:tc>
          <w:tcPr>
            <w:tcW w:w="669" w:type="dxa"/>
            <w:tcBorders>
              <w:top w:val="nil"/>
              <w:left w:val="nil"/>
              <w:bottom w:val="nil"/>
              <w:right w:val="nil"/>
            </w:tcBorders>
            <w:vAlign w:val="center"/>
          </w:tcPr>
          <w:p w:rsidR="00A16B8C" w:rsidRPr="00C90AC9" w:rsidRDefault="00A16B8C" w:rsidP="00B06779">
            <w:pPr>
              <w:rPr>
                <w:rFonts w:eastAsiaTheme="minorHAnsi"/>
                <w:lang w:eastAsia="en-US"/>
              </w:rPr>
            </w:pPr>
          </w:p>
        </w:tc>
      </w:tr>
      <w:tr w:rsidR="00A16B8C" w:rsidRPr="00C90AC9" w:rsidTr="008C4189">
        <w:tc>
          <w:tcPr>
            <w:tcW w:w="8897" w:type="dxa"/>
            <w:tcBorders>
              <w:top w:val="nil"/>
              <w:left w:val="nil"/>
              <w:bottom w:val="nil"/>
              <w:right w:val="nil"/>
            </w:tcBorders>
          </w:tcPr>
          <w:p w:rsidR="00A16B8C" w:rsidRPr="00C90AC9" w:rsidRDefault="00A16B8C" w:rsidP="002B75F0">
            <w:pPr>
              <w:jc w:val="center"/>
              <w:rPr>
                <w:lang w:eastAsia="en-US"/>
              </w:rPr>
            </w:pPr>
            <w:proofErr w:type="spellStart"/>
            <w:r w:rsidRPr="00C90AC9">
              <w:rPr>
                <w:rFonts w:eastAsiaTheme="minorHAnsi"/>
                <w:lang w:eastAsia="en-US"/>
              </w:rPr>
              <w:t>A</w:t>
            </w:r>
            <w:r w:rsidRPr="00C90AC9">
              <w:rPr>
                <w:rFonts w:eastAsiaTheme="minorHAnsi"/>
                <w:vertAlign w:val="subscript"/>
                <w:lang w:eastAsia="en-US"/>
              </w:rPr>
              <w:t>coil</w:t>
            </w:r>
            <w:proofErr w:type="spellEnd"/>
            <w:r w:rsidRPr="00C90AC9">
              <w:rPr>
                <w:rFonts w:eastAsiaTheme="minorHAnsi"/>
                <w:vertAlign w:val="subscript"/>
                <w:lang w:eastAsia="en-US"/>
              </w:rPr>
              <w:t xml:space="preserve">, slice, </w:t>
            </w:r>
            <w:r w:rsidRPr="00C90AC9">
              <w:rPr>
                <w:rFonts w:eastAsiaTheme="minorHAnsi"/>
                <w:lang w:eastAsia="en-US"/>
              </w:rPr>
              <w:t xml:space="preserve">=   </w:t>
            </w:r>
            <m:oMath>
              <m:f>
                <m:fPr>
                  <m:ctrlPr>
                    <w:rPr>
                      <w:rFonts w:ascii="Cambria Math" w:eastAsiaTheme="minorHAnsi" w:hAnsi="Cambria Math"/>
                      <w:i/>
                      <w:lang w:eastAsia="en-US"/>
                    </w:rPr>
                  </m:ctrlPr>
                </m:fPr>
                <m:num>
                  <m:r>
                    <w:rPr>
                      <w:rFonts w:ascii="Cambria Math" w:eastAsiaTheme="minorHAnsi" w:hAnsi="Cambria Math"/>
                      <w:lang w:eastAsia="en-US"/>
                    </w:rPr>
                    <m:t>0.006282</m:t>
                  </m:r>
                </m:num>
                <m:den>
                  <m:r>
                    <w:rPr>
                      <w:rFonts w:ascii="Cambria Math" w:eastAsiaTheme="minorHAnsi" w:hAnsi="Cambria Math"/>
                      <w:lang w:eastAsia="en-US"/>
                    </w:rPr>
                    <m:t>200</m:t>
                  </m:r>
                </m:den>
              </m:f>
            </m:oMath>
          </w:p>
        </w:tc>
        <w:tc>
          <w:tcPr>
            <w:tcW w:w="669" w:type="dxa"/>
            <w:tcBorders>
              <w:top w:val="nil"/>
              <w:left w:val="nil"/>
              <w:bottom w:val="nil"/>
              <w:right w:val="nil"/>
            </w:tcBorders>
            <w:vAlign w:val="center"/>
          </w:tcPr>
          <w:p w:rsidR="00A16B8C" w:rsidRPr="00C90AC9" w:rsidRDefault="00A16B8C" w:rsidP="00B06779">
            <w:pPr>
              <w:rPr>
                <w:rFonts w:eastAsiaTheme="minorHAnsi"/>
                <w:lang w:eastAsia="en-US"/>
              </w:rPr>
            </w:pPr>
          </w:p>
        </w:tc>
      </w:tr>
      <w:tr w:rsidR="00A16B8C" w:rsidRPr="00C90AC9" w:rsidTr="008C4189">
        <w:tc>
          <w:tcPr>
            <w:tcW w:w="8897" w:type="dxa"/>
            <w:tcBorders>
              <w:top w:val="nil"/>
              <w:left w:val="nil"/>
              <w:bottom w:val="nil"/>
              <w:right w:val="nil"/>
            </w:tcBorders>
          </w:tcPr>
          <w:p w:rsidR="002B75F0" w:rsidRPr="00C90AC9" w:rsidRDefault="00A16B8C" w:rsidP="002B75F0">
            <w:pPr>
              <w:jc w:val="center"/>
              <w:rPr>
                <w:b/>
                <w:lang w:eastAsia="en-US"/>
              </w:rPr>
            </w:pPr>
            <w:proofErr w:type="spellStart"/>
            <w:r w:rsidRPr="00C90AC9">
              <w:rPr>
                <w:lang w:eastAsia="en-US"/>
              </w:rPr>
              <w:t>A</w:t>
            </w:r>
            <w:r w:rsidRPr="00C90AC9">
              <w:rPr>
                <w:vertAlign w:val="subscript"/>
                <w:lang w:eastAsia="en-US"/>
              </w:rPr>
              <w:t>coil</w:t>
            </w:r>
            <w:proofErr w:type="spellEnd"/>
            <w:r w:rsidRPr="00C90AC9">
              <w:rPr>
                <w:vertAlign w:val="subscript"/>
                <w:lang w:eastAsia="en-US"/>
              </w:rPr>
              <w:t xml:space="preserve">, slice </w:t>
            </w:r>
            <w:r w:rsidRPr="00C90AC9">
              <w:rPr>
                <w:lang w:eastAsia="en-US"/>
              </w:rPr>
              <w:t>= 0.00003141 m</w:t>
            </w:r>
            <w:r w:rsidRPr="00C90AC9">
              <w:rPr>
                <w:vertAlign w:val="superscript"/>
                <w:lang w:eastAsia="en-US"/>
              </w:rPr>
              <w:t>2</w:t>
            </w:r>
            <w:r w:rsidRPr="00C90AC9">
              <w:rPr>
                <w:vertAlign w:val="superscript"/>
                <w:lang w:eastAsia="en-US"/>
              </w:rPr>
              <w:br/>
            </w:r>
          </w:p>
          <w:p w:rsidR="00A16B8C" w:rsidRPr="00C90AC9" w:rsidRDefault="00A16B8C" w:rsidP="002B75F0">
            <w:pPr>
              <w:jc w:val="center"/>
              <w:rPr>
                <w:b/>
                <w:sz w:val="28"/>
                <w:u w:val="single"/>
                <w:vertAlign w:val="superscript"/>
                <w:lang w:eastAsia="en-US"/>
              </w:rPr>
            </w:pPr>
            <w:proofErr w:type="spellStart"/>
            <w:r w:rsidRPr="00C90AC9">
              <w:rPr>
                <w:b/>
                <w:sz w:val="28"/>
                <w:lang w:eastAsia="en-US"/>
              </w:rPr>
              <w:t>A</w:t>
            </w:r>
            <w:r w:rsidRPr="00C90AC9">
              <w:rPr>
                <w:b/>
                <w:sz w:val="28"/>
                <w:vertAlign w:val="subscript"/>
                <w:lang w:eastAsia="en-US"/>
              </w:rPr>
              <w:t>coil</w:t>
            </w:r>
            <w:proofErr w:type="spellEnd"/>
            <w:r w:rsidRPr="00C90AC9">
              <w:rPr>
                <w:b/>
                <w:sz w:val="28"/>
                <w:vertAlign w:val="subscript"/>
                <w:lang w:eastAsia="en-US"/>
              </w:rPr>
              <w:t>, slice</w:t>
            </w:r>
            <w:r w:rsidRPr="00C90AC9">
              <w:rPr>
                <w:b/>
                <w:sz w:val="28"/>
                <w:u w:val="single"/>
                <w:vertAlign w:val="subscript"/>
                <w:lang w:eastAsia="en-US"/>
              </w:rPr>
              <w:t xml:space="preserve"> </w:t>
            </w:r>
            <w:r w:rsidRPr="00C90AC9">
              <w:rPr>
                <w:b/>
                <w:sz w:val="28"/>
                <w:lang w:eastAsia="en-US"/>
              </w:rPr>
              <w:t xml:space="preserve">= </w:t>
            </w:r>
            <w:r w:rsidRPr="00C90AC9">
              <w:rPr>
                <w:b/>
                <w:sz w:val="28"/>
                <w:u w:val="single"/>
                <w:lang w:eastAsia="en-US"/>
              </w:rPr>
              <w:t>3.141 x 10</w:t>
            </w:r>
            <w:r w:rsidRPr="00C90AC9">
              <w:rPr>
                <w:b/>
                <w:sz w:val="28"/>
                <w:u w:val="single"/>
                <w:vertAlign w:val="superscript"/>
                <w:lang w:eastAsia="en-US"/>
              </w:rPr>
              <w:t>-5</w:t>
            </w:r>
            <w:r w:rsidRPr="00C90AC9">
              <w:rPr>
                <w:b/>
                <w:sz w:val="28"/>
                <w:lang w:eastAsia="en-US"/>
              </w:rPr>
              <w:t xml:space="preserve"> m</w:t>
            </w:r>
            <w:r w:rsidR="00A83B59" w:rsidRPr="00C90AC9">
              <w:rPr>
                <w:b/>
                <w:sz w:val="28"/>
                <w:vertAlign w:val="superscript"/>
                <w:lang w:eastAsia="en-US"/>
              </w:rPr>
              <w:t>2</w:t>
            </w:r>
          </w:p>
          <w:p w:rsidR="0093376F" w:rsidRPr="00C90AC9" w:rsidRDefault="0093376F" w:rsidP="002B75F0">
            <w:pPr>
              <w:jc w:val="center"/>
              <w:rPr>
                <w:vertAlign w:val="superscript"/>
                <w:lang w:eastAsia="en-US"/>
              </w:rPr>
            </w:pPr>
          </w:p>
          <w:p w:rsidR="002B75F0" w:rsidRPr="00C90AC9" w:rsidRDefault="002B75F0" w:rsidP="002B75F0">
            <w:pPr>
              <w:jc w:val="center"/>
              <w:rPr>
                <w:vertAlign w:val="superscript"/>
                <w:lang w:eastAsia="en-US"/>
              </w:rPr>
            </w:pPr>
          </w:p>
        </w:tc>
        <w:tc>
          <w:tcPr>
            <w:tcW w:w="669" w:type="dxa"/>
            <w:tcBorders>
              <w:top w:val="nil"/>
              <w:left w:val="nil"/>
              <w:bottom w:val="nil"/>
              <w:right w:val="nil"/>
            </w:tcBorders>
            <w:vAlign w:val="center"/>
          </w:tcPr>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tc>
      </w:tr>
    </w:tbl>
    <w:p w:rsidR="00A16B8C" w:rsidRPr="00C90AC9" w:rsidRDefault="00A16B8C" w:rsidP="00D0095B">
      <w:pPr>
        <w:pStyle w:val="title1"/>
        <w:numPr>
          <w:ilvl w:val="1"/>
          <w:numId w:val="3"/>
        </w:numPr>
        <w:ind w:hanging="720"/>
        <w:jc w:val="left"/>
        <w:rPr>
          <w:rStyle w:val="SubtleEmphasis"/>
        </w:rPr>
      </w:pPr>
      <w:bookmarkStart w:id="49" w:name="_Toc447173067"/>
      <w:r w:rsidRPr="00C90AC9">
        <w:rPr>
          <w:rStyle w:val="SubtleEmphasis"/>
        </w:rPr>
        <w:t>Calculating the heating up of the hot water tank</w:t>
      </w:r>
      <w:bookmarkEnd w:id="49"/>
    </w:p>
    <w:p w:rsidR="00A16B8C" w:rsidRPr="00C90AC9" w:rsidRDefault="0074402A" w:rsidP="000E6BD1">
      <w:pPr>
        <w:pStyle w:val="BodyText"/>
        <w:spacing w:line="360" w:lineRule="auto"/>
        <w:rPr>
          <w:rFonts w:eastAsiaTheme="minorHAnsi"/>
          <w:lang w:eastAsia="en-US"/>
        </w:rPr>
      </w:pPr>
      <w:r w:rsidRPr="00C90AC9">
        <w:rPr>
          <w:rFonts w:eastAsiaTheme="minorHAnsi"/>
          <w:noProof/>
        </w:rPr>
        <mc:AlternateContent>
          <mc:Choice Requires="wps">
            <w:drawing>
              <wp:anchor distT="0" distB="0" distL="114300" distR="114300" simplePos="0" relativeHeight="251770880" behindDoc="0" locked="0" layoutInCell="1" allowOverlap="1" wp14:anchorId="79062D5D" wp14:editId="7D0749CF">
                <wp:simplePos x="0" y="0"/>
                <wp:positionH relativeFrom="column">
                  <wp:posOffset>1972945</wp:posOffset>
                </wp:positionH>
                <wp:positionV relativeFrom="paragraph">
                  <wp:posOffset>1046480</wp:posOffset>
                </wp:positionV>
                <wp:extent cx="1914525" cy="381000"/>
                <wp:effectExtent l="0" t="0" r="28575" b="19050"/>
                <wp:wrapNone/>
                <wp:docPr id="294" name="Rectangle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4525" cy="381000"/>
                        </a:xfrm>
                        <a:prstGeom prst="rect">
                          <a:avLst/>
                        </a:prstGeom>
                        <a:solidFill>
                          <a:srgbClr val="4F81BD">
                            <a:alpha val="30000"/>
                          </a:srgb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EB715" id="Rectangle 294" o:spid="_x0000_s1026" style="position:absolute;margin-left:155.35pt;margin-top:82.4pt;width:150.75pt;height:30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" fillcolor="#4f81bd" strokecolor="#385d8a" strokeweight="1pt">
                <v:fill opacity="19789f"/>
                <v:path arrowok="t"/>
              </v:rect>
            </w:pict>
          </mc:Fallback>
        </mc:AlternateContent>
      </w:r>
      <w:r w:rsidR="00A16B8C" w:rsidRPr="00C90AC9">
        <w:rPr>
          <w:rFonts w:eastAsiaTheme="minorHAnsi"/>
          <w:lang w:eastAsia="en-US"/>
        </w:rPr>
        <w:t>The hot water tank is notionally divided up into one litre volumes so that there are 200 “slices” of water in the tank. The slice of water in the tank that is at the top of the tank (slice 1) is the first to be heated by the hot water coil and is heated up using Eq. 19). The water temperature for each slice of water gives the heat transfer rate</w:t>
      </w:r>
      <m:oMath>
        <m:acc>
          <m:accPr>
            <m:chr m:val="̇"/>
            <m:ctrlPr>
              <w:rPr>
                <w:rFonts w:ascii="Cambria Math" w:eastAsiaTheme="minorHAnsi" w:hAnsi="Cambria Math"/>
                <w:i/>
                <w:lang w:eastAsia="en-US"/>
              </w:rPr>
            </m:ctrlPr>
          </m:accPr>
          <m:e>
            <m:r>
              <w:rPr>
                <w:rFonts w:ascii="Cambria Math" w:eastAsiaTheme="minorHAnsi" w:hAnsi="Cambria Math"/>
                <w:lang w:eastAsia="en-US"/>
              </w:rPr>
              <m:t xml:space="preserve"> Q</m:t>
            </m:r>
          </m:e>
        </m:acc>
      </m:oMath>
      <w:r w:rsidR="00A16B8C" w:rsidRPr="00C90AC9">
        <w:rPr>
          <w:rFonts w:eastAsiaTheme="minorHAnsi"/>
          <w:lang w:eastAsia="en-US"/>
        </w:rPr>
        <w:t>:</w:t>
      </w:r>
    </w:p>
    <w:tbl>
      <w:tblPr>
        <w:tblStyle w:val="TableGrid3"/>
        <w:tblW w:w="9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7796"/>
        <w:gridCol w:w="666"/>
      </w:tblGrid>
      <w:tr w:rsidR="00A16B8C" w:rsidRPr="00C90AC9" w:rsidTr="007E6333">
        <w:tc>
          <w:tcPr>
            <w:tcW w:w="817" w:type="dxa"/>
          </w:tcPr>
          <w:p w:rsidR="00A16B8C" w:rsidRPr="00C90AC9" w:rsidRDefault="00A16B8C" w:rsidP="00B06779">
            <w:pPr>
              <w:rPr>
                <w:rFonts w:eastAsiaTheme="minorHAnsi"/>
                <w:lang w:eastAsia="en-US"/>
              </w:rPr>
            </w:pPr>
          </w:p>
        </w:tc>
        <w:tc>
          <w:tcPr>
            <w:tcW w:w="7796" w:type="dxa"/>
          </w:tcPr>
          <w:p w:rsidR="00A16B8C" w:rsidRPr="00C90AC9" w:rsidRDefault="006F0C85" w:rsidP="002B75F0">
            <w:pPr>
              <w:jc w:val="center"/>
              <w:rPr>
                <w:rFonts w:eastAsiaTheme="minorHAnsi"/>
                <w:lang w:eastAsia="en-US"/>
              </w:rPr>
            </w:pPr>
            <m:oMath>
              <m:acc>
                <m:accPr>
                  <m:chr m:val="̇"/>
                  <m:ctrlPr>
                    <w:rPr>
                      <w:rFonts w:ascii="Cambria Math" w:eastAsiaTheme="minorHAnsi" w:hAnsi="Cambria Math"/>
                      <w:i/>
                      <w:lang w:eastAsia="en-US"/>
                    </w:rPr>
                  </m:ctrlPr>
                </m:accPr>
                <m:e>
                  <m:r>
                    <w:rPr>
                      <w:rFonts w:ascii="Cambria Math" w:eastAsiaTheme="minorHAnsi" w:hAnsi="Cambria Math"/>
                      <w:lang w:eastAsia="en-US"/>
                    </w:rPr>
                    <m:t>Q</m:t>
                  </m:r>
                </m:e>
              </m:acc>
            </m:oMath>
            <w:r w:rsidR="00A16B8C" w:rsidRPr="00C90AC9">
              <w:rPr>
                <w:rFonts w:eastAsiaTheme="minorHAnsi"/>
                <w:lang w:eastAsia="en-US"/>
              </w:rPr>
              <w:t xml:space="preserve"> = U</w:t>
            </w:r>
            <w:r w:rsidR="00A16B8C" w:rsidRPr="00C90AC9">
              <w:rPr>
                <w:rFonts w:eastAsiaTheme="minorHAnsi"/>
                <w:vertAlign w:val="subscript"/>
                <w:lang w:eastAsia="en-US"/>
              </w:rPr>
              <w:t>W</w:t>
            </w:r>
            <w:r w:rsidR="00A16B8C" w:rsidRPr="00C90AC9">
              <w:rPr>
                <w:rFonts w:eastAsiaTheme="minorHAnsi"/>
                <w:lang w:eastAsia="en-US"/>
              </w:rPr>
              <w:t xml:space="preserve"> x A</w:t>
            </w:r>
            <w:r w:rsidR="00A16B8C" w:rsidRPr="00C90AC9">
              <w:rPr>
                <w:rFonts w:eastAsiaTheme="minorHAnsi"/>
                <w:vertAlign w:val="subscript"/>
                <w:lang w:eastAsia="en-US"/>
              </w:rPr>
              <w:t xml:space="preserve">TANK-SLICE </w:t>
            </w:r>
            <w:r w:rsidR="00A16B8C" w:rsidRPr="00C90AC9">
              <w:rPr>
                <w:rFonts w:eastAsiaTheme="minorHAnsi"/>
                <w:lang w:eastAsia="en-US"/>
              </w:rPr>
              <w:t>x ∆T</w:t>
            </w:r>
          </w:p>
        </w:tc>
        <w:tc>
          <w:tcPr>
            <w:tcW w:w="666" w:type="dxa"/>
            <w:vAlign w:val="center"/>
          </w:tcPr>
          <w:p w:rsidR="00A16B8C" w:rsidRPr="00C90AC9" w:rsidRDefault="00A16B8C" w:rsidP="00B06779">
            <w:pPr>
              <w:rPr>
                <w:rFonts w:eastAsiaTheme="minorHAnsi"/>
                <w:lang w:eastAsia="en-US"/>
              </w:rPr>
            </w:pPr>
            <w:r w:rsidRPr="00C90AC9">
              <w:rPr>
                <w:rFonts w:eastAsiaTheme="minorHAnsi"/>
                <w:lang w:eastAsia="en-US"/>
              </w:rPr>
              <w:t>(20)</w:t>
            </w:r>
          </w:p>
        </w:tc>
      </w:tr>
    </w:tbl>
    <w:p w:rsidR="00A16B8C" w:rsidRPr="00C90AC9" w:rsidRDefault="00A16B8C" w:rsidP="000E6BD1">
      <w:pPr>
        <w:pStyle w:val="BodyText"/>
        <w:spacing w:line="240" w:lineRule="auto"/>
        <w:rPr>
          <w:rFonts w:eastAsiaTheme="minorHAnsi"/>
          <w:lang w:eastAsia="en-US"/>
        </w:rPr>
      </w:pPr>
      <w:r w:rsidRPr="00C90AC9">
        <w:rPr>
          <w:rFonts w:eastAsiaTheme="minorHAnsi"/>
          <w:lang w:eastAsia="en-US"/>
        </w:rPr>
        <w:t>Where:</w:t>
      </w:r>
      <w:r w:rsidRPr="00C90AC9">
        <w:rPr>
          <w:rFonts w:eastAsiaTheme="minorHAnsi"/>
          <w:lang w:eastAsia="en-US"/>
        </w:rPr>
        <w:br/>
      </w:r>
      <m:oMath>
        <m:acc>
          <m:accPr>
            <m:chr m:val="̇"/>
            <m:ctrlPr>
              <w:rPr>
                <w:rFonts w:ascii="Cambria Math" w:eastAsiaTheme="minorHAnsi" w:hAnsi="Cambria Math"/>
                <w:i/>
                <w:lang w:eastAsia="en-US"/>
              </w:rPr>
            </m:ctrlPr>
          </m:accPr>
          <m:e>
            <m:r>
              <w:rPr>
                <w:rFonts w:ascii="Cambria Math" w:eastAsiaTheme="minorHAnsi" w:hAnsi="Cambria Math"/>
                <w:lang w:eastAsia="en-US"/>
              </w:rPr>
              <m:t>Q</m:t>
            </m:r>
          </m:e>
        </m:acc>
      </m:oMath>
      <w:r w:rsidRPr="00C90AC9">
        <w:rPr>
          <w:lang w:eastAsia="en-US"/>
        </w:rPr>
        <w:t xml:space="preserve"> </w:t>
      </w:r>
      <w:r w:rsidRPr="00C90AC9">
        <w:rPr>
          <w:rFonts w:eastAsiaTheme="minorHAnsi"/>
          <w:lang w:eastAsia="en-US"/>
        </w:rPr>
        <w:t>- Heat transfer rate (W)</w:t>
      </w:r>
      <w:r w:rsidRPr="00C90AC9">
        <w:rPr>
          <w:rFonts w:eastAsiaTheme="minorHAnsi"/>
          <w:lang w:eastAsia="en-US"/>
        </w:rPr>
        <w:tab/>
      </w:r>
      <w:r w:rsidRPr="00C90AC9">
        <w:rPr>
          <w:rFonts w:eastAsiaTheme="minorHAnsi"/>
          <w:lang w:eastAsia="en-US"/>
        </w:rPr>
        <w:br/>
      </w:r>
      <w:proofErr w:type="spellStart"/>
      <w:r w:rsidRPr="00C90AC9">
        <w:rPr>
          <w:rFonts w:eastAsiaTheme="minorHAnsi"/>
          <w:lang w:eastAsia="en-US"/>
        </w:rPr>
        <w:t>Uw</w:t>
      </w:r>
      <w:proofErr w:type="spellEnd"/>
      <w:r w:rsidRPr="00C90AC9">
        <w:rPr>
          <w:rFonts w:eastAsiaTheme="minorHAnsi"/>
          <w:lang w:eastAsia="en-US"/>
        </w:rPr>
        <w:t xml:space="preserve"> - Heat transfer coefficient of water, 800 (W/m</w:t>
      </w:r>
      <w:r w:rsidRPr="00C90AC9">
        <w:rPr>
          <w:rFonts w:eastAsiaTheme="minorHAnsi"/>
          <w:vertAlign w:val="superscript"/>
          <w:lang w:eastAsia="en-US"/>
        </w:rPr>
        <w:t>2</w:t>
      </w:r>
      <w:r w:rsidRPr="00C90AC9">
        <w:rPr>
          <w:rFonts w:eastAsiaTheme="minorHAnsi"/>
          <w:vertAlign w:val="superscript"/>
          <w:lang w:eastAsia="en-US"/>
        </w:rPr>
        <w:softHyphen/>
      </w:r>
      <w:r w:rsidRPr="00C90AC9">
        <w:rPr>
          <w:rFonts w:eastAsiaTheme="minorHAnsi"/>
          <w:vertAlign w:val="superscript"/>
          <w:lang w:eastAsia="en-US"/>
        </w:rPr>
        <w:softHyphen/>
      </w:r>
      <w:r w:rsidRPr="00C90AC9">
        <w:rPr>
          <w:rFonts w:eastAsiaTheme="minorHAnsi"/>
          <w:lang w:eastAsia="en-US"/>
        </w:rPr>
        <w:t>)</w:t>
      </w:r>
      <w:r w:rsidRPr="00C90AC9">
        <w:rPr>
          <w:rFonts w:eastAsiaTheme="minorHAnsi"/>
          <w:lang w:eastAsia="en-US"/>
        </w:rPr>
        <w:tab/>
      </w:r>
      <w:r w:rsidRPr="00C90AC9">
        <w:rPr>
          <w:rFonts w:eastAsiaTheme="minorHAnsi"/>
          <w:lang w:eastAsia="en-US"/>
        </w:rPr>
        <w:br/>
        <w:t>A</w:t>
      </w:r>
      <w:r w:rsidRPr="00C90AC9">
        <w:rPr>
          <w:rFonts w:eastAsiaTheme="minorHAnsi"/>
          <w:vertAlign w:val="subscript"/>
          <w:lang w:eastAsia="en-US"/>
        </w:rPr>
        <w:t>TANK-SLICE</w:t>
      </w:r>
      <w:r w:rsidRPr="00C90AC9">
        <w:rPr>
          <w:rFonts w:eastAsiaTheme="minorHAnsi"/>
          <w:lang w:eastAsia="en-US"/>
        </w:rPr>
        <w:t>- Area the heat transfer is occurring over (m</w:t>
      </w:r>
      <w:r w:rsidR="007E6333" w:rsidRPr="00C90AC9">
        <w:rPr>
          <w:rFonts w:eastAsiaTheme="minorHAnsi"/>
          <w:vertAlign w:val="superscript"/>
          <w:lang w:eastAsia="en-US"/>
        </w:rPr>
        <w:t>2</w:t>
      </w:r>
      <w:r w:rsidRPr="00C90AC9">
        <w:rPr>
          <w:rFonts w:eastAsiaTheme="minorHAnsi"/>
          <w:lang w:eastAsia="en-US"/>
        </w:rPr>
        <w:t>)</w:t>
      </w:r>
      <w:r w:rsidR="00CE56D5" w:rsidRPr="00C90AC9">
        <w:rPr>
          <w:rFonts w:eastAsiaTheme="minorHAnsi"/>
          <w:lang w:eastAsia="en-US"/>
        </w:rPr>
        <w:tab/>
      </w:r>
      <w:r w:rsidRPr="00C90AC9">
        <w:rPr>
          <w:rFonts w:eastAsiaTheme="minorHAnsi"/>
          <w:lang w:eastAsia="en-US"/>
        </w:rPr>
        <w:br/>
        <w:t xml:space="preserve">∆T - difference in temperature between </w:t>
      </w:r>
      <w:r w:rsidR="00A22953" w:rsidRPr="00C90AC9">
        <w:rPr>
          <w:rFonts w:eastAsiaTheme="minorHAnsi"/>
          <w:lang w:eastAsia="en-US"/>
        </w:rPr>
        <w:t xml:space="preserve">slice of water in tank and </w:t>
      </w:r>
      <w:r w:rsidRPr="00C90AC9">
        <w:rPr>
          <w:rFonts w:eastAsiaTheme="minorHAnsi"/>
          <w:lang w:eastAsia="en-US"/>
        </w:rPr>
        <w:t xml:space="preserve">section of pipe (K) </w:t>
      </w:r>
      <w:r w:rsidR="00A22953" w:rsidRPr="00C90AC9">
        <w:rPr>
          <w:rFonts w:eastAsiaTheme="minorHAnsi"/>
          <w:lang w:eastAsia="en-US"/>
        </w:rPr>
        <w:tab/>
      </w:r>
    </w:p>
    <w:p w:rsidR="00A16B8C" w:rsidRPr="00C90AC9" w:rsidRDefault="00A16B8C" w:rsidP="000E6BD1">
      <w:pPr>
        <w:pStyle w:val="BodyText"/>
        <w:spacing w:line="360" w:lineRule="auto"/>
        <w:rPr>
          <w:rFonts w:eastAsiaTheme="minorHAnsi"/>
          <w:lang w:eastAsia="en-US"/>
        </w:rPr>
      </w:pPr>
      <w:r w:rsidRPr="00C90AC9">
        <w:rPr>
          <w:rFonts w:eastAsiaTheme="minorHAnsi"/>
          <w:lang w:eastAsia="en-US"/>
        </w:rPr>
        <w:lastRenderedPageBreak/>
        <w:t>With the coil dimensions known: (</w:t>
      </w:r>
      <w:proofErr w:type="spellStart"/>
      <w:r w:rsidRPr="00C90AC9">
        <w:rPr>
          <w:rFonts w:eastAsiaTheme="minorHAnsi"/>
          <w:lang w:eastAsia="en-US"/>
        </w:rPr>
        <w:t>R</w:t>
      </w:r>
      <w:r w:rsidRPr="00C90AC9">
        <w:rPr>
          <w:rFonts w:eastAsiaTheme="minorHAnsi"/>
          <w:vertAlign w:val="subscript"/>
          <w:lang w:eastAsia="en-US"/>
        </w:rPr>
        <w:t>coil</w:t>
      </w:r>
      <w:proofErr w:type="spellEnd"/>
      <w:r w:rsidRPr="00C90AC9">
        <w:rPr>
          <w:rFonts w:eastAsiaTheme="minorHAnsi"/>
          <w:vertAlign w:val="subscript"/>
          <w:lang w:eastAsia="en-US"/>
        </w:rPr>
        <w:t xml:space="preserve">, </w:t>
      </w:r>
      <w:r w:rsidRPr="00C90AC9">
        <w:rPr>
          <w:rFonts w:eastAsiaTheme="minorHAnsi"/>
          <w:lang w:eastAsia="en-US"/>
        </w:rPr>
        <w:t>L); the area of coil that is heating up each slice; the volume of water that is being heated up (1 litre); the heat capacity of water (C</w:t>
      </w:r>
      <w:r w:rsidRPr="00C90AC9">
        <w:rPr>
          <w:rFonts w:eastAsiaTheme="minorHAnsi"/>
          <w:vertAlign w:val="subscript"/>
          <w:lang w:eastAsia="en-US"/>
        </w:rPr>
        <w:t>p</w:t>
      </w:r>
      <w:r w:rsidRPr="00C90AC9">
        <w:rPr>
          <w:rFonts w:eastAsiaTheme="minorHAnsi"/>
          <w:lang w:eastAsia="en-US"/>
        </w:rPr>
        <w:t xml:space="preserve">). The </w:t>
      </w:r>
      <w:proofErr w:type="gramStart"/>
      <w:r w:rsidRPr="00C90AC9">
        <w:rPr>
          <w:rFonts w:eastAsiaTheme="minorHAnsi"/>
          <w:lang w:eastAsia="en-US"/>
        </w:rPr>
        <w:t>drop in</w:t>
      </w:r>
      <w:proofErr w:type="gramEnd"/>
      <w:r w:rsidRPr="00C90AC9">
        <w:rPr>
          <w:rFonts w:eastAsiaTheme="minorHAnsi"/>
          <w:lang w:eastAsia="en-US"/>
        </w:rPr>
        <w:t xml:space="preserve"> temperature of each slice of tank is given by:</w:t>
      </w:r>
    </w:p>
    <w:tbl>
      <w:tblPr>
        <w:tblStyle w:val="TableGrid3"/>
        <w:tblW w:w="9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
        <w:gridCol w:w="8227"/>
        <w:gridCol w:w="623"/>
      </w:tblGrid>
      <w:tr w:rsidR="00A16B8C" w:rsidRPr="00C90AC9" w:rsidTr="00F42B01">
        <w:tc>
          <w:tcPr>
            <w:tcW w:w="528" w:type="dxa"/>
          </w:tcPr>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tc>
        <w:tc>
          <w:tcPr>
            <w:tcW w:w="8227" w:type="dxa"/>
          </w:tcPr>
          <w:p w:rsidR="00A16B8C" w:rsidRPr="00C90AC9" w:rsidRDefault="0074402A" w:rsidP="002B75F0">
            <w:pPr>
              <w:jc w:val="center"/>
              <w:rPr>
                <w:rFonts w:eastAsiaTheme="minorHAnsi"/>
                <w:lang w:eastAsia="en-US"/>
              </w:rPr>
            </w:pPr>
            <w:r w:rsidRPr="00C90AC9">
              <w:rPr>
                <w:rFonts w:eastAsiaTheme="minorHAnsi"/>
                <w:noProof/>
              </w:rPr>
              <mc:AlternateContent>
                <mc:Choice Requires="wps">
                  <w:drawing>
                    <wp:anchor distT="0" distB="0" distL="114300" distR="114300" simplePos="0" relativeHeight="251755520" behindDoc="0" locked="0" layoutInCell="1" allowOverlap="1" wp14:anchorId="1BA78229" wp14:editId="04393165">
                      <wp:simplePos x="0" y="0"/>
                      <wp:positionH relativeFrom="column">
                        <wp:posOffset>1996441</wp:posOffset>
                      </wp:positionH>
                      <wp:positionV relativeFrom="paragraph">
                        <wp:posOffset>-55245</wp:posOffset>
                      </wp:positionV>
                      <wp:extent cx="1085850" cy="490220"/>
                      <wp:effectExtent l="0" t="0" r="19050" b="24130"/>
                      <wp:wrapNone/>
                      <wp:docPr id="381" name="Rectangle 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490220"/>
                              </a:xfrm>
                              <a:prstGeom prst="rect">
                                <a:avLst/>
                              </a:prstGeom>
                              <a:solidFill>
                                <a:srgbClr val="4F81BD">
                                  <a:alpha val="30000"/>
                                </a:srgb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F7DBA" id="Rectangle 381" o:spid="_x0000_s1026" style="position:absolute;margin-left:157.2pt;margin-top:-4.35pt;width:85.5pt;height:38.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" fillcolor="#4f81bd" strokecolor="#385d8a" strokeweight="1pt">
                      <v:fill opacity="19789f"/>
                      <v:path arrowok="t"/>
                    </v:rect>
                  </w:pict>
                </mc:Fallback>
              </mc:AlternateContent>
            </w:r>
            <m:oMath>
              <m:r>
                <w:rPr>
                  <w:rFonts w:ascii="Cambria Math" w:eastAsiaTheme="minorHAnsi" w:hAnsi="Cambria Math"/>
                  <w:lang w:eastAsia="en-US"/>
                </w:rPr>
                <m:t>dT</m:t>
              </m:r>
              <m:r>
                <m:rPr>
                  <m:sty m:val="p"/>
                </m:rPr>
                <w:rPr>
                  <w:rFonts w:ascii="Cambria Math" w:eastAsiaTheme="minorHAnsi" w:hAnsi="Cambria Math"/>
                  <w:lang w:eastAsia="en-US"/>
                </w:rPr>
                <m:t>=</m:t>
              </m:r>
              <m:f>
                <m:fPr>
                  <m:ctrlPr>
                    <w:rPr>
                      <w:rFonts w:ascii="Cambria Math" w:eastAsiaTheme="minorHAnsi" w:hAnsi="Cambria Math"/>
                      <w:lang w:eastAsia="en-US"/>
                    </w:rPr>
                  </m:ctrlPr>
                </m:fPr>
                <m:num>
                  <m:acc>
                    <m:accPr>
                      <m:chr m:val="̇"/>
                      <m:ctrlPr>
                        <w:rPr>
                          <w:rFonts w:ascii="Cambria Math" w:eastAsiaTheme="minorHAnsi" w:hAnsi="Cambria Math"/>
                          <w:lang w:eastAsia="en-US"/>
                        </w:rPr>
                      </m:ctrlPr>
                    </m:accPr>
                    <m:e>
                      <m:r>
                        <w:rPr>
                          <w:rFonts w:ascii="Cambria Math" w:eastAsiaTheme="minorHAnsi" w:hAnsi="Cambria Math"/>
                          <w:lang w:eastAsia="en-US"/>
                        </w:rPr>
                        <m:t>Q</m:t>
                      </m:r>
                    </m:e>
                  </m:acc>
                  <m:r>
                    <m:rPr>
                      <m:sty m:val="p"/>
                    </m:rPr>
                    <w:rPr>
                      <w:rFonts w:ascii="Cambria Math" w:eastAsiaTheme="minorHAnsi" w:hAnsi="Cambria Math"/>
                      <w:lang w:eastAsia="en-US"/>
                    </w:rPr>
                    <m:t xml:space="preserve">  </m:t>
                  </m:r>
                  <m:r>
                    <w:rPr>
                      <w:rFonts w:ascii="Cambria Math" w:eastAsiaTheme="minorHAnsi" w:hAnsi="Cambria Math"/>
                      <w:lang w:eastAsia="en-US"/>
                    </w:rPr>
                    <m:t>dt</m:t>
                  </m:r>
                </m:num>
                <m:den>
                  <m:r>
                    <w:rPr>
                      <w:rFonts w:ascii="Cambria Math" w:eastAsiaTheme="minorHAnsi" w:hAnsi="Cambria Math"/>
                      <w:lang w:eastAsia="en-US"/>
                    </w:rPr>
                    <m:t>m</m:t>
                  </m:r>
                  <m:sSub>
                    <m:sSubPr>
                      <m:ctrlPr>
                        <w:rPr>
                          <w:rFonts w:ascii="Cambria Math" w:eastAsiaTheme="minorHAnsi" w:hAnsi="Cambria Math"/>
                          <w:lang w:eastAsia="en-US"/>
                        </w:rPr>
                      </m:ctrlPr>
                    </m:sSubPr>
                    <m:e>
                      <m:r>
                        <m:rPr>
                          <m:sty m:val="p"/>
                        </m:rPr>
                        <w:rPr>
                          <w:rFonts w:ascii="Cambria Math" w:eastAsiaTheme="minorHAnsi" w:hAnsi="Cambria Math"/>
                          <w:lang w:eastAsia="en-US"/>
                        </w:rPr>
                        <m:t xml:space="preserve"> </m:t>
                      </m:r>
                      <m:r>
                        <w:rPr>
                          <w:rFonts w:ascii="Cambria Math" w:eastAsiaTheme="minorHAnsi" w:hAnsi="Cambria Math"/>
                          <w:lang w:eastAsia="en-US"/>
                        </w:rPr>
                        <m:t>C</m:t>
                      </m:r>
                    </m:e>
                    <m:sub>
                      <m:r>
                        <w:rPr>
                          <w:rFonts w:ascii="Cambria Math" w:eastAsiaTheme="minorHAnsi" w:hAnsi="Cambria Math"/>
                          <w:lang w:eastAsia="en-US"/>
                        </w:rPr>
                        <m:t>p</m:t>
                      </m:r>
                    </m:sub>
                  </m:sSub>
                </m:den>
              </m:f>
            </m:oMath>
          </w:p>
        </w:tc>
        <w:tc>
          <w:tcPr>
            <w:tcW w:w="623" w:type="dxa"/>
          </w:tcPr>
          <w:p w:rsidR="00A16B8C" w:rsidRPr="00C90AC9" w:rsidRDefault="00A16B8C" w:rsidP="00B06779">
            <w:pPr>
              <w:rPr>
                <w:rFonts w:eastAsiaTheme="minorHAnsi"/>
                <w:lang w:eastAsia="en-US"/>
              </w:rPr>
            </w:pPr>
            <w:r w:rsidRPr="00C90AC9">
              <w:rPr>
                <w:rFonts w:eastAsiaTheme="minorHAnsi"/>
                <w:lang w:eastAsia="en-US"/>
              </w:rPr>
              <w:t>(21)</w:t>
            </w:r>
          </w:p>
        </w:tc>
      </w:tr>
    </w:tbl>
    <w:p w:rsidR="00A16B8C" w:rsidRPr="00C90AC9" w:rsidRDefault="00A16B8C" w:rsidP="000E6BD1">
      <w:pPr>
        <w:pStyle w:val="BodyText"/>
        <w:spacing w:line="240" w:lineRule="auto"/>
        <w:rPr>
          <w:rFonts w:eastAsiaTheme="minorHAnsi"/>
        </w:rPr>
      </w:pPr>
      <w:r w:rsidRPr="00C90AC9">
        <w:rPr>
          <w:rFonts w:eastAsiaTheme="minorHAnsi"/>
          <w:lang w:eastAsia="en-US"/>
        </w:rPr>
        <w:t>Where:</w:t>
      </w:r>
      <w:r w:rsidRPr="00C90AC9">
        <w:rPr>
          <w:rFonts w:eastAsiaTheme="minorHAnsi"/>
        </w:rPr>
        <w:t xml:space="preserve"> </w:t>
      </w:r>
      <w:r w:rsidRPr="00C90AC9">
        <w:rPr>
          <w:rFonts w:eastAsiaTheme="minorHAnsi"/>
          <w:lang w:eastAsia="en-US"/>
        </w:rPr>
        <w:br/>
        <w:t>dT- Change in temperature (</w:t>
      </w:r>
      <w:r w:rsidR="002A3697" w:rsidRPr="00C90AC9">
        <w:rPr>
          <w:rFonts w:eastAsiaTheme="minorHAnsi"/>
          <w:lang w:eastAsia="en-US"/>
        </w:rPr>
        <w:sym w:font="Symbol" w:char="F0B0"/>
      </w:r>
      <w:r w:rsidR="002A3697" w:rsidRPr="00C90AC9">
        <w:rPr>
          <w:szCs w:val="24"/>
        </w:rPr>
        <w:t>C</w:t>
      </w:r>
      <w:r w:rsidRPr="00C90AC9">
        <w:rPr>
          <w:rFonts w:eastAsiaTheme="minorHAnsi"/>
          <w:lang w:eastAsia="en-US"/>
        </w:rPr>
        <w:t>)</w:t>
      </w:r>
      <w:r w:rsidR="00CE56D5" w:rsidRPr="00C90AC9">
        <w:rPr>
          <w:rFonts w:eastAsiaTheme="minorHAnsi"/>
          <w:lang w:eastAsia="en-US"/>
        </w:rPr>
        <w:tab/>
      </w:r>
      <w:r w:rsidRPr="00C90AC9">
        <w:rPr>
          <w:rFonts w:eastAsiaTheme="minorHAnsi"/>
          <w:lang w:eastAsia="en-US"/>
        </w:rPr>
        <w:br/>
        <w:t>dt- time step (s)</w:t>
      </w:r>
      <w:r w:rsidRPr="00C90AC9">
        <w:rPr>
          <w:rFonts w:eastAsiaTheme="minorHAnsi"/>
        </w:rPr>
        <w:t xml:space="preserve"> </w:t>
      </w:r>
      <w:r w:rsidR="00CE56D5" w:rsidRPr="00C90AC9">
        <w:rPr>
          <w:rFonts w:eastAsiaTheme="minorHAnsi"/>
        </w:rPr>
        <w:tab/>
      </w:r>
      <w:r w:rsidRPr="00C90AC9">
        <w:rPr>
          <w:rFonts w:eastAsiaTheme="minorHAnsi"/>
          <w:lang w:eastAsia="en-US"/>
        </w:rPr>
        <w:br/>
        <w:t>C</w:t>
      </w:r>
      <w:r w:rsidRPr="00C90AC9">
        <w:rPr>
          <w:rFonts w:eastAsiaTheme="minorHAnsi"/>
          <w:vertAlign w:val="subscript"/>
          <w:lang w:eastAsia="en-US"/>
        </w:rPr>
        <w:t>p</w:t>
      </w:r>
      <w:r w:rsidRPr="00C90AC9">
        <w:rPr>
          <w:rFonts w:eastAsiaTheme="minorHAnsi"/>
          <w:lang w:eastAsia="en-US"/>
        </w:rPr>
        <w:t>- heat capacity of water (J K</w:t>
      </w:r>
      <w:r w:rsidRPr="00C90AC9">
        <w:rPr>
          <w:rFonts w:eastAsiaTheme="minorHAnsi"/>
          <w:vertAlign w:val="superscript"/>
          <w:lang w:eastAsia="en-US"/>
        </w:rPr>
        <w:t>-1</w:t>
      </w:r>
      <w:r w:rsidRPr="00C90AC9">
        <w:rPr>
          <w:rFonts w:eastAsiaTheme="minorHAnsi"/>
          <w:lang w:eastAsia="en-US"/>
        </w:rPr>
        <w:t>)</w:t>
      </w:r>
      <w:r w:rsidR="00CE56D5" w:rsidRPr="00C90AC9">
        <w:rPr>
          <w:rFonts w:eastAsiaTheme="minorHAnsi"/>
          <w:lang w:eastAsia="en-US"/>
        </w:rPr>
        <w:tab/>
      </w:r>
      <w:r w:rsidRPr="00C90AC9">
        <w:rPr>
          <w:rFonts w:eastAsiaTheme="minorHAnsi"/>
          <w:lang w:eastAsia="en-US"/>
        </w:rPr>
        <w:br/>
        <w:t>m - mass of water that is being heated (1 kg)</w:t>
      </w:r>
      <w:r w:rsidRPr="00C90AC9">
        <w:rPr>
          <w:rFonts w:eastAsiaTheme="minorHAnsi"/>
        </w:rPr>
        <w:t xml:space="preserve"> </w:t>
      </w:r>
    </w:p>
    <w:p w:rsidR="000E6BD1" w:rsidRPr="00C90AC9" w:rsidRDefault="000E6BD1" w:rsidP="000E6BD1">
      <w:pPr>
        <w:pStyle w:val="BodyText"/>
        <w:spacing w:line="240" w:lineRule="auto"/>
        <w:rPr>
          <w:rFonts w:eastAsiaTheme="minorHAnsi"/>
        </w:rPr>
      </w:pPr>
    </w:p>
    <w:p w:rsidR="00A16B8C" w:rsidRPr="00C90AC9" w:rsidRDefault="00001059" w:rsidP="00ED3F45">
      <w:pPr>
        <w:pStyle w:val="BodyText"/>
        <w:spacing w:line="360" w:lineRule="auto"/>
        <w:rPr>
          <w:rFonts w:eastAsiaTheme="minorHAnsi"/>
          <w:lang w:eastAsia="en-US"/>
        </w:rPr>
      </w:pPr>
      <w:r w:rsidRPr="00C90AC9">
        <w:rPr>
          <w:rFonts w:eastAsiaTheme="minorHAnsi"/>
          <w:lang w:eastAsia="en-US"/>
        </w:rPr>
        <w:t xml:space="preserve">In </w:t>
      </w:r>
      <w:r w:rsidR="00A16B8C" w:rsidRPr="00C90AC9">
        <w:rPr>
          <w:rFonts w:eastAsiaTheme="minorHAnsi"/>
          <w:lang w:eastAsia="en-US"/>
        </w:rPr>
        <w:t xml:space="preserve">Figure 3.5. three turns of the </w:t>
      </w:r>
      <w:r w:rsidR="00662107" w:rsidRPr="00C90AC9">
        <w:rPr>
          <w:rFonts w:eastAsiaTheme="minorHAnsi"/>
          <w:lang w:eastAsia="en-US"/>
        </w:rPr>
        <w:t xml:space="preserve">proposed heating </w:t>
      </w:r>
      <w:r w:rsidR="00A16B8C" w:rsidRPr="00C90AC9">
        <w:rPr>
          <w:rFonts w:eastAsiaTheme="minorHAnsi"/>
          <w:lang w:eastAsia="en-US"/>
        </w:rPr>
        <w:t>coil in the hot water tank and shows the flow of water through the heating coil submerged in the hot water tank as well as the heat flow from the heating coil to the surroundin</w:t>
      </w:r>
      <w:r w:rsidR="00A83B59" w:rsidRPr="00C90AC9">
        <w:rPr>
          <w:rFonts w:eastAsiaTheme="minorHAnsi"/>
          <w:lang w:eastAsia="en-US"/>
        </w:rPr>
        <w:t xml:space="preserve">g volume of water in the tank. </w:t>
      </w:r>
    </w:p>
    <w:p w:rsidR="00FB4823" w:rsidRPr="00C90AC9" w:rsidRDefault="00FB4823" w:rsidP="00B06779">
      <w:pPr>
        <w:rPr>
          <w:rFonts w:eastAsiaTheme="minorHAnsi"/>
          <w:lang w:eastAsia="en-US"/>
        </w:rPr>
      </w:pPr>
    </w:p>
    <w:p w:rsidR="00A16B8C" w:rsidRPr="00C90AC9" w:rsidRDefault="00A83B59" w:rsidP="00660F6A">
      <w:pPr>
        <w:pStyle w:val="Heading2"/>
        <w:jc w:val="left"/>
        <w:rPr>
          <w:rFonts w:eastAsiaTheme="minorHAnsi"/>
          <w:sz w:val="24"/>
        </w:rPr>
      </w:pPr>
      <w:r w:rsidRPr="00C90AC9">
        <w:rPr>
          <w:rFonts w:eastAsiaTheme="minorHAnsi"/>
          <w:sz w:val="24"/>
        </w:rPr>
        <w:t>Figure 3.5. T</w:t>
      </w:r>
      <w:r w:rsidR="00A16B8C" w:rsidRPr="00C90AC9">
        <w:rPr>
          <w:rFonts w:eastAsiaTheme="minorHAnsi"/>
          <w:sz w:val="24"/>
        </w:rPr>
        <w:t xml:space="preserve">he heating coil in the hot water tank </w:t>
      </w:r>
    </w:p>
    <w:p w:rsidR="007803E1" w:rsidRPr="00C90AC9" w:rsidRDefault="007803E1" w:rsidP="007803E1">
      <w:r w:rsidRPr="00C90AC9">
        <w:rPr>
          <w:rFonts w:eastAsiaTheme="minorHAnsi"/>
          <w:noProof/>
        </w:rPr>
        <mc:AlternateContent>
          <mc:Choice Requires="wps">
            <w:drawing>
              <wp:anchor distT="0" distB="0" distL="114300" distR="114300" simplePos="0" relativeHeight="251790336" behindDoc="0" locked="0" layoutInCell="1" allowOverlap="1" wp14:anchorId="6F5B8366" wp14:editId="24CCD206">
                <wp:simplePos x="0" y="0"/>
                <wp:positionH relativeFrom="column">
                  <wp:posOffset>-47625</wp:posOffset>
                </wp:positionH>
                <wp:positionV relativeFrom="paragraph">
                  <wp:posOffset>132715</wp:posOffset>
                </wp:positionV>
                <wp:extent cx="5915025" cy="1714500"/>
                <wp:effectExtent l="0" t="0" r="28575" b="19050"/>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5025" cy="17145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5A3C78" id="Rectangle 7" o:spid="_x0000_s1026" style="position:absolute;margin-left:-3.75pt;margin-top:10.45pt;width:465.75pt;height:13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" filled="f" strokecolor="windowText" strokeweight="1pt">
                <v:path arrowok="t"/>
              </v:rect>
            </w:pict>
          </mc:Fallback>
        </mc:AlternateContent>
      </w:r>
      <w:r w:rsidRPr="00C90AC9">
        <w:rPr>
          <w:rFonts w:eastAsiaTheme="minorHAnsi"/>
          <w:noProof/>
        </w:rPr>
        <mc:AlternateContent>
          <mc:Choice Requires="wps">
            <w:drawing>
              <wp:anchor distT="0" distB="0" distL="114300" distR="114300" simplePos="0" relativeHeight="251975680" behindDoc="0" locked="0" layoutInCell="1" allowOverlap="1" wp14:anchorId="2128A2A5" wp14:editId="2EF45B33">
                <wp:simplePos x="0" y="0"/>
                <wp:positionH relativeFrom="column">
                  <wp:posOffset>876935</wp:posOffset>
                </wp:positionH>
                <wp:positionV relativeFrom="paragraph">
                  <wp:posOffset>160655</wp:posOffset>
                </wp:positionV>
                <wp:extent cx="1095375" cy="247650"/>
                <wp:effectExtent l="0" t="0" r="28575" b="19050"/>
                <wp:wrapNone/>
                <wp:docPr id="3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247650"/>
                        </a:xfrm>
                        <a:prstGeom prst="rect">
                          <a:avLst/>
                        </a:prstGeom>
                        <a:solidFill>
                          <a:srgbClr val="FFFFFF"/>
                        </a:solidFill>
                        <a:ln w="9525">
                          <a:solidFill>
                            <a:srgbClr val="000000"/>
                          </a:solidFill>
                          <a:miter lim="800000"/>
                          <a:headEnd/>
                          <a:tailEnd/>
                        </a:ln>
                      </wps:spPr>
                      <wps:txbx>
                        <w:txbxContent>
                          <w:p w:rsidR="00521573" w:rsidRDefault="00521573" w:rsidP="007803E1">
                            <w:pPr>
                              <w:jc w:val="center"/>
                            </w:pPr>
                            <w:r>
                              <w:t>Heating coil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8A2A5" id="_x0000_s1063" type="#_x0000_t202" style="position:absolute;left:0;text-align:left;margin-left:69.05pt;margin-top:12.65pt;width:86.25pt;height:19.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">
                <v:textbox>
                  <w:txbxContent>
                    <w:p w:rsidR="00521573" w:rsidRDefault="00521573" w:rsidP="007803E1">
                      <w:pPr>
                        <w:jc w:val="center"/>
                      </w:pPr>
                      <w:r>
                        <w:t>Heating coil</w:t>
                      </w:r>
                    </w:p>
                  </w:txbxContent>
                </v:textbox>
              </v:shape>
            </w:pict>
          </mc:Fallback>
        </mc:AlternateContent>
      </w:r>
    </w:p>
    <w:p w:rsidR="00A16B8C" w:rsidRPr="00C90AC9" w:rsidRDefault="00307610"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2007424" behindDoc="0" locked="0" layoutInCell="1" allowOverlap="1" wp14:anchorId="0DC86C67" wp14:editId="5CF375AC">
                <wp:simplePos x="0" y="0"/>
                <wp:positionH relativeFrom="column">
                  <wp:posOffset>2714625</wp:posOffset>
                </wp:positionH>
                <wp:positionV relativeFrom="paragraph">
                  <wp:posOffset>378460</wp:posOffset>
                </wp:positionV>
                <wp:extent cx="457200" cy="304800"/>
                <wp:effectExtent l="0" t="0" r="0" b="0"/>
                <wp:wrapNone/>
                <wp:docPr id="35" name="Right Arrow 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457200" cy="304800"/>
                        </a:xfrm>
                        <a:prstGeom prst="rightArrow">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F3B0A5" id="Right Arrow 390" o:spid="_x0000_s1026" type="#_x0000_t13" style="position:absolute;margin-left:213.75pt;margin-top:29.8pt;width:36pt;height:24pt;rotation:180;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" adj="14400" fillcolor="red" stroked="f" strokeweight="2pt"/>
            </w:pict>
          </mc:Fallback>
        </mc:AlternateContent>
      </w:r>
      <w:r w:rsidR="00014599" w:rsidRPr="00C90AC9">
        <w:rPr>
          <w:rFonts w:eastAsiaTheme="minorHAnsi"/>
          <w:noProof/>
        </w:rPr>
        <mc:AlternateContent>
          <mc:Choice Requires="wps">
            <w:drawing>
              <wp:anchor distT="0" distB="0" distL="114300" distR="114300" simplePos="0" relativeHeight="252005376" behindDoc="0" locked="0" layoutInCell="1" allowOverlap="1" wp14:anchorId="61D83356" wp14:editId="3E364581">
                <wp:simplePos x="0" y="0"/>
                <wp:positionH relativeFrom="column">
                  <wp:posOffset>2562225</wp:posOffset>
                </wp:positionH>
                <wp:positionV relativeFrom="paragraph">
                  <wp:posOffset>226060</wp:posOffset>
                </wp:positionV>
                <wp:extent cx="457200" cy="304800"/>
                <wp:effectExtent l="0" t="0" r="0" b="0"/>
                <wp:wrapNone/>
                <wp:docPr id="34" name="Right Arrow 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457200" cy="304800"/>
                        </a:xfrm>
                        <a:prstGeom prst="rightArrow">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3F3C286" id="Right Arrow 390" o:spid="_x0000_s1026" type="#_x0000_t13" style="position:absolute;margin-left:201.75pt;margin-top:17.8pt;width:36pt;height:24pt;rotation:180;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" adj="14400" fillcolor="red" stroked="f" strokeweight="2pt"/>
            </w:pict>
          </mc:Fallback>
        </mc:AlternateContent>
      </w:r>
      <w:r w:rsidR="00014599" w:rsidRPr="00C90AC9">
        <w:rPr>
          <w:rFonts w:eastAsiaTheme="minorHAnsi"/>
          <w:noProof/>
        </w:rPr>
        <mc:AlternateContent>
          <mc:Choice Requires="wps">
            <w:drawing>
              <wp:anchor distT="0" distB="0" distL="114300" distR="114300" simplePos="0" relativeHeight="251852800" behindDoc="0" locked="0" layoutInCell="1" allowOverlap="1" wp14:anchorId="53FD135D" wp14:editId="2EDCA802">
                <wp:simplePos x="0" y="0"/>
                <wp:positionH relativeFrom="column">
                  <wp:posOffset>4610100</wp:posOffset>
                </wp:positionH>
                <wp:positionV relativeFrom="paragraph">
                  <wp:posOffset>197484</wp:posOffset>
                </wp:positionV>
                <wp:extent cx="257175" cy="1304925"/>
                <wp:effectExtent l="0" t="0" r="28575" b="28575"/>
                <wp:wrapNone/>
                <wp:docPr id="383" name="Rectangle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1304925"/>
                        </a:xfrm>
                        <a:prstGeom prst="rect">
                          <a:avLst/>
                        </a:prstGeom>
                        <a:solidFill>
                          <a:sysClr val="window" lastClr="FFFFFF">
                            <a:lumMod val="75000"/>
                          </a:sysClr>
                        </a:solidFill>
                        <a:ln w="15875"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6986B88" id="Rectangle 383" o:spid="_x0000_s1026" style="position:absolute;margin-left:363pt;margin-top:15.55pt;width:20.25pt;height:102.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" fillcolor="#bfbfbf" strokecolor="#7f7f7f" strokeweight="1.25pt">
                <v:path arrowok="t"/>
              </v:rect>
            </w:pict>
          </mc:Fallback>
        </mc:AlternateContent>
      </w:r>
      <w:r w:rsidR="00014599" w:rsidRPr="00C90AC9">
        <w:rPr>
          <w:rFonts w:eastAsiaTheme="minorHAnsi"/>
          <w:noProof/>
        </w:rPr>
        <w:drawing>
          <wp:anchor distT="0" distB="0" distL="114300" distR="114300" simplePos="0" relativeHeight="251761664" behindDoc="0" locked="0" layoutInCell="1" allowOverlap="1" wp14:anchorId="7CAB10C1" wp14:editId="49AEC8AE">
            <wp:simplePos x="0" y="0"/>
            <wp:positionH relativeFrom="column">
              <wp:posOffset>361950</wp:posOffset>
            </wp:positionH>
            <wp:positionV relativeFrom="paragraph">
              <wp:posOffset>206375</wp:posOffset>
            </wp:positionV>
            <wp:extent cx="4271010" cy="1285875"/>
            <wp:effectExtent l="19050" t="19050" r="15240" b="28575"/>
            <wp:wrapSquare wrapText="bothSides"/>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71010" cy="1285875"/>
                    </a:xfrm>
                    <a:prstGeom prst="rect">
                      <a:avLst/>
                    </a:prstGeom>
                    <a:noFill/>
                    <a:ln>
                      <a:solidFill>
                        <a:srgbClr val="4F81BD">
                          <a:shade val="50000"/>
                        </a:srgbClr>
                      </a:solidFill>
                    </a:ln>
                  </pic:spPr>
                </pic:pic>
              </a:graphicData>
            </a:graphic>
            <wp14:sizeRelV relativeFrom="margin">
              <wp14:pctHeight>0</wp14:pctHeight>
            </wp14:sizeRelV>
          </wp:anchor>
        </w:drawing>
      </w:r>
      <w:r w:rsidR="00014599" w:rsidRPr="00C90AC9">
        <w:rPr>
          <w:rFonts w:eastAsiaTheme="minorHAnsi"/>
          <w:noProof/>
        </w:rPr>
        <mc:AlternateContent>
          <mc:Choice Requires="wps">
            <w:drawing>
              <wp:anchor distT="0" distB="0" distL="114300" distR="114300" simplePos="0" relativeHeight="251851776" behindDoc="0" locked="0" layoutInCell="1" allowOverlap="1" wp14:anchorId="10655997" wp14:editId="1B2A9D45">
                <wp:simplePos x="0" y="0"/>
                <wp:positionH relativeFrom="column">
                  <wp:posOffset>133350</wp:posOffset>
                </wp:positionH>
                <wp:positionV relativeFrom="paragraph">
                  <wp:posOffset>197485</wp:posOffset>
                </wp:positionV>
                <wp:extent cx="257175" cy="1304925"/>
                <wp:effectExtent l="0" t="0" r="28575" b="28575"/>
                <wp:wrapNone/>
                <wp:docPr id="384" name="Rectangle 3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1304925"/>
                        </a:xfrm>
                        <a:prstGeom prst="rect">
                          <a:avLst/>
                        </a:prstGeom>
                        <a:solidFill>
                          <a:sysClr val="window" lastClr="FFFFFF">
                            <a:lumMod val="75000"/>
                          </a:sysClr>
                        </a:solidFill>
                        <a:ln w="15875"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9FEDB32" id="Rectangle 384" o:spid="_x0000_s1026" style="position:absolute;margin-left:10.5pt;margin-top:15.55pt;width:20.25pt;height:102.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" fillcolor="#bfbfbf" strokecolor="#7f7f7f" strokeweight="1.25pt">
                <v:path arrowok="t"/>
              </v:rect>
            </w:pict>
          </mc:Fallback>
        </mc:AlternateContent>
      </w:r>
      <w:r w:rsidR="004E53E5" w:rsidRPr="00C90AC9">
        <w:rPr>
          <w:rFonts w:eastAsiaTheme="minorHAnsi"/>
          <w:noProof/>
        </w:rPr>
        <mc:AlternateContent>
          <mc:Choice Requires="wps">
            <w:drawing>
              <wp:anchor distT="0" distB="0" distL="114300" distR="114300" simplePos="0" relativeHeight="251831296" behindDoc="0" locked="0" layoutInCell="1" allowOverlap="1" wp14:anchorId="4311A768" wp14:editId="175021F7">
                <wp:simplePos x="0" y="0"/>
                <wp:positionH relativeFrom="column">
                  <wp:posOffset>1714500</wp:posOffset>
                </wp:positionH>
                <wp:positionV relativeFrom="paragraph">
                  <wp:posOffset>6985</wp:posOffset>
                </wp:positionV>
                <wp:extent cx="600075" cy="354984"/>
                <wp:effectExtent l="0" t="0" r="28575" b="26035"/>
                <wp:wrapNone/>
                <wp:docPr id="393" name="Straight Connector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0075" cy="354984"/>
                        </a:xfrm>
                        <a:prstGeom prst="line">
                          <a:avLst/>
                        </a:prstGeom>
                        <a:noFill/>
                        <a:ln w="158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270B896" id="Straight Connector 393" o:spid="_x0000_s1026" style="position:absolute;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pt,.55pt" to="182.2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" strokecolor="windowText" strokeweight="1.25pt">
                <o:lock v:ext="edit" shapetype="f"/>
              </v:line>
            </w:pict>
          </mc:Fallback>
        </mc:AlternateContent>
      </w:r>
      <w:r w:rsidR="004E53E5" w:rsidRPr="00C90AC9">
        <w:rPr>
          <w:rFonts w:eastAsiaTheme="minorHAnsi"/>
          <w:noProof/>
        </w:rPr>
        <mc:AlternateContent>
          <mc:Choice Requires="wps">
            <w:drawing>
              <wp:anchor distT="4294967295" distB="4294967295" distL="114300" distR="114300" simplePos="0" relativeHeight="251855872" behindDoc="0" locked="0" layoutInCell="1" allowOverlap="1" wp14:anchorId="2062E78F" wp14:editId="0D5A15A5">
                <wp:simplePos x="0" y="0"/>
                <wp:positionH relativeFrom="column">
                  <wp:posOffset>4714876</wp:posOffset>
                </wp:positionH>
                <wp:positionV relativeFrom="paragraph">
                  <wp:posOffset>187960</wp:posOffset>
                </wp:positionV>
                <wp:extent cx="247650" cy="133350"/>
                <wp:effectExtent l="0" t="0" r="19050" b="19050"/>
                <wp:wrapNone/>
                <wp:docPr id="382" name="Straight Connector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47650" cy="133350"/>
                        </a:xfrm>
                        <a:prstGeom prst="line">
                          <a:avLst/>
                        </a:prstGeom>
                        <a:noFill/>
                        <a:ln w="158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3524FD7" id="Straight Connector 382" o:spid="_x0000_s1026" style="position:absolute;flip:y;z-index:251855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71.25pt,14.8pt" to="390.75pt,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" strokecolor="windowText" strokeweight="1.25pt">
                <o:lock v:ext="edit" shapetype="f"/>
              </v:line>
            </w:pict>
          </mc:Fallback>
        </mc:AlternateContent>
      </w:r>
      <w:r w:rsidR="007803E1" w:rsidRPr="00C90AC9">
        <w:rPr>
          <w:rFonts w:eastAsiaTheme="minorHAnsi"/>
          <w:noProof/>
        </w:rPr>
        <mc:AlternateContent>
          <mc:Choice Requires="wps">
            <w:drawing>
              <wp:anchor distT="0" distB="0" distL="114300" distR="114300" simplePos="0" relativeHeight="251856896" behindDoc="0" locked="0" layoutInCell="1" allowOverlap="1" wp14:anchorId="6CA8E2A3" wp14:editId="260B73B7">
                <wp:simplePos x="0" y="0"/>
                <wp:positionH relativeFrom="column">
                  <wp:posOffset>4991100</wp:posOffset>
                </wp:positionH>
                <wp:positionV relativeFrom="paragraph">
                  <wp:posOffset>16510</wp:posOffset>
                </wp:positionV>
                <wp:extent cx="797560" cy="657225"/>
                <wp:effectExtent l="0" t="0" r="21590" b="28575"/>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7560" cy="657225"/>
                        </a:xfrm>
                        <a:prstGeom prst="rect">
                          <a:avLst/>
                        </a:prstGeom>
                        <a:solidFill>
                          <a:srgbClr val="FFFFFF"/>
                        </a:solidFill>
                        <a:ln w="9525">
                          <a:solidFill>
                            <a:srgbClr val="000000"/>
                          </a:solidFill>
                          <a:miter lim="800000"/>
                          <a:headEnd/>
                          <a:tailEnd/>
                        </a:ln>
                      </wps:spPr>
                      <wps:txbx>
                        <w:txbxContent>
                          <w:p w:rsidR="00521573" w:rsidRDefault="00521573" w:rsidP="007803E1">
                            <w:pPr>
                              <w:jc w:val="center"/>
                            </w:pPr>
                            <w:r>
                              <w:t>Perfect insulating material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A8E2A3" id="_x0000_s1064" type="#_x0000_t202" style="position:absolute;left:0;text-align:left;margin-left:393pt;margin-top:1.3pt;width:62.8pt;height:51.7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">
                <v:textbox>
                  <w:txbxContent>
                    <w:p w:rsidR="00521573" w:rsidRDefault="00521573" w:rsidP="007803E1">
                      <w:pPr>
                        <w:jc w:val="center"/>
                      </w:pPr>
                      <w:r>
                        <w:t>Perfect insulating material</w:t>
                      </w:r>
                    </w:p>
                  </w:txbxContent>
                </v:textbox>
              </v:shape>
            </w:pict>
          </mc:Fallback>
        </mc:AlternateContent>
      </w:r>
      <w:r w:rsidR="00ED3F45" w:rsidRPr="00C90AC9">
        <w:rPr>
          <w:rFonts w:eastAsiaTheme="minorHAnsi"/>
          <w:noProof/>
        </w:rPr>
        <mc:AlternateContent>
          <mc:Choice Requires="wps">
            <w:drawing>
              <wp:anchor distT="0" distB="0" distL="114300" distR="114300" simplePos="0" relativeHeight="251970560" behindDoc="0" locked="0" layoutInCell="1" allowOverlap="1" wp14:anchorId="076A1042" wp14:editId="0AFE6AAE">
                <wp:simplePos x="0" y="0"/>
                <wp:positionH relativeFrom="column">
                  <wp:posOffset>-4283075</wp:posOffset>
                </wp:positionH>
                <wp:positionV relativeFrom="paragraph">
                  <wp:posOffset>269875</wp:posOffset>
                </wp:positionV>
                <wp:extent cx="238125" cy="371475"/>
                <wp:effectExtent l="0" t="0" r="0" b="0"/>
                <wp:wrapNone/>
                <wp:docPr id="5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371475"/>
                        </a:xfrm>
                        <a:prstGeom prst="rect">
                          <a:avLst/>
                        </a:prstGeom>
                        <a:noFill/>
                        <a:ln w="9525">
                          <a:noFill/>
                          <a:miter lim="800000"/>
                          <a:headEnd/>
                          <a:tailEnd/>
                        </a:ln>
                      </wps:spPr>
                      <wps:txbx>
                        <w:txbxContent>
                          <w:p w:rsidR="00521573" w:rsidRDefault="006F0C85" w:rsidP="00ED3F45">
                            <m:oMathPara>
                              <m:oMath>
                                <m:acc>
                                  <m:accPr>
                                    <m:chr m:val="̇"/>
                                    <m:ctrlPr>
                                      <w:rPr>
                                        <w:rFonts w:ascii="Cambria Math" w:eastAsiaTheme="minorHAnsi" w:hAnsi="Cambria Math"/>
                                        <w:i/>
                                        <w:lang w:eastAsia="en-US"/>
                                      </w:rPr>
                                    </m:ctrlPr>
                                  </m:accPr>
                                  <m:e>
                                    <m:r>
                                      <w:rPr>
                                        <w:rFonts w:ascii="Cambria Math" w:eastAsiaTheme="minorHAnsi" w:hAnsi="Cambria Math"/>
                                        <w:lang w:eastAsia="en-US"/>
                                      </w:rPr>
                                      <m:t>Q</m:t>
                                    </m:r>
                                  </m:e>
                                </m:acc>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6A1042" id="_x0000_s1065" type="#_x0000_t202" style="position:absolute;left:0;text-align:left;margin-left:-337.25pt;margin-top:21.25pt;width:18.75pt;height:29.2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" filled="f" stroked="f">
                <v:textbox>
                  <w:txbxContent>
                    <w:p w:rsidR="00521573" w:rsidRDefault="006F0C85" w:rsidP="00ED3F45">
                      <m:oMathPara>
                        <m:oMath>
                          <m:acc>
                            <m:accPr>
                              <m:chr m:val="̇"/>
                              <m:ctrlPr>
                                <w:rPr>
                                  <w:rFonts w:ascii="Cambria Math" w:eastAsiaTheme="minorHAnsi" w:hAnsi="Cambria Math"/>
                                  <w:i/>
                                  <w:lang w:eastAsia="en-US"/>
                                </w:rPr>
                              </m:ctrlPr>
                            </m:accPr>
                            <m:e>
                              <m:r>
                                <w:rPr>
                                  <w:rFonts w:ascii="Cambria Math" w:eastAsiaTheme="minorHAnsi" w:hAnsi="Cambria Math"/>
                                  <w:lang w:eastAsia="en-US"/>
                                </w:rPr>
                                <m:t>Q</m:t>
                              </m:r>
                            </m:e>
                          </m:acc>
                        </m:oMath>
                      </m:oMathPara>
                    </w:p>
                  </w:txbxContent>
                </v:textbox>
              </v:shape>
            </w:pict>
          </mc:Fallback>
        </mc:AlternateContent>
      </w:r>
      <w:r w:rsidR="00E20E47" w:rsidRPr="00C90AC9">
        <w:rPr>
          <w:rFonts w:eastAsiaTheme="minorHAnsi"/>
          <w:noProof/>
        </w:rPr>
        <mc:AlternateContent>
          <mc:Choice Requires="wps">
            <w:drawing>
              <wp:anchor distT="0" distB="0" distL="114300" distR="114300" simplePos="0" relativeHeight="251948032" behindDoc="0" locked="0" layoutInCell="1" allowOverlap="1" wp14:anchorId="4CE0285F" wp14:editId="4E79A937">
                <wp:simplePos x="0" y="0"/>
                <wp:positionH relativeFrom="column">
                  <wp:posOffset>-4539170</wp:posOffset>
                </wp:positionH>
                <wp:positionV relativeFrom="paragraph">
                  <wp:posOffset>138430</wp:posOffset>
                </wp:positionV>
                <wp:extent cx="152400" cy="1076325"/>
                <wp:effectExtent l="0" t="0" r="19050" b="28575"/>
                <wp:wrapNone/>
                <wp:docPr id="492" name="Rectangle 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1076325"/>
                        </a:xfrm>
                        <a:prstGeom prst="rect">
                          <a:avLst/>
                        </a:prstGeom>
                        <a:solidFill>
                          <a:sysClr val="window" lastClr="FFFFFF">
                            <a:lumMod val="75000"/>
                          </a:sysClr>
                        </a:solidFill>
                        <a:ln w="15875"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27190C5" id="Rectangle 492" o:spid="_x0000_s1026" style="position:absolute;margin-left:-357.4pt;margin-top:10.9pt;width:12pt;height:84.7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" fillcolor="#bfbfbf" strokecolor="#7f7f7f" strokeweight="1.25pt">
                <v:path arrowok="t"/>
              </v:rect>
            </w:pict>
          </mc:Fallback>
        </mc:AlternateContent>
      </w:r>
      <w:r w:rsidR="00E20E47" w:rsidRPr="00C90AC9">
        <w:rPr>
          <w:rFonts w:eastAsiaTheme="minorHAnsi"/>
          <w:noProof/>
        </w:rPr>
        <mc:AlternateContent>
          <mc:Choice Requires="wps">
            <w:drawing>
              <wp:anchor distT="0" distB="0" distL="114300" distR="114300" simplePos="0" relativeHeight="251762688" behindDoc="0" locked="0" layoutInCell="1" allowOverlap="1" wp14:anchorId="2C5D819E" wp14:editId="1A424DB0">
                <wp:simplePos x="0" y="0"/>
                <wp:positionH relativeFrom="column">
                  <wp:posOffset>-2745105</wp:posOffset>
                </wp:positionH>
                <wp:positionV relativeFrom="paragraph">
                  <wp:posOffset>70485</wp:posOffset>
                </wp:positionV>
                <wp:extent cx="478155" cy="276225"/>
                <wp:effectExtent l="19050" t="19050" r="17145" b="28575"/>
                <wp:wrapNone/>
                <wp:docPr id="387" name="Right Arrow 3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623555">
                          <a:off x="0" y="0"/>
                          <a:ext cx="478155" cy="276225"/>
                        </a:xfrm>
                        <a:prstGeom prst="rightArrow">
                          <a:avLst/>
                        </a:prstGeom>
                        <a:solidFill>
                          <a:srgbClr val="FF0000"/>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3C717" id="Right Arrow 387" o:spid="_x0000_s1026" type="#_x0000_t13" style="position:absolute;margin-left:-216.15pt;margin-top:5.55pt;width:37.65pt;height:21.75pt;rotation:11603755fd;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" adj="15361" fillcolor="red" strokecolor="windowText" strokeweight="1pt">
                <v:path arrowok="t"/>
              </v:shape>
            </w:pict>
          </mc:Fallback>
        </mc:AlternateContent>
      </w:r>
    </w:p>
    <w:p w:rsidR="00A16B8C" w:rsidRPr="00C90AC9" w:rsidRDefault="00014599"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1766784" behindDoc="0" locked="0" layoutInCell="1" allowOverlap="1" wp14:anchorId="62262AAB" wp14:editId="6D3FC912">
                <wp:simplePos x="0" y="0"/>
                <wp:positionH relativeFrom="column">
                  <wp:posOffset>2042159</wp:posOffset>
                </wp:positionH>
                <wp:positionV relativeFrom="paragraph">
                  <wp:posOffset>165466</wp:posOffset>
                </wp:positionV>
                <wp:extent cx="457200" cy="304800"/>
                <wp:effectExtent l="19050" t="0" r="0" b="0"/>
                <wp:wrapNone/>
                <wp:docPr id="385" name="Right Arrow 3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03230">
                          <a:off x="0" y="0"/>
                          <a:ext cx="457200" cy="304800"/>
                        </a:xfrm>
                        <a:prstGeom prst="rightArrow">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8E063C1" id="Right Arrow 385" o:spid="_x0000_s1026" type="#_x0000_t13" style="position:absolute;margin-left:160.8pt;margin-top:13.05pt;width:36pt;height:24pt;rotation:1095795fd;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" adj="14400" fillcolor="red" stroked="f" strokeweight="2pt"/>
            </w:pict>
          </mc:Fallback>
        </mc:AlternateContent>
      </w:r>
      <w:r w:rsidR="007803E1" w:rsidRPr="00C90AC9">
        <w:rPr>
          <w:rFonts w:eastAsiaTheme="minorHAnsi"/>
          <w:noProof/>
        </w:rPr>
        <mc:AlternateContent>
          <mc:Choice Requires="wps">
            <w:drawing>
              <wp:anchor distT="0" distB="0" distL="114300" distR="114300" simplePos="0" relativeHeight="251968512" behindDoc="0" locked="0" layoutInCell="1" allowOverlap="1" wp14:anchorId="5D4F3940" wp14:editId="43543440">
                <wp:simplePos x="0" y="0"/>
                <wp:positionH relativeFrom="column">
                  <wp:posOffset>498475</wp:posOffset>
                </wp:positionH>
                <wp:positionV relativeFrom="paragraph">
                  <wp:posOffset>154305</wp:posOffset>
                </wp:positionV>
                <wp:extent cx="238125" cy="371475"/>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371475"/>
                        </a:xfrm>
                        <a:prstGeom prst="rect">
                          <a:avLst/>
                        </a:prstGeom>
                        <a:noFill/>
                        <a:ln w="9525">
                          <a:noFill/>
                          <a:miter lim="800000"/>
                          <a:headEnd/>
                          <a:tailEnd/>
                        </a:ln>
                      </wps:spPr>
                      <wps:txbx>
                        <w:txbxContent>
                          <w:p w:rsidR="00521573" w:rsidRDefault="006F0C85" w:rsidP="00ED3F45">
                            <m:oMathPara>
                              <m:oMath>
                                <m:acc>
                                  <m:accPr>
                                    <m:chr m:val="̇"/>
                                    <m:ctrlPr>
                                      <w:rPr>
                                        <w:rFonts w:ascii="Cambria Math" w:eastAsiaTheme="minorHAnsi" w:hAnsi="Cambria Math"/>
                                        <w:i/>
                                        <w:lang w:eastAsia="en-US"/>
                                      </w:rPr>
                                    </m:ctrlPr>
                                  </m:accPr>
                                  <m:e>
                                    <m:r>
                                      <w:rPr>
                                        <w:rFonts w:ascii="Cambria Math" w:eastAsiaTheme="minorHAnsi" w:hAnsi="Cambria Math"/>
                                        <w:lang w:eastAsia="en-US"/>
                                      </w:rPr>
                                      <m:t>Q</m:t>
                                    </m:r>
                                  </m:e>
                                </m:acc>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F3940" id="_x0000_s1066" type="#_x0000_t202" style="position:absolute;left:0;text-align:left;margin-left:39.25pt;margin-top:12.15pt;width:18.75pt;height:29.2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" filled="f" stroked="f">
                <v:textbox>
                  <w:txbxContent>
                    <w:p w:rsidR="00521573" w:rsidRDefault="006F0C85" w:rsidP="00ED3F45">
                      <m:oMathPara>
                        <m:oMath>
                          <m:acc>
                            <m:accPr>
                              <m:chr m:val="̇"/>
                              <m:ctrlPr>
                                <w:rPr>
                                  <w:rFonts w:ascii="Cambria Math" w:eastAsiaTheme="minorHAnsi" w:hAnsi="Cambria Math"/>
                                  <w:i/>
                                  <w:lang w:eastAsia="en-US"/>
                                </w:rPr>
                              </m:ctrlPr>
                            </m:accPr>
                            <m:e>
                              <m:r>
                                <w:rPr>
                                  <w:rFonts w:ascii="Cambria Math" w:eastAsiaTheme="minorHAnsi" w:hAnsi="Cambria Math"/>
                                  <w:lang w:eastAsia="en-US"/>
                                </w:rPr>
                                <m:t>Q</m:t>
                              </m:r>
                            </m:e>
                          </m:acc>
                        </m:oMath>
                      </m:oMathPara>
                    </w:p>
                  </w:txbxContent>
                </v:textbox>
              </v:shape>
            </w:pict>
          </mc:Fallback>
        </mc:AlternateContent>
      </w:r>
      <w:r w:rsidR="006F0C85">
        <w:rPr>
          <w:rFonts w:eastAsiaTheme="minorHAnsi"/>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5" type="#_x0000_t75" style="position:absolute;left:0;text-align:left;margin-left:331.5pt;margin-top:10.25pt;width:12pt;height:18pt;z-index:251774976;mso-position-horizontal-relative:text;mso-position-vertical-relative:text">
            <v:imagedata r:id="rId41" o:title=""/>
          </v:shape>
          <o:OLEObject Type="Embed" ProgID="Equation.3" ShapeID="_x0000_s1115" DrawAspect="Content" ObjectID="_1606373380" r:id="rId42"/>
        </w:object>
      </w:r>
      <w:r w:rsidR="00E20E47" w:rsidRPr="00C90AC9">
        <w:rPr>
          <w:rFonts w:eastAsiaTheme="minorHAnsi"/>
          <w:noProof/>
        </w:rPr>
        <mc:AlternateContent>
          <mc:Choice Requires="wps">
            <w:drawing>
              <wp:anchor distT="0" distB="0" distL="114300" distR="114300" simplePos="0" relativeHeight="251767808" behindDoc="0" locked="0" layoutInCell="1" allowOverlap="1" wp14:anchorId="7833CAC2" wp14:editId="75F65FFF">
                <wp:simplePos x="0" y="0"/>
                <wp:positionH relativeFrom="column">
                  <wp:posOffset>-3502025</wp:posOffset>
                </wp:positionH>
                <wp:positionV relativeFrom="paragraph">
                  <wp:posOffset>224155</wp:posOffset>
                </wp:positionV>
                <wp:extent cx="457200" cy="304800"/>
                <wp:effectExtent l="19050" t="19050" r="19050" b="38100"/>
                <wp:wrapNone/>
                <wp:docPr id="391" name="Right Arrow 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457200" cy="304800"/>
                        </a:xfrm>
                        <a:prstGeom prst="rightArrow">
                          <a:avLst/>
                        </a:prstGeom>
                        <a:solidFill>
                          <a:srgbClr val="FF0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7D5D4B" id="Right Arrow 391" o:spid="_x0000_s1026" type="#_x0000_t13" style="position:absolute;margin-left:-275.75pt;margin-top:17.65pt;width:36pt;height:24pt;rotation:18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" adj="14400" fillcolor="red" strokecolor="windowText" strokeweight="1.25pt">
                <v:path arrowok="t"/>
              </v:shape>
            </w:pict>
          </mc:Fallback>
        </mc:AlternateContent>
      </w:r>
      <w:r w:rsidR="00E20E47" w:rsidRPr="00C90AC9">
        <w:rPr>
          <w:rFonts w:eastAsiaTheme="minorHAnsi"/>
          <w:noProof/>
        </w:rPr>
        <mc:AlternateContent>
          <mc:Choice Requires="wps">
            <w:drawing>
              <wp:anchor distT="0" distB="0" distL="114300" distR="114300" simplePos="0" relativeHeight="251765760" behindDoc="0" locked="0" layoutInCell="1" allowOverlap="1" wp14:anchorId="07CDACA8" wp14:editId="7865559C">
                <wp:simplePos x="0" y="0"/>
                <wp:positionH relativeFrom="column">
                  <wp:posOffset>-2009775</wp:posOffset>
                </wp:positionH>
                <wp:positionV relativeFrom="paragraph">
                  <wp:posOffset>193040</wp:posOffset>
                </wp:positionV>
                <wp:extent cx="457200" cy="304800"/>
                <wp:effectExtent l="19050" t="19050" r="19050" b="38100"/>
                <wp:wrapNone/>
                <wp:docPr id="386" name="Right Arrow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457200" cy="304800"/>
                        </a:xfrm>
                        <a:prstGeom prst="rightArrow">
                          <a:avLst/>
                        </a:prstGeom>
                        <a:solidFill>
                          <a:srgbClr val="FF0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74024C7" id="Right Arrow 386" o:spid="_x0000_s1026" type="#_x0000_t13" style="position:absolute;margin-left:-158.25pt;margin-top:15.2pt;width:36pt;height:24pt;rotation:180;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" adj="14400" fillcolor="red" strokecolor="windowText" strokeweight="1.25pt">
                <v:path arrowok="t"/>
              </v:shape>
            </w:pict>
          </mc:Fallback>
        </mc:AlternateContent>
      </w:r>
    </w:p>
    <w:p w:rsidR="00A16B8C" w:rsidRPr="00C90AC9" w:rsidRDefault="004E53E5"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1769856" behindDoc="0" locked="0" layoutInCell="1" allowOverlap="1" wp14:anchorId="0826C77D" wp14:editId="52BFBCE2">
                <wp:simplePos x="0" y="0"/>
                <wp:positionH relativeFrom="column">
                  <wp:posOffset>1310640</wp:posOffset>
                </wp:positionH>
                <wp:positionV relativeFrom="paragraph">
                  <wp:posOffset>159385</wp:posOffset>
                </wp:positionV>
                <wp:extent cx="457200" cy="304800"/>
                <wp:effectExtent l="0" t="0" r="0" b="0"/>
                <wp:wrapNone/>
                <wp:docPr id="390" name="Right Arrow 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457200" cy="304800"/>
                        </a:xfrm>
                        <a:prstGeom prst="rightArrow">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40D11F8" id="Right Arrow 390" o:spid="_x0000_s1026" type="#_x0000_t13" style="position:absolute;margin-left:103.2pt;margin-top:12.55pt;width:36pt;height:24pt;rotation:180;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" adj="14400" fillcolor="red" stroked="f" strokeweight="2pt"/>
            </w:pict>
          </mc:Fallback>
        </mc:AlternateContent>
      </w:r>
      <w:r w:rsidRPr="00C90AC9">
        <w:rPr>
          <w:rFonts w:eastAsiaTheme="minorHAnsi"/>
          <w:noProof/>
        </w:rPr>
        <mc:AlternateContent>
          <mc:Choice Requires="wps">
            <w:drawing>
              <wp:anchor distT="0" distB="0" distL="114300" distR="114300" simplePos="0" relativeHeight="251853824" behindDoc="0" locked="0" layoutInCell="1" allowOverlap="1" wp14:anchorId="629244CB" wp14:editId="20661B01">
                <wp:simplePos x="0" y="0"/>
                <wp:positionH relativeFrom="column">
                  <wp:posOffset>4429125</wp:posOffset>
                </wp:positionH>
                <wp:positionV relativeFrom="paragraph">
                  <wp:posOffset>280670</wp:posOffset>
                </wp:positionV>
                <wp:extent cx="457200" cy="38100"/>
                <wp:effectExtent l="0" t="0" r="19050" b="19050"/>
                <wp:wrapNone/>
                <wp:docPr id="388" name="Straight Connector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0" cy="38100"/>
                        </a:xfrm>
                        <a:prstGeom prst="line">
                          <a:avLst/>
                        </a:prstGeom>
                        <a:noFill/>
                        <a:ln w="158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41E47CE" id="Straight Connector 388" o:spid="_x0000_s1026" style="position:absolute;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75pt,22.1pt" to="384.75pt,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" strokecolor="windowText" strokeweight="1.25pt">
                <o:lock v:ext="edit" shapetype="f"/>
              </v:line>
            </w:pict>
          </mc:Fallback>
        </mc:AlternateContent>
      </w:r>
      <w:r w:rsidR="00ED3F45" w:rsidRPr="00C90AC9">
        <w:rPr>
          <w:rFonts w:eastAsiaTheme="minorHAnsi"/>
          <w:noProof/>
        </w:rPr>
        <mc:AlternateContent>
          <mc:Choice Requires="wps">
            <w:drawing>
              <wp:anchor distT="0" distB="0" distL="114300" distR="114300" simplePos="0" relativeHeight="251972608" behindDoc="0" locked="0" layoutInCell="1" allowOverlap="1" wp14:anchorId="20BE05F7" wp14:editId="34F7A2BB">
                <wp:simplePos x="0" y="0"/>
                <wp:positionH relativeFrom="column">
                  <wp:posOffset>-4264025</wp:posOffset>
                </wp:positionH>
                <wp:positionV relativeFrom="paragraph">
                  <wp:posOffset>171450</wp:posOffset>
                </wp:positionV>
                <wp:extent cx="238125" cy="371475"/>
                <wp:effectExtent l="0" t="0" r="0" b="0"/>
                <wp:wrapNone/>
                <wp:docPr id="5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371475"/>
                        </a:xfrm>
                        <a:prstGeom prst="rect">
                          <a:avLst/>
                        </a:prstGeom>
                        <a:noFill/>
                        <a:ln w="9525">
                          <a:noFill/>
                          <a:miter lim="800000"/>
                          <a:headEnd/>
                          <a:tailEnd/>
                        </a:ln>
                      </wps:spPr>
                      <wps:txbx>
                        <w:txbxContent>
                          <w:p w:rsidR="00521573" w:rsidRDefault="006F0C85" w:rsidP="00ED3F45">
                            <m:oMathPara>
                              <m:oMath>
                                <m:acc>
                                  <m:accPr>
                                    <m:chr m:val="̇"/>
                                    <m:ctrlPr>
                                      <w:rPr>
                                        <w:rFonts w:ascii="Cambria Math" w:eastAsiaTheme="minorHAnsi" w:hAnsi="Cambria Math"/>
                                        <w:i/>
                                        <w:lang w:eastAsia="en-US"/>
                                      </w:rPr>
                                    </m:ctrlPr>
                                  </m:accPr>
                                  <m:e>
                                    <m:r>
                                      <w:rPr>
                                        <w:rFonts w:ascii="Cambria Math" w:eastAsiaTheme="minorHAnsi" w:hAnsi="Cambria Math"/>
                                        <w:lang w:eastAsia="en-US"/>
                                      </w:rPr>
                                      <m:t>Q</m:t>
                                    </m:r>
                                  </m:e>
                                </m:acc>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BE05F7" id="_x0000_s1067" type="#_x0000_t202" style="position:absolute;left:0;text-align:left;margin-left:-335.75pt;margin-top:13.5pt;width:18.75pt;height:29.2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" filled="f" stroked="f">
                <v:textbox>
                  <w:txbxContent>
                    <w:p w:rsidR="00521573" w:rsidRDefault="006F0C85" w:rsidP="00ED3F45">
                      <m:oMathPara>
                        <m:oMath>
                          <m:acc>
                            <m:accPr>
                              <m:chr m:val="̇"/>
                              <m:ctrlPr>
                                <w:rPr>
                                  <w:rFonts w:ascii="Cambria Math" w:eastAsiaTheme="minorHAnsi" w:hAnsi="Cambria Math"/>
                                  <w:i/>
                                  <w:lang w:eastAsia="en-US"/>
                                </w:rPr>
                              </m:ctrlPr>
                            </m:accPr>
                            <m:e>
                              <m:r>
                                <w:rPr>
                                  <w:rFonts w:ascii="Cambria Math" w:eastAsiaTheme="minorHAnsi" w:hAnsi="Cambria Math"/>
                                  <w:lang w:eastAsia="en-US"/>
                                </w:rPr>
                                <m:t>Q</m:t>
                              </m:r>
                            </m:e>
                          </m:acc>
                        </m:oMath>
                      </m:oMathPara>
                    </w:p>
                  </w:txbxContent>
                </v:textbox>
              </v:shape>
            </w:pict>
          </mc:Fallback>
        </mc:AlternateContent>
      </w:r>
    </w:p>
    <w:p w:rsidR="00A16B8C" w:rsidRPr="00C90AC9" w:rsidRDefault="00014599"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1768832" behindDoc="0" locked="0" layoutInCell="1" allowOverlap="1" wp14:anchorId="51558BC2" wp14:editId="59DF756E">
                <wp:simplePos x="0" y="0"/>
                <wp:positionH relativeFrom="column">
                  <wp:posOffset>2044701</wp:posOffset>
                </wp:positionH>
                <wp:positionV relativeFrom="paragraph">
                  <wp:posOffset>123555</wp:posOffset>
                </wp:positionV>
                <wp:extent cx="457200" cy="304800"/>
                <wp:effectExtent l="19050" t="0" r="0" b="19050"/>
                <wp:wrapNone/>
                <wp:docPr id="389" name="Right Arrow 3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03230">
                          <a:off x="0" y="0"/>
                          <a:ext cx="457200" cy="304800"/>
                        </a:xfrm>
                        <a:prstGeom prst="rightArrow">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796A504" id="Right Arrow 389" o:spid="_x0000_s1026" type="#_x0000_t13" style="position:absolute;margin-left:161pt;margin-top:9.75pt;width:36pt;height:24pt;rotation:1095795fd;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" adj="14400" fillcolor="red" stroked="f" strokeweight="2pt"/>
            </w:pict>
          </mc:Fallback>
        </mc:AlternateContent>
      </w:r>
      <w:r w:rsidRPr="00C90AC9">
        <w:rPr>
          <w:rFonts w:eastAsiaTheme="minorHAnsi"/>
          <w:noProof/>
        </w:rPr>
        <mc:AlternateContent>
          <mc:Choice Requires="wps">
            <w:drawing>
              <wp:anchor distT="0" distB="0" distL="114300" distR="114300" simplePos="0" relativeHeight="251854848" behindDoc="0" locked="0" layoutInCell="1" allowOverlap="1" wp14:anchorId="10A2346B" wp14:editId="39C1A598">
                <wp:simplePos x="0" y="0"/>
                <wp:positionH relativeFrom="column">
                  <wp:posOffset>4991100</wp:posOffset>
                </wp:positionH>
                <wp:positionV relativeFrom="paragraph">
                  <wp:posOffset>12065</wp:posOffset>
                </wp:positionV>
                <wp:extent cx="788035" cy="666750"/>
                <wp:effectExtent l="0" t="0" r="12065" b="19050"/>
                <wp:wrapNone/>
                <wp:docPr id="3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8035" cy="666750"/>
                        </a:xfrm>
                        <a:prstGeom prst="rect">
                          <a:avLst/>
                        </a:prstGeom>
                        <a:solidFill>
                          <a:srgbClr val="FFFFFF"/>
                        </a:solidFill>
                        <a:ln w="9525">
                          <a:solidFill>
                            <a:srgbClr val="000000"/>
                          </a:solidFill>
                          <a:miter lim="800000"/>
                          <a:headEnd/>
                          <a:tailEnd/>
                        </a:ln>
                      </wps:spPr>
                      <wps:txbx>
                        <w:txbxContent>
                          <w:p w:rsidR="00521573" w:rsidRDefault="00521573" w:rsidP="007803E1">
                            <w:pPr>
                              <w:jc w:val="center"/>
                            </w:pPr>
                            <w:r>
                              <w:t>Hot water tank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A2346B" id="_x0000_s1068" type="#_x0000_t202" style="position:absolute;left:0;text-align:left;margin-left:393pt;margin-top:.95pt;width:62.05pt;height:52.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">
                <v:textbox>
                  <w:txbxContent>
                    <w:p w:rsidR="00521573" w:rsidRDefault="00521573" w:rsidP="007803E1">
                      <w:pPr>
                        <w:jc w:val="center"/>
                      </w:pPr>
                      <w:r>
                        <w:t>Hot water tank</w:t>
                      </w:r>
                    </w:p>
                  </w:txbxContent>
                </v:textbox>
              </v:shape>
            </w:pict>
          </mc:Fallback>
        </mc:AlternateContent>
      </w:r>
      <w:r w:rsidRPr="00C90AC9">
        <w:rPr>
          <w:rFonts w:eastAsiaTheme="minorHAnsi"/>
          <w:noProof/>
        </w:rPr>
        <mc:AlternateContent>
          <mc:Choice Requires="wps">
            <w:drawing>
              <wp:anchor distT="0" distB="0" distL="114300" distR="114300" simplePos="0" relativeHeight="251974656" behindDoc="0" locked="0" layoutInCell="1" allowOverlap="1" wp14:anchorId="1B2ABD26" wp14:editId="51A70CC8">
                <wp:simplePos x="0" y="0"/>
                <wp:positionH relativeFrom="column">
                  <wp:posOffset>504825</wp:posOffset>
                </wp:positionH>
                <wp:positionV relativeFrom="paragraph">
                  <wp:posOffset>137160</wp:posOffset>
                </wp:positionV>
                <wp:extent cx="238125" cy="323850"/>
                <wp:effectExtent l="0" t="0" r="0" b="0"/>
                <wp:wrapNone/>
                <wp:docPr id="5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323850"/>
                        </a:xfrm>
                        <a:prstGeom prst="rect">
                          <a:avLst/>
                        </a:prstGeom>
                        <a:noFill/>
                        <a:ln w="9525">
                          <a:noFill/>
                          <a:miter lim="800000"/>
                          <a:headEnd/>
                          <a:tailEnd/>
                        </a:ln>
                      </wps:spPr>
                      <wps:txbx>
                        <w:txbxContent>
                          <w:p w:rsidR="00521573" w:rsidRDefault="006F0C85" w:rsidP="00ED3F45">
                            <m:oMathPara>
                              <m:oMath>
                                <m:acc>
                                  <m:accPr>
                                    <m:chr m:val="̇"/>
                                    <m:ctrlPr>
                                      <w:rPr>
                                        <w:rFonts w:ascii="Cambria Math" w:eastAsiaTheme="minorHAnsi" w:hAnsi="Cambria Math"/>
                                        <w:i/>
                                        <w:lang w:eastAsia="en-US"/>
                                      </w:rPr>
                                    </m:ctrlPr>
                                  </m:accPr>
                                  <m:e>
                                    <m:r>
                                      <w:rPr>
                                        <w:rFonts w:ascii="Cambria Math" w:eastAsiaTheme="minorHAnsi" w:hAnsi="Cambria Math"/>
                                        <w:lang w:eastAsia="en-US"/>
                                      </w:rPr>
                                      <m:t>Q</m:t>
                                    </m:r>
                                  </m:e>
                                </m:acc>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2ABD26" id="_x0000_s1069" type="#_x0000_t202" style="position:absolute;left:0;text-align:left;margin-left:39.75pt;margin-top:10.8pt;width:18.75pt;height:25.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" filled="f" stroked="f">
                <v:textbox>
                  <w:txbxContent>
                    <w:p w:rsidR="00521573" w:rsidRDefault="006F0C85" w:rsidP="00ED3F45">
                      <m:oMathPara>
                        <m:oMath>
                          <m:acc>
                            <m:accPr>
                              <m:chr m:val="̇"/>
                              <m:ctrlPr>
                                <w:rPr>
                                  <w:rFonts w:ascii="Cambria Math" w:eastAsiaTheme="minorHAnsi" w:hAnsi="Cambria Math"/>
                                  <w:i/>
                                  <w:lang w:eastAsia="en-US"/>
                                </w:rPr>
                              </m:ctrlPr>
                            </m:accPr>
                            <m:e>
                              <m:r>
                                <w:rPr>
                                  <w:rFonts w:ascii="Cambria Math" w:eastAsiaTheme="minorHAnsi" w:hAnsi="Cambria Math"/>
                                  <w:lang w:eastAsia="en-US"/>
                                </w:rPr>
                                <m:t>Q</m:t>
                              </m:r>
                            </m:e>
                          </m:acc>
                        </m:oMath>
                      </m:oMathPara>
                    </w:p>
                  </w:txbxContent>
                </v:textbox>
              </v:shape>
            </w:pict>
          </mc:Fallback>
        </mc:AlternateContent>
      </w:r>
      <w:r w:rsidR="006F0C85">
        <w:rPr>
          <w:rFonts w:eastAsiaTheme="minorHAnsi"/>
        </w:rPr>
        <w:object w:dxaOrig="1440" w:dyaOrig="1440">
          <v:shape id="_x0000_s1129" type="#_x0000_t75" style="position:absolute;left:0;text-align:left;margin-left:325.15pt;margin-top:10.3pt;width:12pt;height:18pt;z-index:252000256;mso-position-horizontal-relative:text;mso-position-vertical-relative:text">
            <v:imagedata r:id="rId41" o:title=""/>
          </v:shape>
          <o:OLEObject Type="Embed" ProgID="Equation.3" ShapeID="_x0000_s1129" DrawAspect="Content" ObjectID="_1606373381" r:id="rId43"/>
        </w:object>
      </w:r>
    </w:p>
    <w:p w:rsidR="007C2EBF" w:rsidRPr="00C90AC9" w:rsidRDefault="00307610" w:rsidP="00B06779">
      <w:pPr>
        <w:pStyle w:val="BodyText"/>
        <w:rPr>
          <w:rFonts w:eastAsiaTheme="minorHAnsi"/>
          <w:lang w:eastAsia="en-US"/>
        </w:rPr>
      </w:pPr>
      <w:r w:rsidRPr="00C90AC9">
        <w:rPr>
          <w:rFonts w:eastAsiaTheme="minorHAnsi"/>
          <w:noProof/>
        </w:rPr>
        <mc:AlternateContent>
          <mc:Choice Requires="wps">
            <w:drawing>
              <wp:anchor distT="0" distB="0" distL="114300" distR="114300" simplePos="0" relativeHeight="252009472" behindDoc="0" locked="0" layoutInCell="1" allowOverlap="1" wp14:anchorId="0DC86C67" wp14:editId="5CF375AC">
                <wp:simplePos x="0" y="0"/>
                <wp:positionH relativeFrom="column">
                  <wp:posOffset>1714500</wp:posOffset>
                </wp:positionH>
                <wp:positionV relativeFrom="paragraph">
                  <wp:posOffset>67945</wp:posOffset>
                </wp:positionV>
                <wp:extent cx="457200" cy="304800"/>
                <wp:effectExtent l="0" t="0" r="0" b="0"/>
                <wp:wrapNone/>
                <wp:docPr id="36" name="Right Arrow 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457200" cy="304800"/>
                        </a:xfrm>
                        <a:prstGeom prst="rightArrow">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4D203A5" id="Right Arrow 390" o:spid="_x0000_s1026" type="#_x0000_t13" style="position:absolute;margin-left:135pt;margin-top:5.35pt;width:36pt;height:24pt;rotation:180;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" adj="14400" fillcolor="red" stroked="f" strokeweight="2pt"/>
            </w:pict>
          </mc:Fallback>
        </mc:AlternateContent>
      </w:r>
      <w:r w:rsidR="007C2EBF" w:rsidRPr="00C90AC9">
        <w:rPr>
          <w:rFonts w:eastAsiaTheme="minorHAnsi"/>
          <w:noProof/>
        </w:rPr>
        <mc:AlternateContent>
          <mc:Choice Requires="wps">
            <w:drawing>
              <wp:anchor distT="0" distB="0" distL="114300" distR="114300" simplePos="0" relativeHeight="251763712" behindDoc="0" locked="0" layoutInCell="1" allowOverlap="1" wp14:anchorId="54FA7EF3" wp14:editId="28E51C1A">
                <wp:simplePos x="0" y="0"/>
                <wp:positionH relativeFrom="column">
                  <wp:posOffset>-1546860</wp:posOffset>
                </wp:positionH>
                <wp:positionV relativeFrom="paragraph">
                  <wp:posOffset>212725</wp:posOffset>
                </wp:positionV>
                <wp:extent cx="533400" cy="409575"/>
                <wp:effectExtent l="0" t="19050" r="38100" b="47625"/>
                <wp:wrapNone/>
                <wp:docPr id="394" name="Right Arrow 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400" cy="409575"/>
                        </a:xfrm>
                        <a:prstGeom prst="rightArrow">
                          <a:avLst/>
                        </a:prstGeom>
                        <a:solidFill>
                          <a:srgbClr val="D6A300"/>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C12DA" id="Right Arrow 394" o:spid="_x0000_s1026" type="#_x0000_t13" style="position:absolute;margin-left:-121.8pt;margin-top:16.75pt;width:42pt;height:32.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" adj="13307" fillcolor="#d6a300" strokecolor="windowText" strokeweight="1pt">
                <v:path arrowok="t"/>
              </v:shape>
            </w:pict>
          </mc:Fallback>
        </mc:AlternateContent>
      </w:r>
    </w:p>
    <w:p w:rsidR="007803E1" w:rsidRPr="00C90AC9" w:rsidRDefault="007803E1" w:rsidP="00B06779">
      <w:pPr>
        <w:pStyle w:val="BodyText"/>
        <w:rPr>
          <w:rFonts w:eastAsiaTheme="minorHAnsi"/>
          <w:lang w:eastAsia="en-US"/>
        </w:rPr>
      </w:pPr>
    </w:p>
    <w:p w:rsidR="00014599" w:rsidRPr="00C90AC9" w:rsidRDefault="00014599" w:rsidP="00B06779">
      <w:pPr>
        <w:pStyle w:val="BodyText"/>
        <w:rPr>
          <w:rFonts w:eastAsiaTheme="minorHAnsi"/>
          <w:lang w:eastAsia="en-US"/>
        </w:rPr>
      </w:pPr>
      <w:r w:rsidRPr="00C90AC9">
        <w:rPr>
          <w:rFonts w:eastAsiaTheme="minorHAnsi"/>
          <w:noProof/>
        </w:rPr>
        <mc:AlternateContent>
          <mc:Choice Requires="wps">
            <w:drawing>
              <wp:anchor distT="0" distB="0" distL="114300" distR="114300" simplePos="0" relativeHeight="251652094" behindDoc="0" locked="0" layoutInCell="1" allowOverlap="1" wp14:anchorId="1A94F97C" wp14:editId="6033D7BF">
                <wp:simplePos x="0" y="0"/>
                <wp:positionH relativeFrom="column">
                  <wp:posOffset>2924175</wp:posOffset>
                </wp:positionH>
                <wp:positionV relativeFrom="paragraph">
                  <wp:posOffset>197485</wp:posOffset>
                </wp:positionV>
                <wp:extent cx="514350" cy="390525"/>
                <wp:effectExtent l="0" t="19050" r="38100" b="47625"/>
                <wp:wrapNone/>
                <wp:docPr id="32" name="Right Arrow 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390525"/>
                        </a:xfrm>
                        <a:prstGeom prst="rightArrow">
                          <a:avLst/>
                        </a:prstGeom>
                        <a:solidFill>
                          <a:srgbClr val="FFC000"/>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08F39C" id="Right Arrow 396" o:spid="_x0000_s1026" type="#_x0000_t13" style="position:absolute;margin-left:230.25pt;margin-top:15.55pt;width:40.5pt;height:30.75pt;z-index:2516520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" adj="13400" fillcolor="#ffc000" strokecolor="windowText" strokeweight="1pt">
                <v:path arrowok="t"/>
              </v:shape>
            </w:pict>
          </mc:Fallback>
        </mc:AlternateContent>
      </w:r>
      <w:r w:rsidR="006F0C85">
        <w:rPr>
          <w:rFonts w:eastAsiaTheme="minorHAnsi"/>
        </w:rPr>
        <w:object w:dxaOrig="1440" w:dyaOrig="1440">
          <v:shape id="_x0000_s1130" type="#_x0000_t75" style="position:absolute;left:0;text-align:left;margin-left:205.9pt;margin-top:20.55pt;width:12pt;height:18pt;z-index:252003328;mso-position-horizontal-relative:text;mso-position-vertical-relative:text">
            <v:imagedata r:id="rId41" o:title=""/>
          </v:shape>
          <o:OLEObject Type="Embed" ProgID="Equation.3" ShapeID="_x0000_s1130" DrawAspect="Content" ObjectID="_1606373382" r:id="rId44"/>
        </w:object>
      </w:r>
    </w:p>
    <w:p w:rsidR="00A16B8C" w:rsidRPr="00C90AC9" w:rsidRDefault="006F0C85" w:rsidP="00B06779">
      <w:pPr>
        <w:pStyle w:val="BodyText"/>
        <w:rPr>
          <w:rFonts w:eastAsiaTheme="minorHAnsi"/>
          <w:lang w:eastAsia="en-US"/>
        </w:rPr>
      </w:pPr>
      <w:r>
        <w:rPr>
          <w:rFonts w:eastAsiaTheme="minorHAnsi"/>
        </w:rPr>
        <w:object w:dxaOrig="1440" w:dyaOrig="1440">
          <v:shape id="_x0000_s1120" type="#_x0000_t75" style="position:absolute;left:0;text-align:left;margin-left:241.15pt;margin-top:.2pt;width:24pt;height:18pt;z-index:251830272">
            <v:imagedata r:id="rId41" o:title=""/>
          </v:shape>
          <o:OLEObject Type="Embed" ProgID="Equation.3" ShapeID="_x0000_s1120" DrawAspect="Content" ObjectID="_1606373383" r:id="rId45"/>
        </w:object>
      </w:r>
      <w:r w:rsidR="00A16B8C" w:rsidRPr="00C90AC9">
        <w:rPr>
          <w:rFonts w:eastAsiaTheme="minorHAnsi"/>
          <w:lang w:eastAsia="en-US"/>
        </w:rPr>
        <w:t xml:space="preserve">Heat transfer from heating coil to the tank </w:t>
      </w:r>
      <w:proofErr w:type="gramStart"/>
      <w:r w:rsidR="00A16B8C" w:rsidRPr="00C90AC9">
        <w:rPr>
          <w:rFonts w:eastAsiaTheme="minorHAnsi"/>
          <w:lang w:eastAsia="en-US"/>
        </w:rPr>
        <w:t>(</w:t>
      </w:r>
      <w:r w:rsidR="00014599" w:rsidRPr="00C90AC9">
        <w:rPr>
          <w:rFonts w:eastAsiaTheme="minorHAnsi"/>
          <w:lang w:eastAsia="en-US"/>
        </w:rPr>
        <w:t xml:space="preserve">  </w:t>
      </w:r>
      <w:proofErr w:type="gramEnd"/>
      <w:r w:rsidR="00014599" w:rsidRPr="00C90AC9">
        <w:rPr>
          <w:rFonts w:eastAsiaTheme="minorHAnsi"/>
          <w:lang w:eastAsia="en-US"/>
        </w:rPr>
        <w:t xml:space="preserve"> </w:t>
      </w:r>
      <w:r w:rsidR="00A16B8C" w:rsidRPr="00C90AC9">
        <w:rPr>
          <w:rFonts w:eastAsiaTheme="minorHAnsi"/>
          <w:lang w:eastAsia="en-US"/>
        </w:rPr>
        <w:t>)</w:t>
      </w:r>
    </w:p>
    <w:p w:rsidR="00A16B8C" w:rsidRPr="00C90AC9" w:rsidRDefault="00AF68CD" w:rsidP="00B06779">
      <w:pPr>
        <w:pStyle w:val="BodyText"/>
        <w:rPr>
          <w:rFonts w:eastAsiaTheme="minorHAnsi"/>
          <w:lang w:eastAsia="en-US"/>
        </w:rPr>
      </w:pPr>
      <w:r w:rsidRPr="00C90AC9">
        <w:rPr>
          <w:rFonts w:eastAsiaTheme="minorHAnsi"/>
          <w:noProof/>
        </w:rPr>
        <mc:AlternateContent>
          <mc:Choice Requires="wps">
            <w:drawing>
              <wp:anchor distT="0" distB="0" distL="114300" distR="114300" simplePos="0" relativeHeight="251764736" behindDoc="0" locked="0" layoutInCell="1" allowOverlap="1" wp14:anchorId="395D7E37" wp14:editId="52BFDA72">
                <wp:simplePos x="0" y="0"/>
                <wp:positionH relativeFrom="column">
                  <wp:posOffset>2970412</wp:posOffset>
                </wp:positionH>
                <wp:positionV relativeFrom="paragraph">
                  <wp:posOffset>131120</wp:posOffset>
                </wp:positionV>
                <wp:extent cx="514350" cy="371475"/>
                <wp:effectExtent l="0" t="19050" r="38100" b="47625"/>
                <wp:wrapNone/>
                <wp:docPr id="396" name="Right Arrow 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371475"/>
                        </a:xfrm>
                        <a:prstGeom prst="rightArrow">
                          <a:avLst/>
                        </a:prstGeom>
                        <a:solidFill>
                          <a:srgbClr val="FF0000"/>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D4CA3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96" o:spid="_x0000_s1026" type="#_x0000_t13" style="position:absolute;margin-left:233.9pt;margin-top:10.3pt;width:40.5pt;height:29.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" adj="13800" fillcolor="red" strokecolor="windowText" strokeweight="1pt">
                <v:path arrowok="t"/>
              </v:shape>
            </w:pict>
          </mc:Fallback>
        </mc:AlternateContent>
      </w:r>
      <w:r w:rsidR="00014599" w:rsidRPr="00C90AC9">
        <w:rPr>
          <w:rFonts w:eastAsiaTheme="minorHAnsi"/>
          <w:noProof/>
        </w:rPr>
        <mc:AlternateContent>
          <mc:Choice Requires="wps">
            <w:drawing>
              <wp:anchor distT="0" distB="0" distL="114300" distR="114300" simplePos="0" relativeHeight="251945984" behindDoc="0" locked="0" layoutInCell="1" allowOverlap="1" wp14:anchorId="68D30EEC" wp14:editId="03F06BA0">
                <wp:simplePos x="0" y="0"/>
                <wp:positionH relativeFrom="column">
                  <wp:posOffset>3066415</wp:posOffset>
                </wp:positionH>
                <wp:positionV relativeFrom="paragraph">
                  <wp:posOffset>155575</wp:posOffset>
                </wp:positionV>
                <wp:extent cx="238125" cy="371475"/>
                <wp:effectExtent l="0" t="0" r="0" b="0"/>
                <wp:wrapNone/>
                <wp:docPr id="4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371475"/>
                        </a:xfrm>
                        <a:prstGeom prst="rect">
                          <a:avLst/>
                        </a:prstGeom>
                        <a:noFill/>
                        <a:ln w="9525">
                          <a:noFill/>
                          <a:miter lim="800000"/>
                          <a:headEnd/>
                          <a:tailEnd/>
                        </a:ln>
                      </wps:spPr>
                      <wps:txbx>
                        <w:txbxContent>
                          <w:p w:rsidR="00521573" w:rsidRPr="00014599" w:rsidRDefault="00521573">
                            <w:pPr>
                              <w:rPr>
                                <w:sz w:val="28"/>
                              </w:rPr>
                            </w:pPr>
                            <w:r w:rsidRPr="00014599">
                              <w:rPr>
                                <w:rFonts w:eastAsiaTheme="minorHAnsi"/>
                                <w:sz w:val="28"/>
                                <w:lang w:eastAsia="en-US"/>
                              </w:rPr>
                              <w:t>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D30EEC" id="_x0000_s1070" type="#_x0000_t202" style="position:absolute;left:0;text-align:left;margin-left:241.45pt;margin-top:12.25pt;width:18.75pt;height:29.2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" filled="f" stroked="f">
                <v:textbox>
                  <w:txbxContent>
                    <w:p w:rsidR="00521573" w:rsidRPr="00014599" w:rsidRDefault="00521573">
                      <w:pPr>
                        <w:rPr>
                          <w:sz w:val="28"/>
                        </w:rPr>
                      </w:pPr>
                      <w:r w:rsidRPr="00014599">
                        <w:rPr>
                          <w:rFonts w:eastAsiaTheme="minorHAnsi"/>
                          <w:sz w:val="28"/>
                          <w:lang w:eastAsia="en-US"/>
                        </w:rPr>
                        <w:t>ṁ</w:t>
                      </w:r>
                    </w:p>
                  </w:txbxContent>
                </v:textbox>
              </v:shape>
            </w:pict>
          </mc:Fallback>
        </mc:AlternateContent>
      </w:r>
      <w:r w:rsidR="00A16B8C" w:rsidRPr="00C90AC9">
        <w:rPr>
          <w:rFonts w:eastAsiaTheme="minorHAnsi"/>
          <w:lang w:eastAsia="en-US"/>
        </w:rPr>
        <w:br/>
        <w:t>Flow of hot water through the heating coil (ṁ)</w:t>
      </w:r>
    </w:p>
    <w:p w:rsidR="007C2EBF" w:rsidRPr="00C90AC9" w:rsidRDefault="007C2EBF" w:rsidP="00B06779">
      <w:pPr>
        <w:pStyle w:val="BodyText"/>
        <w:rPr>
          <w:rFonts w:eastAsiaTheme="minorHAnsi"/>
          <w:lang w:eastAsia="en-US"/>
        </w:rPr>
      </w:pPr>
    </w:p>
    <w:p w:rsidR="00A16B8C" w:rsidRPr="00C90AC9" w:rsidRDefault="00A16B8C" w:rsidP="00ED3F45">
      <w:pPr>
        <w:pStyle w:val="BodyText"/>
        <w:spacing w:line="360" w:lineRule="auto"/>
        <w:rPr>
          <w:rFonts w:eastAsiaTheme="minorHAnsi"/>
          <w:lang w:eastAsia="en-US"/>
        </w:rPr>
      </w:pPr>
      <w:r w:rsidRPr="00C90AC9">
        <w:rPr>
          <w:rFonts w:eastAsiaTheme="minorHAnsi"/>
          <w:lang w:eastAsia="en-US"/>
        </w:rPr>
        <w:t>A flow diagram which shows how the own program goes through each time interval and goes back through the loop is shown in Figure 3.7. The first 1 litre slice of water in the tank will heat up by:</w:t>
      </w:r>
    </w:p>
    <w:tbl>
      <w:tblPr>
        <w:tblStyle w:val="TableGrid3"/>
        <w:tblW w:w="93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697"/>
      </w:tblGrid>
      <w:tr w:rsidR="00A16B8C" w:rsidRPr="00C90AC9" w:rsidTr="008C4189">
        <w:tc>
          <w:tcPr>
            <w:tcW w:w="8613" w:type="dxa"/>
          </w:tcPr>
          <w:p w:rsidR="00A16B8C" w:rsidRPr="00C90AC9" w:rsidRDefault="00E20E47"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1942912" behindDoc="0" locked="0" layoutInCell="1" allowOverlap="1" wp14:anchorId="252C38C8" wp14:editId="2C8B23AE">
                      <wp:simplePos x="0" y="0"/>
                      <wp:positionH relativeFrom="column">
                        <wp:posOffset>1960246</wp:posOffset>
                      </wp:positionH>
                      <wp:positionV relativeFrom="paragraph">
                        <wp:posOffset>128905</wp:posOffset>
                      </wp:positionV>
                      <wp:extent cx="1733550" cy="462280"/>
                      <wp:effectExtent l="0" t="0" r="19050" b="13970"/>
                      <wp:wrapNone/>
                      <wp:docPr id="490" name="Rectangle 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50" cy="462280"/>
                              </a:xfrm>
                              <a:prstGeom prst="rect">
                                <a:avLst/>
                              </a:prstGeom>
                              <a:solidFill>
                                <a:srgbClr val="4F81BD">
                                  <a:alpha val="30000"/>
                                </a:srgb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F068A4" id="Rectangle 490" o:spid="_x0000_s1026" style="position:absolute;margin-left:154.35pt;margin-top:10.15pt;width:136.5pt;height:36.4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" fillcolor="#4f81bd" strokecolor="#385d8a" strokeweight="1pt">
                      <v:fill opacity="19789f"/>
                      <v:path arrowok="t"/>
                    </v:rect>
                  </w:pict>
                </mc:Fallback>
              </mc:AlternateContent>
            </w:r>
            <w:proofErr w:type="spellStart"/>
            <w:r w:rsidR="00A16B8C" w:rsidRPr="00C90AC9">
              <w:rPr>
                <w:rFonts w:eastAsiaTheme="minorHAnsi"/>
                <w:lang w:eastAsia="en-US"/>
              </w:rPr>
              <w:t>dQ</w:t>
            </w:r>
            <w:proofErr w:type="spellEnd"/>
            <w:r w:rsidR="00A16B8C" w:rsidRPr="00C90AC9">
              <w:rPr>
                <w:rFonts w:eastAsiaTheme="minorHAnsi"/>
                <w:lang w:eastAsia="en-US"/>
              </w:rPr>
              <w:t xml:space="preserve"> = U</w:t>
            </w:r>
            <w:r w:rsidR="00A16B8C" w:rsidRPr="00C90AC9">
              <w:rPr>
                <w:rFonts w:eastAsiaTheme="minorHAnsi"/>
                <w:vertAlign w:val="subscript"/>
                <w:lang w:eastAsia="en-US"/>
              </w:rPr>
              <w:t xml:space="preserve">WCW </w:t>
            </w:r>
            <w:r w:rsidR="00A16B8C" w:rsidRPr="00C90AC9">
              <w:rPr>
                <w:rFonts w:eastAsiaTheme="minorHAnsi"/>
                <w:lang w:eastAsia="en-US"/>
              </w:rPr>
              <w:t xml:space="preserve">x </w:t>
            </w:r>
            <w:proofErr w:type="spellStart"/>
            <w:r w:rsidR="00A16B8C" w:rsidRPr="00C90AC9">
              <w:rPr>
                <w:rFonts w:eastAsiaTheme="minorHAnsi"/>
                <w:lang w:eastAsia="en-US"/>
              </w:rPr>
              <w:t>A</w:t>
            </w:r>
            <w:r w:rsidR="00A16B8C" w:rsidRPr="00C90AC9">
              <w:rPr>
                <w:rFonts w:eastAsiaTheme="minorHAnsi"/>
                <w:vertAlign w:val="subscript"/>
                <w:lang w:eastAsia="en-US"/>
              </w:rPr>
              <w:t>coil</w:t>
            </w:r>
            <w:proofErr w:type="spellEnd"/>
            <w:r w:rsidR="00A16B8C" w:rsidRPr="00C90AC9">
              <w:rPr>
                <w:rFonts w:eastAsiaTheme="minorHAnsi"/>
                <w:vertAlign w:val="subscript"/>
                <w:lang w:eastAsia="en-US"/>
              </w:rPr>
              <w:t xml:space="preserve"> </w:t>
            </w:r>
            <w:r w:rsidR="00A16B8C" w:rsidRPr="00C90AC9">
              <w:rPr>
                <w:rFonts w:eastAsiaTheme="minorHAnsi"/>
                <w:lang w:eastAsia="en-US"/>
              </w:rPr>
              <w:t>x ΔT</w:t>
            </w:r>
          </w:p>
        </w:tc>
        <w:tc>
          <w:tcPr>
            <w:tcW w:w="697" w:type="dxa"/>
            <w:vAlign w:val="center"/>
          </w:tcPr>
          <w:p w:rsidR="00A16B8C" w:rsidRPr="00C90AC9" w:rsidRDefault="00A16B8C" w:rsidP="00B06779">
            <w:pPr>
              <w:rPr>
                <w:rFonts w:eastAsiaTheme="minorHAnsi"/>
                <w:lang w:eastAsia="en-US"/>
              </w:rPr>
            </w:pPr>
            <w:r w:rsidRPr="00C90AC9">
              <w:rPr>
                <w:rFonts w:eastAsiaTheme="minorHAnsi"/>
                <w:lang w:eastAsia="en-US"/>
              </w:rPr>
              <w:t>(22)</w:t>
            </w:r>
          </w:p>
        </w:tc>
      </w:tr>
    </w:tbl>
    <w:p w:rsidR="00A16B8C" w:rsidRPr="00C90AC9" w:rsidRDefault="00A16B8C" w:rsidP="007C2EBF">
      <w:pPr>
        <w:pStyle w:val="Caption"/>
        <w:jc w:val="center"/>
        <w:rPr>
          <w:rFonts w:cs="Times New Roman"/>
          <w:b w:val="0"/>
          <w:color w:val="auto"/>
          <w:sz w:val="24"/>
          <w:szCs w:val="24"/>
          <w:lang w:eastAsia="en-US"/>
        </w:rPr>
      </w:pPr>
      <w:r w:rsidRPr="00C90AC9">
        <w:rPr>
          <w:rFonts w:eastAsiaTheme="minorHAnsi" w:cs="Times New Roman"/>
          <w:b w:val="0"/>
          <w:color w:val="auto"/>
          <w:sz w:val="24"/>
          <w:szCs w:val="24"/>
          <w:lang w:eastAsia="en-US"/>
        </w:rPr>
        <w:t>ΔT =</w:t>
      </w:r>
      <w:proofErr w:type="gramStart"/>
      <w:r w:rsidRPr="00C90AC9">
        <w:rPr>
          <w:rFonts w:eastAsiaTheme="minorHAnsi" w:cs="Times New Roman"/>
          <w:b w:val="0"/>
          <w:color w:val="auto"/>
          <w:sz w:val="24"/>
          <w:szCs w:val="24"/>
          <w:lang w:eastAsia="en-US"/>
        </w:rPr>
        <w:t>U</w:t>
      </w:r>
      <w:r w:rsidRPr="00C90AC9">
        <w:rPr>
          <w:rFonts w:eastAsiaTheme="minorHAnsi" w:cs="Times New Roman"/>
          <w:b w:val="0"/>
          <w:color w:val="auto"/>
          <w:sz w:val="24"/>
          <w:szCs w:val="24"/>
          <w:vertAlign w:val="subscript"/>
          <w:lang w:eastAsia="en-US"/>
        </w:rPr>
        <w:t>WCW</w:t>
      </w:r>
      <w:r w:rsidRPr="00C90AC9">
        <w:rPr>
          <w:rFonts w:eastAsiaTheme="minorHAnsi" w:cs="Times New Roman"/>
          <w:b w:val="0"/>
          <w:color w:val="auto"/>
          <w:sz w:val="24"/>
          <w:szCs w:val="24"/>
          <w:lang w:eastAsia="en-US"/>
        </w:rPr>
        <w:t xml:space="preserve"> </w:t>
      </w:r>
      <w:r w:rsidR="007803E1" w:rsidRPr="00C90AC9">
        <w:rPr>
          <w:rFonts w:eastAsiaTheme="minorHAnsi" w:cs="Times New Roman"/>
          <w:b w:val="0"/>
          <w:color w:val="auto"/>
          <w:sz w:val="36"/>
          <w:szCs w:val="24"/>
          <w:lang w:eastAsia="en-US"/>
        </w:rPr>
        <w:t>.</w:t>
      </w:r>
      <w:proofErr w:type="gramEnd"/>
      <w:r w:rsidRPr="00C90AC9">
        <w:rPr>
          <w:rFonts w:eastAsiaTheme="minorHAnsi" w:cs="Times New Roman"/>
          <w:b w:val="0"/>
          <w:color w:val="auto"/>
          <w:sz w:val="24"/>
          <w:szCs w:val="24"/>
          <w:lang w:eastAsia="en-US"/>
        </w:rPr>
        <w:t xml:space="preserve"> </w:t>
      </w:r>
      <w:proofErr w:type="spellStart"/>
      <w:proofErr w:type="gramStart"/>
      <w:r w:rsidRPr="00C90AC9">
        <w:rPr>
          <w:rFonts w:eastAsiaTheme="minorHAnsi" w:cs="Times New Roman"/>
          <w:b w:val="0"/>
          <w:color w:val="auto"/>
          <w:sz w:val="24"/>
          <w:szCs w:val="24"/>
          <w:lang w:eastAsia="en-US"/>
        </w:rPr>
        <w:t>A</w:t>
      </w:r>
      <w:r w:rsidRPr="00C90AC9">
        <w:rPr>
          <w:rFonts w:eastAsiaTheme="minorHAnsi" w:cs="Times New Roman"/>
          <w:b w:val="0"/>
          <w:color w:val="auto"/>
          <w:sz w:val="24"/>
          <w:szCs w:val="24"/>
          <w:vertAlign w:val="subscript"/>
          <w:lang w:eastAsia="en-US"/>
        </w:rPr>
        <w:t>coil</w:t>
      </w:r>
      <w:proofErr w:type="spellEnd"/>
      <w:r w:rsidRPr="00C90AC9">
        <w:rPr>
          <w:rFonts w:eastAsiaTheme="minorHAnsi" w:cs="Times New Roman"/>
          <w:b w:val="0"/>
          <w:color w:val="auto"/>
          <w:sz w:val="24"/>
          <w:szCs w:val="24"/>
          <w:lang w:eastAsia="en-US"/>
        </w:rPr>
        <w:t xml:space="preserve"> </w:t>
      </w:r>
      <w:r w:rsidRPr="00C90AC9">
        <w:rPr>
          <w:rFonts w:eastAsiaTheme="minorHAnsi" w:cs="Times New Roman"/>
          <w:b w:val="0"/>
          <w:color w:val="auto"/>
          <w:sz w:val="36"/>
          <w:szCs w:val="24"/>
          <w:lang w:eastAsia="en-US"/>
        </w:rPr>
        <w:t>.</w:t>
      </w:r>
      <w:proofErr w:type="gramEnd"/>
      <w:r w:rsidRPr="00C90AC9">
        <w:rPr>
          <w:rFonts w:eastAsiaTheme="minorHAnsi" w:cs="Times New Roman"/>
          <w:b w:val="0"/>
          <w:color w:val="auto"/>
          <w:sz w:val="24"/>
          <w:szCs w:val="24"/>
          <w:lang w:eastAsia="en-US"/>
        </w:rPr>
        <w:t xml:space="preserve">  </w:t>
      </w:r>
      <m:oMath>
        <m:f>
          <m:fPr>
            <m:ctrlPr>
              <w:rPr>
                <w:rFonts w:ascii="Cambria Math" w:eastAsiaTheme="minorHAnsi" w:hAnsi="Cambria Math" w:cs="Times New Roman"/>
                <w:b w:val="0"/>
                <w:i/>
                <w:color w:val="auto"/>
                <w:sz w:val="24"/>
                <w:szCs w:val="24"/>
                <w:lang w:eastAsia="en-US"/>
              </w:rPr>
            </m:ctrlPr>
          </m:fPr>
          <m:num>
            <m:r>
              <m:rPr>
                <m:sty m:val="bi"/>
              </m:rPr>
              <w:rPr>
                <w:rFonts w:ascii="Cambria Math" w:eastAsiaTheme="minorHAnsi" w:hAnsi="Cambria Math" w:cs="Times New Roman"/>
                <w:color w:val="auto"/>
                <w:sz w:val="24"/>
                <w:szCs w:val="24"/>
                <w:lang w:eastAsia="en-US"/>
              </w:rPr>
              <m:t>dQ</m:t>
            </m:r>
          </m:num>
          <m:den>
            <m:r>
              <m:rPr>
                <m:sty m:val="b"/>
              </m:rPr>
              <w:rPr>
                <w:rFonts w:ascii="Cambria Math" w:eastAsiaTheme="minorHAnsi" w:hAnsi="Cambria Math" w:cs="Times New Roman"/>
                <w:color w:val="auto"/>
                <w:sz w:val="24"/>
                <w:szCs w:val="24"/>
                <w:lang w:eastAsia="en-US"/>
              </w:rPr>
              <m:t>ΔT</m:t>
            </m:r>
          </m:den>
        </m:f>
      </m:oMath>
    </w:p>
    <w:p w:rsidR="00A16B8C" w:rsidRPr="00C90AC9" w:rsidRDefault="00E20E47" w:rsidP="00E20E47">
      <w:pPr>
        <w:pStyle w:val="BodyText"/>
        <w:jc w:val="center"/>
        <w:rPr>
          <w:rFonts w:eastAsiaTheme="minorHAnsi"/>
          <w:lang w:eastAsia="en-US"/>
        </w:rPr>
      </w:pPr>
      <w:r w:rsidRPr="00C90AC9">
        <w:rPr>
          <w:rFonts w:eastAsiaTheme="minorHAnsi"/>
          <w:lang w:eastAsia="en-US"/>
        </w:rPr>
        <w:lastRenderedPageBreak/>
        <w:br/>
      </w:r>
      <w:r w:rsidR="00A16B8C" w:rsidRPr="00C90AC9">
        <w:rPr>
          <w:rFonts w:eastAsiaTheme="minorHAnsi"/>
          <w:lang w:eastAsia="en-US"/>
        </w:rPr>
        <w:t xml:space="preserve">T2= T1 -  </w:t>
      </w:r>
      <m:oMath>
        <m:f>
          <m:fPr>
            <m:ctrlPr>
              <w:rPr>
                <w:rFonts w:ascii="Cambria Math" w:eastAsiaTheme="minorHAnsi" w:hAnsi="Cambria Math"/>
                <w:i/>
                <w:lang w:eastAsia="en-US"/>
              </w:rPr>
            </m:ctrlPr>
          </m:fPr>
          <m:num>
            <m:r>
              <w:rPr>
                <w:rFonts w:ascii="Cambria Math" w:eastAsiaTheme="minorHAnsi" w:hAnsi="Cambria Math"/>
                <w:lang w:eastAsia="en-US"/>
              </w:rPr>
              <m:t>dQ</m:t>
            </m:r>
          </m:num>
          <m:den>
            <m:r>
              <m:rPr>
                <m:sty m:val="p"/>
              </m:rPr>
              <w:rPr>
                <w:rFonts w:ascii="Cambria Math" w:eastAsiaTheme="minorHAnsi" w:hAnsi="Cambria Math"/>
                <w:lang w:eastAsia="en-US"/>
              </w:rPr>
              <m:t>ΔT</m:t>
            </m:r>
          </m:den>
        </m:f>
      </m:oMath>
    </w:p>
    <w:tbl>
      <w:tblPr>
        <w:tblStyle w:val="TableGrid3"/>
        <w:tblW w:w="172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8613"/>
      </w:tblGrid>
      <w:tr w:rsidR="00E20E47" w:rsidRPr="00C90AC9" w:rsidTr="0063274C">
        <w:tc>
          <w:tcPr>
            <w:tcW w:w="8613" w:type="dxa"/>
          </w:tcPr>
          <w:p w:rsidR="00E20E47" w:rsidRPr="00C90AC9" w:rsidRDefault="008204AD" w:rsidP="00E20E47">
            <w:pPr>
              <w:jc w:val="center"/>
              <w:rPr>
                <w:rFonts w:eastAsiaTheme="minorHAnsi"/>
                <w:lang w:eastAsia="en-US"/>
              </w:rPr>
            </w:pPr>
            <w:r w:rsidRPr="00C90AC9">
              <w:rPr>
                <w:rFonts w:eastAsiaTheme="minorHAnsi"/>
                <w:noProof/>
              </w:rPr>
              <mc:AlternateContent>
                <mc:Choice Requires="wps">
                  <w:drawing>
                    <wp:anchor distT="0" distB="0" distL="114300" distR="114300" simplePos="0" relativeHeight="251940864" behindDoc="0" locked="0" layoutInCell="1" allowOverlap="1" wp14:anchorId="70E48793" wp14:editId="0A32098B">
                      <wp:simplePos x="0" y="0"/>
                      <wp:positionH relativeFrom="column">
                        <wp:posOffset>1798320</wp:posOffset>
                      </wp:positionH>
                      <wp:positionV relativeFrom="paragraph">
                        <wp:posOffset>45720</wp:posOffset>
                      </wp:positionV>
                      <wp:extent cx="1828800" cy="414655"/>
                      <wp:effectExtent l="0" t="0" r="19050" b="23495"/>
                      <wp:wrapNone/>
                      <wp:docPr id="397"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414655"/>
                              </a:xfrm>
                              <a:prstGeom prst="rect">
                                <a:avLst/>
                              </a:prstGeom>
                              <a:solidFill>
                                <a:srgbClr val="4F81BD">
                                  <a:alpha val="30000"/>
                                </a:srgb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F038BB" id="Rectangle 397" o:spid="_x0000_s1026" style="position:absolute;margin-left:141.6pt;margin-top:3.6pt;width:2in;height:32.6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" fillcolor="#4f81bd" strokecolor="#385d8a" strokeweight="1pt">
                      <v:fill opacity="19789f"/>
                      <v:path arrowok="t"/>
                    </v:rect>
                  </w:pict>
                </mc:Fallback>
              </mc:AlternateContent>
            </w:r>
            <w:r w:rsidR="00E20E47" w:rsidRPr="00C90AC9">
              <w:rPr>
                <w:rFonts w:eastAsiaTheme="minorHAnsi"/>
                <w:lang w:eastAsia="en-US"/>
              </w:rPr>
              <w:br/>
            </w:r>
            <w:proofErr w:type="spellStart"/>
            <w:r w:rsidR="00E20E47" w:rsidRPr="00C90AC9">
              <w:rPr>
                <w:rFonts w:eastAsiaTheme="minorHAnsi"/>
                <w:lang w:eastAsia="en-US"/>
              </w:rPr>
              <w:t>dQ</w:t>
            </w:r>
            <w:proofErr w:type="spellEnd"/>
            <w:r w:rsidR="00E20E47" w:rsidRPr="00C90AC9">
              <w:rPr>
                <w:rFonts w:eastAsiaTheme="minorHAnsi"/>
                <w:lang w:eastAsia="en-US"/>
              </w:rPr>
              <w:t xml:space="preserve"> = </w:t>
            </w:r>
            <w:proofErr w:type="gramStart"/>
            <w:r w:rsidR="00E20E47" w:rsidRPr="00C90AC9">
              <w:rPr>
                <w:rFonts w:eastAsiaTheme="minorHAnsi"/>
                <w:lang w:eastAsia="en-US"/>
              </w:rPr>
              <w:t>U</w:t>
            </w:r>
            <w:r w:rsidR="00E20E47" w:rsidRPr="00C90AC9">
              <w:rPr>
                <w:rFonts w:eastAsiaTheme="minorHAnsi"/>
                <w:vertAlign w:val="subscript"/>
                <w:lang w:eastAsia="en-US"/>
              </w:rPr>
              <w:t>WCW</w:t>
            </w:r>
            <w:r w:rsidR="00E20E47" w:rsidRPr="00C90AC9">
              <w:rPr>
                <w:rFonts w:eastAsiaTheme="minorHAnsi"/>
                <w:lang w:eastAsia="en-US"/>
              </w:rPr>
              <w:t xml:space="preserve">  </w:t>
            </w:r>
            <w:proofErr w:type="spellStart"/>
            <w:r w:rsidR="00E20E47" w:rsidRPr="00C90AC9">
              <w:rPr>
                <w:rFonts w:eastAsiaTheme="minorHAnsi"/>
                <w:lang w:eastAsia="en-US"/>
              </w:rPr>
              <w:t>A</w:t>
            </w:r>
            <w:r w:rsidR="00E20E47" w:rsidRPr="00C90AC9">
              <w:rPr>
                <w:rFonts w:eastAsiaTheme="minorHAnsi"/>
                <w:vertAlign w:val="subscript"/>
                <w:lang w:eastAsia="en-US"/>
              </w:rPr>
              <w:t>coil</w:t>
            </w:r>
            <w:proofErr w:type="spellEnd"/>
            <w:proofErr w:type="gramEnd"/>
            <w:r w:rsidR="00E20E47" w:rsidRPr="00C90AC9">
              <w:rPr>
                <w:rFonts w:eastAsiaTheme="minorHAnsi"/>
                <w:vertAlign w:val="subscript"/>
                <w:lang w:eastAsia="en-US"/>
              </w:rPr>
              <w:t xml:space="preserve"> </w:t>
            </w:r>
            <w:r w:rsidR="00E20E47" w:rsidRPr="00C90AC9">
              <w:rPr>
                <w:rFonts w:eastAsiaTheme="minorHAnsi"/>
                <w:lang w:eastAsia="en-US"/>
              </w:rPr>
              <w:t xml:space="preserve"> ΔT</w:t>
            </w:r>
          </w:p>
          <w:p w:rsidR="00E20E47" w:rsidRPr="00C90AC9" w:rsidRDefault="00E20E47" w:rsidP="00B06779">
            <w:pPr>
              <w:rPr>
                <w:rFonts w:eastAsiaTheme="minorHAnsi"/>
                <w:lang w:eastAsia="en-US"/>
              </w:rPr>
            </w:pPr>
            <w:r w:rsidRPr="00C90AC9">
              <w:rPr>
                <w:rFonts w:eastAsiaTheme="minorHAnsi"/>
                <w:lang w:eastAsia="en-US"/>
              </w:rPr>
              <w:t>Where:</w:t>
            </w:r>
            <w:r w:rsidRPr="00C90AC9">
              <w:rPr>
                <w:rFonts w:eastAsiaTheme="minorHAnsi"/>
                <w:lang w:eastAsia="en-US"/>
              </w:rPr>
              <w:br/>
            </w:r>
            <w:proofErr w:type="spellStart"/>
            <w:r w:rsidRPr="00C90AC9">
              <w:rPr>
                <w:rFonts w:eastAsiaTheme="minorHAnsi"/>
                <w:lang w:eastAsia="en-US"/>
              </w:rPr>
              <w:t>dQ</w:t>
            </w:r>
            <w:proofErr w:type="spellEnd"/>
            <w:r w:rsidRPr="00C90AC9">
              <w:rPr>
                <w:rFonts w:eastAsiaTheme="minorHAnsi"/>
                <w:lang w:eastAsia="en-US"/>
              </w:rPr>
              <w:t xml:space="preserve"> - Flow of heat between slices</w:t>
            </w:r>
            <w:r w:rsidRPr="00C90AC9">
              <w:rPr>
                <w:rFonts w:eastAsiaTheme="minorHAnsi"/>
                <w:lang w:eastAsia="en-US"/>
              </w:rPr>
              <w:br/>
              <w:t>U</w:t>
            </w:r>
            <w:r w:rsidRPr="00C90AC9">
              <w:rPr>
                <w:rFonts w:eastAsiaTheme="minorHAnsi"/>
                <w:vertAlign w:val="subscript"/>
                <w:lang w:eastAsia="en-US"/>
              </w:rPr>
              <w:t xml:space="preserve">WCW </w:t>
            </w:r>
            <w:r w:rsidRPr="00C90AC9">
              <w:rPr>
                <w:rFonts w:eastAsiaTheme="minorHAnsi"/>
                <w:lang w:eastAsia="en-US"/>
              </w:rPr>
              <w:t xml:space="preserve">- U Value (water – copper – water) - </w:t>
            </w:r>
            <w:proofErr w:type="gramStart"/>
            <w:r w:rsidRPr="00C90AC9">
              <w:rPr>
                <w:rFonts w:eastAsiaTheme="minorHAnsi"/>
                <w:lang w:eastAsia="en-US"/>
              </w:rPr>
              <w:t>400  (</w:t>
            </w:r>
            <w:proofErr w:type="gramEnd"/>
            <w:r w:rsidRPr="00C90AC9">
              <w:rPr>
                <w:rFonts w:eastAsiaTheme="minorHAnsi"/>
                <w:lang w:eastAsia="en-US"/>
              </w:rPr>
              <w:t>W/m</w:t>
            </w:r>
            <w:r w:rsidRPr="00C90AC9">
              <w:rPr>
                <w:rFonts w:eastAsiaTheme="minorHAnsi"/>
                <w:vertAlign w:val="superscript"/>
                <w:lang w:eastAsia="en-US"/>
              </w:rPr>
              <w:t>2</w:t>
            </w:r>
            <w:r w:rsidRPr="00C90AC9">
              <w:rPr>
                <w:rFonts w:eastAsiaTheme="minorHAnsi"/>
                <w:lang w:eastAsia="en-US"/>
              </w:rPr>
              <w:t>C)</w:t>
            </w:r>
            <w:r w:rsidRPr="00C90AC9">
              <w:rPr>
                <w:rFonts w:eastAsiaTheme="minorHAnsi"/>
                <w:lang w:eastAsia="en-US"/>
              </w:rPr>
              <w:br/>
              <w:t>A</w:t>
            </w:r>
            <w:r w:rsidRPr="00C90AC9">
              <w:rPr>
                <w:rFonts w:eastAsiaTheme="minorHAnsi"/>
                <w:vertAlign w:val="subscript"/>
                <w:lang w:eastAsia="en-US"/>
              </w:rPr>
              <w:t>COIL</w:t>
            </w:r>
            <w:r w:rsidRPr="00C90AC9">
              <w:rPr>
                <w:rFonts w:eastAsiaTheme="minorHAnsi"/>
                <w:lang w:eastAsia="en-US"/>
              </w:rPr>
              <w:t xml:space="preserve"> - Area of coil (m</w:t>
            </w:r>
            <w:r w:rsidRPr="00C90AC9">
              <w:rPr>
                <w:rFonts w:eastAsiaTheme="minorHAnsi"/>
                <w:vertAlign w:val="superscript"/>
                <w:lang w:eastAsia="en-US"/>
              </w:rPr>
              <w:t>2</w:t>
            </w:r>
            <w:r w:rsidRPr="00C90AC9">
              <w:rPr>
                <w:rFonts w:eastAsiaTheme="minorHAnsi"/>
                <w:lang w:eastAsia="en-US"/>
              </w:rPr>
              <w:t>)</w:t>
            </w:r>
            <w:r w:rsidRPr="00C90AC9">
              <w:rPr>
                <w:rFonts w:eastAsiaTheme="minorHAnsi"/>
                <w:lang w:eastAsia="en-US"/>
              </w:rPr>
              <w:br/>
              <w:t>ΔT - Difference in temperature between “slices” (°C)</w:t>
            </w:r>
          </w:p>
          <w:p w:rsidR="00481AED" w:rsidRPr="00C90AC9" w:rsidRDefault="00481AED" w:rsidP="00B06779">
            <w:pPr>
              <w:rPr>
                <w:rFonts w:eastAsiaTheme="minorHAnsi"/>
                <w:lang w:eastAsia="en-US"/>
              </w:rPr>
            </w:pPr>
          </w:p>
          <w:p w:rsidR="00481AED" w:rsidRPr="00C90AC9" w:rsidRDefault="00481AED" w:rsidP="00B06779">
            <w:pPr>
              <w:rPr>
                <w:rFonts w:eastAsiaTheme="minorHAnsi"/>
                <w:lang w:eastAsia="en-US"/>
              </w:rPr>
            </w:pPr>
          </w:p>
        </w:tc>
        <w:tc>
          <w:tcPr>
            <w:tcW w:w="8613" w:type="dxa"/>
            <w:vAlign w:val="center"/>
          </w:tcPr>
          <w:p w:rsidR="00E20E47" w:rsidRPr="00C90AC9" w:rsidRDefault="00E20E47" w:rsidP="0063274C">
            <w:pPr>
              <w:rPr>
                <w:rFonts w:eastAsiaTheme="minorHAnsi"/>
                <w:lang w:eastAsia="en-US"/>
              </w:rPr>
            </w:pPr>
            <w:r w:rsidRPr="00C90AC9">
              <w:rPr>
                <w:rFonts w:eastAsiaTheme="minorHAnsi"/>
                <w:lang w:eastAsia="en-US"/>
              </w:rPr>
              <w:t>(23)</w:t>
            </w:r>
          </w:p>
        </w:tc>
      </w:tr>
    </w:tbl>
    <w:p w:rsidR="00A16B8C" w:rsidRPr="00C90AC9" w:rsidRDefault="00A16B8C" w:rsidP="00CA6E35">
      <w:pPr>
        <w:pStyle w:val="List"/>
        <w:numPr>
          <w:ilvl w:val="1"/>
          <w:numId w:val="3"/>
        </w:numPr>
        <w:ind w:left="0" w:firstLine="0"/>
        <w:jc w:val="left"/>
        <w:rPr>
          <w:rStyle w:val="SubtleEmphasis"/>
          <w:rFonts w:cs="Times New Roman"/>
          <w:iCs/>
          <w:szCs w:val="24"/>
        </w:rPr>
      </w:pPr>
      <w:bookmarkStart w:id="50" w:name="_Toc447173068"/>
      <w:r w:rsidRPr="00C90AC9">
        <w:rPr>
          <w:rStyle w:val="SubtleEmphasis"/>
          <w:rFonts w:cs="Times New Roman"/>
          <w:iCs/>
          <w:szCs w:val="24"/>
        </w:rPr>
        <w:t>Conduction in the tank between slices</w:t>
      </w:r>
      <w:bookmarkEnd w:id="50"/>
    </w:p>
    <w:p w:rsidR="00A16B8C" w:rsidRPr="00C90AC9" w:rsidRDefault="0074402A" w:rsidP="000E6BD1">
      <w:pPr>
        <w:pStyle w:val="ListContinue"/>
        <w:tabs>
          <w:tab w:val="left" w:pos="0"/>
        </w:tabs>
        <w:spacing w:line="360" w:lineRule="auto"/>
        <w:ind w:left="0"/>
        <w:rPr>
          <w:rFonts w:eastAsiaTheme="minorHAnsi"/>
          <w:lang w:eastAsia="en-US"/>
        </w:rPr>
      </w:pPr>
      <w:r w:rsidRPr="00C90AC9">
        <w:rPr>
          <w:rFonts w:eastAsiaTheme="minorHAnsi"/>
          <w:noProof/>
        </w:rPr>
        <mc:AlternateContent>
          <mc:Choice Requires="wps">
            <w:drawing>
              <wp:anchor distT="0" distB="0" distL="114300" distR="114300" simplePos="0" relativeHeight="251836416" behindDoc="0" locked="0" layoutInCell="1" allowOverlap="1" wp14:anchorId="3CA4C5A1" wp14:editId="183E8ACE">
                <wp:simplePos x="0" y="0"/>
                <wp:positionH relativeFrom="column">
                  <wp:posOffset>2085340</wp:posOffset>
                </wp:positionH>
                <wp:positionV relativeFrom="paragraph">
                  <wp:posOffset>1304925</wp:posOffset>
                </wp:positionV>
                <wp:extent cx="1583690" cy="414655"/>
                <wp:effectExtent l="0" t="0" r="16510" b="23495"/>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3690" cy="414655"/>
                        </a:xfrm>
                        <a:prstGeom prst="rect">
                          <a:avLst/>
                        </a:prstGeom>
                        <a:solidFill>
                          <a:srgbClr val="4F81BD">
                            <a:alpha val="30000"/>
                          </a:srgb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D942A7" id="Rectangle 5" o:spid="_x0000_s1026" style="position:absolute;margin-left:164.2pt;margin-top:102.75pt;width:124.7pt;height:32.6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" fillcolor="#4f81bd" strokecolor="#385d8a" strokeweight="1pt">
                <v:fill opacity="19789f"/>
                <v:path arrowok="t"/>
              </v:rect>
            </w:pict>
          </mc:Fallback>
        </mc:AlternateContent>
      </w:r>
      <w:r w:rsidR="00A16B8C" w:rsidRPr="00C90AC9">
        <w:rPr>
          <w:rFonts w:eastAsiaTheme="minorHAnsi"/>
          <w:lang w:eastAsia="en-US"/>
        </w:rPr>
        <w:t>As well as there being conduction from the heating coil to the water within the tank, there is also conduction from a warmer “slice” of water in the tank to an adjacent slice of water that is at a lower temperature. The conduction occurs over the surface area of the slice and so in a similar manner to Eq. (21) the conduction is given by:</w:t>
      </w:r>
      <w:r w:rsidR="00A16B8C" w:rsidRPr="00C90AC9">
        <w:rPr>
          <w:rFonts w:eastAsiaTheme="minorHAnsi"/>
        </w:rPr>
        <w:t xml:space="preserve"> </w:t>
      </w:r>
      <w:r w:rsidR="00A16B8C" w:rsidRPr="00C90AC9">
        <w:rPr>
          <w:rFonts w:eastAsiaTheme="minorHAnsi"/>
        </w:rPr>
        <w:tab/>
      </w:r>
      <w:r w:rsidR="00A16B8C" w:rsidRPr="00C90AC9">
        <w:rPr>
          <w:rFonts w:eastAsiaTheme="minorHAnsi"/>
        </w:rPr>
        <w:br/>
      </w:r>
    </w:p>
    <w:tbl>
      <w:tblPr>
        <w:tblStyle w:val="TableGrid3"/>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
        <w:gridCol w:w="8083"/>
        <w:gridCol w:w="672"/>
      </w:tblGrid>
      <w:tr w:rsidR="00A16B8C" w:rsidRPr="00C90AC9" w:rsidTr="008C4189">
        <w:tc>
          <w:tcPr>
            <w:tcW w:w="530" w:type="dxa"/>
          </w:tcPr>
          <w:p w:rsidR="00A16B8C" w:rsidRPr="00C90AC9" w:rsidRDefault="00A16B8C" w:rsidP="00B06779">
            <w:pPr>
              <w:rPr>
                <w:rFonts w:eastAsiaTheme="minorHAnsi"/>
                <w:lang w:eastAsia="en-US"/>
              </w:rPr>
            </w:pPr>
          </w:p>
        </w:tc>
        <w:tc>
          <w:tcPr>
            <w:tcW w:w="8083" w:type="dxa"/>
          </w:tcPr>
          <w:p w:rsidR="00A16B8C" w:rsidRPr="00C90AC9" w:rsidRDefault="006F0C85" w:rsidP="007C2EBF">
            <w:pPr>
              <w:jc w:val="center"/>
              <w:rPr>
                <w:rFonts w:eastAsiaTheme="minorHAnsi"/>
                <w:lang w:eastAsia="en-US"/>
              </w:rPr>
            </w:pPr>
            <m:oMath>
              <m:acc>
                <m:accPr>
                  <m:chr m:val="̇"/>
                  <m:ctrlPr>
                    <w:rPr>
                      <w:rFonts w:ascii="Cambria Math" w:eastAsiaTheme="minorHAnsi" w:hAnsi="Cambria Math"/>
                      <w:i/>
                      <w:lang w:eastAsia="en-US"/>
                    </w:rPr>
                  </m:ctrlPr>
                </m:accPr>
                <m:e>
                  <m:r>
                    <w:rPr>
                      <w:rFonts w:ascii="Cambria Math" w:eastAsiaTheme="minorHAnsi" w:hAnsi="Cambria Math"/>
                      <w:lang w:eastAsia="en-US"/>
                    </w:rPr>
                    <m:t>Q</m:t>
                  </m:r>
                </m:e>
              </m:acc>
            </m:oMath>
            <w:r w:rsidR="00A16B8C" w:rsidRPr="00C90AC9">
              <w:rPr>
                <w:rFonts w:eastAsiaTheme="minorHAnsi"/>
                <w:lang w:eastAsia="en-US"/>
              </w:rPr>
              <w:t xml:space="preserve"> = U x </w:t>
            </w:r>
            <w:proofErr w:type="spellStart"/>
            <w:r w:rsidR="00A16B8C" w:rsidRPr="00C90AC9">
              <w:rPr>
                <w:rFonts w:eastAsiaTheme="minorHAnsi"/>
                <w:lang w:eastAsia="en-US"/>
              </w:rPr>
              <w:t>At</w:t>
            </w:r>
            <w:r w:rsidR="00A16B8C" w:rsidRPr="00C90AC9">
              <w:rPr>
                <w:rFonts w:eastAsiaTheme="minorHAnsi"/>
                <w:vertAlign w:val="subscript"/>
                <w:lang w:eastAsia="en-US"/>
              </w:rPr>
              <w:t>ank</w:t>
            </w:r>
            <w:proofErr w:type="spellEnd"/>
            <w:r w:rsidR="00A16B8C" w:rsidRPr="00C90AC9">
              <w:rPr>
                <w:rFonts w:eastAsiaTheme="minorHAnsi"/>
                <w:lang w:eastAsia="en-US"/>
              </w:rPr>
              <w:t xml:space="preserve"> x ΔT</w:t>
            </w:r>
          </w:p>
        </w:tc>
        <w:tc>
          <w:tcPr>
            <w:tcW w:w="672" w:type="dxa"/>
            <w:vAlign w:val="center"/>
          </w:tcPr>
          <w:p w:rsidR="00A16B8C" w:rsidRPr="00C90AC9" w:rsidRDefault="00A16B8C" w:rsidP="00B06779">
            <w:pPr>
              <w:rPr>
                <w:rFonts w:eastAsiaTheme="minorHAnsi"/>
                <w:lang w:eastAsia="en-US"/>
              </w:rPr>
            </w:pPr>
            <w:r w:rsidRPr="00C90AC9">
              <w:rPr>
                <w:rFonts w:eastAsiaTheme="minorHAnsi"/>
                <w:lang w:eastAsia="en-US"/>
              </w:rPr>
              <w:t>(24)</w:t>
            </w:r>
          </w:p>
        </w:tc>
      </w:tr>
    </w:tbl>
    <w:p w:rsidR="00A16B8C" w:rsidRPr="00C90AC9" w:rsidRDefault="00A16B8C" w:rsidP="00B06779">
      <w:pPr>
        <w:pStyle w:val="BodyText"/>
        <w:rPr>
          <w:rFonts w:eastAsiaTheme="minorHAnsi"/>
        </w:rPr>
      </w:pPr>
      <w:r w:rsidRPr="00C90AC9">
        <w:rPr>
          <w:rFonts w:eastAsiaTheme="minorHAnsi"/>
          <w:lang w:eastAsia="en-US"/>
        </w:rPr>
        <w:t>Where:</w:t>
      </w:r>
      <w:r w:rsidRPr="00C90AC9">
        <w:rPr>
          <w:rFonts w:eastAsiaTheme="minorHAnsi"/>
          <w:lang w:eastAsia="en-US"/>
        </w:rPr>
        <w:br/>
      </w:r>
      <m:oMath>
        <m:acc>
          <m:accPr>
            <m:chr m:val="̇"/>
            <m:ctrlPr>
              <w:rPr>
                <w:rFonts w:ascii="Cambria Math" w:eastAsiaTheme="minorHAnsi" w:hAnsi="Cambria Math"/>
                <w:i/>
                <w:lang w:eastAsia="en-US"/>
              </w:rPr>
            </m:ctrlPr>
          </m:accPr>
          <m:e>
            <m:r>
              <w:rPr>
                <w:rFonts w:ascii="Cambria Math" w:eastAsiaTheme="minorHAnsi" w:hAnsi="Cambria Math"/>
                <w:lang w:eastAsia="en-US"/>
              </w:rPr>
              <m:t>Q</m:t>
            </m:r>
          </m:e>
        </m:acc>
      </m:oMath>
      <w:r w:rsidRPr="00C90AC9">
        <w:rPr>
          <w:lang w:eastAsia="en-US"/>
        </w:rPr>
        <w:t xml:space="preserve"> </w:t>
      </w:r>
      <w:r w:rsidRPr="00C90AC9">
        <w:rPr>
          <w:rFonts w:eastAsiaTheme="minorHAnsi"/>
          <w:lang w:eastAsia="en-US"/>
        </w:rPr>
        <w:t>- Heat transfer rate (W)</w:t>
      </w:r>
      <w:r w:rsidRPr="00C90AC9">
        <w:rPr>
          <w:rFonts w:eastAsiaTheme="minorHAnsi"/>
          <w:lang w:eastAsia="en-US"/>
        </w:rPr>
        <w:tab/>
      </w:r>
      <w:r w:rsidRPr="00C90AC9">
        <w:rPr>
          <w:rFonts w:eastAsiaTheme="minorHAnsi"/>
          <w:lang w:eastAsia="en-US"/>
        </w:rPr>
        <w:br/>
      </w:r>
      <w:proofErr w:type="spellStart"/>
      <w:r w:rsidRPr="00C90AC9">
        <w:rPr>
          <w:rFonts w:eastAsiaTheme="minorHAnsi"/>
          <w:lang w:eastAsia="en-US"/>
        </w:rPr>
        <w:t>At</w:t>
      </w:r>
      <w:r w:rsidRPr="00C90AC9">
        <w:rPr>
          <w:rFonts w:eastAsiaTheme="minorHAnsi"/>
          <w:vertAlign w:val="subscript"/>
          <w:lang w:eastAsia="en-US"/>
        </w:rPr>
        <w:t>ank</w:t>
      </w:r>
      <w:proofErr w:type="spellEnd"/>
      <w:r w:rsidRPr="00C90AC9">
        <w:rPr>
          <w:rFonts w:eastAsiaTheme="minorHAnsi"/>
          <w:vertAlign w:val="subscript"/>
          <w:lang w:eastAsia="en-US"/>
        </w:rPr>
        <w:t xml:space="preserve"> </w:t>
      </w:r>
      <w:r w:rsidRPr="00C90AC9">
        <w:rPr>
          <w:rFonts w:eastAsiaTheme="minorHAnsi"/>
          <w:lang w:eastAsia="en-US"/>
        </w:rPr>
        <w:t>- Area of tank (m)</w:t>
      </w:r>
      <w:r w:rsidRPr="00C90AC9">
        <w:rPr>
          <w:rFonts w:eastAsiaTheme="minorHAnsi"/>
          <w:lang w:eastAsia="en-US"/>
        </w:rPr>
        <w:tab/>
      </w:r>
      <w:r w:rsidRPr="00C90AC9">
        <w:rPr>
          <w:rFonts w:eastAsiaTheme="minorHAnsi"/>
          <w:lang w:eastAsia="en-US"/>
        </w:rPr>
        <w:br/>
        <w:t>U</w:t>
      </w:r>
      <w:r w:rsidRPr="00C90AC9">
        <w:rPr>
          <w:rFonts w:eastAsiaTheme="minorHAnsi"/>
          <w:vertAlign w:val="subscript"/>
          <w:lang w:eastAsia="en-US"/>
        </w:rPr>
        <w:t xml:space="preserve">WAT-WAT </w:t>
      </w:r>
      <w:r w:rsidRPr="00C90AC9">
        <w:rPr>
          <w:rFonts w:eastAsiaTheme="minorHAnsi"/>
          <w:lang w:eastAsia="en-US"/>
        </w:rPr>
        <w:t>- U VALUE (Water – Water) – 800 (W/m</w:t>
      </w:r>
      <w:r w:rsidRPr="00C90AC9">
        <w:rPr>
          <w:rFonts w:eastAsiaTheme="minorHAnsi"/>
          <w:vertAlign w:val="superscript"/>
          <w:lang w:eastAsia="en-US"/>
        </w:rPr>
        <w:t>2</w:t>
      </w:r>
      <w:r w:rsidRPr="00C90AC9">
        <w:rPr>
          <w:rFonts w:eastAsiaTheme="minorHAnsi"/>
          <w:lang w:eastAsia="en-US"/>
        </w:rPr>
        <w:t>C)</w:t>
      </w:r>
      <w:r w:rsidRPr="00C90AC9">
        <w:rPr>
          <w:rFonts w:eastAsiaTheme="minorHAnsi"/>
        </w:rPr>
        <w:t xml:space="preserve"> </w:t>
      </w:r>
      <w:r w:rsidRPr="00C90AC9">
        <w:rPr>
          <w:rFonts w:eastAsiaTheme="minorHAnsi"/>
        </w:rPr>
        <w:tab/>
      </w:r>
      <w:r w:rsidRPr="00C90AC9">
        <w:rPr>
          <w:rFonts w:eastAsiaTheme="minorHAnsi"/>
        </w:rPr>
        <w:br/>
        <w:t>∆T - Difference in temperature between the two slices (°C)</w:t>
      </w:r>
    </w:p>
    <w:p w:rsidR="000E6BD1" w:rsidRPr="00C90AC9" w:rsidRDefault="000E6BD1" w:rsidP="00B06779">
      <w:pPr>
        <w:pStyle w:val="BodyText"/>
        <w:rPr>
          <w:rFonts w:eastAsiaTheme="minorHAnsi"/>
        </w:rPr>
      </w:pPr>
    </w:p>
    <w:p w:rsidR="00A16B8C" w:rsidRPr="00C90AC9" w:rsidRDefault="00A83B59" w:rsidP="007C2EBF">
      <w:pPr>
        <w:pStyle w:val="Heading1"/>
        <w:numPr>
          <w:ilvl w:val="0"/>
          <w:numId w:val="0"/>
        </w:numPr>
        <w:rPr>
          <w:rFonts w:eastAsiaTheme="minorHAnsi"/>
          <w:sz w:val="24"/>
          <w:lang w:eastAsia="en-US"/>
        </w:rPr>
      </w:pPr>
      <w:r w:rsidRPr="00C90AC9">
        <w:rPr>
          <w:rFonts w:eastAsiaTheme="minorHAnsi"/>
          <w:sz w:val="24"/>
          <w:lang w:eastAsia="en-US"/>
        </w:rPr>
        <w:t>Figure 3.6. C</w:t>
      </w:r>
      <w:r w:rsidR="00A16B8C" w:rsidRPr="00C90AC9">
        <w:rPr>
          <w:rFonts w:eastAsiaTheme="minorHAnsi"/>
          <w:sz w:val="24"/>
          <w:lang w:eastAsia="en-US"/>
        </w:rPr>
        <w:t>onduction from warmer slices to cooler slices of water within the tank</w:t>
      </w:r>
    </w:p>
    <w:p w:rsidR="00A16B8C" w:rsidRPr="00C90AC9" w:rsidRDefault="00AF68CD"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1823104" behindDoc="0" locked="0" layoutInCell="1" allowOverlap="1" wp14:anchorId="34A2CCD6" wp14:editId="6498FBAA">
                <wp:simplePos x="0" y="0"/>
                <wp:positionH relativeFrom="column">
                  <wp:posOffset>744279</wp:posOffset>
                </wp:positionH>
                <wp:positionV relativeFrom="paragraph">
                  <wp:posOffset>223372</wp:posOffset>
                </wp:positionV>
                <wp:extent cx="627321" cy="318770"/>
                <wp:effectExtent l="0" t="19050" r="40005" b="43180"/>
                <wp:wrapNone/>
                <wp:docPr id="398" name="Right Arrow 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7321" cy="318770"/>
                        </a:xfrm>
                        <a:prstGeom prst="rightArrow">
                          <a:avLst/>
                        </a:prstGeom>
                        <a:solidFill>
                          <a:srgbClr val="F41867"/>
                        </a:solid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EB2F9" id="Right Arrow 398" o:spid="_x0000_s1026" type="#_x0000_t13" style="position:absolute;margin-left:58.6pt;margin-top:17.6pt;width:49.4pt;height:25.1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" adj="16112" fillcolor="#f41867" strokecolor="red" strokeweight="1.5pt">
                <v:path arrowok="t"/>
              </v:shape>
            </w:pict>
          </mc:Fallback>
        </mc:AlternateContent>
      </w:r>
      <w:r w:rsidR="007803E1" w:rsidRPr="00C90AC9">
        <w:rPr>
          <w:rFonts w:eastAsiaTheme="minorHAnsi"/>
          <w:noProof/>
        </w:rPr>
        <mc:AlternateContent>
          <mc:Choice Requires="wps">
            <w:drawing>
              <wp:anchor distT="0" distB="0" distL="114300" distR="114300" simplePos="0" relativeHeight="251798528" behindDoc="0" locked="0" layoutInCell="1" allowOverlap="1" wp14:anchorId="5C9860DB" wp14:editId="5CC88746">
                <wp:simplePos x="0" y="0"/>
                <wp:positionH relativeFrom="column">
                  <wp:posOffset>3810000</wp:posOffset>
                </wp:positionH>
                <wp:positionV relativeFrom="paragraph">
                  <wp:posOffset>237489</wp:posOffset>
                </wp:positionV>
                <wp:extent cx="446405" cy="1971675"/>
                <wp:effectExtent l="19050" t="0" r="10795" b="47625"/>
                <wp:wrapNone/>
                <wp:docPr id="402" name="Down Arrow 4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6405" cy="1971675"/>
                        </a:xfrm>
                        <a:prstGeom prst="downArrow">
                          <a:avLst/>
                        </a:prstGeom>
                        <a:gradFill flip="none" rotWithShape="1">
                          <a:gsLst>
                            <a:gs pos="4000">
                              <a:srgbClr val="4F81BD">
                                <a:tint val="66000"/>
                                <a:satMod val="160000"/>
                              </a:srgbClr>
                            </a:gs>
                            <a:gs pos="100000">
                              <a:srgbClr val="F41867"/>
                            </a:gs>
                            <a:gs pos="48000">
                              <a:srgbClr val="1F497D">
                                <a:lumMod val="40000"/>
                                <a:lumOff val="60000"/>
                              </a:srgbClr>
                            </a:gs>
                          </a:gsLst>
                          <a:lin ang="16200000" scaled="1"/>
                          <a:tileRect/>
                        </a:gradFill>
                        <a:ln w="190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26C42B1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02" o:spid="_x0000_s1026" type="#_x0000_t67" style="position:absolute;margin-left:300pt;margin-top:18.7pt;width:35.15pt;height:155.2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" adj="19155" fillcolor="#9ab5e4" strokecolor="#385d8a" strokeweight="1.5pt">
                <v:fill color2="#f41867" rotate="t" angle="180" colors="0 #9ab5e4;2621f #9ab5e4;31457f #8eb4e3" focus="100%" type="gradient"/>
                <v:path arrowok="t"/>
              </v:shape>
            </w:pict>
          </mc:Fallback>
        </mc:AlternateContent>
      </w:r>
      <w:r w:rsidR="00F96A20" w:rsidRPr="00C90AC9">
        <w:rPr>
          <w:rFonts w:eastAsiaTheme="minorHAnsi"/>
          <w:noProof/>
        </w:rPr>
        <w:drawing>
          <wp:anchor distT="0" distB="0" distL="114300" distR="114300" simplePos="0" relativeHeight="251756544" behindDoc="0" locked="0" layoutInCell="1" allowOverlap="1" wp14:anchorId="0A7FF946" wp14:editId="6A8AAEAB">
            <wp:simplePos x="0" y="0"/>
            <wp:positionH relativeFrom="column">
              <wp:posOffset>638175</wp:posOffset>
            </wp:positionH>
            <wp:positionV relativeFrom="paragraph">
              <wp:posOffset>8890</wp:posOffset>
            </wp:positionV>
            <wp:extent cx="3308350" cy="2635885"/>
            <wp:effectExtent l="0" t="0" r="6350" b="0"/>
            <wp:wrapSquare wrapText="bothSides"/>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08350" cy="2635885"/>
                    </a:xfrm>
                    <a:prstGeom prst="rect">
                      <a:avLst/>
                    </a:prstGeom>
                    <a:noFill/>
                    <a:ln>
                      <a:noFill/>
                    </a:ln>
                  </pic:spPr>
                </pic:pic>
              </a:graphicData>
            </a:graphic>
            <wp14:sizeRelH relativeFrom="margin">
              <wp14:pctWidth>0</wp14:pctWidth>
            </wp14:sizeRelH>
          </wp:anchor>
        </w:drawing>
      </w:r>
      <w:r w:rsidR="00F96A20" w:rsidRPr="00C90AC9">
        <w:rPr>
          <w:rFonts w:eastAsiaTheme="minorHAnsi"/>
          <w:noProof/>
        </w:rPr>
        <mc:AlternateContent>
          <mc:Choice Requires="wps">
            <w:drawing>
              <wp:anchor distT="0" distB="0" distL="114300" distR="114300" simplePos="0" relativeHeight="251819008" behindDoc="0" locked="0" layoutInCell="1" allowOverlap="1" wp14:anchorId="5BFBA55D" wp14:editId="6003BD3F">
                <wp:simplePos x="0" y="0"/>
                <wp:positionH relativeFrom="margin">
                  <wp:align>right</wp:align>
                </wp:positionH>
                <wp:positionV relativeFrom="paragraph">
                  <wp:posOffset>17145</wp:posOffset>
                </wp:positionV>
                <wp:extent cx="5709285" cy="2605405"/>
                <wp:effectExtent l="0" t="0" r="24765" b="23495"/>
                <wp:wrapNone/>
                <wp:docPr id="399" name="Rectangle 3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9285" cy="2605405"/>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44F73" id="Rectangle 399" o:spid="_x0000_s1026" style="position:absolute;margin-left:398.35pt;margin-top:1.35pt;width:449.55pt;height:205.15pt;z-index:251819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" filled="f" strokecolor="windowText" strokeweight="1pt">
                <v:path arrowok="t"/>
                <w10:wrap anchorx="margin"/>
              </v:rect>
            </w:pict>
          </mc:Fallback>
        </mc:AlternateContent>
      </w:r>
      <w:r w:rsidR="00F96A20" w:rsidRPr="00C90AC9">
        <w:rPr>
          <w:rFonts w:eastAsiaTheme="minorHAnsi"/>
          <w:noProof/>
        </w:rPr>
        <mc:AlternateContent>
          <mc:Choice Requires="wps">
            <w:drawing>
              <wp:anchor distT="0" distB="0" distL="114300" distR="114300" simplePos="0" relativeHeight="251997184" behindDoc="1" locked="0" layoutInCell="1" allowOverlap="1" wp14:anchorId="5B6562D2" wp14:editId="5B8CF6B1">
                <wp:simplePos x="0" y="0"/>
                <wp:positionH relativeFrom="column">
                  <wp:posOffset>1122045</wp:posOffset>
                </wp:positionH>
                <wp:positionV relativeFrom="paragraph">
                  <wp:posOffset>237490</wp:posOffset>
                </wp:positionV>
                <wp:extent cx="2275205" cy="2209800"/>
                <wp:effectExtent l="19050" t="19050" r="29845" b="38100"/>
                <wp:wrapNone/>
                <wp:docPr id="401" name="Rectangle 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75205" cy="2209800"/>
                        </a:xfrm>
                        <a:prstGeom prst="rect">
                          <a:avLst/>
                        </a:prstGeom>
                        <a:gradFill flip="none" rotWithShape="1">
                          <a:gsLst>
                            <a:gs pos="7000">
                              <a:srgbClr val="9682B0"/>
                            </a:gs>
                            <a:gs pos="100000">
                              <a:srgbClr val="1F497D">
                                <a:lumMod val="40000"/>
                                <a:lumOff val="60000"/>
                              </a:srgbClr>
                            </a:gs>
                            <a:gs pos="60000">
                              <a:srgbClr val="1F497D">
                                <a:lumMod val="40000"/>
                                <a:lumOff val="60000"/>
                              </a:srgbClr>
                            </a:gs>
                          </a:gsLst>
                          <a:lin ang="5400000" scaled="1"/>
                          <a:tileRect/>
                        </a:gradFill>
                        <a:ln w="47625" cap="flat" cmpd="sng" algn="ctr">
                          <a:solidFill>
                            <a:sysClr val="windowText" lastClr="000000"/>
                          </a:solidFill>
                          <a:prstDash val="solid"/>
                        </a:ln>
                        <a:effectLst/>
                      </wps:spPr>
                      <wps:txbx>
                        <w:txbxContent>
                          <w:p w:rsidR="00521573" w:rsidRDefault="00521573" w:rsidP="00F96A2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562D2" id="Rectangle 401" o:spid="_x0000_s1071" style="position:absolute;left:0;text-align:left;margin-left:88.35pt;margin-top:18.7pt;width:179.15pt;height:174pt;z-index:-25131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" fillcolor="#9682b0" strokecolor="windowText" strokeweight="3.75pt">
                <v:fill color2="#8eb4e3" rotate="t" colors="0 #9682b0;4588f #9682b0;39322f #8eb4e3" focus="100%" type="gradient"/>
                <v:path arrowok="t"/>
                <v:textbox>
                  <w:txbxContent>
                    <w:p w:rsidR="00521573" w:rsidRDefault="00521573" w:rsidP="00F96A20">
                      <w:pPr>
                        <w:jc w:val="center"/>
                      </w:pPr>
                    </w:p>
                  </w:txbxContent>
                </v:textbox>
              </v:rect>
            </w:pict>
          </mc:Fallback>
        </mc:AlternateContent>
      </w:r>
      <w:r w:rsidR="0093376F" w:rsidRPr="00C90AC9">
        <w:rPr>
          <w:rFonts w:eastAsiaTheme="minorHAnsi"/>
          <w:noProof/>
        </w:rPr>
        <mc:AlternateContent>
          <mc:Choice Requires="wps">
            <w:drawing>
              <wp:anchor distT="0" distB="0" distL="114300" distR="114300" simplePos="0" relativeHeight="251799552" behindDoc="0" locked="0" layoutInCell="1" allowOverlap="1" wp14:anchorId="325FC818" wp14:editId="1F8C1098">
                <wp:simplePos x="0" y="0"/>
                <wp:positionH relativeFrom="column">
                  <wp:posOffset>4455042</wp:posOffset>
                </wp:positionH>
                <wp:positionV relativeFrom="paragraph">
                  <wp:posOffset>164332</wp:posOffset>
                </wp:positionV>
                <wp:extent cx="1200844" cy="1541352"/>
                <wp:effectExtent l="0" t="0" r="18415" b="20955"/>
                <wp:wrapNone/>
                <wp:docPr id="4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844" cy="1541352"/>
                        </a:xfrm>
                        <a:prstGeom prst="rect">
                          <a:avLst/>
                        </a:prstGeom>
                        <a:solidFill>
                          <a:srgbClr val="FFFFFF"/>
                        </a:solidFill>
                        <a:ln w="9525">
                          <a:solidFill>
                            <a:srgbClr val="000000"/>
                          </a:solidFill>
                          <a:miter lim="800000"/>
                          <a:headEnd/>
                          <a:tailEnd/>
                        </a:ln>
                      </wps:spPr>
                      <wps:txbx>
                        <w:txbxContent>
                          <w:p w:rsidR="00521573" w:rsidRPr="00E3258F" w:rsidRDefault="00521573" w:rsidP="0093376F">
                            <w:pPr>
                              <w:jc w:val="center"/>
                            </w:pPr>
                            <w:r w:rsidRPr="00E3258F">
                              <w:t>Direction of conduction from a “slice” of hotter water to a “slice” of water at a lower temperature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FC818" id="_x0000_s1072" type="#_x0000_t202" style="position:absolute;left:0;text-align:left;margin-left:350.8pt;margin-top:12.95pt;width:94.55pt;height:121.3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">
                <v:textbox>
                  <w:txbxContent>
                    <w:p w:rsidR="00521573" w:rsidRPr="00E3258F" w:rsidRDefault="00521573" w:rsidP="0093376F">
                      <w:pPr>
                        <w:jc w:val="center"/>
                      </w:pPr>
                      <w:r w:rsidRPr="00E3258F">
                        <w:t>Direction of conduction from a “slice” of hotter water to a “slice” of water at a lower temperature</w:t>
                      </w:r>
                    </w:p>
                  </w:txbxContent>
                </v:textbox>
              </v:shape>
            </w:pict>
          </mc:Fallback>
        </mc:AlternateContent>
      </w:r>
    </w:p>
    <w:p w:rsidR="00A16B8C" w:rsidRPr="00C90AC9" w:rsidRDefault="00F96A20"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1923456" behindDoc="0" locked="0" layoutInCell="1" allowOverlap="1" wp14:anchorId="655BD7D2" wp14:editId="0F737D3E">
                <wp:simplePos x="0" y="0"/>
                <wp:positionH relativeFrom="column">
                  <wp:posOffset>609600</wp:posOffset>
                </wp:positionH>
                <wp:positionV relativeFrom="paragraph">
                  <wp:posOffset>101600</wp:posOffset>
                </wp:positionV>
                <wp:extent cx="295275" cy="114300"/>
                <wp:effectExtent l="0" t="0" r="28575" b="19050"/>
                <wp:wrapNone/>
                <wp:docPr id="403" name="Straight Connector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5275" cy="11430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26BB1D4" id="Straight Connector 403" o:spid="_x0000_s1026" style="position:absolute;flip:y;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pt,8pt" to="71.2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" strokecolor="windowText" strokeweight="1.5pt">
                <o:lock v:ext="edit" shapetype="f"/>
              </v:line>
            </w:pict>
          </mc:Fallback>
        </mc:AlternateContent>
      </w:r>
      <w:r w:rsidRPr="00C90AC9">
        <w:rPr>
          <w:rFonts w:eastAsiaTheme="minorHAnsi"/>
          <w:noProof/>
        </w:rPr>
        <mc:AlternateContent>
          <mc:Choice Requires="wps">
            <w:drawing>
              <wp:anchor distT="0" distB="0" distL="114300" distR="114300" simplePos="0" relativeHeight="251824128" behindDoc="0" locked="0" layoutInCell="1" allowOverlap="1" wp14:anchorId="13FA80D8" wp14:editId="0C2D8DFA">
                <wp:simplePos x="0" y="0"/>
                <wp:positionH relativeFrom="column">
                  <wp:posOffset>68580</wp:posOffset>
                </wp:positionH>
                <wp:positionV relativeFrom="paragraph">
                  <wp:posOffset>4445</wp:posOffset>
                </wp:positionV>
                <wp:extent cx="638175" cy="902524"/>
                <wp:effectExtent l="0" t="0" r="28575" b="12065"/>
                <wp:wrapNone/>
                <wp:docPr id="4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902524"/>
                        </a:xfrm>
                        <a:prstGeom prst="rect">
                          <a:avLst/>
                        </a:prstGeom>
                        <a:solidFill>
                          <a:srgbClr val="FFFFFF"/>
                        </a:solidFill>
                        <a:ln w="9525">
                          <a:solidFill>
                            <a:srgbClr val="000000"/>
                          </a:solidFill>
                          <a:miter lim="800000"/>
                          <a:headEnd/>
                          <a:tailEnd/>
                        </a:ln>
                      </wps:spPr>
                      <wps:txbx>
                        <w:txbxContent>
                          <w:p w:rsidR="00521573" w:rsidRPr="00E3258F" w:rsidRDefault="00521573" w:rsidP="0093376F">
                            <w:pPr>
                              <w:jc w:val="center"/>
                            </w:pPr>
                            <w:r w:rsidRPr="00E3258F">
                              <w:t>Heated water from STP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FA80D8" id="_x0000_s1073" type="#_x0000_t202" style="position:absolute;left:0;text-align:left;margin-left:5.4pt;margin-top:.35pt;width:50.25pt;height:71.0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">
                <v:textbox>
                  <w:txbxContent>
                    <w:p w:rsidR="00521573" w:rsidRPr="00E3258F" w:rsidRDefault="00521573" w:rsidP="0093376F">
                      <w:pPr>
                        <w:jc w:val="center"/>
                      </w:pPr>
                      <w:r w:rsidRPr="00E3258F">
                        <w:t>Heated water from STP</w:t>
                      </w:r>
                    </w:p>
                  </w:txbxContent>
                </v:textbox>
              </v:shape>
            </w:pict>
          </mc:Fallback>
        </mc:AlternateContent>
      </w:r>
    </w:p>
    <w:p w:rsidR="00A16B8C" w:rsidRPr="00C90AC9" w:rsidRDefault="00A16B8C" w:rsidP="00B06779">
      <w:pPr>
        <w:rPr>
          <w:rFonts w:eastAsiaTheme="minorHAnsi"/>
          <w:lang w:eastAsia="en-US"/>
        </w:rPr>
      </w:pPr>
    </w:p>
    <w:p w:rsidR="00A16B8C" w:rsidRPr="00C90AC9" w:rsidRDefault="0074402A" w:rsidP="00B06779">
      <w:pPr>
        <w:rPr>
          <w:rFonts w:eastAsiaTheme="minorHAnsi"/>
          <w:lang w:eastAsia="en-US"/>
        </w:rPr>
      </w:pPr>
      <w:r w:rsidRPr="00C90AC9">
        <w:rPr>
          <w:rFonts w:eastAsiaTheme="minorHAnsi"/>
          <w:noProof/>
        </w:rPr>
        <mc:AlternateContent>
          <mc:Choice Requires="wps">
            <w:drawing>
              <wp:anchor distT="4294967295" distB="4294967295" distL="114300" distR="114300" simplePos="0" relativeHeight="251825152" behindDoc="0" locked="0" layoutInCell="1" allowOverlap="1" wp14:anchorId="4AAC6971" wp14:editId="5355E1AD">
                <wp:simplePos x="0" y="0"/>
                <wp:positionH relativeFrom="column">
                  <wp:posOffset>4135755</wp:posOffset>
                </wp:positionH>
                <wp:positionV relativeFrom="paragraph">
                  <wp:posOffset>85089</wp:posOffset>
                </wp:positionV>
                <wp:extent cx="318770" cy="0"/>
                <wp:effectExtent l="0" t="0" r="5080" b="0"/>
                <wp:wrapNone/>
                <wp:docPr id="406" name="Straight Connector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18770" cy="0"/>
                        </a:xfrm>
                        <a:prstGeom prst="line">
                          <a:avLst/>
                        </a:prstGeom>
                        <a:noFill/>
                        <a:ln w="1270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55358F4" id="Straight Connector 406" o:spid="_x0000_s1026" style="position:absolute;flip:y;z-index:251825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25.65pt,6.7pt" to="350.7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" strokecolor="windowText" strokeweight="1pt">
                <o:lock v:ext="edit" shapetype="f"/>
              </v:line>
            </w:pict>
          </mc:Fallback>
        </mc:AlternateContent>
      </w:r>
    </w:p>
    <w:p w:rsidR="00A16B8C" w:rsidRPr="00C90AC9" w:rsidRDefault="00A16B8C" w:rsidP="00B06779">
      <w:pPr>
        <w:rPr>
          <w:rFonts w:eastAsiaTheme="minorHAnsi"/>
          <w:lang w:eastAsia="en-US"/>
        </w:rPr>
      </w:pPr>
    </w:p>
    <w:p w:rsidR="00A16B8C" w:rsidRPr="00C90AC9" w:rsidRDefault="0074402A"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1858944" behindDoc="0" locked="0" layoutInCell="1" allowOverlap="1" wp14:anchorId="20BF8A95" wp14:editId="6F343CB5">
                <wp:simplePos x="0" y="0"/>
                <wp:positionH relativeFrom="column">
                  <wp:posOffset>47625</wp:posOffset>
                </wp:positionH>
                <wp:positionV relativeFrom="paragraph">
                  <wp:posOffset>10795</wp:posOffset>
                </wp:positionV>
                <wp:extent cx="819150" cy="666750"/>
                <wp:effectExtent l="0" t="0" r="19050" b="19050"/>
                <wp:wrapNone/>
                <wp:docPr id="4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666750"/>
                        </a:xfrm>
                        <a:prstGeom prst="rect">
                          <a:avLst/>
                        </a:prstGeom>
                        <a:solidFill>
                          <a:sysClr val="window" lastClr="FFFFFF"/>
                        </a:solidFill>
                        <a:ln w="9525">
                          <a:solidFill>
                            <a:srgbClr val="000000"/>
                          </a:solidFill>
                          <a:miter lim="800000"/>
                          <a:headEnd/>
                          <a:tailEnd/>
                        </a:ln>
                      </wps:spPr>
                      <wps:txbx>
                        <w:txbxContent>
                          <w:p w:rsidR="00521573" w:rsidRPr="00E3258F" w:rsidRDefault="00521573" w:rsidP="0093376F">
                            <w:pPr>
                              <w:jc w:val="center"/>
                            </w:pPr>
                            <w:r>
                              <w:t>Perfect insulating material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BF8A95" id="_x0000_s1074" type="#_x0000_t202" style="position:absolute;left:0;text-align:left;margin-left:3.75pt;margin-top:.85pt;width:64.5pt;height:5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" fillcolor="window">
                <v:textbox>
                  <w:txbxContent>
                    <w:p w:rsidR="00521573" w:rsidRPr="00E3258F" w:rsidRDefault="00521573" w:rsidP="0093376F">
                      <w:pPr>
                        <w:jc w:val="center"/>
                      </w:pPr>
                      <w:r>
                        <w:t>Perfect insulating material</w:t>
                      </w:r>
                    </w:p>
                  </w:txbxContent>
                </v:textbox>
              </v:shape>
            </w:pict>
          </mc:Fallback>
        </mc:AlternateContent>
      </w:r>
      <w:r w:rsidRPr="00C90AC9">
        <w:rPr>
          <w:rFonts w:eastAsiaTheme="minorHAnsi"/>
          <w:noProof/>
        </w:rPr>
        <mc:AlternateContent>
          <mc:Choice Requires="wps">
            <w:drawing>
              <wp:anchor distT="0" distB="0" distL="114300" distR="114300" simplePos="0" relativeHeight="251857920" behindDoc="0" locked="0" layoutInCell="1" allowOverlap="1" wp14:anchorId="4209F001" wp14:editId="124920C5">
                <wp:simplePos x="0" y="0"/>
                <wp:positionH relativeFrom="column">
                  <wp:posOffset>742950</wp:posOffset>
                </wp:positionH>
                <wp:positionV relativeFrom="paragraph">
                  <wp:posOffset>10795</wp:posOffset>
                </wp:positionV>
                <wp:extent cx="323850" cy="307975"/>
                <wp:effectExtent l="0" t="0" r="0" b="15875"/>
                <wp:wrapNone/>
                <wp:docPr id="408" name="Straight Connector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3850" cy="307975"/>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C3F467" id="Straight Connector 408" o:spid="_x0000_s1026" style="position:absolute;flip:y;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5pt,.85pt" to="84pt,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" strokecolor="windowText" strokeweight="1.5pt">
                <o:lock v:ext="edit" shapetype="f"/>
              </v:line>
            </w:pict>
          </mc:Fallback>
        </mc:AlternateContent>
      </w:r>
    </w:p>
    <w:p w:rsidR="00A16B8C" w:rsidRPr="00C90AC9" w:rsidRDefault="0074402A"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1828224" behindDoc="0" locked="0" layoutInCell="1" allowOverlap="1" wp14:anchorId="1A7AE735" wp14:editId="78049439">
                <wp:simplePos x="0" y="0"/>
                <wp:positionH relativeFrom="column">
                  <wp:posOffset>4284921</wp:posOffset>
                </wp:positionH>
                <wp:positionV relativeFrom="paragraph">
                  <wp:posOffset>156771</wp:posOffset>
                </wp:positionV>
                <wp:extent cx="1370965" cy="680277"/>
                <wp:effectExtent l="0" t="0" r="19685" b="24765"/>
                <wp:wrapNone/>
                <wp:docPr id="4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0965" cy="680277"/>
                        </a:xfrm>
                        <a:prstGeom prst="rect">
                          <a:avLst/>
                        </a:prstGeom>
                        <a:solidFill>
                          <a:srgbClr val="FFFFFF"/>
                        </a:solidFill>
                        <a:ln w="9525">
                          <a:solidFill>
                            <a:srgbClr val="000000"/>
                          </a:solidFill>
                          <a:miter lim="800000"/>
                          <a:headEnd/>
                          <a:tailEnd/>
                        </a:ln>
                      </wps:spPr>
                      <wps:txbx>
                        <w:txbxContent>
                          <w:p w:rsidR="00521573" w:rsidRPr="00E3258F" w:rsidRDefault="00521573" w:rsidP="0093376F">
                            <w:pPr>
                              <w:jc w:val="center"/>
                            </w:pPr>
                            <w:r w:rsidRPr="00E3258F">
                              <w:t>Cold water returning to the STP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7AE735" id="_x0000_s1075" type="#_x0000_t202" style="position:absolute;left:0;text-align:left;margin-left:337.4pt;margin-top:12.35pt;width:107.95pt;height:53.5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">
                <v:textbox>
                  <w:txbxContent>
                    <w:p w:rsidR="00521573" w:rsidRPr="00E3258F" w:rsidRDefault="00521573" w:rsidP="0093376F">
                      <w:pPr>
                        <w:jc w:val="center"/>
                      </w:pPr>
                      <w:r w:rsidRPr="00E3258F">
                        <w:t>Cold water returning to the STP</w:t>
                      </w:r>
                    </w:p>
                  </w:txbxContent>
                </v:textbox>
              </v:shape>
            </w:pict>
          </mc:Fallback>
        </mc:AlternateContent>
      </w:r>
    </w:p>
    <w:p w:rsidR="00A16B8C" w:rsidRPr="00C90AC9" w:rsidRDefault="0074402A"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1827200" behindDoc="0" locked="0" layoutInCell="1" allowOverlap="1" wp14:anchorId="62B742D8" wp14:editId="2B8C4724">
                <wp:simplePos x="0" y="0"/>
                <wp:positionH relativeFrom="column">
                  <wp:posOffset>3157853</wp:posOffset>
                </wp:positionH>
                <wp:positionV relativeFrom="paragraph">
                  <wp:posOffset>214143</wp:posOffset>
                </wp:positionV>
                <wp:extent cx="627321" cy="244549"/>
                <wp:effectExtent l="19050" t="19050" r="20955" b="60325"/>
                <wp:wrapNone/>
                <wp:docPr id="410" name="Right Arrow 4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364257">
                          <a:off x="0" y="0"/>
                          <a:ext cx="627321" cy="244549"/>
                        </a:xfrm>
                        <a:prstGeom prst="rightArrow">
                          <a:avLst/>
                        </a:prstGeom>
                        <a:solidFill>
                          <a:srgbClr val="1F497D">
                            <a:lumMod val="40000"/>
                            <a:lumOff val="60000"/>
                          </a:srgbClr>
                        </a:solidFill>
                        <a:ln w="19050" cap="flat" cmpd="sng" algn="ctr">
                          <a:solidFill>
                            <a:srgbClr val="1F497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0E3BF" id="Right Arrow 410" o:spid="_x0000_s1026" type="#_x0000_t13" style="position:absolute;margin-left:248.65pt;margin-top:16.85pt;width:49.4pt;height:19.25pt;rotation:397866fd;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" adj="17390" fillcolor="#8eb4e3" strokecolor="#558ed5" strokeweight="1.5pt">
                <v:path arrowok="t"/>
              </v:shape>
            </w:pict>
          </mc:Fallback>
        </mc:AlternateContent>
      </w:r>
    </w:p>
    <w:p w:rsidR="00A16B8C" w:rsidRPr="00C90AC9" w:rsidRDefault="0074402A" w:rsidP="00B06779">
      <w:pPr>
        <w:rPr>
          <w:rFonts w:eastAsiaTheme="minorHAnsi"/>
          <w:lang w:eastAsia="en-US"/>
        </w:rPr>
      </w:pPr>
      <w:r w:rsidRPr="00C90AC9">
        <w:rPr>
          <w:rFonts w:eastAsiaTheme="minorHAnsi"/>
          <w:noProof/>
        </w:rPr>
        <mc:AlternateContent>
          <mc:Choice Requires="wps">
            <w:drawing>
              <wp:anchor distT="0" distB="0" distL="114300" distR="114300" simplePos="0" relativeHeight="251826176" behindDoc="0" locked="0" layoutInCell="1" allowOverlap="1" wp14:anchorId="3F91EE6B" wp14:editId="5C745D81">
                <wp:simplePos x="0" y="0"/>
                <wp:positionH relativeFrom="column">
                  <wp:posOffset>3705224</wp:posOffset>
                </wp:positionH>
                <wp:positionV relativeFrom="paragraph">
                  <wp:posOffset>44450</wp:posOffset>
                </wp:positionV>
                <wp:extent cx="657225" cy="38100"/>
                <wp:effectExtent l="0" t="0" r="28575" b="19050"/>
                <wp:wrapNone/>
                <wp:docPr id="411" name="Straight Connector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57225" cy="3810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8674758" id="Straight Connector 411" o:spid="_x0000_s1026" style="position:absolute;flip:x y;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75pt,3.5pt" to="343.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" strokecolor="windowText" strokeweight="1.5pt">
                <o:lock v:ext="edit" shapetype="f"/>
              </v:line>
            </w:pict>
          </mc:Fallback>
        </mc:AlternateContent>
      </w:r>
    </w:p>
    <w:p w:rsidR="00A16B8C" w:rsidRPr="00C90AC9" w:rsidRDefault="00A16B8C" w:rsidP="00B06779">
      <w:pPr>
        <w:rPr>
          <w:rFonts w:eastAsiaTheme="minorHAnsi"/>
          <w:lang w:eastAsia="en-US"/>
        </w:rPr>
      </w:pPr>
    </w:p>
    <w:p w:rsidR="007C2EBF" w:rsidRPr="00C90AC9" w:rsidRDefault="00481AED" w:rsidP="00E3686B">
      <w:pPr>
        <w:spacing w:line="360" w:lineRule="auto"/>
        <w:rPr>
          <w:rFonts w:eastAsiaTheme="minorHAnsi"/>
          <w:lang w:eastAsia="en-US"/>
        </w:rPr>
      </w:pPr>
      <w:r w:rsidRPr="00C90AC9">
        <w:rPr>
          <w:rFonts w:eastAsiaTheme="minorHAnsi"/>
          <w:lang w:eastAsia="en-US"/>
        </w:rPr>
        <w:lastRenderedPageBreak/>
        <w:t>As figure 3.6 shows</w:t>
      </w:r>
      <w:r w:rsidR="00662107" w:rsidRPr="00C90AC9">
        <w:rPr>
          <w:rFonts w:eastAsiaTheme="minorHAnsi"/>
          <w:lang w:eastAsia="en-US"/>
        </w:rPr>
        <w:t>, the</w:t>
      </w:r>
      <w:r w:rsidR="007C2EBF" w:rsidRPr="00C90AC9">
        <w:rPr>
          <w:rFonts w:eastAsiaTheme="minorHAnsi"/>
          <w:lang w:eastAsia="en-US"/>
        </w:rPr>
        <w:t xml:space="preserve"> conduction within the</w:t>
      </w:r>
      <w:r w:rsidRPr="00C90AC9">
        <w:rPr>
          <w:rFonts w:eastAsiaTheme="minorHAnsi"/>
          <w:lang w:eastAsia="en-US"/>
        </w:rPr>
        <w:t xml:space="preserve"> hot water</w:t>
      </w:r>
      <w:r w:rsidR="007C2EBF" w:rsidRPr="00C90AC9">
        <w:rPr>
          <w:rFonts w:eastAsiaTheme="minorHAnsi"/>
          <w:lang w:eastAsia="en-US"/>
        </w:rPr>
        <w:t xml:space="preserve"> tank </w:t>
      </w:r>
      <w:r w:rsidRPr="00C90AC9">
        <w:rPr>
          <w:rFonts w:eastAsiaTheme="minorHAnsi"/>
          <w:lang w:eastAsia="en-US"/>
        </w:rPr>
        <w:t>start</w:t>
      </w:r>
      <w:r w:rsidR="00662107" w:rsidRPr="00C90AC9">
        <w:rPr>
          <w:rFonts w:eastAsiaTheme="minorHAnsi"/>
          <w:lang w:eastAsia="en-US"/>
        </w:rPr>
        <w:t>s</w:t>
      </w:r>
      <w:r w:rsidRPr="00C90AC9">
        <w:rPr>
          <w:rFonts w:eastAsiaTheme="minorHAnsi"/>
          <w:lang w:eastAsia="en-US"/>
        </w:rPr>
        <w:t xml:space="preserve"> </w:t>
      </w:r>
      <w:r w:rsidR="007C2EBF" w:rsidRPr="00C90AC9">
        <w:rPr>
          <w:rFonts w:eastAsiaTheme="minorHAnsi"/>
          <w:lang w:eastAsia="en-US"/>
        </w:rPr>
        <w:t xml:space="preserve">from the top of the tank </w:t>
      </w:r>
      <w:r w:rsidRPr="00C90AC9">
        <w:rPr>
          <w:rFonts w:eastAsiaTheme="minorHAnsi"/>
          <w:lang w:eastAsia="en-US"/>
        </w:rPr>
        <w:t>and go</w:t>
      </w:r>
      <w:r w:rsidR="00662107" w:rsidRPr="00C90AC9">
        <w:rPr>
          <w:rFonts w:eastAsiaTheme="minorHAnsi"/>
          <w:lang w:eastAsia="en-US"/>
        </w:rPr>
        <w:t>es</w:t>
      </w:r>
      <w:r w:rsidRPr="00C90AC9">
        <w:rPr>
          <w:rFonts w:eastAsiaTheme="minorHAnsi"/>
          <w:lang w:eastAsia="en-US"/>
        </w:rPr>
        <w:t xml:space="preserve"> </w:t>
      </w:r>
      <w:r w:rsidR="007C2EBF" w:rsidRPr="00C90AC9">
        <w:rPr>
          <w:rFonts w:eastAsiaTheme="minorHAnsi"/>
          <w:lang w:eastAsia="en-US"/>
        </w:rPr>
        <w:t xml:space="preserve">down the </w:t>
      </w:r>
      <w:r w:rsidRPr="00C90AC9">
        <w:rPr>
          <w:rFonts w:eastAsiaTheme="minorHAnsi"/>
          <w:lang w:eastAsia="en-US"/>
        </w:rPr>
        <w:t>tank. Conduction will occur when a hotter slice of water is touching a cooler slice of water and so will occur across the surface area of the hot water tank.</w:t>
      </w:r>
    </w:p>
    <w:p w:rsidR="008E2DE7" w:rsidRPr="00C90AC9" w:rsidRDefault="008E2DE7" w:rsidP="00E3686B">
      <w:pPr>
        <w:spacing w:line="360" w:lineRule="auto"/>
        <w:rPr>
          <w:rFonts w:eastAsiaTheme="minorHAnsi"/>
          <w:lang w:eastAsia="en-US"/>
        </w:rPr>
      </w:pPr>
    </w:p>
    <w:p w:rsidR="00A16B8C" w:rsidRPr="00C90AC9" w:rsidRDefault="00A16B8C" w:rsidP="00CA6E35">
      <w:pPr>
        <w:pStyle w:val="List"/>
        <w:numPr>
          <w:ilvl w:val="1"/>
          <w:numId w:val="3"/>
        </w:numPr>
        <w:rPr>
          <w:rStyle w:val="SubtleEmphasis"/>
          <w:rFonts w:cs="Times New Roman"/>
          <w:iCs/>
          <w:szCs w:val="24"/>
        </w:rPr>
      </w:pPr>
      <w:bookmarkStart w:id="51" w:name="_Toc447173069"/>
      <w:r w:rsidRPr="00C90AC9">
        <w:rPr>
          <w:rStyle w:val="SubtleEmphasis"/>
          <w:rFonts w:cs="Times New Roman"/>
          <w:iCs/>
          <w:szCs w:val="24"/>
        </w:rPr>
        <w:t xml:space="preserve">Simplifications in the </w:t>
      </w:r>
      <w:proofErr w:type="spellStart"/>
      <w:r w:rsidRPr="00C90AC9">
        <w:rPr>
          <w:rStyle w:val="SubtleEmphasis"/>
          <w:rFonts w:cs="Times New Roman"/>
          <w:iCs/>
          <w:szCs w:val="24"/>
        </w:rPr>
        <w:t>Matlab</w:t>
      </w:r>
      <w:proofErr w:type="spellEnd"/>
      <w:r w:rsidRPr="00C90AC9">
        <w:rPr>
          <w:rStyle w:val="SubtleEmphasis"/>
          <w:rFonts w:cs="Times New Roman"/>
          <w:iCs/>
          <w:szCs w:val="24"/>
        </w:rPr>
        <w:t xml:space="preserve"> program</w:t>
      </w:r>
      <w:bookmarkEnd w:id="51"/>
    </w:p>
    <w:p w:rsidR="00A16B8C" w:rsidRPr="00C90AC9" w:rsidRDefault="00A16B8C" w:rsidP="00B06779">
      <w:pPr>
        <w:pStyle w:val="ListContinue"/>
        <w:rPr>
          <w:rFonts w:eastAsiaTheme="minorHAnsi"/>
          <w:lang w:eastAsia="en-US"/>
        </w:rPr>
      </w:pPr>
      <w:r w:rsidRPr="00C90AC9">
        <w:rPr>
          <w:rFonts w:eastAsiaTheme="minorHAnsi"/>
          <w:lang w:eastAsia="en-US"/>
        </w:rPr>
        <w:t>The program has a number of simplifications acknowledged here:</w:t>
      </w:r>
    </w:p>
    <w:p w:rsidR="00A16B8C" w:rsidRPr="00C90AC9" w:rsidRDefault="00A16B8C" w:rsidP="00CA6E35">
      <w:pPr>
        <w:pStyle w:val="ListBullet2"/>
        <w:numPr>
          <w:ilvl w:val="0"/>
          <w:numId w:val="9"/>
        </w:numPr>
        <w:rPr>
          <w:rFonts w:eastAsiaTheme="minorHAnsi"/>
          <w:lang w:eastAsia="en-US"/>
        </w:rPr>
      </w:pPr>
      <w:r w:rsidRPr="00C90AC9">
        <w:rPr>
          <w:rFonts w:eastAsiaTheme="minorHAnsi"/>
          <w:lang w:eastAsia="en-US"/>
        </w:rPr>
        <w:t>The Diffuse and Total Irradiation as measure</w:t>
      </w:r>
      <w:r w:rsidR="00495C25" w:rsidRPr="00C90AC9">
        <w:rPr>
          <w:rFonts w:eastAsiaTheme="minorHAnsi"/>
          <w:lang w:eastAsia="en-US"/>
        </w:rPr>
        <w:t>d from the Sheffield Solar Farm</w:t>
      </w:r>
      <w:r w:rsidRPr="00C90AC9">
        <w:rPr>
          <w:rFonts w:eastAsiaTheme="minorHAnsi"/>
          <w:lang w:eastAsia="en-US"/>
        </w:rPr>
        <w:t xml:space="preserve"> is assumed to be constant for the current minute that it was recorded over;</w:t>
      </w:r>
    </w:p>
    <w:p w:rsidR="00A16B8C" w:rsidRPr="00C90AC9" w:rsidRDefault="00A16B8C" w:rsidP="00CA6E35">
      <w:pPr>
        <w:pStyle w:val="ListBullet2"/>
        <w:numPr>
          <w:ilvl w:val="0"/>
          <w:numId w:val="9"/>
        </w:numPr>
        <w:spacing w:line="360" w:lineRule="auto"/>
        <w:ind w:left="714" w:hanging="357"/>
        <w:rPr>
          <w:rFonts w:eastAsiaTheme="minorHAnsi"/>
          <w:lang w:eastAsia="en-US"/>
        </w:rPr>
      </w:pPr>
      <w:r w:rsidRPr="00C90AC9">
        <w:rPr>
          <w:rFonts w:eastAsiaTheme="minorHAnsi"/>
          <w:lang w:eastAsia="en-US"/>
        </w:rPr>
        <w:t xml:space="preserve">The STP is not obscured and </w:t>
      </w:r>
      <w:r w:rsidR="00495C25" w:rsidRPr="00C90AC9">
        <w:rPr>
          <w:rFonts w:eastAsiaTheme="minorHAnsi"/>
          <w:lang w:eastAsia="en-US"/>
        </w:rPr>
        <w:t>its</w:t>
      </w:r>
      <w:r w:rsidRPr="00C90AC9">
        <w:rPr>
          <w:rFonts w:eastAsiaTheme="minorHAnsi"/>
          <w:lang w:eastAsia="en-US"/>
        </w:rPr>
        <w:t xml:space="preserve"> total area is apparent to the </w:t>
      </w:r>
      <w:r w:rsidR="000450FC" w:rsidRPr="00C90AC9">
        <w:rPr>
          <w:rFonts w:eastAsiaTheme="minorHAnsi"/>
          <w:lang w:eastAsia="en-US"/>
        </w:rPr>
        <w:t>sun</w:t>
      </w:r>
      <w:r w:rsidRPr="00C90AC9">
        <w:rPr>
          <w:rFonts w:eastAsiaTheme="minorHAnsi"/>
          <w:lang w:eastAsia="en-US"/>
        </w:rPr>
        <w:t>’s rays;</w:t>
      </w:r>
    </w:p>
    <w:p w:rsidR="00A16B8C" w:rsidRPr="00C90AC9" w:rsidRDefault="00A16B8C" w:rsidP="00CA6E35">
      <w:pPr>
        <w:pStyle w:val="ListBullet2"/>
        <w:numPr>
          <w:ilvl w:val="0"/>
          <w:numId w:val="9"/>
        </w:numPr>
        <w:spacing w:line="360" w:lineRule="auto"/>
        <w:ind w:left="714" w:hanging="357"/>
        <w:rPr>
          <w:rFonts w:eastAsiaTheme="minorHAnsi"/>
          <w:lang w:eastAsia="en-US"/>
        </w:rPr>
      </w:pPr>
      <w:r w:rsidRPr="00C90AC9">
        <w:rPr>
          <w:rFonts w:eastAsiaTheme="minorHAnsi"/>
          <w:lang w:eastAsia="en-US"/>
        </w:rPr>
        <w:t>There are no top or bottom heat losses from the STP;</w:t>
      </w:r>
    </w:p>
    <w:p w:rsidR="00A16B8C" w:rsidRPr="00C90AC9" w:rsidRDefault="00A16B8C" w:rsidP="00CA6E35">
      <w:pPr>
        <w:pStyle w:val="ListBullet2"/>
        <w:numPr>
          <w:ilvl w:val="0"/>
          <w:numId w:val="9"/>
        </w:numPr>
        <w:spacing w:line="360" w:lineRule="auto"/>
        <w:ind w:left="714" w:hanging="357"/>
        <w:rPr>
          <w:rFonts w:eastAsiaTheme="minorHAnsi"/>
          <w:lang w:eastAsia="en-US"/>
        </w:rPr>
      </w:pPr>
      <w:r w:rsidRPr="00C90AC9">
        <w:rPr>
          <w:rFonts w:eastAsiaTheme="minorHAnsi"/>
          <w:lang w:eastAsia="en-US"/>
        </w:rPr>
        <w:t>It is assumed that there are no heat losses in the connecting pipes from the STP and the hot water tank;</w:t>
      </w:r>
    </w:p>
    <w:p w:rsidR="00A16B8C" w:rsidRPr="00C90AC9" w:rsidRDefault="00A16B8C" w:rsidP="00CA6E35">
      <w:pPr>
        <w:pStyle w:val="ListBullet2"/>
        <w:numPr>
          <w:ilvl w:val="0"/>
          <w:numId w:val="9"/>
        </w:numPr>
        <w:spacing w:line="360" w:lineRule="auto"/>
        <w:ind w:left="714" w:hanging="357"/>
        <w:rPr>
          <w:rFonts w:eastAsiaTheme="minorHAnsi"/>
          <w:lang w:eastAsia="en-US"/>
        </w:rPr>
      </w:pPr>
      <w:r w:rsidRPr="00C90AC9">
        <w:rPr>
          <w:rFonts w:eastAsiaTheme="minorHAnsi"/>
          <w:lang w:eastAsia="en-US"/>
        </w:rPr>
        <w:t>There are no heat losses from the hot water tank;</w:t>
      </w:r>
    </w:p>
    <w:p w:rsidR="00A16B8C" w:rsidRPr="00C90AC9" w:rsidRDefault="00A16B8C" w:rsidP="00CA6E35">
      <w:pPr>
        <w:pStyle w:val="ListBullet2"/>
        <w:numPr>
          <w:ilvl w:val="0"/>
          <w:numId w:val="9"/>
        </w:numPr>
        <w:spacing w:line="360" w:lineRule="auto"/>
        <w:ind w:left="714" w:hanging="357"/>
        <w:rPr>
          <w:rFonts w:eastAsiaTheme="minorHAnsi"/>
          <w:lang w:eastAsia="en-US"/>
        </w:rPr>
      </w:pPr>
      <w:r w:rsidRPr="00C90AC9">
        <w:rPr>
          <w:rFonts w:eastAsiaTheme="minorHAnsi"/>
          <w:lang w:eastAsia="en-US"/>
        </w:rPr>
        <w:t xml:space="preserve">There is no mixing in the tank during </w:t>
      </w:r>
      <w:r w:rsidR="00771BA7" w:rsidRPr="00C90AC9">
        <w:rPr>
          <w:rFonts w:eastAsiaTheme="minorHAnsi"/>
          <w:lang w:eastAsia="en-US"/>
        </w:rPr>
        <w:t xml:space="preserve">each </w:t>
      </w:r>
      <w:r w:rsidR="00D61146" w:rsidRPr="00C90AC9">
        <w:rPr>
          <w:rFonts w:eastAsiaTheme="minorHAnsi"/>
          <w:lang w:eastAsia="en-US"/>
        </w:rPr>
        <w:t>Tapping Cycle</w:t>
      </w:r>
      <w:r w:rsidRPr="00C90AC9">
        <w:rPr>
          <w:rFonts w:eastAsiaTheme="minorHAnsi"/>
          <w:lang w:eastAsia="en-US"/>
        </w:rPr>
        <w:t>;</w:t>
      </w:r>
    </w:p>
    <w:p w:rsidR="00A16B8C" w:rsidRPr="00C90AC9" w:rsidRDefault="00A16B8C" w:rsidP="00CA6E35">
      <w:pPr>
        <w:pStyle w:val="ListBullet2"/>
        <w:numPr>
          <w:ilvl w:val="0"/>
          <w:numId w:val="9"/>
        </w:numPr>
        <w:spacing w:line="360" w:lineRule="auto"/>
        <w:ind w:left="714" w:hanging="357"/>
        <w:rPr>
          <w:rFonts w:eastAsiaTheme="minorHAnsi"/>
          <w:lang w:eastAsia="en-US"/>
        </w:rPr>
      </w:pPr>
      <w:r w:rsidRPr="00C90AC9">
        <w:rPr>
          <w:rFonts w:eastAsiaTheme="minorHAnsi"/>
          <w:lang w:eastAsia="en-US"/>
        </w:rPr>
        <w:t>The volume of the heating coil is assumed to be zero;</w:t>
      </w:r>
    </w:p>
    <w:p w:rsidR="00A16B8C" w:rsidRPr="00C90AC9" w:rsidRDefault="00A16B8C" w:rsidP="00CA6E35">
      <w:pPr>
        <w:pStyle w:val="ListBullet2"/>
        <w:numPr>
          <w:ilvl w:val="0"/>
          <w:numId w:val="9"/>
        </w:numPr>
        <w:spacing w:line="360" w:lineRule="auto"/>
        <w:ind w:left="714" w:hanging="357"/>
        <w:rPr>
          <w:rFonts w:eastAsiaTheme="minorHAnsi"/>
          <w:lang w:eastAsia="en-US"/>
        </w:rPr>
      </w:pPr>
      <w:r w:rsidRPr="00C90AC9">
        <w:rPr>
          <w:rFonts w:eastAsiaTheme="minorHAnsi"/>
          <w:lang w:eastAsia="en-US"/>
        </w:rPr>
        <w:t>The heating coil is evenly distributed within the hot water tank;</w:t>
      </w:r>
    </w:p>
    <w:p w:rsidR="00A16B8C" w:rsidRPr="00C90AC9" w:rsidRDefault="00A16B8C" w:rsidP="00CA6E35">
      <w:pPr>
        <w:pStyle w:val="ListBullet2"/>
        <w:numPr>
          <w:ilvl w:val="0"/>
          <w:numId w:val="9"/>
        </w:numPr>
        <w:spacing w:line="360" w:lineRule="auto"/>
        <w:ind w:left="714" w:hanging="357"/>
        <w:rPr>
          <w:rFonts w:eastAsiaTheme="minorHAnsi"/>
          <w:lang w:eastAsia="en-US"/>
        </w:rPr>
      </w:pPr>
      <w:r w:rsidRPr="00C90AC9">
        <w:rPr>
          <w:rFonts w:eastAsiaTheme="minorHAnsi"/>
          <w:lang w:eastAsia="en-US"/>
        </w:rPr>
        <w:t>The flow of water through the heating coil from the STP is sufficient to consider it as a heated rod at the same temperature at the start of each minute;</w:t>
      </w:r>
    </w:p>
    <w:p w:rsidR="00A16B8C" w:rsidRPr="00C90AC9" w:rsidRDefault="00A16B8C" w:rsidP="00CA6E35">
      <w:pPr>
        <w:pStyle w:val="ListBullet2"/>
        <w:numPr>
          <w:ilvl w:val="0"/>
          <w:numId w:val="9"/>
        </w:numPr>
        <w:spacing w:line="360" w:lineRule="auto"/>
        <w:ind w:left="714" w:hanging="357"/>
        <w:rPr>
          <w:rFonts w:eastAsiaTheme="minorHAnsi"/>
          <w:lang w:eastAsia="en-US"/>
        </w:rPr>
      </w:pPr>
      <w:r w:rsidRPr="00C90AC9">
        <w:rPr>
          <w:rFonts w:eastAsiaTheme="minorHAnsi"/>
          <w:lang w:eastAsia="en-US"/>
        </w:rPr>
        <w:t xml:space="preserve">When there is a consumption of hot water (a </w:t>
      </w:r>
      <w:r w:rsidR="00D61146" w:rsidRPr="00C90AC9">
        <w:rPr>
          <w:rFonts w:eastAsiaTheme="minorHAnsi"/>
          <w:lang w:eastAsia="en-US"/>
        </w:rPr>
        <w:t>Tapping Cycle</w:t>
      </w:r>
      <w:r w:rsidRPr="00C90AC9">
        <w:rPr>
          <w:rFonts w:eastAsiaTheme="minorHAnsi"/>
          <w:lang w:eastAsia="en-US"/>
        </w:rPr>
        <w:t xml:space="preserve"> occurs) the water volume is consumed within that minute and the “slices” of hot water are moved higher in the tank, with the water leaving the hot water tank to the auxiliary boiler and the corresponding volume of water consumed during the </w:t>
      </w:r>
      <w:r w:rsidR="00D61146" w:rsidRPr="00C90AC9">
        <w:rPr>
          <w:rFonts w:eastAsiaTheme="minorHAnsi"/>
          <w:lang w:eastAsia="en-US"/>
        </w:rPr>
        <w:t>Tapping Cycle</w:t>
      </w:r>
      <w:r w:rsidRPr="00C90AC9">
        <w:rPr>
          <w:rFonts w:eastAsiaTheme="minorHAnsi"/>
          <w:lang w:eastAsia="en-US"/>
        </w:rPr>
        <w:t xml:space="preserve"> is replaced by new water filling up the bottom of the tank at 10°C.</w:t>
      </w: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B06779" w:rsidRPr="00C90AC9" w:rsidRDefault="00B06779">
      <w:pPr>
        <w:rPr>
          <w:rStyle w:val="SubtleEmphasis"/>
          <w:rFonts w:cs="Times New Roman"/>
          <w:i/>
          <w:iCs/>
          <w:sz w:val="24"/>
          <w:szCs w:val="24"/>
        </w:rPr>
      </w:pPr>
      <w:r w:rsidRPr="00C90AC9">
        <w:rPr>
          <w:rStyle w:val="SubtleEmphasis"/>
          <w:rFonts w:cs="Times New Roman"/>
          <w:i/>
          <w:iCs/>
          <w:sz w:val="24"/>
          <w:szCs w:val="24"/>
        </w:rPr>
        <w:br w:type="page"/>
      </w:r>
    </w:p>
    <w:p w:rsidR="00A16B8C" w:rsidRPr="00C90AC9" w:rsidRDefault="00A16B8C" w:rsidP="00CA6E35">
      <w:pPr>
        <w:pStyle w:val="List"/>
        <w:numPr>
          <w:ilvl w:val="1"/>
          <w:numId w:val="3"/>
        </w:numPr>
        <w:rPr>
          <w:rStyle w:val="SubtleEmphasis"/>
          <w:rFonts w:cs="Times New Roman"/>
          <w:iCs/>
          <w:szCs w:val="24"/>
        </w:rPr>
      </w:pPr>
      <w:r w:rsidRPr="00C90AC9">
        <w:rPr>
          <w:rStyle w:val="SubtleEmphasis"/>
          <w:rFonts w:cs="Times New Roman"/>
          <w:iCs/>
          <w:szCs w:val="24"/>
        </w:rPr>
        <w:lastRenderedPageBreak/>
        <w:t xml:space="preserve">Flow diagram of </w:t>
      </w:r>
      <w:r w:rsidR="005161EC" w:rsidRPr="00C90AC9">
        <w:rPr>
          <w:rStyle w:val="SubtleEmphasis"/>
          <w:rFonts w:cs="Times New Roman"/>
          <w:iCs/>
          <w:szCs w:val="24"/>
        </w:rPr>
        <w:t xml:space="preserve">the </w:t>
      </w:r>
      <w:proofErr w:type="spellStart"/>
      <w:r w:rsidR="005161EC" w:rsidRPr="00C90AC9">
        <w:rPr>
          <w:rStyle w:val="SubtleEmphasis"/>
          <w:rFonts w:cs="Times New Roman"/>
          <w:iCs/>
          <w:szCs w:val="24"/>
        </w:rPr>
        <w:t>Matlab</w:t>
      </w:r>
      <w:proofErr w:type="spellEnd"/>
      <w:r w:rsidR="005161EC" w:rsidRPr="00C90AC9">
        <w:rPr>
          <w:rStyle w:val="SubtleEmphasis"/>
          <w:rFonts w:cs="Times New Roman"/>
          <w:iCs/>
          <w:szCs w:val="24"/>
        </w:rPr>
        <w:t xml:space="preserve"> </w:t>
      </w:r>
      <w:r w:rsidRPr="00C90AC9">
        <w:rPr>
          <w:rStyle w:val="SubtleEmphasis"/>
          <w:rFonts w:cs="Times New Roman"/>
          <w:iCs/>
          <w:szCs w:val="24"/>
        </w:rPr>
        <w:t>program</w:t>
      </w:r>
    </w:p>
    <w:p w:rsidR="00A16B8C" w:rsidRPr="00C90AC9" w:rsidRDefault="00A16B8C" w:rsidP="008E2DE7">
      <w:pPr>
        <w:pStyle w:val="ListContinue"/>
        <w:spacing w:line="360" w:lineRule="auto"/>
        <w:ind w:left="0"/>
        <w:rPr>
          <w:rFonts w:eastAsiaTheme="minorHAnsi"/>
          <w:lang w:eastAsia="en-US"/>
        </w:rPr>
      </w:pPr>
      <w:r w:rsidRPr="00C90AC9">
        <w:rPr>
          <w:rFonts w:eastAsiaTheme="minorHAnsi"/>
          <w:lang w:eastAsia="en-US"/>
        </w:rPr>
        <w:t xml:space="preserve">The layout of the program is shown in Figure 3.7. </w:t>
      </w:r>
      <w:r w:rsidR="00A4563C" w:rsidRPr="00C90AC9">
        <w:rPr>
          <w:rFonts w:eastAsiaTheme="minorHAnsi"/>
          <w:lang w:eastAsia="en-US"/>
        </w:rPr>
        <w:t>showing</w:t>
      </w:r>
      <w:r w:rsidRPr="00C90AC9">
        <w:rPr>
          <w:rFonts w:eastAsiaTheme="minorHAnsi"/>
          <w:lang w:eastAsia="en-US"/>
        </w:rPr>
        <w:t xml:space="preserve"> the processes that were programmed into</w:t>
      </w:r>
      <w:r w:rsidR="008E2DE7" w:rsidRPr="00C90AC9">
        <w:rPr>
          <w:rFonts w:eastAsiaTheme="minorHAnsi"/>
          <w:lang w:eastAsia="en-US"/>
        </w:rPr>
        <w:t xml:space="preserve"> the</w:t>
      </w:r>
      <w:r w:rsidRPr="00C90AC9">
        <w:rPr>
          <w:rFonts w:eastAsiaTheme="minorHAnsi"/>
          <w:lang w:eastAsia="en-US"/>
        </w:rPr>
        <w:t xml:space="preserve"> </w:t>
      </w:r>
      <w:proofErr w:type="spellStart"/>
      <w:r w:rsidRPr="00C90AC9">
        <w:rPr>
          <w:rFonts w:eastAsiaTheme="minorHAnsi"/>
          <w:lang w:eastAsia="en-US"/>
        </w:rPr>
        <w:t>Matlab</w:t>
      </w:r>
      <w:proofErr w:type="spellEnd"/>
      <w:r w:rsidR="008E2DE7" w:rsidRPr="00C90AC9">
        <w:rPr>
          <w:rFonts w:eastAsiaTheme="minorHAnsi"/>
          <w:lang w:eastAsia="en-US"/>
        </w:rPr>
        <w:t xml:space="preserve"> program</w:t>
      </w:r>
      <w:r w:rsidRPr="00C90AC9">
        <w:rPr>
          <w:rFonts w:eastAsiaTheme="minorHAnsi"/>
          <w:lang w:eastAsia="en-US"/>
        </w:rPr>
        <w:t>.</w:t>
      </w:r>
    </w:p>
    <w:p w:rsidR="0093376F" w:rsidRPr="00C90AC9" w:rsidRDefault="0093376F" w:rsidP="00B06779">
      <w:pPr>
        <w:pStyle w:val="ListContinue"/>
        <w:rPr>
          <w:rFonts w:eastAsiaTheme="minorHAnsi"/>
          <w:lang w:eastAsia="en-US"/>
        </w:rPr>
      </w:pPr>
    </w:p>
    <w:p w:rsidR="00A16B8C" w:rsidRPr="00C90AC9" w:rsidRDefault="00A16B8C" w:rsidP="008E2DE7">
      <w:pPr>
        <w:pStyle w:val="ListContinue"/>
        <w:ind w:left="0"/>
        <w:rPr>
          <w:rFonts w:eastAsiaTheme="minorHAnsi"/>
          <w:lang w:eastAsia="en-US"/>
        </w:rPr>
      </w:pPr>
      <w:r w:rsidRPr="00C90AC9">
        <w:rPr>
          <w:rFonts w:eastAsiaTheme="minorHAnsi"/>
          <w:noProof/>
        </w:rPr>
        <w:drawing>
          <wp:anchor distT="0" distB="0" distL="114300" distR="114300" simplePos="0" relativeHeight="251786240" behindDoc="0" locked="0" layoutInCell="1" allowOverlap="1" wp14:anchorId="77340782" wp14:editId="22110AC7">
            <wp:simplePos x="0" y="0"/>
            <wp:positionH relativeFrom="column">
              <wp:posOffset>-19050</wp:posOffset>
            </wp:positionH>
            <wp:positionV relativeFrom="paragraph">
              <wp:posOffset>313690</wp:posOffset>
            </wp:positionV>
            <wp:extent cx="5936615" cy="7496175"/>
            <wp:effectExtent l="19050" t="19050" r="26035" b="28575"/>
            <wp:wrapSquare wrapText="bothSides"/>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 flow diagram.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36615" cy="74961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C90AC9">
        <w:rPr>
          <w:rFonts w:eastAsiaTheme="minorHAnsi"/>
          <w:lang w:eastAsia="en-US"/>
        </w:rPr>
        <w:t xml:space="preserve">Figure 3.7. </w:t>
      </w:r>
      <w:r w:rsidR="00A83B59" w:rsidRPr="00C90AC9">
        <w:rPr>
          <w:rFonts w:eastAsiaTheme="minorHAnsi"/>
          <w:lang w:eastAsia="en-US"/>
        </w:rPr>
        <w:t>F</w:t>
      </w:r>
      <w:r w:rsidRPr="00C90AC9">
        <w:rPr>
          <w:rFonts w:eastAsiaTheme="minorHAnsi"/>
          <w:lang w:eastAsia="en-US"/>
        </w:rPr>
        <w:t xml:space="preserve">low diagram </w:t>
      </w:r>
      <w:r w:rsidR="00A83B59" w:rsidRPr="00C90AC9">
        <w:rPr>
          <w:rFonts w:eastAsiaTheme="minorHAnsi"/>
          <w:lang w:eastAsia="en-US"/>
        </w:rPr>
        <w:t>of</w:t>
      </w:r>
      <w:r w:rsidRPr="00C90AC9">
        <w:rPr>
          <w:rFonts w:eastAsiaTheme="minorHAnsi"/>
          <w:lang w:eastAsia="en-US"/>
        </w:rPr>
        <w:t xml:space="preserve"> the </w:t>
      </w:r>
      <w:proofErr w:type="spellStart"/>
      <w:r w:rsidRPr="00C90AC9">
        <w:rPr>
          <w:rFonts w:eastAsiaTheme="minorHAnsi"/>
          <w:lang w:eastAsia="en-US"/>
        </w:rPr>
        <w:t>Matlab</w:t>
      </w:r>
      <w:proofErr w:type="spellEnd"/>
      <w:r w:rsidRPr="00C90AC9">
        <w:rPr>
          <w:rFonts w:eastAsiaTheme="minorHAnsi"/>
          <w:lang w:eastAsia="en-US"/>
        </w:rPr>
        <w:t xml:space="preserve"> program </w:t>
      </w:r>
      <w:r w:rsidRPr="00C90AC9">
        <w:rPr>
          <w:rFonts w:eastAsiaTheme="minorHAnsi"/>
          <w:lang w:eastAsia="en-US"/>
        </w:rPr>
        <w:br w:type="page"/>
      </w:r>
    </w:p>
    <w:p w:rsidR="00A16B8C" w:rsidRPr="00C90AC9" w:rsidRDefault="00A16B8C" w:rsidP="00CA6E35">
      <w:pPr>
        <w:pStyle w:val="List"/>
        <w:numPr>
          <w:ilvl w:val="1"/>
          <w:numId w:val="3"/>
        </w:numPr>
        <w:spacing w:line="360" w:lineRule="auto"/>
        <w:ind w:left="0" w:firstLine="0"/>
        <w:rPr>
          <w:rFonts w:eastAsiaTheme="majorEastAsia"/>
          <w:color w:val="365F91" w:themeColor="accent1" w:themeShade="BF"/>
          <w:sz w:val="28"/>
          <w:szCs w:val="24"/>
          <w:lang w:eastAsia="en-US"/>
        </w:rPr>
      </w:pPr>
      <w:bookmarkStart w:id="52" w:name="_Toc447173071"/>
      <w:r w:rsidRPr="00C90AC9">
        <w:rPr>
          <w:rFonts w:eastAsiaTheme="majorEastAsia"/>
          <w:sz w:val="28"/>
          <w:szCs w:val="24"/>
          <w:lang w:eastAsia="en-US"/>
        </w:rPr>
        <w:lastRenderedPageBreak/>
        <w:t xml:space="preserve">Recorded </w:t>
      </w:r>
      <w:r w:rsidR="005161EC" w:rsidRPr="00C90AC9">
        <w:rPr>
          <w:rFonts w:eastAsiaTheme="majorEastAsia"/>
          <w:sz w:val="28"/>
          <w:szCs w:val="24"/>
          <w:lang w:eastAsia="en-US"/>
        </w:rPr>
        <w:t>direct, d</w:t>
      </w:r>
      <w:r w:rsidRPr="00C90AC9">
        <w:rPr>
          <w:rFonts w:eastAsiaTheme="majorEastAsia"/>
          <w:sz w:val="28"/>
          <w:szCs w:val="24"/>
          <w:lang w:eastAsia="en-US"/>
        </w:rPr>
        <w:t xml:space="preserve">iffuse and </w:t>
      </w:r>
      <w:r w:rsidR="005161EC" w:rsidRPr="00C90AC9">
        <w:rPr>
          <w:rFonts w:eastAsiaTheme="majorEastAsia"/>
          <w:sz w:val="28"/>
          <w:szCs w:val="24"/>
          <w:lang w:eastAsia="en-US"/>
        </w:rPr>
        <w:t>t</w:t>
      </w:r>
      <w:r w:rsidRPr="00C90AC9">
        <w:rPr>
          <w:rFonts w:eastAsiaTheme="majorEastAsia"/>
          <w:sz w:val="28"/>
          <w:szCs w:val="24"/>
          <w:lang w:eastAsia="en-US"/>
        </w:rPr>
        <w:t xml:space="preserve">otal </w:t>
      </w:r>
      <w:r w:rsidR="005161EC" w:rsidRPr="00C90AC9">
        <w:rPr>
          <w:rFonts w:eastAsiaTheme="majorEastAsia"/>
          <w:sz w:val="28"/>
          <w:szCs w:val="24"/>
          <w:lang w:eastAsia="en-US"/>
        </w:rPr>
        <w:t>i</w:t>
      </w:r>
      <w:r w:rsidRPr="00C90AC9">
        <w:rPr>
          <w:rFonts w:eastAsiaTheme="majorEastAsia"/>
          <w:sz w:val="28"/>
          <w:szCs w:val="24"/>
          <w:lang w:eastAsia="en-US"/>
        </w:rPr>
        <w:t>rradiance at Sheffield Solar Farm</w:t>
      </w:r>
      <w:r w:rsidRPr="00C90AC9">
        <w:rPr>
          <w:rFonts w:eastAsiaTheme="majorEastAsia"/>
          <w:sz w:val="28"/>
          <w:szCs w:val="24"/>
          <w:vertAlign w:val="superscript"/>
          <w:lang w:eastAsia="en-US"/>
        </w:rPr>
        <w:t xml:space="preserve"> </w:t>
      </w:r>
      <w:r w:rsidRPr="00C90AC9">
        <w:rPr>
          <w:rFonts w:eastAsiaTheme="majorEastAsia"/>
          <w:sz w:val="28"/>
          <w:szCs w:val="24"/>
          <w:lang w:eastAsia="en-US"/>
        </w:rPr>
        <w:t>SSF, between 19/02/2014 00:00 - 19/02/2015 23:59</w:t>
      </w:r>
      <w:bookmarkEnd w:id="52"/>
      <w:r w:rsidRPr="00C90AC9">
        <w:rPr>
          <w:rFonts w:eastAsiaTheme="majorEastAsia"/>
          <w:color w:val="365F91" w:themeColor="accent1" w:themeShade="BF"/>
          <w:sz w:val="28"/>
          <w:szCs w:val="24"/>
          <w:lang w:eastAsia="en-US"/>
        </w:rPr>
        <w:tab/>
      </w:r>
    </w:p>
    <w:p w:rsidR="00A16B8C" w:rsidRPr="00C90AC9" w:rsidRDefault="00A16B8C" w:rsidP="00F751E6">
      <w:pPr>
        <w:pStyle w:val="ListContinue"/>
        <w:spacing w:line="360" w:lineRule="auto"/>
        <w:ind w:left="0"/>
        <w:rPr>
          <w:rFonts w:eastAsiaTheme="minorHAnsi"/>
          <w:lang w:eastAsia="en-US"/>
        </w:rPr>
      </w:pPr>
      <w:r w:rsidRPr="00C90AC9">
        <w:rPr>
          <w:rFonts w:eastAsiaTheme="minorHAnsi"/>
          <w:lang w:eastAsia="en-US"/>
        </w:rPr>
        <w:t>Figure 3.8. shows the Diffuse and the Total Irradiance as measu</w:t>
      </w:r>
      <w:r w:rsidR="00481AED" w:rsidRPr="00C90AC9">
        <w:rPr>
          <w:rFonts w:eastAsiaTheme="minorHAnsi"/>
          <w:lang w:eastAsia="en-US"/>
        </w:rPr>
        <w:t>red at the Sheffield Solar Farm</w:t>
      </w:r>
      <w:r w:rsidRPr="00C90AC9">
        <w:rPr>
          <w:rFonts w:eastAsiaTheme="minorHAnsi"/>
          <w:vertAlign w:val="subscript"/>
          <w:lang w:eastAsia="en-US"/>
        </w:rPr>
        <w:t xml:space="preserve"> </w:t>
      </w:r>
      <w:r w:rsidRPr="00C90AC9">
        <w:rPr>
          <w:rFonts w:eastAsiaTheme="minorHAnsi"/>
          <w:lang w:eastAsia="en-US"/>
        </w:rPr>
        <w:t>(53.3810 °N, 1.4861 °W) between the dates of 19/02/2015 - 19/02/2015. The Direct component of the irradian</w:t>
      </w:r>
      <w:r w:rsidR="00F751E6" w:rsidRPr="00C90AC9">
        <w:rPr>
          <w:rFonts w:eastAsiaTheme="minorHAnsi"/>
          <w:lang w:eastAsia="en-US"/>
        </w:rPr>
        <w:t xml:space="preserve">ce was calculated using </w:t>
      </w:r>
      <w:proofErr w:type="spellStart"/>
      <w:r w:rsidR="00F751E6" w:rsidRPr="00C90AC9">
        <w:rPr>
          <w:rFonts w:eastAsiaTheme="minorHAnsi"/>
          <w:lang w:eastAsia="en-US"/>
        </w:rPr>
        <w:t>Eq</w:t>
      </w:r>
      <w:proofErr w:type="spellEnd"/>
      <w:r w:rsidR="00F751E6" w:rsidRPr="00C90AC9">
        <w:rPr>
          <w:rFonts w:eastAsiaTheme="minorHAnsi"/>
          <w:lang w:eastAsia="en-US"/>
        </w:rPr>
        <w:t xml:space="preserve"> (2) </w:t>
      </w:r>
      <w:sdt>
        <w:sdtPr>
          <w:rPr>
            <w:rFonts w:eastAsiaTheme="minorHAnsi"/>
            <w:lang w:eastAsia="en-US"/>
          </w:rPr>
          <w:alias w:val="Don't edit this field"/>
          <w:tag w:val="CitaviPlaceholder#e59f7b5f-bdd8-4df7-97fe-523844daf014"/>
          <w:id w:val="-1426725174"/>
        </w:sdtPr>
        <w:sdtEndPr/>
        <w:sdtContent>
          <w:r w:rsidR="00C05E2B" w:rsidRPr="00C90AC9">
            <w:rPr>
              <w:rFonts w:eastAsiaTheme="minorHAnsi"/>
              <w:lang w:eastAsia="en-US"/>
            </w:rPr>
            <w:fldChar w:fldCharType="begin"/>
          </w:r>
          <w:r w:rsidR="007835E8" w:rsidRPr="00C90AC9">
            <w:rPr>
              <w:rFonts w:eastAsiaTheme="minorHAnsi"/>
              <w:lang w:eastAsia="en-US"/>
            </w:rPr>
            <w:instrText>ADDIN CitaviPlaceholder{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}</w:instrText>
          </w:r>
          <w:r w:rsidR="00C05E2B" w:rsidRPr="00C90AC9">
            <w:rPr>
              <w:rFonts w:eastAsiaTheme="minorHAnsi"/>
              <w:lang w:eastAsia="en-US"/>
            </w:rPr>
            <w:fldChar w:fldCharType="separate"/>
          </w:r>
          <w:r w:rsidR="007835E8" w:rsidRPr="00C90AC9">
            <w:rPr>
              <w:rFonts w:eastAsiaTheme="minorHAnsi"/>
              <w:lang w:eastAsia="en-US"/>
            </w:rPr>
            <w:t>(Solar radiation model)</w:t>
          </w:r>
          <w:r w:rsidR="00C05E2B" w:rsidRPr="00C90AC9">
            <w:rPr>
              <w:rFonts w:eastAsiaTheme="minorHAnsi"/>
              <w:lang w:eastAsia="en-US"/>
            </w:rPr>
            <w:fldChar w:fldCharType="end"/>
          </w:r>
        </w:sdtContent>
      </w:sdt>
      <w:r w:rsidR="00F751E6" w:rsidRPr="00C90AC9">
        <w:rPr>
          <w:rFonts w:eastAsiaTheme="minorHAnsi"/>
          <w:lang w:eastAsia="en-US"/>
        </w:rPr>
        <w:t>.</w:t>
      </w:r>
      <w:r w:rsidRPr="00C90AC9">
        <w:rPr>
          <w:rFonts w:eastAsiaTheme="minorHAnsi"/>
          <w:lang w:eastAsia="en-US"/>
        </w:rPr>
        <w:t xml:space="preserve"> To show the recorded values over the 365 days an average was taken each day with the resulting values of Direct, Diffuse and Total Irradiance being graphed. These three components of the solar irradiance are paramount to model the warming of the water in the solar collector</w:t>
      </w:r>
      <w:r w:rsidR="00481AED" w:rsidRPr="00C90AC9">
        <w:rPr>
          <w:rFonts w:eastAsiaTheme="minorHAnsi"/>
          <w:lang w:eastAsia="en-US"/>
        </w:rPr>
        <w:t xml:space="preserve"> precisely</w:t>
      </w:r>
      <w:r w:rsidRPr="00C90AC9">
        <w:rPr>
          <w:rFonts w:eastAsiaTheme="minorHAnsi"/>
          <w:lang w:eastAsia="en-US"/>
        </w:rPr>
        <w:t xml:space="preserve">. </w:t>
      </w:r>
    </w:p>
    <w:p w:rsidR="00A16B8C" w:rsidRPr="00C90AC9" w:rsidRDefault="00A16B8C" w:rsidP="00132843">
      <w:pPr>
        <w:pStyle w:val="ListContinue"/>
        <w:ind w:left="0"/>
        <w:rPr>
          <w:rFonts w:eastAsiaTheme="minorHAnsi"/>
          <w:lang w:eastAsia="en-US"/>
        </w:rPr>
      </w:pPr>
    </w:p>
    <w:p w:rsidR="00A16B8C" w:rsidRPr="00C90AC9" w:rsidRDefault="00A16B8C" w:rsidP="00B06779">
      <w:pPr>
        <w:pStyle w:val="ListContinue"/>
        <w:rPr>
          <w:rFonts w:eastAsiaTheme="minorHAnsi"/>
          <w:lang w:eastAsia="en-US"/>
        </w:rPr>
        <w:sectPr w:rsidR="00A16B8C" w:rsidRPr="00C90AC9" w:rsidSect="00A16B8C">
          <w:footerReference w:type="default" r:id="rId47"/>
          <w:type w:val="continuous"/>
          <w:pgSz w:w="11906" w:h="16838"/>
          <w:pgMar w:top="1440" w:right="1416" w:bottom="1440" w:left="1440" w:header="708" w:footer="708" w:gutter="0"/>
          <w:cols w:space="708"/>
          <w:docGrid w:linePitch="360"/>
        </w:sectPr>
      </w:pPr>
    </w:p>
    <w:p w:rsidR="00A16B8C" w:rsidRPr="00C90AC9" w:rsidRDefault="00A16B8C" w:rsidP="00B06779">
      <w:pPr>
        <w:pStyle w:val="ListContinue"/>
        <w:rPr>
          <w:rFonts w:eastAsiaTheme="minorHAnsi"/>
          <w:lang w:eastAsia="en-US"/>
        </w:rPr>
      </w:pPr>
      <w:r w:rsidRPr="00C90AC9">
        <w:rPr>
          <w:rFonts w:eastAsiaTheme="minorHAnsi"/>
          <w:noProof/>
        </w:rPr>
        <w:lastRenderedPageBreak/>
        <w:drawing>
          <wp:anchor distT="0" distB="0" distL="114300" distR="114300" simplePos="0" relativeHeight="251848704" behindDoc="0" locked="0" layoutInCell="1" allowOverlap="1" wp14:anchorId="02D73436" wp14:editId="14FAACC6">
            <wp:simplePos x="0" y="0"/>
            <wp:positionH relativeFrom="column">
              <wp:posOffset>-561975</wp:posOffset>
            </wp:positionH>
            <wp:positionV relativeFrom="paragraph">
              <wp:posOffset>314325</wp:posOffset>
            </wp:positionV>
            <wp:extent cx="9982200" cy="5448300"/>
            <wp:effectExtent l="0" t="0" r="0" b="0"/>
            <wp:wrapNone/>
            <wp:docPr id="420" name="Chart 4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r w:rsidRPr="00C90AC9">
        <w:rPr>
          <w:rFonts w:eastAsiaTheme="minorHAnsi"/>
          <w:lang w:eastAsia="en-US"/>
        </w:rPr>
        <w:t>Figure 3.</w:t>
      </w:r>
      <w:r w:rsidR="002302CC" w:rsidRPr="00C90AC9">
        <w:rPr>
          <w:rFonts w:eastAsiaTheme="minorHAnsi"/>
          <w:lang w:eastAsia="en-US"/>
        </w:rPr>
        <w:t>8</w:t>
      </w:r>
      <w:r w:rsidRPr="00C90AC9">
        <w:rPr>
          <w:rFonts w:eastAsiaTheme="minorHAnsi"/>
          <w:lang w:eastAsia="en-US"/>
        </w:rPr>
        <w:t>. Direct, Diffuse and Total Irradiance as predicted by th</w:t>
      </w:r>
      <w:r w:rsidR="00A83B59" w:rsidRPr="00C90AC9">
        <w:rPr>
          <w:rFonts w:eastAsiaTheme="minorHAnsi"/>
          <w:lang w:eastAsia="en-US"/>
        </w:rPr>
        <w:t>e MET +0Hrs 19/02/2014–</w:t>
      </w:r>
      <w:r w:rsidRPr="00C90AC9">
        <w:rPr>
          <w:rFonts w:eastAsiaTheme="minorHAnsi"/>
          <w:lang w:eastAsia="en-US"/>
        </w:rPr>
        <w:t xml:space="preserve">19/02/2015 plotted with daily averages </w:t>
      </w:r>
    </w:p>
    <w:p w:rsidR="00A16B8C" w:rsidRPr="00C90AC9" w:rsidRDefault="00A16B8C" w:rsidP="00B06779">
      <w:pPr>
        <w:rPr>
          <w:rFonts w:eastAsiaTheme="minorHAnsi"/>
          <w:lang w:eastAsia="en-US"/>
        </w:rPr>
        <w:sectPr w:rsidR="00A16B8C" w:rsidRPr="00C90AC9" w:rsidSect="008C4189">
          <w:pgSz w:w="16838" w:h="11906" w:orient="landscape"/>
          <w:pgMar w:top="1440" w:right="1440" w:bottom="1418" w:left="1440" w:header="708" w:footer="708" w:gutter="0"/>
          <w:cols w:space="708"/>
          <w:docGrid w:linePitch="360"/>
        </w:sectPr>
      </w:pPr>
      <w:r w:rsidRPr="00C90AC9">
        <w:rPr>
          <w:rFonts w:eastAsiaTheme="minorHAnsi"/>
          <w:lang w:eastAsia="en-US"/>
        </w:rPr>
        <w:t xml:space="preserve"> </w:t>
      </w:r>
    </w:p>
    <w:p w:rsidR="00D153B3" w:rsidRPr="00C90AC9" w:rsidRDefault="00F751E6" w:rsidP="00CA6E35">
      <w:pPr>
        <w:pStyle w:val="List"/>
        <w:numPr>
          <w:ilvl w:val="1"/>
          <w:numId w:val="3"/>
        </w:numPr>
        <w:ind w:hanging="720"/>
        <w:rPr>
          <w:rStyle w:val="SubtleEmphasis"/>
          <w:rFonts w:cs="Times New Roman"/>
          <w:iCs/>
          <w:szCs w:val="24"/>
        </w:rPr>
      </w:pPr>
      <w:r w:rsidRPr="00C90AC9">
        <w:rPr>
          <w:rStyle w:val="SubtleEmphasis"/>
          <w:rFonts w:cs="Times New Roman"/>
          <w:iCs/>
          <w:szCs w:val="24"/>
        </w:rPr>
        <w:lastRenderedPageBreak/>
        <w:t>Recorded i</w:t>
      </w:r>
      <w:r w:rsidR="00D153B3" w:rsidRPr="00C90AC9">
        <w:rPr>
          <w:rStyle w:val="SubtleEmphasis"/>
          <w:rFonts w:cs="Times New Roman"/>
          <w:iCs/>
          <w:szCs w:val="24"/>
        </w:rPr>
        <w:t xml:space="preserve">rradiance </w:t>
      </w:r>
      <w:r w:rsidRPr="00C90AC9">
        <w:rPr>
          <w:rStyle w:val="SubtleEmphasis"/>
          <w:rFonts w:cs="Times New Roman"/>
          <w:iCs/>
          <w:szCs w:val="24"/>
        </w:rPr>
        <w:t xml:space="preserve">at SSF throughout a year </w:t>
      </w:r>
    </w:p>
    <w:p w:rsidR="00D153B3" w:rsidRPr="00C90AC9" w:rsidRDefault="00D153B3" w:rsidP="003D456F">
      <w:pPr>
        <w:pStyle w:val="NormalWeb"/>
        <w:spacing w:before="0" w:beforeAutospacing="0" w:after="0" w:afterAutospacing="0" w:line="360" w:lineRule="auto"/>
        <w:ind w:firstLine="720"/>
        <w:rPr>
          <w:rFonts w:eastAsiaTheme="minorEastAsia"/>
          <w:kern w:val="24"/>
          <w:u w:val="single"/>
        </w:rPr>
      </w:pPr>
      <w:r w:rsidRPr="00C90AC9">
        <w:rPr>
          <w:rFonts w:eastAsiaTheme="minorEastAsia"/>
          <w:kern w:val="24"/>
        </w:rPr>
        <w:t>The next four figures show recordings made at the SSF throughout a 24hr period on four separate days throughout 2015 and show how the recordings vary through the seasons of the year. Figure 3.</w:t>
      </w:r>
      <w:r w:rsidR="00662107" w:rsidRPr="00C90AC9">
        <w:rPr>
          <w:rFonts w:eastAsiaTheme="minorEastAsia"/>
          <w:kern w:val="24"/>
        </w:rPr>
        <w:t>9</w:t>
      </w:r>
      <w:r w:rsidRPr="00C90AC9">
        <w:rPr>
          <w:rFonts w:eastAsiaTheme="minorEastAsia"/>
          <w:kern w:val="24"/>
        </w:rPr>
        <w:t xml:space="preserve"> shows the direct, diffuse and total irradiance as measured at the SSF on 01/01/2015. The solar irradiance is shown to be predominantly diffuse irradiance with direct irradiance comprising only a fraction of the total irradiance. This is to be expected at this time of year when the sun is low in the sky and thus the direct component of the irradiance is expected be low.</w:t>
      </w:r>
    </w:p>
    <w:p w:rsidR="00D153B3" w:rsidRPr="00C90AC9" w:rsidRDefault="00D153B3" w:rsidP="00D153B3">
      <w:pPr>
        <w:pStyle w:val="ListContinue"/>
        <w:spacing w:line="360" w:lineRule="auto"/>
        <w:ind w:left="0"/>
        <w:rPr>
          <w:rFonts w:eastAsiaTheme="minorHAnsi"/>
          <w:lang w:eastAsia="en-US"/>
        </w:rPr>
      </w:pPr>
      <w:r w:rsidRPr="00C90AC9">
        <w:rPr>
          <w:rFonts w:eastAsiaTheme="minorHAnsi"/>
          <w:lang w:eastAsia="en-US"/>
        </w:rPr>
        <w:t xml:space="preserve"> </w:t>
      </w:r>
    </w:p>
    <w:p w:rsidR="00D153B3" w:rsidRPr="00C90AC9" w:rsidRDefault="00132843" w:rsidP="00132843">
      <w:pPr>
        <w:pStyle w:val="ListBullet2"/>
        <w:numPr>
          <w:ilvl w:val="0"/>
          <w:numId w:val="0"/>
        </w:numPr>
        <w:spacing w:line="360" w:lineRule="auto"/>
        <w:rPr>
          <w:rFonts w:eastAsiaTheme="minorHAnsi"/>
          <w:lang w:eastAsia="en-US"/>
        </w:rPr>
      </w:pPr>
      <w:r w:rsidRPr="00C90AC9">
        <w:rPr>
          <w:kern w:val="24"/>
        </w:rPr>
        <w:t xml:space="preserve">Figure 3.10 </w:t>
      </w:r>
      <w:r w:rsidR="00D153B3" w:rsidRPr="00C90AC9">
        <w:rPr>
          <w:rFonts w:eastAsiaTheme="minorHAnsi"/>
          <w:lang w:eastAsia="en-US"/>
        </w:rPr>
        <w:t>01/01/2015</w:t>
      </w:r>
      <w:r w:rsidRPr="00C90AC9">
        <w:rPr>
          <w:rFonts w:eastAsiaTheme="minorHAnsi"/>
          <w:lang w:eastAsia="en-US"/>
        </w:rPr>
        <w:t xml:space="preserve"> 00:00 – 23:59 </w:t>
      </w:r>
      <w:r w:rsidRPr="00C90AC9">
        <w:rPr>
          <w:kern w:val="24"/>
        </w:rPr>
        <w:t>Direct, diffuse and total irradiance as measured at SFF</w:t>
      </w:r>
    </w:p>
    <w:p w:rsidR="00D153B3" w:rsidRPr="00C90AC9" w:rsidRDefault="00132843" w:rsidP="00132843">
      <w:pPr>
        <w:pStyle w:val="ListBullet2"/>
        <w:numPr>
          <w:ilvl w:val="0"/>
          <w:numId w:val="0"/>
        </w:numPr>
        <w:spacing w:line="360" w:lineRule="auto"/>
        <w:rPr>
          <w:rFonts w:eastAsiaTheme="minorHAnsi"/>
          <w:lang w:eastAsia="en-US"/>
        </w:rPr>
      </w:pPr>
      <w:r w:rsidRPr="00C90AC9">
        <w:rPr>
          <w:kern w:val="24"/>
        </w:rPr>
        <w:t xml:space="preserve">Figure 3.11 </w:t>
      </w:r>
      <w:r w:rsidR="00D153B3" w:rsidRPr="00C90AC9">
        <w:rPr>
          <w:rFonts w:eastAsiaTheme="minorHAnsi"/>
          <w:lang w:eastAsia="en-US"/>
        </w:rPr>
        <w:t>0</w:t>
      </w:r>
      <w:r w:rsidRPr="00C90AC9">
        <w:rPr>
          <w:rFonts w:eastAsiaTheme="minorHAnsi"/>
          <w:lang w:eastAsia="en-US"/>
        </w:rPr>
        <w:t>3</w:t>
      </w:r>
      <w:r w:rsidR="00D153B3" w:rsidRPr="00C90AC9">
        <w:rPr>
          <w:rFonts w:eastAsiaTheme="minorHAnsi"/>
          <w:lang w:eastAsia="en-US"/>
        </w:rPr>
        <w:t>/0</w:t>
      </w:r>
      <w:r w:rsidRPr="00C90AC9">
        <w:rPr>
          <w:rFonts w:eastAsiaTheme="minorHAnsi"/>
          <w:lang w:eastAsia="en-US"/>
        </w:rPr>
        <w:t>3</w:t>
      </w:r>
      <w:r w:rsidR="00D153B3" w:rsidRPr="00C90AC9">
        <w:rPr>
          <w:rFonts w:eastAsiaTheme="minorHAnsi"/>
          <w:lang w:eastAsia="en-US"/>
        </w:rPr>
        <w:t xml:space="preserve">/2015 00:00 – 23:59 </w:t>
      </w:r>
      <w:r w:rsidRPr="00C90AC9">
        <w:rPr>
          <w:rFonts w:eastAsiaTheme="minorHAnsi"/>
          <w:lang w:eastAsia="en-US"/>
        </w:rPr>
        <w:t>D</w:t>
      </w:r>
      <w:r w:rsidRPr="00C90AC9">
        <w:rPr>
          <w:kern w:val="24"/>
        </w:rPr>
        <w:t>irect, diffuse and total irradiance as measured at SFF</w:t>
      </w:r>
    </w:p>
    <w:p w:rsidR="00D153B3" w:rsidRPr="00C90AC9" w:rsidRDefault="00132843" w:rsidP="00132843">
      <w:pPr>
        <w:pStyle w:val="ListBullet2"/>
        <w:numPr>
          <w:ilvl w:val="0"/>
          <w:numId w:val="0"/>
        </w:numPr>
        <w:spacing w:line="360" w:lineRule="auto"/>
        <w:rPr>
          <w:rFonts w:eastAsiaTheme="minorHAnsi"/>
          <w:lang w:eastAsia="en-US"/>
        </w:rPr>
      </w:pPr>
      <w:r w:rsidRPr="00C90AC9">
        <w:rPr>
          <w:kern w:val="24"/>
        </w:rPr>
        <w:t xml:space="preserve">Figure 3.12 </w:t>
      </w:r>
      <w:r w:rsidRPr="00C90AC9">
        <w:rPr>
          <w:rFonts w:eastAsiaTheme="minorHAnsi"/>
          <w:lang w:eastAsia="en-US"/>
        </w:rPr>
        <w:t>06</w:t>
      </w:r>
      <w:r w:rsidR="00D153B3" w:rsidRPr="00C90AC9">
        <w:rPr>
          <w:rFonts w:eastAsiaTheme="minorHAnsi"/>
          <w:lang w:eastAsia="en-US"/>
        </w:rPr>
        <w:t>/0</w:t>
      </w:r>
      <w:r w:rsidRPr="00C90AC9">
        <w:rPr>
          <w:rFonts w:eastAsiaTheme="minorHAnsi"/>
          <w:lang w:eastAsia="en-US"/>
        </w:rPr>
        <w:t>6</w:t>
      </w:r>
      <w:r w:rsidR="00D153B3" w:rsidRPr="00C90AC9">
        <w:rPr>
          <w:rFonts w:eastAsiaTheme="minorHAnsi"/>
          <w:lang w:eastAsia="en-US"/>
        </w:rPr>
        <w:t>/2015 00:00 – 23</w:t>
      </w:r>
      <w:r w:rsidRPr="00C90AC9">
        <w:rPr>
          <w:rFonts w:eastAsiaTheme="minorHAnsi"/>
          <w:lang w:eastAsia="en-US"/>
        </w:rPr>
        <w:t>:59</w:t>
      </w:r>
      <w:r w:rsidR="00D153B3" w:rsidRPr="00C90AC9">
        <w:rPr>
          <w:rFonts w:eastAsiaTheme="minorHAnsi"/>
          <w:lang w:eastAsia="en-US"/>
        </w:rPr>
        <w:t xml:space="preserve"> </w:t>
      </w:r>
      <w:r w:rsidRPr="00C90AC9">
        <w:rPr>
          <w:rFonts w:eastAsiaTheme="minorHAnsi"/>
          <w:lang w:eastAsia="en-US"/>
        </w:rPr>
        <w:t>D</w:t>
      </w:r>
      <w:r w:rsidRPr="00C90AC9">
        <w:rPr>
          <w:kern w:val="24"/>
        </w:rPr>
        <w:t>irect, diffuse and total irradiance as measured at SFF</w:t>
      </w:r>
    </w:p>
    <w:p w:rsidR="00D153B3" w:rsidRPr="00C90AC9" w:rsidRDefault="00132843" w:rsidP="00132843">
      <w:pPr>
        <w:pStyle w:val="ListBullet2"/>
        <w:numPr>
          <w:ilvl w:val="0"/>
          <w:numId w:val="0"/>
        </w:numPr>
        <w:spacing w:line="360" w:lineRule="auto"/>
        <w:rPr>
          <w:rFonts w:eastAsiaTheme="minorHAnsi"/>
          <w:lang w:eastAsia="en-US"/>
        </w:rPr>
      </w:pPr>
      <w:r w:rsidRPr="00C90AC9">
        <w:rPr>
          <w:kern w:val="24"/>
        </w:rPr>
        <w:t xml:space="preserve">Figure 3.13 </w:t>
      </w:r>
      <w:r w:rsidR="00D153B3" w:rsidRPr="00C90AC9">
        <w:rPr>
          <w:rFonts w:eastAsiaTheme="minorHAnsi"/>
          <w:lang w:eastAsia="en-US"/>
        </w:rPr>
        <w:t>01/</w:t>
      </w:r>
      <w:r w:rsidRPr="00C90AC9">
        <w:rPr>
          <w:rFonts w:eastAsiaTheme="minorHAnsi"/>
          <w:lang w:eastAsia="en-US"/>
        </w:rPr>
        <w:t xml:space="preserve">09/2015 </w:t>
      </w:r>
      <w:r w:rsidR="00D153B3" w:rsidRPr="00C90AC9">
        <w:rPr>
          <w:rFonts w:eastAsiaTheme="minorHAnsi"/>
          <w:lang w:eastAsia="en-US"/>
        </w:rPr>
        <w:t>00:00 – 23:59</w:t>
      </w:r>
      <w:r w:rsidRPr="00C90AC9">
        <w:rPr>
          <w:kern w:val="24"/>
        </w:rPr>
        <w:t xml:space="preserve"> Direct, diffuse and total irradiance as measured at SFF</w:t>
      </w:r>
    </w:p>
    <w:p w:rsidR="00C87185" w:rsidRPr="00C90AC9" w:rsidRDefault="00C87185" w:rsidP="00C87185">
      <w:pPr>
        <w:pStyle w:val="NormalWeb"/>
        <w:spacing w:before="0" w:beforeAutospacing="0" w:after="0" w:afterAutospacing="0"/>
        <w:jc w:val="center"/>
        <w:rPr>
          <w:rFonts w:eastAsiaTheme="minorEastAsia"/>
          <w:kern w:val="24"/>
          <w:u w:val="single"/>
        </w:rPr>
      </w:pPr>
    </w:p>
    <w:p w:rsidR="00D153B3" w:rsidRPr="00C90AC9" w:rsidRDefault="00D153B3">
      <w:pPr>
        <w:rPr>
          <w:rFonts w:cs="Times New Roman"/>
          <w:kern w:val="24"/>
          <w:szCs w:val="24"/>
        </w:rPr>
      </w:pPr>
      <w:r w:rsidRPr="00C90AC9">
        <w:rPr>
          <w:kern w:val="24"/>
        </w:rPr>
        <w:br w:type="page"/>
      </w:r>
    </w:p>
    <w:p w:rsidR="00C87185" w:rsidRPr="00C90AC9" w:rsidRDefault="005C5B8B" w:rsidP="00C87185">
      <w:pPr>
        <w:pStyle w:val="NormalWeb"/>
        <w:spacing w:before="0" w:beforeAutospacing="0" w:after="0" w:afterAutospacing="0"/>
        <w:rPr>
          <w:rFonts w:eastAsiaTheme="minorEastAsia"/>
          <w:kern w:val="24"/>
        </w:rPr>
      </w:pPr>
      <w:r w:rsidRPr="00C90AC9">
        <w:rPr>
          <w:rFonts w:eastAsiaTheme="minorEastAsia"/>
          <w:kern w:val="24"/>
        </w:rPr>
        <w:lastRenderedPageBreak/>
        <w:t>Figure 3.</w:t>
      </w:r>
      <w:r w:rsidR="00FA1047" w:rsidRPr="00C90AC9">
        <w:rPr>
          <w:rFonts w:eastAsiaTheme="minorEastAsia"/>
          <w:kern w:val="24"/>
        </w:rPr>
        <w:t>9</w:t>
      </w:r>
      <w:r w:rsidR="00C87185" w:rsidRPr="00C90AC9">
        <w:rPr>
          <w:rFonts w:eastAsiaTheme="minorEastAsia"/>
          <w:kern w:val="24"/>
        </w:rPr>
        <w:t xml:space="preserve"> Direct, diffuse and total irradiance </w:t>
      </w:r>
      <w:r w:rsidRPr="00C90AC9">
        <w:rPr>
          <w:rFonts w:eastAsiaTheme="minorEastAsia"/>
          <w:kern w:val="24"/>
        </w:rPr>
        <w:t xml:space="preserve">as measured at the SSF on </w:t>
      </w:r>
      <w:r w:rsidR="00C87185" w:rsidRPr="00C90AC9">
        <w:rPr>
          <w:rFonts w:eastAsiaTheme="minorEastAsia"/>
          <w:kern w:val="24"/>
        </w:rPr>
        <w:t>01/01/2015</w:t>
      </w:r>
    </w:p>
    <w:p w:rsidR="00C87185" w:rsidRPr="00C90AC9" w:rsidRDefault="00C87185" w:rsidP="00C87185">
      <w:pPr>
        <w:pStyle w:val="NormalWeb"/>
        <w:spacing w:before="0" w:beforeAutospacing="0" w:after="0" w:afterAutospacing="0"/>
        <w:rPr>
          <w:rFonts w:eastAsiaTheme="minorEastAsia"/>
          <w:b/>
          <w:kern w:val="24"/>
          <w:sz w:val="22"/>
        </w:rPr>
      </w:pPr>
    </w:p>
    <w:p w:rsidR="00C87185" w:rsidRPr="00C90AC9" w:rsidRDefault="00C87185" w:rsidP="00C87185">
      <w:pPr>
        <w:pStyle w:val="NormalWeb"/>
        <w:spacing w:before="0" w:beforeAutospacing="0" w:after="0" w:afterAutospacing="0"/>
        <w:rPr>
          <w:b/>
        </w:rPr>
      </w:pPr>
      <w:r w:rsidRPr="00C90AC9">
        <w:rPr>
          <w:b/>
          <w:noProof/>
        </w:rPr>
        <w:drawing>
          <wp:inline distT="0" distB="0" distL="0" distR="0" wp14:anchorId="6FC2E166" wp14:editId="224E031D">
            <wp:extent cx="6086475" cy="7049386"/>
            <wp:effectExtent l="0" t="0" r="9525" b="18415"/>
            <wp:docPr id="448" name="Chart 4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Pr="00C90AC9">
        <w:rPr>
          <w:rFonts w:eastAsiaTheme="minorEastAsia"/>
          <w:b/>
          <w:kern w:val="24"/>
          <w:sz w:val="22"/>
        </w:rPr>
        <w:t xml:space="preserve"> </w:t>
      </w:r>
    </w:p>
    <w:p w:rsidR="00FA1047" w:rsidRPr="00C90AC9" w:rsidRDefault="00FA1047" w:rsidP="00012484">
      <w:pPr>
        <w:pStyle w:val="NormalWeb"/>
        <w:spacing w:before="0" w:beforeAutospacing="0" w:after="0" w:afterAutospacing="0" w:line="360" w:lineRule="auto"/>
        <w:rPr>
          <w:rFonts w:eastAsiaTheme="minorEastAsia"/>
          <w:kern w:val="24"/>
        </w:rPr>
      </w:pPr>
    </w:p>
    <w:p w:rsidR="005C5B8B" w:rsidRPr="00C90AC9" w:rsidRDefault="005C5B8B" w:rsidP="00012484">
      <w:pPr>
        <w:pStyle w:val="NormalWeb"/>
        <w:spacing w:before="0" w:beforeAutospacing="0" w:after="0" w:afterAutospacing="0" w:line="360" w:lineRule="auto"/>
        <w:rPr>
          <w:rFonts w:eastAsiaTheme="minorEastAsia"/>
          <w:kern w:val="24"/>
        </w:rPr>
      </w:pPr>
      <w:r w:rsidRPr="00C90AC9">
        <w:rPr>
          <w:rFonts w:eastAsiaTheme="minorEastAsia"/>
          <w:kern w:val="24"/>
        </w:rPr>
        <w:t>In Figure 3.1</w:t>
      </w:r>
      <w:r w:rsidR="00AD4D31" w:rsidRPr="00C90AC9">
        <w:rPr>
          <w:rFonts w:eastAsiaTheme="minorEastAsia"/>
          <w:kern w:val="24"/>
        </w:rPr>
        <w:t>0</w:t>
      </w:r>
      <w:r w:rsidRPr="00C90AC9">
        <w:rPr>
          <w:rFonts w:eastAsiaTheme="minorEastAsia"/>
          <w:kern w:val="24"/>
        </w:rPr>
        <w:t>. the direct, diffuse and total irradiance as measured at SFF on the 01/03/2015 and shows the spikes in solar radiation which occur between the hours of 09:00 and 14:00. Whilst some of the total solar irradiance is the direct irradiance (W/m</w:t>
      </w:r>
      <w:r w:rsidRPr="00C90AC9">
        <w:rPr>
          <w:rFonts w:eastAsiaTheme="minorEastAsia"/>
          <w:kern w:val="24"/>
          <w:vertAlign w:val="superscript"/>
        </w:rPr>
        <w:t>2</w:t>
      </w:r>
      <w:r w:rsidRPr="00C90AC9">
        <w:rPr>
          <w:rFonts w:eastAsiaTheme="minorEastAsia"/>
          <w:kern w:val="24"/>
        </w:rPr>
        <w:t xml:space="preserve">) the majority of the total irradiance is the diffuse component. </w:t>
      </w:r>
    </w:p>
    <w:p w:rsidR="005C5B8B" w:rsidRPr="00C90AC9" w:rsidRDefault="005C5B8B" w:rsidP="005C5B8B">
      <w:pPr>
        <w:pStyle w:val="NormalWeb"/>
        <w:spacing w:before="0" w:beforeAutospacing="0" w:after="0" w:afterAutospacing="0"/>
        <w:rPr>
          <w:rFonts w:eastAsiaTheme="minorEastAsia"/>
          <w:kern w:val="24"/>
        </w:rPr>
      </w:pPr>
      <w:r w:rsidRPr="00C90AC9">
        <w:rPr>
          <w:rFonts w:eastAsiaTheme="minorEastAsia"/>
          <w:kern w:val="24"/>
        </w:rPr>
        <w:lastRenderedPageBreak/>
        <w:t>Figure 3.1</w:t>
      </w:r>
      <w:r w:rsidR="00AD4D31" w:rsidRPr="00C90AC9">
        <w:rPr>
          <w:rFonts w:eastAsiaTheme="minorEastAsia"/>
          <w:kern w:val="24"/>
        </w:rPr>
        <w:t>0</w:t>
      </w:r>
      <w:r w:rsidRPr="00C90AC9">
        <w:rPr>
          <w:rFonts w:eastAsiaTheme="minorEastAsia"/>
          <w:kern w:val="24"/>
        </w:rPr>
        <w:t>. Direct, diffuse and total irradiance (W/m</w:t>
      </w:r>
      <w:r w:rsidRPr="00C90AC9">
        <w:rPr>
          <w:rFonts w:eastAsiaTheme="minorEastAsia"/>
          <w:kern w:val="24"/>
          <w:vertAlign w:val="superscript"/>
        </w:rPr>
        <w:t>2</w:t>
      </w:r>
      <w:r w:rsidRPr="00C90AC9">
        <w:rPr>
          <w:rFonts w:eastAsiaTheme="minorEastAsia"/>
          <w:kern w:val="24"/>
        </w:rPr>
        <w:t>) as measured at SSF on 01/03/2015</w:t>
      </w:r>
    </w:p>
    <w:p w:rsidR="005C5B8B" w:rsidRPr="00C90AC9" w:rsidRDefault="005C5B8B" w:rsidP="005C5B8B">
      <w:pPr>
        <w:jc w:val="center"/>
        <w:rPr>
          <w:rFonts w:cs="Times New Roman"/>
          <w:u w:val="single"/>
        </w:rPr>
        <w:sectPr w:rsidR="005C5B8B" w:rsidRPr="00C90AC9">
          <w:pgSz w:w="11906" w:h="16838"/>
          <w:pgMar w:top="1440" w:right="1440" w:bottom="1440" w:left="1440" w:header="708" w:footer="708" w:gutter="0"/>
          <w:cols w:space="708"/>
          <w:docGrid w:linePitch="360"/>
        </w:sectPr>
      </w:pPr>
    </w:p>
    <w:p w:rsidR="005C5B8B" w:rsidRPr="00C90AC9" w:rsidRDefault="005C5B8B" w:rsidP="005C5B8B">
      <w:pPr>
        <w:sectPr w:rsidR="005C5B8B" w:rsidRPr="00C90AC9" w:rsidSect="009715C7">
          <w:type w:val="continuous"/>
          <w:pgSz w:w="11906" w:h="16838"/>
          <w:pgMar w:top="1440" w:right="1440" w:bottom="1440" w:left="1440" w:header="708" w:footer="708" w:gutter="0"/>
          <w:cols w:space="708"/>
          <w:docGrid w:linePitch="360"/>
        </w:sectPr>
      </w:pPr>
    </w:p>
    <w:p w:rsidR="005C5B8B" w:rsidRPr="00C90AC9" w:rsidRDefault="001E54BF" w:rsidP="005C5B8B">
      <w:pPr>
        <w:sectPr w:rsidR="005C5B8B" w:rsidRPr="00C90AC9" w:rsidSect="009715C7">
          <w:type w:val="continuous"/>
          <w:pgSz w:w="11906" w:h="16838"/>
          <w:pgMar w:top="1440" w:right="1440" w:bottom="1440" w:left="1440" w:header="708" w:footer="708" w:gutter="0"/>
          <w:cols w:space="708"/>
          <w:docGrid w:linePitch="360"/>
        </w:sectPr>
      </w:pPr>
      <w:r w:rsidRPr="00C90AC9">
        <w:rPr>
          <w:noProof/>
        </w:rPr>
        <w:drawing>
          <wp:anchor distT="0" distB="0" distL="114300" distR="114300" simplePos="0" relativeHeight="251979776" behindDoc="0" locked="0" layoutInCell="1" allowOverlap="1" wp14:anchorId="25DA2928" wp14:editId="3D69B128">
            <wp:simplePos x="0" y="0"/>
            <wp:positionH relativeFrom="column">
              <wp:posOffset>-38100</wp:posOffset>
            </wp:positionH>
            <wp:positionV relativeFrom="paragraph">
              <wp:posOffset>19050</wp:posOffset>
            </wp:positionV>
            <wp:extent cx="5762625" cy="7867650"/>
            <wp:effectExtent l="0" t="0" r="9525" b="19050"/>
            <wp:wrapNone/>
            <wp:docPr id="449" name="Chart 4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p>
    <w:p w:rsidR="005C5B8B" w:rsidRPr="00C90AC9" w:rsidRDefault="005C5B8B" w:rsidP="001E54BF">
      <w:pPr>
        <w:rPr>
          <w:rFonts w:cs="Times New Roman"/>
          <w:b/>
        </w:rPr>
        <w:sectPr w:rsidR="005C5B8B" w:rsidRPr="00C90AC9" w:rsidSect="009715C7">
          <w:type w:val="continuous"/>
          <w:pgSz w:w="11906" w:h="16838"/>
          <w:pgMar w:top="1440" w:right="1440" w:bottom="1440" w:left="1440" w:header="708" w:footer="708" w:gutter="0"/>
          <w:cols w:space="708"/>
          <w:docGrid w:linePitch="360"/>
        </w:sectPr>
      </w:pPr>
    </w:p>
    <w:p w:rsidR="005C5B8B" w:rsidRPr="00C90AC9" w:rsidRDefault="005C5B8B" w:rsidP="005C5B8B"/>
    <w:p w:rsidR="005C5B8B" w:rsidRPr="00C90AC9" w:rsidRDefault="005C5B8B" w:rsidP="005C5B8B"/>
    <w:p w:rsidR="005C5B8B" w:rsidRPr="00C90AC9" w:rsidRDefault="005C5B8B" w:rsidP="005C5B8B">
      <w:pPr>
        <w:sectPr w:rsidR="005C5B8B" w:rsidRPr="00C90AC9" w:rsidSect="009715C7">
          <w:type w:val="continuous"/>
          <w:pgSz w:w="11906" w:h="16838"/>
          <w:pgMar w:top="1440" w:right="1440" w:bottom="1440" w:left="1440" w:header="708" w:footer="708" w:gutter="0"/>
          <w:cols w:space="708"/>
          <w:docGrid w:linePitch="360"/>
        </w:sectPr>
      </w:pPr>
    </w:p>
    <w:p w:rsidR="00BF7C4D" w:rsidRPr="00C90AC9" w:rsidRDefault="00BF7C4D" w:rsidP="00012484">
      <w:pPr>
        <w:spacing w:line="360" w:lineRule="auto"/>
      </w:pPr>
      <w:r w:rsidRPr="00C90AC9">
        <w:lastRenderedPageBreak/>
        <w:t>Figure 3.1</w:t>
      </w:r>
      <w:r w:rsidR="00AD4D31" w:rsidRPr="00C90AC9">
        <w:t>1</w:t>
      </w:r>
      <w:r w:rsidRPr="00C90AC9">
        <w:t>. shows the measured irradiance at SFF on 01/06/2015 for the full 24 hrs. The direct irradiance component is more significant on this day than what it was on the first days of January and March of 2015 as the sun is higher in the sky in June than it was in January and March</w:t>
      </w:r>
      <w:r w:rsidR="008E2DE7" w:rsidRPr="00C90AC9">
        <w:t xml:space="preserve"> and this is shown in the recorded irradiance values as shown in Figures</w:t>
      </w:r>
      <w:r w:rsidR="00772E0E" w:rsidRPr="00C90AC9">
        <w:t>:</w:t>
      </w:r>
      <w:r w:rsidR="008E2DE7" w:rsidRPr="00C90AC9">
        <w:t xml:space="preserve"> </w:t>
      </w:r>
      <w:r w:rsidR="00772E0E" w:rsidRPr="00C90AC9">
        <w:t xml:space="preserve">3.9.; 3.10.; and </w:t>
      </w:r>
      <w:proofErr w:type="gramStart"/>
      <w:r w:rsidR="008E2DE7" w:rsidRPr="00C90AC9">
        <w:t>3.11</w:t>
      </w:r>
      <w:r w:rsidRPr="00C90AC9">
        <w:t>.</w:t>
      </w:r>
      <w:r w:rsidR="00772E0E" w:rsidRPr="00C90AC9">
        <w:t>.</w:t>
      </w:r>
      <w:proofErr w:type="gramEnd"/>
    </w:p>
    <w:p w:rsidR="00A70631" w:rsidRPr="00C90AC9" w:rsidRDefault="00A70631" w:rsidP="008E2DE7">
      <w:pPr>
        <w:spacing w:line="360" w:lineRule="auto"/>
        <w:rPr>
          <w:rFonts w:cs="Times New Roman"/>
        </w:rPr>
      </w:pPr>
      <w:r w:rsidRPr="00C90AC9">
        <w:rPr>
          <w:rFonts w:cs="Times New Roman"/>
        </w:rPr>
        <w:t>Figure 3.1</w:t>
      </w:r>
      <w:r w:rsidR="00AD4D31" w:rsidRPr="00C90AC9">
        <w:rPr>
          <w:rFonts w:cs="Times New Roman"/>
        </w:rPr>
        <w:t>1</w:t>
      </w:r>
      <w:r w:rsidR="005161EC" w:rsidRPr="00C90AC9">
        <w:rPr>
          <w:rFonts w:cs="Times New Roman"/>
        </w:rPr>
        <w:t>.</w:t>
      </w:r>
      <w:r w:rsidRPr="00C90AC9">
        <w:rPr>
          <w:rFonts w:cs="Times New Roman"/>
        </w:rPr>
        <w:t xml:space="preserve"> Direct diffuse and total i</w:t>
      </w:r>
      <w:r w:rsidR="008C2881" w:rsidRPr="00C90AC9">
        <w:rPr>
          <w:rFonts w:cs="Times New Roman"/>
        </w:rPr>
        <w:t>rradiance as measured at SSF o</w:t>
      </w:r>
      <w:r w:rsidRPr="00C90AC9">
        <w:rPr>
          <w:rFonts w:cs="Times New Roman"/>
        </w:rPr>
        <w:t>n 01/06/2015</w:t>
      </w:r>
    </w:p>
    <w:p w:rsidR="00A70631" w:rsidRPr="00C90AC9" w:rsidRDefault="00A70631" w:rsidP="00A70631">
      <w:pPr>
        <w:sectPr w:rsidR="00A70631" w:rsidRPr="00C90AC9" w:rsidSect="00A70631">
          <w:pgSz w:w="11906" w:h="16838"/>
          <w:pgMar w:top="1440" w:right="1440" w:bottom="1440" w:left="1440" w:header="708" w:footer="708" w:gutter="0"/>
          <w:cols w:space="708"/>
          <w:docGrid w:linePitch="360"/>
        </w:sectPr>
      </w:pPr>
      <w:r w:rsidRPr="00C90AC9">
        <w:rPr>
          <w:rFonts w:cs="Times New Roman"/>
          <w:noProof/>
        </w:rPr>
        <w:drawing>
          <wp:inline distT="0" distB="0" distL="0" distR="0" wp14:anchorId="1ABE2C44" wp14:editId="0CB4F34A">
            <wp:extent cx="5734050" cy="6981825"/>
            <wp:effectExtent l="0" t="0" r="0" b="9525"/>
            <wp:docPr id="451" name="Chart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BF7C4D" w:rsidRPr="00C90AC9" w:rsidRDefault="00BF7C4D" w:rsidP="00012484">
      <w:pPr>
        <w:spacing w:line="360" w:lineRule="auto"/>
      </w:pPr>
      <w:r w:rsidRPr="00C90AC9">
        <w:lastRenderedPageBreak/>
        <w:t>In Figure 3.1</w:t>
      </w:r>
      <w:r w:rsidR="00AD4D31" w:rsidRPr="00C90AC9">
        <w:t>2</w:t>
      </w:r>
      <w:r w:rsidR="001E54BF" w:rsidRPr="00C90AC9">
        <w:t>. the measured direct, diffuse and total irradiance, at SSF on 01/09/2014 for the full 24hrs. The direct component is only marginal</w:t>
      </w:r>
      <w:r w:rsidR="00772E0E" w:rsidRPr="00C90AC9">
        <w:t xml:space="preserve"> throughout the day, hardly rising above 100W/m</w:t>
      </w:r>
      <w:r w:rsidR="00772E0E" w:rsidRPr="00C90AC9">
        <w:rPr>
          <w:rFonts w:cs="Times New Roman"/>
        </w:rPr>
        <w:t>²</w:t>
      </w:r>
      <w:r w:rsidR="001E54BF" w:rsidRPr="00C90AC9">
        <w:t xml:space="preserve"> as the sun is low in the sky and so the diffuse component of irradiance </w:t>
      </w:r>
      <w:r w:rsidR="00772E0E" w:rsidRPr="00C90AC9">
        <w:t>comprises t</w:t>
      </w:r>
      <w:r w:rsidR="001E54BF" w:rsidRPr="00C90AC9">
        <w:t xml:space="preserve">he majority of the total. </w:t>
      </w:r>
    </w:p>
    <w:p w:rsidR="00BF7C4D" w:rsidRPr="00C90AC9" w:rsidRDefault="00BF7C4D" w:rsidP="00BF7C4D">
      <w:pPr>
        <w:jc w:val="left"/>
      </w:pPr>
      <w:r w:rsidRPr="00C90AC9">
        <w:t>Figure 3.1</w:t>
      </w:r>
      <w:r w:rsidR="00AD4D31" w:rsidRPr="00C90AC9">
        <w:t>2</w:t>
      </w:r>
      <w:r w:rsidRPr="00C90AC9">
        <w:t>. Direct diffuse and total irradiance as measured at SSF on 01/09/2014</w:t>
      </w:r>
    </w:p>
    <w:p w:rsidR="00772E0E" w:rsidRPr="00C90AC9" w:rsidRDefault="00BF7C4D" w:rsidP="00A70631">
      <w:r w:rsidRPr="00C90AC9">
        <w:rPr>
          <w:noProof/>
        </w:rPr>
        <w:drawing>
          <wp:inline distT="0" distB="0" distL="0" distR="0" wp14:anchorId="14E61568" wp14:editId="59D0011C">
            <wp:extent cx="5734050" cy="6791325"/>
            <wp:effectExtent l="0" t="0" r="0" b="9525"/>
            <wp:docPr id="453" name="Chart 4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772E0E" w:rsidRPr="00C90AC9" w:rsidRDefault="00772E0E">
      <w:r w:rsidRPr="00C90AC9">
        <w:br w:type="page"/>
      </w:r>
    </w:p>
    <w:p w:rsidR="000B03D1" w:rsidRPr="00C90AC9" w:rsidRDefault="000B03D1" w:rsidP="00C646CA">
      <w:pPr>
        <w:pStyle w:val="BodyText"/>
        <w:numPr>
          <w:ilvl w:val="1"/>
          <w:numId w:val="3"/>
        </w:numPr>
        <w:ind w:hanging="720"/>
        <w:rPr>
          <w:rStyle w:val="SubtleEmphasis"/>
          <w:rFonts w:cs="Times New Roman"/>
          <w:iCs/>
          <w:sz w:val="24"/>
          <w:szCs w:val="24"/>
        </w:rPr>
      </w:pPr>
      <w:r w:rsidRPr="00C90AC9">
        <w:rPr>
          <w:rStyle w:val="SubtleEmphasis"/>
          <w:rFonts w:cs="Times New Roman"/>
          <w:iCs/>
          <w:szCs w:val="24"/>
        </w:rPr>
        <w:lastRenderedPageBreak/>
        <w:t xml:space="preserve">Options for choice of </w:t>
      </w:r>
      <w:r w:rsidR="00D61146" w:rsidRPr="00C90AC9">
        <w:rPr>
          <w:rStyle w:val="SubtleEmphasis"/>
          <w:rFonts w:cs="Times New Roman"/>
          <w:iCs/>
          <w:szCs w:val="24"/>
        </w:rPr>
        <w:t>Tapping Cycle</w:t>
      </w:r>
    </w:p>
    <w:p w:rsidR="007709B1" w:rsidRPr="00C90AC9" w:rsidRDefault="007709B1" w:rsidP="00ED3F45">
      <w:pPr>
        <w:pStyle w:val="BodyTextFirstIndent"/>
        <w:spacing w:line="360" w:lineRule="auto"/>
        <w:rPr>
          <w:rFonts w:cs="Times New Roman"/>
        </w:rPr>
      </w:pPr>
      <w:r w:rsidRPr="00C90AC9">
        <w:rPr>
          <w:rFonts w:cs="Times New Roman"/>
        </w:rPr>
        <w:t>The decision about which Tapping Choice to implement is dependent on the predicted weather for today (0Hr) and tomorrow (24Hr</w:t>
      </w:r>
      <w:r w:rsidR="005F0D69" w:rsidRPr="00C90AC9">
        <w:rPr>
          <w:rFonts w:cs="Times New Roman"/>
        </w:rPr>
        <w:t>). If:</w:t>
      </w:r>
    </w:p>
    <w:p w:rsidR="007709B1" w:rsidRPr="00C90AC9" w:rsidRDefault="007709B1" w:rsidP="00CA6E35">
      <w:pPr>
        <w:pStyle w:val="ListParagraph"/>
        <w:numPr>
          <w:ilvl w:val="0"/>
          <w:numId w:val="18"/>
        </w:numPr>
        <w:spacing w:line="360" w:lineRule="auto"/>
        <w:rPr>
          <w:rFonts w:ascii="Times New Roman" w:hAnsi="Times New Roman" w:cs="Times New Roman"/>
        </w:rPr>
      </w:pPr>
      <w:r w:rsidRPr="00C90AC9">
        <w:rPr>
          <w:rFonts w:ascii="Times New Roman" w:hAnsi="Times New Roman" w:cs="Times New Roman"/>
        </w:rPr>
        <w:t>Total Irradiance is below 2kWh /m</w:t>
      </w:r>
      <w:r w:rsidRPr="00C90AC9">
        <w:rPr>
          <w:rFonts w:ascii="Times New Roman" w:hAnsi="Times New Roman" w:cs="Times New Roman"/>
          <w:vertAlign w:val="superscript"/>
        </w:rPr>
        <w:t>2</w:t>
      </w:r>
      <w:r w:rsidRPr="00C90AC9">
        <w:rPr>
          <w:rFonts w:ascii="Times New Roman" w:hAnsi="Times New Roman" w:cs="Times New Roman"/>
        </w:rPr>
        <w:t>/day this is classed as being low.</w:t>
      </w:r>
    </w:p>
    <w:p w:rsidR="007709B1" w:rsidRPr="00C90AC9" w:rsidRDefault="007709B1" w:rsidP="00CA6E35">
      <w:pPr>
        <w:pStyle w:val="ListParagraph"/>
        <w:numPr>
          <w:ilvl w:val="0"/>
          <w:numId w:val="18"/>
        </w:numPr>
        <w:spacing w:line="360" w:lineRule="auto"/>
        <w:rPr>
          <w:rFonts w:ascii="Times New Roman" w:hAnsi="Times New Roman" w:cs="Times New Roman"/>
        </w:rPr>
      </w:pPr>
      <w:r w:rsidRPr="00C90AC9">
        <w:rPr>
          <w:rFonts w:ascii="Times New Roman" w:hAnsi="Times New Roman" w:cs="Times New Roman"/>
        </w:rPr>
        <w:t>Total irradiance is 2kWh /m</w:t>
      </w:r>
      <w:r w:rsidRPr="00C90AC9">
        <w:rPr>
          <w:rFonts w:ascii="Times New Roman" w:hAnsi="Times New Roman" w:cs="Times New Roman"/>
          <w:vertAlign w:val="superscript"/>
        </w:rPr>
        <w:t>2</w:t>
      </w:r>
      <w:r w:rsidRPr="00C90AC9">
        <w:rPr>
          <w:rFonts w:ascii="Times New Roman" w:hAnsi="Times New Roman" w:cs="Times New Roman"/>
        </w:rPr>
        <w:t>/day – 4kWh /m</w:t>
      </w:r>
      <w:r w:rsidRPr="00C90AC9">
        <w:rPr>
          <w:rFonts w:ascii="Times New Roman" w:hAnsi="Times New Roman" w:cs="Times New Roman"/>
          <w:vertAlign w:val="superscript"/>
        </w:rPr>
        <w:t>2</w:t>
      </w:r>
      <w:r w:rsidRPr="00C90AC9">
        <w:rPr>
          <w:rFonts w:ascii="Times New Roman" w:hAnsi="Times New Roman" w:cs="Times New Roman"/>
        </w:rPr>
        <w:t>/day this is classed as being medium.</w:t>
      </w:r>
    </w:p>
    <w:p w:rsidR="007709B1" w:rsidRPr="00C90AC9" w:rsidRDefault="007709B1" w:rsidP="00CA6E35">
      <w:pPr>
        <w:pStyle w:val="ListParagraph"/>
        <w:numPr>
          <w:ilvl w:val="0"/>
          <w:numId w:val="18"/>
        </w:numPr>
        <w:spacing w:line="360" w:lineRule="auto"/>
        <w:rPr>
          <w:rFonts w:ascii="Times New Roman" w:hAnsi="Times New Roman" w:cs="Times New Roman"/>
        </w:rPr>
      </w:pPr>
      <w:r w:rsidRPr="00C90AC9">
        <w:rPr>
          <w:rFonts w:ascii="Times New Roman" w:hAnsi="Times New Roman" w:cs="Times New Roman"/>
        </w:rPr>
        <w:t>Total Irradiance as above 4kWh /m</w:t>
      </w:r>
      <w:r w:rsidRPr="00C90AC9">
        <w:rPr>
          <w:rFonts w:ascii="Times New Roman" w:hAnsi="Times New Roman" w:cs="Times New Roman"/>
          <w:vertAlign w:val="superscript"/>
        </w:rPr>
        <w:t>2</w:t>
      </w:r>
      <w:r w:rsidRPr="00C90AC9">
        <w:rPr>
          <w:rFonts w:ascii="Times New Roman" w:hAnsi="Times New Roman" w:cs="Times New Roman"/>
        </w:rPr>
        <w:t>/day this is classed as being high.</w:t>
      </w:r>
    </w:p>
    <w:p w:rsidR="007709B1" w:rsidRPr="00C90AC9" w:rsidRDefault="007709B1" w:rsidP="00ED3F45">
      <w:pPr>
        <w:pStyle w:val="BodyText"/>
        <w:spacing w:line="360" w:lineRule="auto"/>
        <w:rPr>
          <w:rFonts w:cs="Times New Roman"/>
        </w:rPr>
      </w:pPr>
      <w:r w:rsidRPr="00C90AC9">
        <w:rPr>
          <w:rFonts w:cs="Times New Roman"/>
        </w:rPr>
        <w:t>With these ranges it is possible to use the predicted weather for the next 24Hrs from the MET Office and compare it with today’s predicted weather (0Hr) from the MET Office. Using Table 3.</w:t>
      </w:r>
      <w:r w:rsidR="00153D7C">
        <w:rPr>
          <w:rFonts w:cs="Times New Roman"/>
        </w:rPr>
        <w:t>2.</w:t>
      </w:r>
      <w:r w:rsidRPr="00C90AC9">
        <w:rPr>
          <w:rFonts w:cs="Times New Roman"/>
        </w:rPr>
        <w:t xml:space="preserve"> it is then possible to </w:t>
      </w:r>
      <w:r w:rsidR="00DE49B0" w:rsidRPr="00C90AC9">
        <w:rPr>
          <w:rFonts w:cs="Times New Roman"/>
        </w:rPr>
        <w:t>decide</w:t>
      </w:r>
      <w:r w:rsidRPr="00C90AC9">
        <w:rPr>
          <w:rFonts w:cs="Times New Roman"/>
        </w:rPr>
        <w:t xml:space="preserve"> about which Tapping Cycle to use today based on the predicted weather for today and tomorrow.</w:t>
      </w:r>
    </w:p>
    <w:p w:rsidR="000D7762" w:rsidRPr="00C90AC9" w:rsidRDefault="000D7762" w:rsidP="00B06779">
      <w:pPr>
        <w:pStyle w:val="BodyText"/>
        <w:rPr>
          <w:rFonts w:cs="Times New Roman"/>
        </w:rPr>
      </w:pPr>
    </w:p>
    <w:p w:rsidR="003F0EE6" w:rsidRPr="00C90AC9" w:rsidRDefault="007709B1" w:rsidP="00B06779">
      <w:pPr>
        <w:rPr>
          <w:rFonts w:cs="Times New Roman"/>
        </w:rPr>
      </w:pPr>
      <w:r w:rsidRPr="00C90AC9">
        <w:rPr>
          <w:rFonts w:cs="Times New Roman"/>
        </w:rPr>
        <w:t>Table 3.</w:t>
      </w:r>
      <w:r w:rsidR="00153D7C">
        <w:rPr>
          <w:rFonts w:cs="Times New Roman"/>
        </w:rPr>
        <w:t>2.</w:t>
      </w:r>
      <w:r w:rsidRPr="00C90AC9">
        <w:rPr>
          <w:rFonts w:cs="Times New Roman"/>
        </w:rPr>
        <w:t xml:space="preserve"> Options for Tapping Cycle choice</w:t>
      </w:r>
    </w:p>
    <w:tbl>
      <w:tblPr>
        <w:tblStyle w:val="TableGrid"/>
        <w:tblW w:w="8789" w:type="dxa"/>
        <w:tblInd w:w="250" w:type="dxa"/>
        <w:tblLook w:val="04A0" w:firstRow="1" w:lastRow="0" w:firstColumn="1" w:lastColumn="0" w:noHBand="0" w:noVBand="1"/>
      </w:tblPr>
      <w:tblGrid>
        <w:gridCol w:w="3827"/>
        <w:gridCol w:w="1753"/>
        <w:gridCol w:w="1754"/>
        <w:gridCol w:w="1455"/>
      </w:tblGrid>
      <w:tr w:rsidR="007709B1" w:rsidRPr="00C90AC9" w:rsidTr="003F0EE6">
        <w:trPr>
          <w:trHeight w:val="792"/>
        </w:trPr>
        <w:tc>
          <w:tcPr>
            <w:tcW w:w="3827" w:type="dxa"/>
            <w:tcBorders>
              <w:tl2br w:val="single" w:sz="4" w:space="0" w:color="auto"/>
            </w:tcBorders>
          </w:tcPr>
          <w:p w:rsidR="007709B1" w:rsidRPr="00C90AC9" w:rsidRDefault="007709B1" w:rsidP="0093376F">
            <w:pPr>
              <w:jc w:val="center"/>
              <w:rPr>
                <w:rFonts w:cs="Times New Roman"/>
              </w:rPr>
            </w:pPr>
            <w:r w:rsidRPr="00C90AC9">
              <w:rPr>
                <w:rFonts w:cs="Times New Roman"/>
              </w:rPr>
              <w:t>Today’s Weather</w:t>
            </w:r>
          </w:p>
          <w:p w:rsidR="007709B1" w:rsidRPr="00C90AC9" w:rsidRDefault="007709B1" w:rsidP="0093376F">
            <w:pPr>
              <w:jc w:val="center"/>
              <w:rPr>
                <w:rFonts w:cs="Times New Roman"/>
              </w:rPr>
            </w:pPr>
          </w:p>
          <w:p w:rsidR="007709B1" w:rsidRPr="00C90AC9" w:rsidRDefault="007709B1" w:rsidP="0093376F">
            <w:pPr>
              <w:jc w:val="center"/>
              <w:rPr>
                <w:rFonts w:cs="Times New Roman"/>
              </w:rPr>
            </w:pPr>
            <w:r w:rsidRPr="00C90AC9">
              <w:rPr>
                <w:rFonts w:cs="Times New Roman"/>
              </w:rPr>
              <w:t>Tomorrow’s Weather</w:t>
            </w:r>
          </w:p>
        </w:tc>
        <w:tc>
          <w:tcPr>
            <w:tcW w:w="1753" w:type="dxa"/>
            <w:vAlign w:val="center"/>
          </w:tcPr>
          <w:p w:rsidR="007709B1" w:rsidRPr="00C90AC9" w:rsidRDefault="007709B1" w:rsidP="0093376F">
            <w:pPr>
              <w:jc w:val="center"/>
              <w:rPr>
                <w:rFonts w:cs="Times New Roman"/>
              </w:rPr>
            </w:pPr>
            <w:r w:rsidRPr="00C90AC9">
              <w:rPr>
                <w:rFonts w:cs="Times New Roman"/>
              </w:rPr>
              <w:t>Predicted high irradiance</w:t>
            </w:r>
          </w:p>
        </w:tc>
        <w:tc>
          <w:tcPr>
            <w:tcW w:w="1754" w:type="dxa"/>
            <w:vAlign w:val="center"/>
          </w:tcPr>
          <w:p w:rsidR="007709B1" w:rsidRPr="00C90AC9" w:rsidRDefault="007709B1" w:rsidP="0093376F">
            <w:pPr>
              <w:jc w:val="center"/>
              <w:rPr>
                <w:rFonts w:cs="Times New Roman"/>
              </w:rPr>
            </w:pPr>
            <w:r w:rsidRPr="00C90AC9">
              <w:rPr>
                <w:rFonts w:cs="Times New Roman"/>
              </w:rPr>
              <w:t>Predicted medium irradiance</w:t>
            </w:r>
          </w:p>
        </w:tc>
        <w:tc>
          <w:tcPr>
            <w:tcW w:w="1455" w:type="dxa"/>
            <w:vAlign w:val="center"/>
          </w:tcPr>
          <w:p w:rsidR="007709B1" w:rsidRPr="00C90AC9" w:rsidRDefault="007709B1" w:rsidP="0093376F">
            <w:pPr>
              <w:jc w:val="center"/>
              <w:rPr>
                <w:rFonts w:cs="Times New Roman"/>
              </w:rPr>
            </w:pPr>
            <w:r w:rsidRPr="00C90AC9">
              <w:rPr>
                <w:rFonts w:cs="Times New Roman"/>
              </w:rPr>
              <w:t>Predicted low irradiance</w:t>
            </w:r>
          </w:p>
        </w:tc>
      </w:tr>
      <w:tr w:rsidR="007709B1" w:rsidRPr="00C90AC9" w:rsidTr="003F0EE6">
        <w:trPr>
          <w:trHeight w:val="792"/>
        </w:trPr>
        <w:tc>
          <w:tcPr>
            <w:tcW w:w="3827" w:type="dxa"/>
            <w:vAlign w:val="center"/>
          </w:tcPr>
          <w:p w:rsidR="007709B1" w:rsidRPr="00C90AC9" w:rsidRDefault="007709B1" w:rsidP="0093376F">
            <w:pPr>
              <w:jc w:val="center"/>
              <w:rPr>
                <w:rFonts w:cs="Times New Roman"/>
              </w:rPr>
            </w:pPr>
            <w:r w:rsidRPr="00C90AC9">
              <w:rPr>
                <w:rFonts w:cs="Times New Roman"/>
              </w:rPr>
              <w:t>Predicted high irradiance</w:t>
            </w:r>
          </w:p>
        </w:tc>
        <w:tc>
          <w:tcPr>
            <w:tcW w:w="1753" w:type="dxa"/>
            <w:vAlign w:val="center"/>
          </w:tcPr>
          <w:p w:rsidR="007709B1" w:rsidRPr="00C90AC9" w:rsidRDefault="007709B1" w:rsidP="0093376F">
            <w:pPr>
              <w:jc w:val="center"/>
              <w:rPr>
                <w:rFonts w:cs="Times New Roman"/>
              </w:rPr>
            </w:pPr>
            <w:r w:rsidRPr="00C90AC9">
              <w:rPr>
                <w:rFonts w:cs="Times New Roman"/>
              </w:rPr>
              <w:t>Tapping Cycle #1</w:t>
            </w:r>
          </w:p>
        </w:tc>
        <w:tc>
          <w:tcPr>
            <w:tcW w:w="1754" w:type="dxa"/>
            <w:vAlign w:val="center"/>
          </w:tcPr>
          <w:p w:rsidR="007709B1" w:rsidRPr="00C90AC9" w:rsidRDefault="007709B1" w:rsidP="0093376F">
            <w:pPr>
              <w:jc w:val="center"/>
              <w:rPr>
                <w:rFonts w:cs="Times New Roman"/>
              </w:rPr>
            </w:pPr>
            <w:r w:rsidRPr="00C90AC9">
              <w:rPr>
                <w:rFonts w:cs="Times New Roman"/>
              </w:rPr>
              <w:t>Tapping Cycle #1</w:t>
            </w:r>
          </w:p>
        </w:tc>
        <w:tc>
          <w:tcPr>
            <w:tcW w:w="1455" w:type="dxa"/>
            <w:vAlign w:val="center"/>
          </w:tcPr>
          <w:p w:rsidR="007709B1" w:rsidRPr="00C90AC9" w:rsidRDefault="007709B1" w:rsidP="0093376F">
            <w:pPr>
              <w:jc w:val="center"/>
              <w:rPr>
                <w:rFonts w:cs="Times New Roman"/>
              </w:rPr>
            </w:pPr>
            <w:r w:rsidRPr="00C90AC9">
              <w:rPr>
                <w:rFonts w:cs="Times New Roman"/>
              </w:rPr>
              <w:t>Tapping Cycle #2</w:t>
            </w:r>
          </w:p>
        </w:tc>
      </w:tr>
      <w:tr w:rsidR="007709B1" w:rsidRPr="00C90AC9" w:rsidTr="003F0EE6">
        <w:trPr>
          <w:trHeight w:val="792"/>
        </w:trPr>
        <w:tc>
          <w:tcPr>
            <w:tcW w:w="3827" w:type="dxa"/>
            <w:vAlign w:val="center"/>
          </w:tcPr>
          <w:p w:rsidR="007709B1" w:rsidRPr="00C90AC9" w:rsidRDefault="007709B1" w:rsidP="0093376F">
            <w:pPr>
              <w:jc w:val="center"/>
              <w:rPr>
                <w:rFonts w:cs="Times New Roman"/>
              </w:rPr>
            </w:pPr>
            <w:r w:rsidRPr="00C90AC9">
              <w:rPr>
                <w:rFonts w:cs="Times New Roman"/>
              </w:rPr>
              <w:t>Predicted medium irradiance</w:t>
            </w:r>
          </w:p>
        </w:tc>
        <w:tc>
          <w:tcPr>
            <w:tcW w:w="1753" w:type="dxa"/>
            <w:vAlign w:val="center"/>
          </w:tcPr>
          <w:p w:rsidR="007709B1" w:rsidRPr="00C90AC9" w:rsidRDefault="007709B1" w:rsidP="0093376F">
            <w:pPr>
              <w:jc w:val="center"/>
              <w:rPr>
                <w:rFonts w:cs="Times New Roman"/>
              </w:rPr>
            </w:pPr>
            <w:r w:rsidRPr="00C90AC9">
              <w:rPr>
                <w:rFonts w:cs="Times New Roman"/>
              </w:rPr>
              <w:t>Tapping Cycle #1</w:t>
            </w:r>
          </w:p>
        </w:tc>
        <w:tc>
          <w:tcPr>
            <w:tcW w:w="1754" w:type="dxa"/>
            <w:vAlign w:val="center"/>
          </w:tcPr>
          <w:p w:rsidR="007709B1" w:rsidRPr="00C90AC9" w:rsidRDefault="007709B1" w:rsidP="0093376F">
            <w:pPr>
              <w:jc w:val="center"/>
              <w:rPr>
                <w:rFonts w:cs="Times New Roman"/>
              </w:rPr>
            </w:pPr>
            <w:r w:rsidRPr="00C90AC9">
              <w:rPr>
                <w:rFonts w:cs="Times New Roman"/>
              </w:rPr>
              <w:t>Tapping Cycle #2</w:t>
            </w:r>
          </w:p>
        </w:tc>
        <w:tc>
          <w:tcPr>
            <w:tcW w:w="1455" w:type="dxa"/>
            <w:vAlign w:val="center"/>
          </w:tcPr>
          <w:p w:rsidR="007709B1" w:rsidRPr="00C90AC9" w:rsidRDefault="007709B1" w:rsidP="0093376F">
            <w:pPr>
              <w:jc w:val="center"/>
              <w:rPr>
                <w:rFonts w:cs="Times New Roman"/>
              </w:rPr>
            </w:pPr>
            <w:r w:rsidRPr="00C90AC9">
              <w:rPr>
                <w:rFonts w:cs="Times New Roman"/>
              </w:rPr>
              <w:t>Tapping Cycle #3</w:t>
            </w:r>
          </w:p>
        </w:tc>
      </w:tr>
      <w:tr w:rsidR="007709B1" w:rsidRPr="00C90AC9" w:rsidTr="003F0EE6">
        <w:trPr>
          <w:trHeight w:val="792"/>
        </w:trPr>
        <w:tc>
          <w:tcPr>
            <w:tcW w:w="3827" w:type="dxa"/>
            <w:vAlign w:val="center"/>
          </w:tcPr>
          <w:p w:rsidR="007709B1" w:rsidRPr="00C90AC9" w:rsidRDefault="007709B1" w:rsidP="0093376F">
            <w:pPr>
              <w:jc w:val="center"/>
              <w:rPr>
                <w:rFonts w:cs="Times New Roman"/>
              </w:rPr>
            </w:pPr>
            <w:r w:rsidRPr="00C90AC9">
              <w:rPr>
                <w:rFonts w:cs="Times New Roman"/>
              </w:rPr>
              <w:t>Predicted low irradiance</w:t>
            </w:r>
          </w:p>
        </w:tc>
        <w:tc>
          <w:tcPr>
            <w:tcW w:w="1753" w:type="dxa"/>
            <w:vAlign w:val="center"/>
          </w:tcPr>
          <w:p w:rsidR="007709B1" w:rsidRPr="00C90AC9" w:rsidRDefault="007709B1" w:rsidP="0093376F">
            <w:pPr>
              <w:jc w:val="center"/>
              <w:rPr>
                <w:rFonts w:cs="Times New Roman"/>
              </w:rPr>
            </w:pPr>
            <w:r w:rsidRPr="00C90AC9">
              <w:rPr>
                <w:rFonts w:cs="Times New Roman"/>
              </w:rPr>
              <w:t>Tapping Cycle #2</w:t>
            </w:r>
          </w:p>
        </w:tc>
        <w:tc>
          <w:tcPr>
            <w:tcW w:w="1754" w:type="dxa"/>
            <w:vAlign w:val="center"/>
          </w:tcPr>
          <w:p w:rsidR="007709B1" w:rsidRPr="00C90AC9" w:rsidRDefault="007709B1" w:rsidP="0093376F">
            <w:pPr>
              <w:jc w:val="center"/>
              <w:rPr>
                <w:rFonts w:cs="Times New Roman"/>
              </w:rPr>
            </w:pPr>
            <w:r w:rsidRPr="00C90AC9">
              <w:rPr>
                <w:rFonts w:cs="Times New Roman"/>
              </w:rPr>
              <w:t>Tapping Cycle #3</w:t>
            </w:r>
          </w:p>
        </w:tc>
        <w:tc>
          <w:tcPr>
            <w:tcW w:w="1455" w:type="dxa"/>
            <w:vAlign w:val="center"/>
          </w:tcPr>
          <w:p w:rsidR="007709B1" w:rsidRPr="00C90AC9" w:rsidRDefault="007709B1" w:rsidP="0093376F">
            <w:pPr>
              <w:jc w:val="center"/>
              <w:rPr>
                <w:rFonts w:cs="Times New Roman"/>
              </w:rPr>
            </w:pPr>
            <w:r w:rsidRPr="00C90AC9">
              <w:rPr>
                <w:rFonts w:cs="Times New Roman"/>
              </w:rPr>
              <w:t>Tapping Cycle #3</w:t>
            </w:r>
          </w:p>
        </w:tc>
      </w:tr>
    </w:tbl>
    <w:p w:rsidR="007709B1" w:rsidRPr="00C90AC9" w:rsidRDefault="007709B1" w:rsidP="00B06779">
      <w:pPr>
        <w:rPr>
          <w:rFonts w:eastAsiaTheme="minorHAnsi" w:cs="Times New Roman"/>
        </w:rPr>
      </w:pPr>
    </w:p>
    <w:p w:rsidR="007709B1" w:rsidRPr="00C90AC9" w:rsidRDefault="007709B1" w:rsidP="00ED3F45">
      <w:pPr>
        <w:pStyle w:val="BodyText"/>
        <w:spacing w:line="360" w:lineRule="auto"/>
        <w:rPr>
          <w:rFonts w:eastAsiaTheme="minorHAnsi" w:cs="Times New Roman"/>
        </w:rPr>
      </w:pPr>
      <w:r w:rsidRPr="00C90AC9">
        <w:rPr>
          <w:rFonts w:eastAsiaTheme="minorHAnsi" w:cs="Times New Roman"/>
        </w:rPr>
        <w:t xml:space="preserve">The decision about which Tapping Cycle is most appropriate to use for the coming day is only made one the predicted weather for today and tomorrow. It does not </w:t>
      </w:r>
      <w:r w:rsidR="00C646CA" w:rsidRPr="00C90AC9">
        <w:rPr>
          <w:rFonts w:eastAsiaTheme="minorHAnsi" w:cs="Times New Roman"/>
        </w:rPr>
        <w:t>consider</w:t>
      </w:r>
      <w:r w:rsidRPr="00C90AC9">
        <w:rPr>
          <w:rFonts w:eastAsiaTheme="minorHAnsi" w:cs="Times New Roman"/>
        </w:rPr>
        <w:t xml:space="preserve"> the previous Tapping Cycles that have occurred, but only matches the most appropriate Tapping Cycle with regards to the predicted weather and the total daily consumption of each Tapping Cycle.</w:t>
      </w:r>
      <w:r w:rsidR="005F0D69" w:rsidRPr="00C90AC9">
        <w:rPr>
          <w:rFonts w:eastAsiaTheme="minorHAnsi" w:cs="Times New Roman"/>
        </w:rPr>
        <w:t xml:space="preserve"> T</w:t>
      </w:r>
      <w:r w:rsidRPr="00C90AC9">
        <w:rPr>
          <w:rFonts w:eastAsiaTheme="minorHAnsi" w:cs="Times New Roman"/>
        </w:rPr>
        <w:t xml:space="preserve">he three Tapping Cycles are shown in Figure </w:t>
      </w:r>
      <w:r w:rsidR="003A4966" w:rsidRPr="00C90AC9">
        <w:rPr>
          <w:rFonts w:eastAsiaTheme="minorHAnsi" w:cs="Times New Roman"/>
        </w:rPr>
        <w:t>3.1</w:t>
      </w:r>
      <w:r w:rsidR="00AD4D31" w:rsidRPr="00C90AC9">
        <w:rPr>
          <w:rFonts w:eastAsiaTheme="minorHAnsi" w:cs="Times New Roman"/>
        </w:rPr>
        <w:t>3</w:t>
      </w:r>
      <w:r w:rsidR="003A4966" w:rsidRPr="00C90AC9">
        <w:rPr>
          <w:rFonts w:eastAsiaTheme="minorHAnsi" w:cs="Times New Roman"/>
        </w:rPr>
        <w:t xml:space="preserve">. throughout a </w:t>
      </w:r>
      <w:r w:rsidR="00495C25" w:rsidRPr="00C90AC9">
        <w:rPr>
          <w:rFonts w:eastAsiaTheme="minorHAnsi" w:cs="Times New Roman"/>
        </w:rPr>
        <w:t>24-hour</w:t>
      </w:r>
      <w:r w:rsidR="003A4966" w:rsidRPr="00C90AC9">
        <w:rPr>
          <w:rFonts w:eastAsiaTheme="minorHAnsi" w:cs="Times New Roman"/>
        </w:rPr>
        <w:t xml:space="preserve"> period</w:t>
      </w:r>
      <w:r w:rsidR="0096033E" w:rsidRPr="00C90AC9">
        <w:rPr>
          <w:rFonts w:eastAsiaTheme="minorHAnsi" w:cs="Times New Roman"/>
        </w:rPr>
        <w:t>,</w:t>
      </w:r>
      <w:r w:rsidR="003A4966" w:rsidRPr="00C90AC9">
        <w:rPr>
          <w:rFonts w:eastAsiaTheme="minorHAnsi" w:cs="Times New Roman"/>
        </w:rPr>
        <w:t xml:space="preserve"> with the consumption volumes and the time of day when the consumption occurs</w:t>
      </w:r>
      <w:r w:rsidR="0096033E" w:rsidRPr="00C90AC9">
        <w:rPr>
          <w:rFonts w:eastAsiaTheme="minorHAnsi" w:cs="Times New Roman"/>
        </w:rPr>
        <w:t xml:space="preserve"> shown</w:t>
      </w:r>
      <w:r w:rsidR="003A4966" w:rsidRPr="00C90AC9">
        <w:rPr>
          <w:rFonts w:eastAsiaTheme="minorHAnsi" w:cs="Times New Roman"/>
        </w:rPr>
        <w:t>.</w:t>
      </w:r>
    </w:p>
    <w:p w:rsidR="007709B1" w:rsidRPr="00C90AC9" w:rsidRDefault="007709B1" w:rsidP="00B06779">
      <w:pPr>
        <w:rPr>
          <w:rFonts w:eastAsiaTheme="minorHAnsi" w:cs="Times New Roman"/>
        </w:rPr>
      </w:pPr>
    </w:p>
    <w:p w:rsidR="007709B1" w:rsidRPr="00C90AC9" w:rsidRDefault="003A4966" w:rsidP="00B06779">
      <w:pPr>
        <w:rPr>
          <w:rFonts w:eastAsiaTheme="minorHAnsi" w:cs="Times New Roman"/>
          <w:b/>
        </w:rPr>
      </w:pPr>
      <w:r w:rsidRPr="00C90AC9">
        <w:rPr>
          <w:rFonts w:eastAsiaTheme="minorHAnsi" w:cs="Times New Roman"/>
          <w:b/>
        </w:rPr>
        <w:br w:type="page"/>
      </w:r>
      <w:r w:rsidRPr="00C90AC9">
        <w:rPr>
          <w:rFonts w:eastAsiaTheme="minorHAnsi" w:cs="Times New Roman"/>
          <w:noProof/>
        </w:rPr>
        <w:lastRenderedPageBreak/>
        <w:drawing>
          <wp:anchor distT="0" distB="0" distL="114300" distR="114300" simplePos="0" relativeHeight="251878400" behindDoc="0" locked="0" layoutInCell="1" allowOverlap="1" wp14:anchorId="1BC77035" wp14:editId="4D285D59">
            <wp:simplePos x="0" y="0"/>
            <wp:positionH relativeFrom="column">
              <wp:posOffset>-19050</wp:posOffset>
            </wp:positionH>
            <wp:positionV relativeFrom="paragraph">
              <wp:posOffset>419100</wp:posOffset>
            </wp:positionV>
            <wp:extent cx="5876925" cy="8305800"/>
            <wp:effectExtent l="0" t="0" r="9525" b="19050"/>
            <wp:wrapSquare wrapText="bothSides"/>
            <wp:docPr id="432" name="Chart 4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r w:rsidR="007709B1" w:rsidRPr="00C90AC9">
        <w:rPr>
          <w:rFonts w:eastAsiaTheme="minorHAnsi" w:cs="Times New Roman"/>
        </w:rPr>
        <w:t>Figure 3.1</w:t>
      </w:r>
      <w:r w:rsidR="00AD4D31" w:rsidRPr="00C90AC9">
        <w:rPr>
          <w:rFonts w:eastAsiaTheme="minorHAnsi" w:cs="Times New Roman"/>
        </w:rPr>
        <w:t>3</w:t>
      </w:r>
      <w:r w:rsidR="007709B1" w:rsidRPr="00C90AC9">
        <w:rPr>
          <w:rFonts w:eastAsiaTheme="minorHAnsi" w:cs="Times New Roman"/>
        </w:rPr>
        <w:t>. Vol</w:t>
      </w:r>
      <w:r w:rsidRPr="00C90AC9">
        <w:rPr>
          <w:rFonts w:eastAsiaTheme="minorHAnsi" w:cs="Times New Roman"/>
        </w:rPr>
        <w:t xml:space="preserve">ume of water tapped throughout </w:t>
      </w:r>
      <w:r w:rsidR="007709B1" w:rsidRPr="00C90AC9">
        <w:rPr>
          <w:rFonts w:eastAsiaTheme="minorHAnsi" w:cs="Times New Roman"/>
        </w:rPr>
        <w:t>24Hr</w:t>
      </w:r>
      <w:r w:rsidRPr="00C90AC9">
        <w:rPr>
          <w:rFonts w:eastAsiaTheme="minorHAnsi" w:cs="Times New Roman"/>
        </w:rPr>
        <w:t>s</w:t>
      </w:r>
      <w:r w:rsidR="007709B1" w:rsidRPr="00C90AC9">
        <w:rPr>
          <w:rFonts w:eastAsiaTheme="minorHAnsi" w:cs="Times New Roman"/>
        </w:rPr>
        <w:t>, Tapping Cycles #1, #2 &amp; #3</w:t>
      </w:r>
    </w:p>
    <w:p w:rsidR="00307610" w:rsidRPr="00C90AC9" w:rsidRDefault="00307610" w:rsidP="00B06779">
      <w:pPr>
        <w:rPr>
          <w:rFonts w:eastAsiaTheme="minorHAnsi"/>
        </w:rPr>
      </w:pPr>
    </w:p>
    <w:p w:rsidR="00C646CA" w:rsidRPr="00C90AC9" w:rsidRDefault="00A16B8C" w:rsidP="00C646CA">
      <w:pPr>
        <w:spacing w:line="360" w:lineRule="auto"/>
        <w:rPr>
          <w:rFonts w:eastAsiaTheme="minorHAnsi"/>
          <w:lang w:eastAsia="en-US"/>
        </w:rPr>
      </w:pPr>
      <w:r w:rsidRPr="00C90AC9">
        <w:rPr>
          <w:rFonts w:eastAsiaTheme="minorHAnsi"/>
          <w:lang w:eastAsia="en-US"/>
        </w:rPr>
        <w:lastRenderedPageBreak/>
        <w:t>Figure 3.1</w:t>
      </w:r>
      <w:r w:rsidR="00AD4D31" w:rsidRPr="00C90AC9">
        <w:rPr>
          <w:rFonts w:eastAsiaTheme="minorHAnsi"/>
          <w:lang w:eastAsia="en-US"/>
        </w:rPr>
        <w:t>4</w:t>
      </w:r>
      <w:r w:rsidRPr="00C90AC9">
        <w:rPr>
          <w:rFonts w:eastAsiaTheme="minorHAnsi"/>
          <w:lang w:eastAsia="en-US"/>
        </w:rPr>
        <w:t>. Temperature of the heating c</w:t>
      </w:r>
      <w:r w:rsidR="006B07E4" w:rsidRPr="00C90AC9">
        <w:rPr>
          <w:rFonts w:eastAsiaTheme="minorHAnsi"/>
          <w:lang w:eastAsia="en-US"/>
        </w:rPr>
        <w:t>oil from the STP 00:00- 23:59 01/01/2015</w:t>
      </w:r>
      <w:r w:rsidR="00307610" w:rsidRPr="00C90AC9">
        <w:rPr>
          <w:rFonts w:eastAsiaTheme="minorHAnsi"/>
          <w:noProof/>
        </w:rPr>
        <w:drawing>
          <wp:anchor distT="0" distB="0" distL="114300" distR="114300" simplePos="0" relativeHeight="252011520" behindDoc="1" locked="0" layoutInCell="1" allowOverlap="1" wp14:anchorId="7265674E" wp14:editId="37390D61">
            <wp:simplePos x="0" y="0"/>
            <wp:positionH relativeFrom="column">
              <wp:posOffset>0</wp:posOffset>
            </wp:positionH>
            <wp:positionV relativeFrom="paragraph">
              <wp:posOffset>296545</wp:posOffset>
            </wp:positionV>
            <wp:extent cx="5676900" cy="5433060"/>
            <wp:effectExtent l="19050" t="19050" r="19050" b="15240"/>
            <wp:wrapSquare wrapText="bothSides"/>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erature of the water as it leaves the STP 0000 19022014  2359 19022014.png"/>
                    <pic:cNvPicPr/>
                  </pic:nvPicPr>
                  <pic:blipFill rotWithShape="1">
                    <a:blip r:embed="rId54" cstate="print">
                      <a:extLst>
                        <a:ext uri="{28A0092B-C50C-407E-A947-70E740481C1C}">
                          <a14:useLocalDpi xmlns:a14="http://schemas.microsoft.com/office/drawing/2010/main" val="0"/>
                        </a:ext>
                      </a:extLst>
                    </a:blip>
                    <a:srcRect l="5980" t="2747" r="6313" b="4165"/>
                    <a:stretch/>
                  </pic:blipFill>
                  <pic:spPr bwMode="auto">
                    <a:xfrm>
                      <a:off x="0" y="0"/>
                      <a:ext cx="5676900" cy="54330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2318" w:rsidRPr="00C90AC9">
        <w:rPr>
          <w:rFonts w:eastAsiaTheme="minorHAnsi"/>
          <w:lang w:eastAsia="en-US"/>
        </w:rPr>
        <w:br/>
      </w:r>
    </w:p>
    <w:p w:rsidR="00D81494" w:rsidRPr="00C90AC9" w:rsidRDefault="00CB1ADA" w:rsidP="00C646CA">
      <w:pPr>
        <w:spacing w:line="360" w:lineRule="auto"/>
        <w:rPr>
          <w:rFonts w:eastAsiaTheme="minorHAnsi"/>
          <w:lang w:eastAsia="en-US"/>
        </w:rPr>
      </w:pPr>
      <w:r w:rsidRPr="00C90AC9">
        <w:rPr>
          <w:rFonts w:eastAsiaTheme="minorHAnsi"/>
          <w:lang w:eastAsia="en-US"/>
        </w:rPr>
        <w:t xml:space="preserve">In </w:t>
      </w:r>
      <w:r w:rsidR="006B07E4" w:rsidRPr="00C90AC9">
        <w:rPr>
          <w:rFonts w:eastAsiaTheme="minorHAnsi"/>
          <w:lang w:eastAsia="en-US"/>
        </w:rPr>
        <w:t>Figure 3.1</w:t>
      </w:r>
      <w:r w:rsidR="009B65FC" w:rsidRPr="00C90AC9">
        <w:rPr>
          <w:rFonts w:eastAsiaTheme="minorHAnsi"/>
          <w:lang w:eastAsia="en-US"/>
        </w:rPr>
        <w:t>4</w:t>
      </w:r>
      <w:r w:rsidR="00D81494" w:rsidRPr="00C90AC9">
        <w:rPr>
          <w:rFonts w:eastAsiaTheme="minorHAnsi"/>
          <w:lang w:eastAsia="en-US"/>
        </w:rPr>
        <w:t>.</w:t>
      </w:r>
      <w:r w:rsidR="006B07E4" w:rsidRPr="00C90AC9">
        <w:rPr>
          <w:rFonts w:eastAsiaTheme="minorHAnsi"/>
          <w:lang w:eastAsia="en-US"/>
        </w:rPr>
        <w:t xml:space="preserve"> </w:t>
      </w:r>
      <w:r w:rsidRPr="00C90AC9">
        <w:rPr>
          <w:rFonts w:eastAsiaTheme="minorHAnsi"/>
          <w:lang w:eastAsia="en-US"/>
        </w:rPr>
        <w:t xml:space="preserve">the temperature of the heating coil as measured on the first day of the year in 2015 </w:t>
      </w:r>
      <w:r w:rsidR="00C646CA" w:rsidRPr="00C90AC9">
        <w:rPr>
          <w:rFonts w:eastAsiaTheme="minorHAnsi"/>
          <w:lang w:eastAsia="en-US"/>
        </w:rPr>
        <w:t xml:space="preserve">(01/01/2015) </w:t>
      </w:r>
      <w:r w:rsidRPr="00C90AC9">
        <w:rPr>
          <w:rFonts w:eastAsiaTheme="minorHAnsi"/>
          <w:lang w:eastAsia="en-US"/>
        </w:rPr>
        <w:t>is shown. The temperature increase</w:t>
      </w:r>
      <w:r w:rsidR="00092318" w:rsidRPr="00C90AC9">
        <w:rPr>
          <w:rFonts w:eastAsiaTheme="minorHAnsi"/>
          <w:lang w:eastAsia="en-US"/>
        </w:rPr>
        <w:t xml:space="preserve"> in the hot water tank</w:t>
      </w:r>
      <w:r w:rsidRPr="00C90AC9">
        <w:rPr>
          <w:rFonts w:eastAsiaTheme="minorHAnsi"/>
          <w:lang w:eastAsia="en-US"/>
        </w:rPr>
        <w:t xml:space="preserve"> is very marginal</w:t>
      </w:r>
      <w:r w:rsidR="00092318" w:rsidRPr="00C90AC9">
        <w:rPr>
          <w:rFonts w:eastAsiaTheme="minorHAnsi"/>
          <w:lang w:eastAsia="en-US"/>
        </w:rPr>
        <w:t xml:space="preserve">, but this </w:t>
      </w:r>
      <w:r w:rsidRPr="00C90AC9">
        <w:rPr>
          <w:rFonts w:eastAsiaTheme="minorHAnsi"/>
          <w:lang w:eastAsia="en-US"/>
        </w:rPr>
        <w:t xml:space="preserve">is to be expected at this time of year when the sun is at its lowest in the sky and thus the </w:t>
      </w:r>
      <w:r w:rsidR="00092318" w:rsidRPr="00C90AC9">
        <w:rPr>
          <w:rFonts w:eastAsiaTheme="minorHAnsi"/>
          <w:lang w:eastAsia="en-US"/>
        </w:rPr>
        <w:t xml:space="preserve">incident radiance on the STP would be low. </w:t>
      </w:r>
    </w:p>
    <w:p w:rsidR="00A21546" w:rsidRPr="00C90AC9" w:rsidRDefault="00092318" w:rsidP="00662107">
      <w:pPr>
        <w:spacing w:line="360" w:lineRule="auto"/>
        <w:rPr>
          <w:rFonts w:eastAsiaTheme="minorHAnsi"/>
          <w:lang w:eastAsia="en-US"/>
        </w:rPr>
      </w:pPr>
      <w:r w:rsidRPr="00C90AC9">
        <w:rPr>
          <w:rFonts w:eastAsiaTheme="minorHAnsi"/>
          <w:lang w:eastAsia="en-US"/>
        </w:rPr>
        <w:t xml:space="preserve">The temperature within the </w:t>
      </w:r>
      <w:r w:rsidR="00D81494" w:rsidRPr="00C90AC9">
        <w:rPr>
          <w:rFonts w:eastAsiaTheme="minorHAnsi"/>
          <w:lang w:eastAsia="en-US"/>
        </w:rPr>
        <w:t xml:space="preserve">heating coil </w:t>
      </w:r>
      <w:r w:rsidRPr="00C90AC9">
        <w:rPr>
          <w:rFonts w:eastAsiaTheme="minorHAnsi"/>
          <w:lang w:eastAsia="en-US"/>
        </w:rPr>
        <w:t>never falls below 10</w:t>
      </w:r>
      <w:r w:rsidR="00D81494" w:rsidRPr="00C90AC9">
        <w:rPr>
          <w:rFonts w:eastAsiaTheme="minorHAnsi"/>
          <w:lang w:eastAsia="en-US"/>
        </w:rPr>
        <w:sym w:font="Symbol" w:char="F0B0"/>
      </w:r>
      <w:r w:rsidR="00D81494" w:rsidRPr="00C90AC9">
        <w:rPr>
          <w:rFonts w:eastAsiaTheme="minorHAnsi"/>
          <w:lang w:eastAsia="en-US"/>
        </w:rPr>
        <w:t>C as this is the temperature of the water entering</w:t>
      </w:r>
      <w:r w:rsidR="00662107" w:rsidRPr="00C90AC9">
        <w:rPr>
          <w:rFonts w:eastAsiaTheme="minorHAnsi"/>
          <w:lang w:eastAsia="en-US"/>
        </w:rPr>
        <w:t xml:space="preserve"> the</w:t>
      </w:r>
      <w:r w:rsidR="00D81494" w:rsidRPr="00C90AC9">
        <w:rPr>
          <w:rFonts w:eastAsiaTheme="minorHAnsi"/>
          <w:lang w:eastAsia="en-US"/>
        </w:rPr>
        <w:t xml:space="preserve"> heating </w:t>
      </w:r>
      <w:proofErr w:type="spellStart"/>
      <w:r w:rsidR="00D81494" w:rsidRPr="00C90AC9">
        <w:rPr>
          <w:rFonts w:eastAsiaTheme="minorHAnsi"/>
          <w:lang w:eastAsia="en-US"/>
        </w:rPr>
        <w:t>coil</w:t>
      </w:r>
      <w:proofErr w:type="spellEnd"/>
      <w:r w:rsidR="00D81494" w:rsidRPr="00C90AC9">
        <w:rPr>
          <w:rFonts w:eastAsiaTheme="minorHAnsi"/>
          <w:lang w:eastAsia="en-US"/>
        </w:rPr>
        <w:t xml:space="preserve"> tank from the mains supply.</w:t>
      </w:r>
    </w:p>
    <w:p w:rsidR="00A16B8C" w:rsidRPr="00C90AC9" w:rsidRDefault="00A16B8C" w:rsidP="00B06779">
      <w:pPr>
        <w:rPr>
          <w:rFonts w:eastAsiaTheme="minorHAnsi"/>
          <w:lang w:eastAsia="en-US"/>
        </w:rPr>
      </w:pPr>
    </w:p>
    <w:p w:rsidR="00ED36C8" w:rsidRPr="00C90AC9" w:rsidRDefault="006930DF" w:rsidP="00C646CA">
      <w:pPr>
        <w:spacing w:line="360" w:lineRule="auto"/>
        <w:rPr>
          <w:rFonts w:eastAsiaTheme="minorHAnsi"/>
          <w:lang w:eastAsia="en-US"/>
        </w:rPr>
      </w:pPr>
      <w:r w:rsidRPr="00C90AC9">
        <w:rPr>
          <w:rFonts w:eastAsiaTheme="minorHAnsi"/>
          <w:lang w:eastAsia="en-US"/>
        </w:rPr>
        <w:t>Figure 3.1</w:t>
      </w:r>
      <w:r w:rsidR="009B65FC" w:rsidRPr="00C90AC9">
        <w:rPr>
          <w:rFonts w:eastAsiaTheme="minorHAnsi"/>
          <w:lang w:eastAsia="en-US"/>
        </w:rPr>
        <w:t>4</w:t>
      </w:r>
      <w:r w:rsidR="00D81494" w:rsidRPr="00C90AC9">
        <w:rPr>
          <w:rFonts w:eastAsiaTheme="minorHAnsi"/>
          <w:lang w:eastAsia="en-US"/>
        </w:rPr>
        <w:t>.</w:t>
      </w:r>
      <w:r w:rsidRPr="00C90AC9">
        <w:rPr>
          <w:rFonts w:eastAsiaTheme="minorHAnsi"/>
          <w:lang w:eastAsia="en-US"/>
        </w:rPr>
        <w:t xml:space="preserve"> shows</w:t>
      </w:r>
      <w:r w:rsidR="00D81494" w:rsidRPr="00C90AC9">
        <w:rPr>
          <w:rFonts w:eastAsiaTheme="minorHAnsi"/>
          <w:lang w:eastAsia="en-US"/>
        </w:rPr>
        <w:t xml:space="preserve"> the</w:t>
      </w:r>
      <w:r w:rsidRPr="00C90AC9">
        <w:rPr>
          <w:rFonts w:eastAsiaTheme="minorHAnsi"/>
          <w:lang w:eastAsia="en-US"/>
        </w:rPr>
        <w:t xml:space="preserve"> temperature of the heating coil only being increased to approximately 18°C the very short periods of the day, exactly at those times of the day when there is </w:t>
      </w:r>
      <w:r w:rsidR="008C2881" w:rsidRPr="00C90AC9">
        <w:rPr>
          <w:rFonts w:eastAsiaTheme="minorHAnsi"/>
          <w:lang w:eastAsia="en-US"/>
        </w:rPr>
        <w:t xml:space="preserve">significant </w:t>
      </w:r>
      <w:r w:rsidRPr="00C90AC9">
        <w:rPr>
          <w:rFonts w:eastAsiaTheme="minorHAnsi"/>
          <w:lang w:eastAsia="en-US"/>
        </w:rPr>
        <w:t>direct irradiance on the solar collector.</w:t>
      </w:r>
    </w:p>
    <w:p w:rsidR="00D81494" w:rsidRPr="00C90AC9" w:rsidRDefault="00D81494" w:rsidP="00B06779">
      <w:pPr>
        <w:rPr>
          <w:rFonts w:eastAsiaTheme="minorHAnsi"/>
          <w:lang w:eastAsia="en-US"/>
        </w:rPr>
      </w:pPr>
    </w:p>
    <w:p w:rsidR="00A16B8C" w:rsidRPr="00C90AC9" w:rsidRDefault="00235159" w:rsidP="00B06779">
      <w:pPr>
        <w:rPr>
          <w:rFonts w:eastAsiaTheme="minorHAnsi"/>
          <w:lang w:eastAsia="en-US"/>
        </w:rPr>
      </w:pPr>
      <w:r w:rsidRPr="00C90AC9">
        <w:rPr>
          <w:rFonts w:eastAsiaTheme="minorHAnsi"/>
          <w:lang w:eastAsia="en-US"/>
        </w:rPr>
        <w:t>Figure 3.1</w:t>
      </w:r>
      <w:r w:rsidR="009B65FC" w:rsidRPr="00C90AC9">
        <w:rPr>
          <w:rFonts w:eastAsiaTheme="minorHAnsi"/>
          <w:lang w:eastAsia="en-US"/>
        </w:rPr>
        <w:t>5</w:t>
      </w:r>
      <w:r w:rsidR="00A16B8C" w:rsidRPr="00C90AC9">
        <w:rPr>
          <w:rFonts w:eastAsiaTheme="minorHAnsi"/>
          <w:lang w:eastAsia="en-US"/>
        </w:rPr>
        <w:t xml:space="preserve">. Direct, </w:t>
      </w:r>
      <w:r w:rsidR="008C2881" w:rsidRPr="00C90AC9">
        <w:rPr>
          <w:rFonts w:eastAsiaTheme="minorHAnsi"/>
          <w:lang w:eastAsia="en-US"/>
        </w:rPr>
        <w:t>d</w:t>
      </w:r>
      <w:r w:rsidR="00A16B8C" w:rsidRPr="00C90AC9">
        <w:rPr>
          <w:rFonts w:eastAsiaTheme="minorHAnsi"/>
          <w:lang w:eastAsia="en-US"/>
        </w:rPr>
        <w:t xml:space="preserve">iffuse and </w:t>
      </w:r>
      <w:r w:rsidR="008C2881" w:rsidRPr="00C90AC9">
        <w:rPr>
          <w:rFonts w:eastAsiaTheme="minorHAnsi"/>
          <w:lang w:eastAsia="en-US"/>
        </w:rPr>
        <w:t>t</w:t>
      </w:r>
      <w:r w:rsidR="00A16B8C" w:rsidRPr="00C90AC9">
        <w:rPr>
          <w:rFonts w:eastAsiaTheme="minorHAnsi"/>
          <w:lang w:eastAsia="en-US"/>
        </w:rPr>
        <w:t xml:space="preserve">otal </w:t>
      </w:r>
      <w:r w:rsidR="008C2881" w:rsidRPr="00C90AC9">
        <w:rPr>
          <w:rFonts w:eastAsiaTheme="minorHAnsi"/>
          <w:lang w:eastAsia="en-US"/>
        </w:rPr>
        <w:t>i</w:t>
      </w:r>
      <w:r w:rsidR="00A16B8C" w:rsidRPr="00C90AC9">
        <w:rPr>
          <w:rFonts w:eastAsiaTheme="minorHAnsi"/>
          <w:lang w:eastAsia="en-US"/>
        </w:rPr>
        <w:t xml:space="preserve">rradiance at SSF 00:00 </w:t>
      </w:r>
      <w:r w:rsidR="00662107" w:rsidRPr="00C90AC9">
        <w:rPr>
          <w:rFonts w:eastAsiaTheme="minorHAnsi"/>
          <w:lang w:eastAsia="en-US"/>
        </w:rPr>
        <w:t>–</w:t>
      </w:r>
      <w:r w:rsidR="00A16B8C" w:rsidRPr="00C90AC9">
        <w:rPr>
          <w:rFonts w:eastAsiaTheme="minorHAnsi"/>
          <w:lang w:eastAsia="en-US"/>
        </w:rPr>
        <w:t xml:space="preserve"> 23:59 19/05/2014 </w:t>
      </w:r>
    </w:p>
    <w:p w:rsidR="00A16B8C" w:rsidRPr="00C90AC9" w:rsidRDefault="00A16B8C" w:rsidP="00B06779">
      <w:pPr>
        <w:rPr>
          <w:rFonts w:eastAsiaTheme="minorHAnsi"/>
          <w:lang w:eastAsia="en-US"/>
        </w:rPr>
      </w:pPr>
      <w:r w:rsidRPr="00C90AC9">
        <w:rPr>
          <w:rFonts w:eastAsiaTheme="minorHAnsi"/>
          <w:noProof/>
        </w:rPr>
        <w:drawing>
          <wp:inline distT="0" distB="0" distL="0" distR="0" wp14:anchorId="6F920291" wp14:editId="4F7977CD">
            <wp:extent cx="5762625" cy="5353050"/>
            <wp:effectExtent l="19050" t="19050" r="28575" b="1905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 Diffuse and Total Irradiance as measured at Sheffield Solar Farm 0000 19052014  2359 19052014.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000" cy="5350612"/>
                    </a:xfrm>
                    <a:prstGeom prst="rect">
                      <a:avLst/>
                    </a:prstGeom>
                    <a:ln>
                      <a:solidFill>
                        <a:sysClr val="windowText" lastClr="000000"/>
                      </a:solidFill>
                    </a:ln>
                  </pic:spPr>
                </pic:pic>
              </a:graphicData>
            </a:graphic>
          </wp:inline>
        </w:drawing>
      </w:r>
    </w:p>
    <w:p w:rsidR="00012484" w:rsidRPr="00C90AC9" w:rsidRDefault="004B00CC" w:rsidP="00662107">
      <w:pPr>
        <w:spacing w:line="360" w:lineRule="auto"/>
        <w:rPr>
          <w:rFonts w:eastAsiaTheme="minorHAnsi" w:cs="Times New Roman"/>
          <w:iCs/>
          <w:color w:val="000000" w:themeColor="text1"/>
          <w:szCs w:val="24"/>
          <w:lang w:eastAsia="en-US"/>
        </w:rPr>
      </w:pPr>
      <w:r w:rsidRPr="00C90AC9">
        <w:rPr>
          <w:rFonts w:eastAsiaTheme="minorHAnsi"/>
          <w:lang w:eastAsia="en-US"/>
        </w:rPr>
        <w:t>Figure 3.1</w:t>
      </w:r>
      <w:r w:rsidR="009B65FC" w:rsidRPr="00C90AC9">
        <w:rPr>
          <w:rFonts w:eastAsiaTheme="minorHAnsi"/>
          <w:lang w:eastAsia="en-US"/>
        </w:rPr>
        <w:t>5</w:t>
      </w:r>
      <w:r w:rsidRPr="00C90AC9">
        <w:rPr>
          <w:rFonts w:eastAsiaTheme="minorHAnsi"/>
          <w:lang w:eastAsia="en-US"/>
        </w:rPr>
        <w:t>. shows the direct, diffuse and total irradiance as measured at SSF</w:t>
      </w:r>
      <w:r w:rsidR="00CB1ADA" w:rsidRPr="00C90AC9">
        <w:rPr>
          <w:rFonts w:eastAsiaTheme="minorHAnsi"/>
          <w:lang w:eastAsia="en-US"/>
        </w:rPr>
        <w:t xml:space="preserve"> on the 19/05/2014. As Figure 3.1</w:t>
      </w:r>
      <w:r w:rsidR="009B65FC" w:rsidRPr="00C90AC9">
        <w:rPr>
          <w:rFonts w:eastAsiaTheme="minorHAnsi"/>
          <w:lang w:eastAsia="en-US"/>
        </w:rPr>
        <w:t>5</w:t>
      </w:r>
      <w:r w:rsidR="00CB1ADA" w:rsidRPr="00C90AC9">
        <w:rPr>
          <w:rFonts w:eastAsiaTheme="minorHAnsi"/>
          <w:lang w:eastAsia="en-US"/>
        </w:rPr>
        <w:t xml:space="preserve"> shows</w:t>
      </w:r>
      <w:r w:rsidR="009B65FC" w:rsidRPr="00C90AC9">
        <w:rPr>
          <w:rFonts w:eastAsiaTheme="minorHAnsi"/>
          <w:lang w:eastAsia="en-US"/>
        </w:rPr>
        <w:t>,</w:t>
      </w:r>
      <w:r w:rsidR="00CB1ADA" w:rsidRPr="00C90AC9">
        <w:rPr>
          <w:rFonts w:eastAsiaTheme="minorHAnsi"/>
          <w:lang w:eastAsia="en-US"/>
        </w:rPr>
        <w:t xml:space="preserve"> the diffuse component of the total irradiance is not as erratic as the direct component which suggests that this day was bright with clouds (which would cause the direct component</w:t>
      </w:r>
      <w:r w:rsidR="00D81494" w:rsidRPr="00C90AC9">
        <w:rPr>
          <w:rFonts w:eastAsiaTheme="minorHAnsi"/>
          <w:lang w:eastAsia="en-US"/>
        </w:rPr>
        <w:t xml:space="preserve"> of sunlight</w:t>
      </w:r>
      <w:r w:rsidR="00CB1ADA" w:rsidRPr="00C90AC9">
        <w:rPr>
          <w:rFonts w:eastAsiaTheme="minorHAnsi"/>
          <w:lang w:eastAsia="en-US"/>
        </w:rPr>
        <w:t xml:space="preserve"> to resemble the waveform that is shown</w:t>
      </w:r>
      <w:r w:rsidR="00D81494" w:rsidRPr="00C90AC9">
        <w:rPr>
          <w:rFonts w:eastAsiaTheme="minorHAnsi"/>
          <w:lang w:eastAsia="en-US"/>
        </w:rPr>
        <w:t xml:space="preserve"> with the direct component of light almost having a binary characteristic where it is either being incident on the STP (on) or not (off)</w:t>
      </w:r>
      <w:r w:rsidR="00FF1CD1" w:rsidRPr="00C90AC9">
        <w:rPr>
          <w:rFonts w:eastAsiaTheme="minorHAnsi"/>
          <w:lang w:eastAsia="en-US"/>
        </w:rPr>
        <w:t>.</w:t>
      </w:r>
      <w:r w:rsidR="00012484" w:rsidRPr="00C90AC9">
        <w:rPr>
          <w:rFonts w:eastAsiaTheme="minorHAnsi"/>
          <w:lang w:eastAsia="en-US"/>
        </w:rPr>
        <w:br w:type="page"/>
      </w:r>
    </w:p>
    <w:p w:rsidR="00A16B8C" w:rsidRPr="00C90AC9" w:rsidRDefault="00A16B8C" w:rsidP="000E6BD1">
      <w:pPr>
        <w:pStyle w:val="Heading1"/>
        <w:numPr>
          <w:ilvl w:val="0"/>
          <w:numId w:val="0"/>
        </w:numPr>
        <w:rPr>
          <w:rFonts w:eastAsiaTheme="minorHAnsi"/>
          <w:sz w:val="24"/>
          <w:lang w:eastAsia="en-US"/>
        </w:rPr>
      </w:pPr>
      <w:r w:rsidRPr="00C90AC9">
        <w:rPr>
          <w:rFonts w:eastAsiaTheme="minorHAnsi"/>
          <w:sz w:val="24"/>
          <w:lang w:eastAsia="en-US"/>
        </w:rPr>
        <w:lastRenderedPageBreak/>
        <w:t>Figure 3.</w:t>
      </w:r>
      <w:r w:rsidR="001574B7" w:rsidRPr="00C90AC9">
        <w:rPr>
          <w:rFonts w:eastAsiaTheme="minorHAnsi"/>
          <w:sz w:val="24"/>
          <w:lang w:eastAsia="en-US"/>
        </w:rPr>
        <w:t>1</w:t>
      </w:r>
      <w:r w:rsidR="009B65FC" w:rsidRPr="00C90AC9">
        <w:rPr>
          <w:rFonts w:eastAsiaTheme="minorHAnsi"/>
          <w:sz w:val="24"/>
          <w:lang w:eastAsia="en-US"/>
        </w:rPr>
        <w:t>6</w:t>
      </w:r>
      <w:r w:rsidRPr="00C90AC9">
        <w:rPr>
          <w:rFonts w:eastAsiaTheme="minorHAnsi"/>
          <w:sz w:val="24"/>
          <w:lang w:eastAsia="en-US"/>
        </w:rPr>
        <w:t>. Temperature of the heating coil from the STP 00:00- 23:59 19/02/2014</w:t>
      </w:r>
    </w:p>
    <w:p w:rsidR="00A16B8C" w:rsidRPr="00C90AC9" w:rsidRDefault="00A16B8C" w:rsidP="00B06779">
      <w:pPr>
        <w:rPr>
          <w:rFonts w:eastAsiaTheme="minorHAnsi"/>
          <w:lang w:eastAsia="en-US"/>
        </w:rPr>
      </w:pPr>
      <w:r w:rsidRPr="00C90AC9">
        <w:rPr>
          <w:rFonts w:eastAsiaTheme="minorHAnsi"/>
          <w:noProof/>
        </w:rPr>
        <w:drawing>
          <wp:inline distT="0" distB="0" distL="0" distR="0" wp14:anchorId="01F5C85F" wp14:editId="4D149045">
            <wp:extent cx="5762625" cy="4076700"/>
            <wp:effectExtent l="19050" t="19050" r="28575" b="1905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erature of the water as it leaves the STP 0000 19052014  2359 19052014.png"/>
                    <pic:cNvPicPr/>
                  </pic:nvPicPr>
                  <pic:blipFill rotWithShape="1">
                    <a:blip r:embed="rId56" cstate="print">
                      <a:extLst>
                        <a:ext uri="{28A0092B-C50C-407E-A947-70E740481C1C}">
                          <a14:useLocalDpi xmlns:a14="http://schemas.microsoft.com/office/drawing/2010/main" val="0"/>
                        </a:ext>
                      </a:extLst>
                    </a:blip>
                    <a:srcRect l="4959" r="5785" b="2562"/>
                    <a:stretch/>
                  </pic:blipFill>
                  <pic:spPr bwMode="auto">
                    <a:xfrm>
                      <a:off x="0" y="0"/>
                      <a:ext cx="5763996" cy="40776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81494" w:rsidRPr="00C90AC9" w:rsidRDefault="00D81494">
      <w:pPr>
        <w:rPr>
          <w:rFonts w:eastAsiaTheme="minorHAnsi"/>
          <w:lang w:eastAsia="en-US"/>
        </w:rPr>
      </w:pPr>
    </w:p>
    <w:p w:rsidR="00FF1CD1" w:rsidRPr="00C90AC9" w:rsidRDefault="00D81494" w:rsidP="00C646CA">
      <w:pPr>
        <w:spacing w:line="360" w:lineRule="auto"/>
        <w:rPr>
          <w:rFonts w:eastAsiaTheme="minorHAnsi"/>
          <w:lang w:eastAsia="en-US"/>
        </w:rPr>
      </w:pPr>
      <w:r w:rsidRPr="00C90AC9">
        <w:rPr>
          <w:rFonts w:eastAsiaTheme="minorHAnsi"/>
          <w:lang w:eastAsia="en-US"/>
        </w:rPr>
        <w:t>Figure 3.1</w:t>
      </w:r>
      <w:r w:rsidR="009B65FC" w:rsidRPr="00C90AC9">
        <w:rPr>
          <w:rFonts w:eastAsiaTheme="minorHAnsi"/>
          <w:lang w:eastAsia="en-US"/>
        </w:rPr>
        <w:t>6</w:t>
      </w:r>
      <w:r w:rsidRPr="00C90AC9">
        <w:rPr>
          <w:rFonts w:eastAsiaTheme="minorHAnsi"/>
          <w:lang w:eastAsia="en-US"/>
        </w:rPr>
        <w:t>. shows the temperature of the water in the heating coil has a similar characteristic in February as it did in January with sharp increases or decreases in temperature depending on the binary nature of the incident light on the STP. Again</w:t>
      </w:r>
      <w:r w:rsidR="00FF1CD1" w:rsidRPr="00C90AC9">
        <w:rPr>
          <w:rFonts w:eastAsiaTheme="minorHAnsi"/>
          <w:lang w:eastAsia="en-US"/>
        </w:rPr>
        <w:t>,</w:t>
      </w:r>
      <w:r w:rsidRPr="00C90AC9">
        <w:rPr>
          <w:rFonts w:eastAsiaTheme="minorHAnsi"/>
          <w:lang w:eastAsia="en-US"/>
        </w:rPr>
        <w:t xml:space="preserve"> the temperature of the heating coil never falls beneath 10 </w:t>
      </w:r>
      <w:r w:rsidRPr="00C90AC9">
        <w:rPr>
          <w:rFonts w:eastAsiaTheme="minorHAnsi"/>
          <w:lang w:eastAsia="en-US"/>
        </w:rPr>
        <w:sym w:font="Symbol" w:char="F0B0"/>
      </w:r>
      <w:r w:rsidRPr="00C90AC9">
        <w:rPr>
          <w:rFonts w:eastAsiaTheme="minorHAnsi"/>
          <w:lang w:eastAsia="en-US"/>
        </w:rPr>
        <w:t xml:space="preserve">C as this is the temperature of the water entering the STP, but there is a </w:t>
      </w:r>
      <w:r w:rsidR="00FF1CD1" w:rsidRPr="00C90AC9">
        <w:rPr>
          <w:rFonts w:eastAsiaTheme="minorHAnsi"/>
          <w:lang w:eastAsia="en-US"/>
        </w:rPr>
        <w:t>noticeable difference in shape to Figure 3.17. It is apparent when comparing the two figures that the heating of the coil occurs earlier in the day (from approximately 06:00) In February 2014</w:t>
      </w:r>
      <w:r w:rsidR="00C646CA" w:rsidRPr="00C90AC9">
        <w:rPr>
          <w:rFonts w:eastAsiaTheme="minorHAnsi"/>
          <w:lang w:eastAsia="en-US"/>
        </w:rPr>
        <w:t>.</w:t>
      </w:r>
    </w:p>
    <w:p w:rsidR="00FF1CD1" w:rsidRPr="00C90AC9" w:rsidRDefault="00FF1CD1">
      <w:pPr>
        <w:rPr>
          <w:rFonts w:eastAsiaTheme="minorHAnsi"/>
          <w:lang w:eastAsia="en-US"/>
        </w:rPr>
      </w:pPr>
      <w:r w:rsidRPr="00C90AC9">
        <w:rPr>
          <w:rFonts w:eastAsiaTheme="minorHAnsi"/>
          <w:lang w:eastAsia="en-US"/>
        </w:rPr>
        <w:br w:type="page"/>
      </w:r>
    </w:p>
    <w:p w:rsidR="00A16B8C" w:rsidRPr="00C90AC9" w:rsidRDefault="001574B7" w:rsidP="000E6BD1">
      <w:pPr>
        <w:pStyle w:val="Heading1"/>
        <w:numPr>
          <w:ilvl w:val="0"/>
          <w:numId w:val="0"/>
        </w:numPr>
        <w:rPr>
          <w:rFonts w:eastAsiaTheme="minorHAnsi"/>
          <w:sz w:val="24"/>
          <w:lang w:eastAsia="en-US"/>
        </w:rPr>
      </w:pPr>
      <w:r w:rsidRPr="00C90AC9">
        <w:rPr>
          <w:rFonts w:eastAsiaTheme="minorHAnsi"/>
          <w:lang w:eastAsia="en-US"/>
        </w:rPr>
        <w:lastRenderedPageBreak/>
        <w:t>Fi</w:t>
      </w:r>
      <w:r w:rsidRPr="00C90AC9">
        <w:rPr>
          <w:rFonts w:eastAsiaTheme="minorHAnsi"/>
          <w:sz w:val="24"/>
          <w:lang w:eastAsia="en-US"/>
        </w:rPr>
        <w:t>gure 3.1</w:t>
      </w:r>
      <w:r w:rsidR="009B65FC" w:rsidRPr="00C90AC9">
        <w:rPr>
          <w:rFonts w:eastAsiaTheme="minorHAnsi"/>
          <w:sz w:val="24"/>
          <w:lang w:eastAsia="en-US"/>
        </w:rPr>
        <w:t>7.</w:t>
      </w:r>
      <w:r w:rsidR="00A16B8C" w:rsidRPr="00C90AC9">
        <w:rPr>
          <w:rFonts w:eastAsiaTheme="minorHAnsi"/>
          <w:sz w:val="24"/>
          <w:lang w:eastAsia="en-US"/>
        </w:rPr>
        <w:t xml:space="preserve"> Direct, </w:t>
      </w:r>
      <w:r w:rsidR="008C2881" w:rsidRPr="00C90AC9">
        <w:rPr>
          <w:rFonts w:eastAsiaTheme="minorHAnsi"/>
          <w:sz w:val="24"/>
          <w:lang w:eastAsia="en-US"/>
        </w:rPr>
        <w:t>d</w:t>
      </w:r>
      <w:r w:rsidR="00A16B8C" w:rsidRPr="00C90AC9">
        <w:rPr>
          <w:rFonts w:eastAsiaTheme="minorHAnsi"/>
          <w:sz w:val="24"/>
          <w:lang w:eastAsia="en-US"/>
        </w:rPr>
        <w:t xml:space="preserve">iffuse and </w:t>
      </w:r>
      <w:r w:rsidR="008C2881" w:rsidRPr="00C90AC9">
        <w:rPr>
          <w:rFonts w:eastAsiaTheme="minorHAnsi"/>
          <w:sz w:val="24"/>
          <w:lang w:eastAsia="en-US"/>
        </w:rPr>
        <w:t>t</w:t>
      </w:r>
      <w:r w:rsidR="00A16B8C" w:rsidRPr="00C90AC9">
        <w:rPr>
          <w:rFonts w:eastAsiaTheme="minorHAnsi"/>
          <w:sz w:val="24"/>
          <w:lang w:eastAsia="en-US"/>
        </w:rPr>
        <w:t xml:space="preserve">otal </w:t>
      </w:r>
      <w:r w:rsidR="008C2881" w:rsidRPr="00C90AC9">
        <w:rPr>
          <w:rFonts w:eastAsiaTheme="minorHAnsi"/>
          <w:sz w:val="24"/>
          <w:lang w:eastAsia="en-US"/>
        </w:rPr>
        <w:t>i</w:t>
      </w:r>
      <w:r w:rsidR="00A16B8C" w:rsidRPr="00C90AC9">
        <w:rPr>
          <w:rFonts w:eastAsiaTheme="minorHAnsi"/>
          <w:sz w:val="24"/>
          <w:lang w:eastAsia="en-US"/>
        </w:rPr>
        <w:t>rradiance at SSF</w:t>
      </w:r>
      <w:r w:rsidR="008C2881" w:rsidRPr="00C90AC9">
        <w:rPr>
          <w:rFonts w:eastAsiaTheme="minorHAnsi"/>
          <w:sz w:val="24"/>
          <w:lang w:eastAsia="en-US"/>
        </w:rPr>
        <w:t xml:space="preserve"> </w:t>
      </w:r>
      <w:r w:rsidR="00A16B8C" w:rsidRPr="00C90AC9">
        <w:rPr>
          <w:rFonts w:eastAsiaTheme="minorHAnsi"/>
          <w:sz w:val="24"/>
          <w:lang w:eastAsia="en-US"/>
        </w:rPr>
        <w:t xml:space="preserve"> 00:00 </w:t>
      </w:r>
      <w:r w:rsidR="00662107" w:rsidRPr="00C90AC9">
        <w:rPr>
          <w:rFonts w:eastAsiaTheme="minorHAnsi"/>
          <w:sz w:val="24"/>
          <w:lang w:eastAsia="en-US"/>
        </w:rPr>
        <w:t>–</w:t>
      </w:r>
      <w:r w:rsidR="00A16B8C" w:rsidRPr="00C90AC9">
        <w:rPr>
          <w:rFonts w:eastAsiaTheme="minorHAnsi"/>
          <w:sz w:val="24"/>
          <w:lang w:eastAsia="en-US"/>
        </w:rPr>
        <w:t xml:space="preserve"> 23:59 19/08/2014 </w:t>
      </w:r>
    </w:p>
    <w:p w:rsidR="00A16B8C" w:rsidRPr="00C90AC9" w:rsidRDefault="00A16B8C" w:rsidP="00B06779">
      <w:pPr>
        <w:rPr>
          <w:rFonts w:eastAsiaTheme="minorHAnsi"/>
          <w:lang w:eastAsia="en-US"/>
        </w:rPr>
      </w:pPr>
      <w:r w:rsidRPr="00C90AC9">
        <w:rPr>
          <w:rFonts w:eastAsiaTheme="minorHAnsi"/>
          <w:noProof/>
        </w:rPr>
        <w:drawing>
          <wp:inline distT="0" distB="0" distL="0" distR="0" wp14:anchorId="28EF83E8" wp14:editId="07A427C9">
            <wp:extent cx="5753100" cy="5448300"/>
            <wp:effectExtent l="19050" t="19050" r="19050" b="1905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 Diffuse and Total Irradiance as measured at Sheffield Solar Farm 0000 19852014  2359 19082014.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55589" cy="5450657"/>
                    </a:xfrm>
                    <a:prstGeom prst="rect">
                      <a:avLst/>
                    </a:prstGeom>
                    <a:ln>
                      <a:solidFill>
                        <a:sysClr val="windowText" lastClr="000000"/>
                      </a:solidFill>
                    </a:ln>
                  </pic:spPr>
                </pic:pic>
              </a:graphicData>
            </a:graphic>
          </wp:inline>
        </w:drawing>
      </w:r>
    </w:p>
    <w:p w:rsidR="00325112" w:rsidRPr="00C90AC9" w:rsidRDefault="00662107" w:rsidP="00662107">
      <w:pPr>
        <w:spacing w:line="360" w:lineRule="auto"/>
        <w:rPr>
          <w:rFonts w:eastAsiaTheme="minorHAnsi" w:cs="Times New Roman"/>
          <w:iCs/>
          <w:color w:val="000000" w:themeColor="text1"/>
          <w:szCs w:val="24"/>
          <w:lang w:eastAsia="en-US"/>
        </w:rPr>
      </w:pPr>
      <w:r w:rsidRPr="00C90AC9">
        <w:rPr>
          <w:rFonts w:eastAsiaTheme="minorHAnsi"/>
          <w:lang w:eastAsia="en-US"/>
        </w:rPr>
        <w:t xml:space="preserve">Figure 3.18. shows the temperature of the heating coil from the STP for the entire day on 19/8/2014. The temperature profile follows the general profile of the </w:t>
      </w:r>
      <w:r w:rsidR="003C5546" w:rsidRPr="00C90AC9">
        <w:rPr>
          <w:rFonts w:eastAsiaTheme="minorHAnsi"/>
          <w:lang w:eastAsia="en-US"/>
        </w:rPr>
        <w:t xml:space="preserve">irradiance of that day as shown in Figure 3.17. with the maximum temperature of the heating coil being reached over the middle of the day when the sun is highest in the sky. After about 16:00 the temperature of the heating coil falls to the mains temperature of 10 </w:t>
      </w:r>
      <w:r w:rsidR="003C5546" w:rsidRPr="00C90AC9">
        <w:rPr>
          <w:rFonts w:eastAsiaTheme="minorHAnsi"/>
          <w:lang w:eastAsia="en-US"/>
        </w:rPr>
        <w:sym w:font="Symbol" w:char="F0B0"/>
      </w:r>
      <w:r w:rsidR="003C5546" w:rsidRPr="00C90AC9">
        <w:rPr>
          <w:rFonts w:eastAsiaTheme="minorHAnsi"/>
          <w:lang w:eastAsia="en-US"/>
        </w:rPr>
        <w:t>C as the sun drops to the horizon and the solar irradiance has greater amount of the earth’s atmosphere to travel through before it reaches the solar collector.</w:t>
      </w:r>
      <w:r w:rsidR="00325112" w:rsidRPr="00C90AC9">
        <w:rPr>
          <w:rFonts w:eastAsiaTheme="minorHAnsi"/>
          <w:lang w:eastAsia="en-US"/>
        </w:rPr>
        <w:br w:type="page"/>
      </w:r>
    </w:p>
    <w:p w:rsidR="00A16B8C" w:rsidRPr="00C90AC9" w:rsidRDefault="00A16B8C" w:rsidP="00EB4615">
      <w:pPr>
        <w:pStyle w:val="Heading1"/>
        <w:numPr>
          <w:ilvl w:val="0"/>
          <w:numId w:val="0"/>
        </w:numPr>
        <w:rPr>
          <w:rFonts w:eastAsiaTheme="minorHAnsi"/>
          <w:sz w:val="24"/>
          <w:lang w:eastAsia="en-US"/>
        </w:rPr>
      </w:pPr>
      <w:r w:rsidRPr="00C90AC9">
        <w:rPr>
          <w:rFonts w:eastAsiaTheme="minorHAnsi"/>
          <w:sz w:val="24"/>
          <w:lang w:eastAsia="en-US"/>
        </w:rPr>
        <w:lastRenderedPageBreak/>
        <w:t>Figure 3.</w:t>
      </w:r>
      <w:r w:rsidR="009B65FC" w:rsidRPr="00C90AC9">
        <w:rPr>
          <w:rFonts w:eastAsiaTheme="minorHAnsi"/>
          <w:sz w:val="24"/>
          <w:lang w:eastAsia="en-US"/>
        </w:rPr>
        <w:t>18. The</w:t>
      </w:r>
      <w:r w:rsidR="00495C25" w:rsidRPr="00C90AC9">
        <w:rPr>
          <w:rFonts w:eastAsiaTheme="minorHAnsi"/>
          <w:sz w:val="24"/>
          <w:lang w:eastAsia="en-US"/>
        </w:rPr>
        <w:t xml:space="preserve"> t</w:t>
      </w:r>
      <w:r w:rsidRPr="00C90AC9">
        <w:rPr>
          <w:rFonts w:eastAsiaTheme="minorHAnsi"/>
          <w:sz w:val="24"/>
          <w:lang w:eastAsia="en-US"/>
        </w:rPr>
        <w:t>emperature of the heating coil from the STP 00:00 - 23:59 19/08/2014</w:t>
      </w:r>
    </w:p>
    <w:p w:rsidR="00A16B8C" w:rsidRPr="00C90AC9" w:rsidRDefault="00A16B8C" w:rsidP="00B06779">
      <w:pPr>
        <w:rPr>
          <w:rFonts w:eastAsiaTheme="minorHAnsi"/>
          <w:lang w:eastAsia="en-US"/>
        </w:rPr>
      </w:pPr>
      <w:r w:rsidRPr="00C90AC9">
        <w:rPr>
          <w:rFonts w:eastAsiaTheme="minorHAnsi"/>
          <w:noProof/>
        </w:rPr>
        <w:drawing>
          <wp:inline distT="0" distB="0" distL="0" distR="0" wp14:anchorId="3F970EF4" wp14:editId="212584AE">
            <wp:extent cx="5734050" cy="5438775"/>
            <wp:effectExtent l="19050" t="19050" r="19050" b="2857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erature of the water as it leaves the STP 0000 19082014  2359 19082014.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6176" cy="5440792"/>
                    </a:xfrm>
                    <a:prstGeom prst="rect">
                      <a:avLst/>
                    </a:prstGeom>
                    <a:ln>
                      <a:solidFill>
                        <a:sysClr val="windowText" lastClr="000000"/>
                      </a:solidFill>
                    </a:ln>
                  </pic:spPr>
                </pic:pic>
              </a:graphicData>
            </a:graphic>
          </wp:inline>
        </w:drawing>
      </w:r>
    </w:p>
    <w:p w:rsidR="00325112" w:rsidRPr="00C90AC9" w:rsidRDefault="00325112" w:rsidP="00DA49B4">
      <w:pPr>
        <w:spacing w:line="360" w:lineRule="auto"/>
        <w:rPr>
          <w:rFonts w:eastAsiaTheme="minorHAnsi" w:cs="Times New Roman"/>
          <w:iCs/>
          <w:color w:val="000000" w:themeColor="text1"/>
          <w:szCs w:val="24"/>
          <w:lang w:eastAsia="en-US"/>
        </w:rPr>
      </w:pPr>
      <w:r w:rsidRPr="00C90AC9">
        <w:rPr>
          <w:rFonts w:eastAsiaTheme="minorHAnsi"/>
          <w:lang w:eastAsia="en-US"/>
        </w:rPr>
        <w:br w:type="page"/>
      </w:r>
    </w:p>
    <w:p w:rsidR="00A16B8C" w:rsidRPr="00C90AC9" w:rsidRDefault="00A16B8C" w:rsidP="00EB4615">
      <w:pPr>
        <w:pStyle w:val="Heading1"/>
        <w:numPr>
          <w:ilvl w:val="0"/>
          <w:numId w:val="0"/>
        </w:numPr>
        <w:rPr>
          <w:rFonts w:eastAsiaTheme="minorHAnsi"/>
          <w:sz w:val="24"/>
          <w:lang w:eastAsia="en-US"/>
        </w:rPr>
      </w:pPr>
      <w:r w:rsidRPr="00C90AC9">
        <w:rPr>
          <w:rFonts w:eastAsiaTheme="minorHAnsi"/>
          <w:sz w:val="24"/>
          <w:lang w:eastAsia="en-US"/>
        </w:rPr>
        <w:lastRenderedPageBreak/>
        <w:t>Figure 3.</w:t>
      </w:r>
      <w:r w:rsidR="009B65FC" w:rsidRPr="00C90AC9">
        <w:rPr>
          <w:rFonts w:eastAsiaTheme="minorHAnsi"/>
          <w:sz w:val="24"/>
          <w:lang w:eastAsia="en-US"/>
        </w:rPr>
        <w:t>19</w:t>
      </w:r>
      <w:r w:rsidRPr="00C90AC9">
        <w:rPr>
          <w:rFonts w:eastAsiaTheme="minorHAnsi"/>
          <w:sz w:val="24"/>
          <w:lang w:eastAsia="en-US"/>
        </w:rPr>
        <w:t xml:space="preserve">. Direct, Diffuse and Total Irradiance at SSF 00:00 - 23:59 19/11/2014 </w:t>
      </w:r>
    </w:p>
    <w:p w:rsidR="00A16B8C" w:rsidRPr="00C90AC9" w:rsidRDefault="00A16B8C" w:rsidP="00B06779">
      <w:pPr>
        <w:rPr>
          <w:rFonts w:eastAsiaTheme="minorHAnsi"/>
          <w:lang w:eastAsia="en-US"/>
        </w:rPr>
      </w:pPr>
      <w:r w:rsidRPr="00C90AC9">
        <w:rPr>
          <w:rFonts w:eastAsiaTheme="minorHAnsi"/>
          <w:noProof/>
        </w:rPr>
        <w:drawing>
          <wp:inline distT="0" distB="0" distL="0" distR="0" wp14:anchorId="375FB91D" wp14:editId="6E4D6653">
            <wp:extent cx="5772150" cy="5372100"/>
            <wp:effectExtent l="19050" t="19050" r="19050" b="1905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 Diffuse and Total Irradiance as measured at Sheffield Solar Farm 0000 19112014  2359 19112014.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75000" cy="5374752"/>
                    </a:xfrm>
                    <a:prstGeom prst="rect">
                      <a:avLst/>
                    </a:prstGeom>
                    <a:ln>
                      <a:solidFill>
                        <a:sysClr val="windowText" lastClr="000000"/>
                      </a:solidFill>
                    </a:ln>
                  </pic:spPr>
                </pic:pic>
              </a:graphicData>
            </a:graphic>
          </wp:inline>
        </w:drawing>
      </w:r>
    </w:p>
    <w:p w:rsidR="0093376F" w:rsidRPr="00C90AC9" w:rsidRDefault="003C5546" w:rsidP="001F3B93">
      <w:pPr>
        <w:spacing w:line="360" w:lineRule="auto"/>
        <w:rPr>
          <w:rFonts w:eastAsiaTheme="minorHAnsi" w:cs="Times New Roman"/>
          <w:iCs/>
          <w:color w:val="000000" w:themeColor="text1"/>
          <w:szCs w:val="24"/>
          <w:lang w:eastAsia="en-US"/>
        </w:rPr>
      </w:pPr>
      <w:r w:rsidRPr="00C90AC9">
        <w:rPr>
          <w:rFonts w:eastAsiaTheme="minorHAnsi"/>
          <w:lang w:eastAsia="en-US"/>
        </w:rPr>
        <w:t>Figure 3.19. shows the direct, diffuse and total irradiance as recorded at SSF on 19/11//2014 from 00:00 – 23:59. On this November day</w:t>
      </w:r>
      <w:r w:rsidR="001F3B93" w:rsidRPr="00C90AC9">
        <w:rPr>
          <w:rFonts w:eastAsiaTheme="minorHAnsi"/>
          <w:lang w:eastAsia="en-US"/>
        </w:rPr>
        <w:t>,</w:t>
      </w:r>
      <w:r w:rsidRPr="00C90AC9">
        <w:rPr>
          <w:rFonts w:eastAsiaTheme="minorHAnsi"/>
          <w:lang w:eastAsia="en-US"/>
        </w:rPr>
        <w:t xml:space="preserve"> the sun is at a low Azimuth angle </w:t>
      </w:r>
      <w:r w:rsidR="001F3B93" w:rsidRPr="00C90AC9">
        <w:rPr>
          <w:rFonts w:eastAsiaTheme="minorHAnsi"/>
          <w:lang w:eastAsia="en-US"/>
        </w:rPr>
        <w:t>and therefore the total irradiance reaching the pyrometer situated at the SSF is low. The large variability in the direct irradiance component suggests that this day experienced significant cloud cover.</w:t>
      </w:r>
      <w:r w:rsidR="0093376F" w:rsidRPr="00C90AC9">
        <w:rPr>
          <w:rFonts w:eastAsiaTheme="minorHAnsi"/>
          <w:lang w:eastAsia="en-US"/>
        </w:rPr>
        <w:br w:type="page"/>
      </w:r>
    </w:p>
    <w:p w:rsidR="00A16B8C" w:rsidRPr="00C90AC9" w:rsidRDefault="00235159" w:rsidP="00EB4615">
      <w:pPr>
        <w:pStyle w:val="Heading1"/>
        <w:numPr>
          <w:ilvl w:val="0"/>
          <w:numId w:val="0"/>
        </w:numPr>
        <w:rPr>
          <w:rFonts w:eastAsiaTheme="minorHAnsi"/>
          <w:sz w:val="24"/>
          <w:lang w:eastAsia="en-US"/>
        </w:rPr>
      </w:pPr>
      <w:r w:rsidRPr="00C90AC9">
        <w:rPr>
          <w:rFonts w:eastAsiaTheme="minorHAnsi"/>
          <w:sz w:val="24"/>
          <w:lang w:eastAsia="en-US"/>
        </w:rPr>
        <w:lastRenderedPageBreak/>
        <w:t>Figure 3.</w:t>
      </w:r>
      <w:r w:rsidR="00092318" w:rsidRPr="00C90AC9">
        <w:rPr>
          <w:rFonts w:eastAsiaTheme="minorHAnsi"/>
          <w:sz w:val="24"/>
          <w:lang w:eastAsia="en-US"/>
        </w:rPr>
        <w:t>2</w:t>
      </w:r>
      <w:r w:rsidR="009B65FC" w:rsidRPr="00C90AC9">
        <w:rPr>
          <w:rFonts w:eastAsiaTheme="minorHAnsi"/>
          <w:sz w:val="24"/>
          <w:lang w:eastAsia="en-US"/>
        </w:rPr>
        <w:t>0</w:t>
      </w:r>
      <w:r w:rsidR="00A16B8C" w:rsidRPr="00C90AC9">
        <w:rPr>
          <w:rFonts w:eastAsiaTheme="minorHAnsi"/>
          <w:sz w:val="24"/>
          <w:lang w:eastAsia="en-US"/>
        </w:rPr>
        <w:t xml:space="preserve">. Temperature of the heating coil from the </w:t>
      </w:r>
      <w:r w:rsidR="001F3B93" w:rsidRPr="00C90AC9">
        <w:rPr>
          <w:rFonts w:eastAsiaTheme="minorHAnsi"/>
          <w:sz w:val="24"/>
          <w:lang w:eastAsia="en-US"/>
        </w:rPr>
        <w:t>SSF 00:00 - 23:59 19/11/2014</w:t>
      </w:r>
    </w:p>
    <w:p w:rsidR="0093376F" w:rsidRPr="00C90AC9" w:rsidRDefault="00A16B8C" w:rsidP="00EB4615">
      <w:pPr>
        <w:rPr>
          <w:rFonts w:eastAsiaTheme="minorHAnsi"/>
          <w:lang w:eastAsia="en-US"/>
        </w:rPr>
      </w:pPr>
      <w:r w:rsidRPr="00C90AC9">
        <w:rPr>
          <w:rFonts w:eastAsiaTheme="minorHAnsi"/>
          <w:noProof/>
        </w:rPr>
        <w:drawing>
          <wp:inline distT="0" distB="0" distL="0" distR="0" wp14:anchorId="2A5B615C" wp14:editId="0EB2CCC8">
            <wp:extent cx="5810250" cy="5248275"/>
            <wp:effectExtent l="19050" t="19050" r="19050" b="28575"/>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erature of the water as it leaves the STP 0000 19112014  2359 19112014.png"/>
                    <pic:cNvPicPr/>
                  </pic:nvPicPr>
                  <pic:blipFill rotWithShape="1">
                    <a:blip r:embed="rId60" cstate="print">
                      <a:extLst>
                        <a:ext uri="{28A0092B-C50C-407E-A947-70E740481C1C}">
                          <a14:useLocalDpi xmlns:a14="http://schemas.microsoft.com/office/drawing/2010/main" val="0"/>
                        </a:ext>
                      </a:extLst>
                    </a:blip>
                    <a:srcRect l="4305" r="7118"/>
                    <a:stretch/>
                  </pic:blipFill>
                  <pic:spPr bwMode="auto">
                    <a:xfrm>
                      <a:off x="0" y="0"/>
                      <a:ext cx="5817219" cy="52545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3376F" w:rsidRPr="00C90AC9" w:rsidRDefault="001F3B93" w:rsidP="001F3B93">
      <w:pPr>
        <w:spacing w:line="360" w:lineRule="auto"/>
        <w:rPr>
          <w:rFonts w:eastAsiaTheme="minorHAnsi"/>
          <w:lang w:eastAsia="en-US"/>
        </w:rPr>
      </w:pPr>
      <w:r w:rsidRPr="00C90AC9">
        <w:rPr>
          <w:rFonts w:eastAsiaTheme="minorHAnsi"/>
          <w:lang w:eastAsia="en-US"/>
        </w:rPr>
        <w:t>Figure 3.20. shows the resulting heat variability as being very marginal with the temperature of the coil only rising above 20</w:t>
      </w:r>
      <w:r w:rsidRPr="00C90AC9">
        <w:rPr>
          <w:rFonts w:eastAsiaTheme="minorHAnsi"/>
          <w:lang w:eastAsia="en-US"/>
        </w:rPr>
        <w:sym w:font="Symbol" w:char="F0B0"/>
      </w:r>
      <w:r w:rsidRPr="00C90AC9">
        <w:rPr>
          <w:rFonts w:eastAsiaTheme="minorHAnsi"/>
          <w:lang w:eastAsia="en-US"/>
        </w:rPr>
        <w:t>C at two brief moments during the day with the temperature of the coil rising only a couple of degrees during the times of the day when the sun is highest in the sky from 08:00 – 20:00.</w:t>
      </w:r>
      <w:r w:rsidR="0093376F" w:rsidRPr="00C90AC9">
        <w:rPr>
          <w:rFonts w:eastAsiaTheme="minorHAnsi"/>
          <w:lang w:eastAsia="en-US"/>
        </w:rPr>
        <w:br w:type="page"/>
      </w:r>
    </w:p>
    <w:p w:rsidR="00A16B8C" w:rsidRPr="00C90AC9" w:rsidRDefault="00235159" w:rsidP="00EB4615">
      <w:pPr>
        <w:rPr>
          <w:rFonts w:eastAsiaTheme="minorHAnsi"/>
          <w:lang w:eastAsia="en-US"/>
        </w:rPr>
      </w:pPr>
      <w:r w:rsidRPr="00C90AC9">
        <w:rPr>
          <w:rFonts w:eastAsiaTheme="minorHAnsi"/>
          <w:lang w:eastAsia="en-US"/>
        </w:rPr>
        <w:lastRenderedPageBreak/>
        <w:t>Figure 3.2</w:t>
      </w:r>
      <w:r w:rsidR="009B65FC" w:rsidRPr="00C90AC9">
        <w:rPr>
          <w:rFonts w:eastAsiaTheme="minorHAnsi"/>
          <w:lang w:eastAsia="en-US"/>
        </w:rPr>
        <w:t>1</w:t>
      </w:r>
      <w:r w:rsidR="00A16B8C" w:rsidRPr="00C90AC9">
        <w:rPr>
          <w:rFonts w:eastAsiaTheme="minorHAnsi"/>
          <w:lang w:eastAsia="en-US"/>
        </w:rPr>
        <w:t xml:space="preserve">. Direct, </w:t>
      </w:r>
      <w:r w:rsidR="008C2881" w:rsidRPr="00C90AC9">
        <w:rPr>
          <w:rFonts w:eastAsiaTheme="minorHAnsi"/>
          <w:lang w:eastAsia="en-US"/>
        </w:rPr>
        <w:t>d</w:t>
      </w:r>
      <w:r w:rsidR="00A16B8C" w:rsidRPr="00C90AC9">
        <w:rPr>
          <w:rFonts w:eastAsiaTheme="minorHAnsi"/>
          <w:lang w:eastAsia="en-US"/>
        </w:rPr>
        <w:t xml:space="preserve">iffuse and </w:t>
      </w:r>
      <w:r w:rsidR="008C2881" w:rsidRPr="00C90AC9">
        <w:rPr>
          <w:rFonts w:eastAsiaTheme="minorHAnsi"/>
          <w:lang w:eastAsia="en-US"/>
        </w:rPr>
        <w:t>t</w:t>
      </w:r>
      <w:r w:rsidR="00A16B8C" w:rsidRPr="00C90AC9">
        <w:rPr>
          <w:rFonts w:eastAsiaTheme="minorHAnsi"/>
          <w:lang w:eastAsia="en-US"/>
        </w:rPr>
        <w:t xml:space="preserve">otal </w:t>
      </w:r>
      <w:r w:rsidR="008C2881" w:rsidRPr="00C90AC9">
        <w:rPr>
          <w:rFonts w:eastAsiaTheme="minorHAnsi"/>
          <w:lang w:eastAsia="en-US"/>
        </w:rPr>
        <w:t>i</w:t>
      </w:r>
      <w:r w:rsidR="00A16B8C" w:rsidRPr="00C90AC9">
        <w:rPr>
          <w:rFonts w:eastAsiaTheme="minorHAnsi"/>
          <w:lang w:eastAsia="en-US"/>
        </w:rPr>
        <w:t xml:space="preserve">rradiance at SSF 00:00 - 23:59 19/02/2015 </w:t>
      </w:r>
    </w:p>
    <w:p w:rsidR="00325112" w:rsidRPr="00C90AC9" w:rsidRDefault="00A16B8C" w:rsidP="00EB4615">
      <w:pPr>
        <w:rPr>
          <w:rFonts w:eastAsiaTheme="minorHAnsi"/>
          <w:lang w:eastAsia="en-US"/>
        </w:rPr>
      </w:pPr>
      <w:r w:rsidRPr="00C90AC9">
        <w:rPr>
          <w:rFonts w:eastAsiaTheme="minorHAnsi"/>
          <w:noProof/>
        </w:rPr>
        <w:drawing>
          <wp:inline distT="0" distB="0" distL="0" distR="0" wp14:anchorId="7C66DDA2" wp14:editId="11518CE9">
            <wp:extent cx="5743575" cy="5553075"/>
            <wp:effectExtent l="19050" t="19050" r="9525" b="28575"/>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 Diffuse and Total Irradiance as measured at Sheffield Solar Farm 0000 19022015  2359 19022015.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41515" cy="5551084"/>
                    </a:xfrm>
                    <a:prstGeom prst="rect">
                      <a:avLst/>
                    </a:prstGeom>
                    <a:ln>
                      <a:solidFill>
                        <a:sysClr val="windowText" lastClr="000000"/>
                      </a:solidFill>
                    </a:ln>
                  </pic:spPr>
                </pic:pic>
              </a:graphicData>
            </a:graphic>
          </wp:inline>
        </w:drawing>
      </w:r>
    </w:p>
    <w:p w:rsidR="00DA49B4" w:rsidRPr="00C90AC9" w:rsidRDefault="001F3B93" w:rsidP="00DA49B4">
      <w:pPr>
        <w:spacing w:line="360" w:lineRule="auto"/>
        <w:rPr>
          <w:rFonts w:eastAsiaTheme="minorHAnsi"/>
          <w:lang w:eastAsia="en-US"/>
        </w:rPr>
      </w:pPr>
      <w:r w:rsidRPr="00C90AC9">
        <w:rPr>
          <w:rFonts w:eastAsiaTheme="minorHAnsi"/>
          <w:lang w:eastAsia="en-US"/>
        </w:rPr>
        <w:t>Figure 3.21. shows the recorded direct, diffuse and total irradiance as measured at the SSF</w:t>
      </w:r>
      <w:r w:rsidR="00DA49B4" w:rsidRPr="00C90AC9">
        <w:rPr>
          <w:rFonts w:eastAsiaTheme="minorHAnsi"/>
          <w:lang w:eastAsia="en-US"/>
        </w:rPr>
        <w:t xml:space="preserve"> from 00:00 - 23:59 on 19/02/2015.  The direct component of the irradiance is a very small component if the total recorded irradiance as the azimuth angle is low and the sun’s radiation has to radiate through a greater amount of the earth’s atmosphere, reducing the amount of radiation that arrives at the solar collector.</w:t>
      </w:r>
    </w:p>
    <w:p w:rsidR="00325112" w:rsidRPr="00C90AC9" w:rsidRDefault="00DA49B4" w:rsidP="00DA49B4">
      <w:pPr>
        <w:spacing w:line="360" w:lineRule="auto"/>
        <w:rPr>
          <w:rFonts w:eastAsiaTheme="minorHAnsi"/>
          <w:lang w:eastAsia="en-US"/>
        </w:rPr>
      </w:pPr>
      <w:r w:rsidRPr="00C90AC9">
        <w:rPr>
          <w:rFonts w:eastAsiaTheme="minorHAnsi"/>
          <w:lang w:eastAsia="en-US"/>
        </w:rPr>
        <w:t>As there is a low amount of solar radiation which arrives at the solar collector</w:t>
      </w:r>
      <w:r w:rsidR="008B3835" w:rsidRPr="00C90AC9">
        <w:rPr>
          <w:rFonts w:eastAsiaTheme="minorHAnsi"/>
          <w:lang w:eastAsia="en-US"/>
        </w:rPr>
        <w:t>,</w:t>
      </w:r>
      <w:r w:rsidRPr="00C90AC9">
        <w:rPr>
          <w:rFonts w:eastAsiaTheme="minorHAnsi"/>
          <w:lang w:eastAsia="en-US"/>
        </w:rPr>
        <w:t xml:space="preserve"> the heating of the coil</w:t>
      </w:r>
      <w:r w:rsidR="007B7876" w:rsidRPr="00C90AC9">
        <w:rPr>
          <w:rFonts w:eastAsiaTheme="minorHAnsi"/>
          <w:lang w:eastAsia="en-US"/>
        </w:rPr>
        <w:t xml:space="preserve"> only </w:t>
      </w:r>
      <w:r w:rsidR="008B3835" w:rsidRPr="00C90AC9">
        <w:rPr>
          <w:rFonts w:eastAsiaTheme="minorHAnsi"/>
          <w:lang w:eastAsia="en-US"/>
        </w:rPr>
        <w:t>changes</w:t>
      </w:r>
      <w:r w:rsidR="007B7876" w:rsidRPr="00C90AC9">
        <w:rPr>
          <w:rFonts w:eastAsiaTheme="minorHAnsi"/>
          <w:lang w:eastAsia="en-US"/>
        </w:rPr>
        <w:t xml:space="preserve"> marginally as shown by Figure 3.22.</w:t>
      </w:r>
      <w:r w:rsidR="00C646CA" w:rsidRPr="00C90AC9">
        <w:rPr>
          <w:rFonts w:eastAsiaTheme="minorHAnsi"/>
          <w:lang w:eastAsia="en-US"/>
        </w:rPr>
        <w:t xml:space="preserve"> </w:t>
      </w:r>
      <w:r w:rsidR="008B3835" w:rsidRPr="00C90AC9">
        <w:rPr>
          <w:rFonts w:eastAsiaTheme="minorHAnsi"/>
          <w:lang w:eastAsia="en-US"/>
        </w:rPr>
        <w:t xml:space="preserve">The </w:t>
      </w:r>
      <w:r w:rsidR="00C646CA" w:rsidRPr="00C90AC9">
        <w:rPr>
          <w:rFonts w:eastAsiaTheme="minorHAnsi"/>
          <w:lang w:eastAsia="en-US"/>
        </w:rPr>
        <w:t xml:space="preserve">changing temperature of the heating </w:t>
      </w:r>
      <w:r w:rsidR="007B7876" w:rsidRPr="00C90AC9">
        <w:rPr>
          <w:rFonts w:eastAsiaTheme="minorHAnsi"/>
          <w:lang w:eastAsia="en-US"/>
        </w:rPr>
        <w:t>only increases by approximately 1.5</w:t>
      </w:r>
      <w:r w:rsidR="007B7876" w:rsidRPr="00C90AC9">
        <w:rPr>
          <w:rFonts w:eastAsiaTheme="minorHAnsi"/>
          <w:lang w:eastAsia="en-US"/>
        </w:rPr>
        <w:sym w:font="Symbol" w:char="F0B0"/>
      </w:r>
      <w:r w:rsidR="007B7876" w:rsidRPr="00C90AC9">
        <w:rPr>
          <w:rFonts w:eastAsiaTheme="minorHAnsi"/>
          <w:lang w:eastAsia="en-US"/>
        </w:rPr>
        <w:t xml:space="preserve">C for the majority of the </w:t>
      </w:r>
      <w:r w:rsidR="008B3835" w:rsidRPr="00C90AC9">
        <w:rPr>
          <w:rFonts w:eastAsiaTheme="minorHAnsi"/>
          <w:lang w:eastAsia="en-US"/>
        </w:rPr>
        <w:t>day</w:t>
      </w:r>
      <w:r w:rsidR="007B7876" w:rsidRPr="00C90AC9">
        <w:rPr>
          <w:rFonts w:eastAsiaTheme="minorHAnsi"/>
          <w:lang w:eastAsia="en-US"/>
        </w:rPr>
        <w:t xml:space="preserve"> when the sun is at a high azimuth angle from about 08:00 – 16:00. The large spikes in the heating of the coil occurs at about 16:00 and matches the total irradiance as measured on this day in February 2015.</w:t>
      </w:r>
      <w:r w:rsidR="00325112" w:rsidRPr="00C90AC9">
        <w:rPr>
          <w:rFonts w:eastAsiaTheme="minorHAnsi"/>
          <w:lang w:eastAsia="en-US"/>
        </w:rPr>
        <w:br w:type="page"/>
      </w:r>
    </w:p>
    <w:p w:rsidR="00A16B8C" w:rsidRPr="00C90AC9" w:rsidRDefault="00235159" w:rsidP="00EB4615">
      <w:pPr>
        <w:rPr>
          <w:rFonts w:eastAsiaTheme="minorHAnsi"/>
          <w:lang w:eastAsia="en-US"/>
        </w:rPr>
      </w:pPr>
      <w:r w:rsidRPr="00C90AC9">
        <w:rPr>
          <w:rFonts w:eastAsiaTheme="minorHAnsi"/>
          <w:lang w:eastAsia="en-US"/>
        </w:rPr>
        <w:lastRenderedPageBreak/>
        <w:t>Figure 3.2</w:t>
      </w:r>
      <w:r w:rsidR="00BC1D74" w:rsidRPr="00C90AC9">
        <w:rPr>
          <w:rFonts w:eastAsiaTheme="minorHAnsi"/>
          <w:lang w:eastAsia="en-US"/>
        </w:rPr>
        <w:t>2</w:t>
      </w:r>
      <w:r w:rsidRPr="00C90AC9">
        <w:rPr>
          <w:rFonts w:eastAsiaTheme="minorHAnsi"/>
          <w:lang w:eastAsia="en-US"/>
        </w:rPr>
        <w:t>.</w:t>
      </w:r>
      <w:r w:rsidR="00A16B8C" w:rsidRPr="00C90AC9">
        <w:rPr>
          <w:rFonts w:eastAsiaTheme="minorHAnsi"/>
          <w:lang w:eastAsia="en-US"/>
        </w:rPr>
        <w:t xml:space="preserve"> Temperature of the heating coil from the STP 00:00 - 23:59 19/02/2015</w:t>
      </w:r>
    </w:p>
    <w:p w:rsidR="00A16B8C" w:rsidRPr="00C90AC9" w:rsidRDefault="00A16B8C" w:rsidP="00B06779">
      <w:pPr>
        <w:rPr>
          <w:rFonts w:eastAsiaTheme="minorHAnsi"/>
          <w:lang w:eastAsia="en-US"/>
        </w:rPr>
      </w:pPr>
      <w:r w:rsidRPr="00C90AC9">
        <w:rPr>
          <w:rFonts w:eastAsiaTheme="minorHAnsi"/>
          <w:noProof/>
        </w:rPr>
        <w:drawing>
          <wp:inline distT="0" distB="0" distL="0" distR="0" wp14:anchorId="00978045" wp14:editId="4F207E54">
            <wp:extent cx="5743575" cy="5476875"/>
            <wp:effectExtent l="19050" t="19050" r="28575" b="2857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erature of the water as it leaves the STP 0000 19022015  2359 19022015.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41516" cy="5474912"/>
                    </a:xfrm>
                    <a:prstGeom prst="rect">
                      <a:avLst/>
                    </a:prstGeom>
                    <a:ln>
                      <a:solidFill>
                        <a:sysClr val="windowText" lastClr="000000"/>
                      </a:solidFill>
                    </a:ln>
                  </pic:spPr>
                </pic:pic>
              </a:graphicData>
            </a:graphic>
          </wp:inline>
        </w:drawing>
      </w:r>
    </w:p>
    <w:p w:rsidR="00325112" w:rsidRPr="00C90AC9" w:rsidRDefault="00325112" w:rsidP="00B06779">
      <w:pPr>
        <w:rPr>
          <w:rFonts w:eastAsiaTheme="minorHAnsi"/>
          <w:lang w:eastAsia="en-US"/>
        </w:rPr>
      </w:pPr>
    </w:p>
    <w:p w:rsidR="00325112" w:rsidRPr="00C90AC9" w:rsidRDefault="00325112">
      <w:pPr>
        <w:rPr>
          <w:rStyle w:val="SubtleEmphasis"/>
          <w:rFonts w:cs="Times New Roman"/>
          <w:iCs/>
          <w:szCs w:val="24"/>
        </w:rPr>
      </w:pPr>
      <w:r w:rsidRPr="00C90AC9">
        <w:rPr>
          <w:rStyle w:val="SubtleEmphasis"/>
          <w:rFonts w:cs="Times New Roman"/>
          <w:iCs/>
          <w:szCs w:val="24"/>
        </w:rPr>
        <w:br w:type="page"/>
      </w:r>
    </w:p>
    <w:p w:rsidR="00A16B8C" w:rsidRPr="00C90AC9" w:rsidRDefault="00A16B8C" w:rsidP="00CA6E35">
      <w:pPr>
        <w:pStyle w:val="List"/>
        <w:numPr>
          <w:ilvl w:val="1"/>
          <w:numId w:val="3"/>
        </w:numPr>
        <w:rPr>
          <w:rStyle w:val="SubtleEmphasis"/>
          <w:rFonts w:cs="Times New Roman"/>
          <w:iCs/>
          <w:szCs w:val="24"/>
        </w:rPr>
      </w:pPr>
      <w:r w:rsidRPr="00C90AC9">
        <w:rPr>
          <w:rStyle w:val="SubtleEmphasis"/>
          <w:rFonts w:cs="Times New Roman"/>
          <w:iCs/>
          <w:szCs w:val="24"/>
        </w:rPr>
        <w:lastRenderedPageBreak/>
        <w:t xml:space="preserve">Results from </w:t>
      </w:r>
      <w:proofErr w:type="spellStart"/>
      <w:r w:rsidRPr="00C90AC9">
        <w:rPr>
          <w:rStyle w:val="SubtleEmphasis"/>
          <w:rFonts w:cs="Times New Roman"/>
          <w:iCs/>
          <w:szCs w:val="24"/>
        </w:rPr>
        <w:t>Matlab</w:t>
      </w:r>
      <w:proofErr w:type="spellEnd"/>
      <w:r w:rsidRPr="00C90AC9">
        <w:rPr>
          <w:rStyle w:val="SubtleEmphasis"/>
          <w:rFonts w:cs="Times New Roman"/>
          <w:iCs/>
          <w:szCs w:val="24"/>
        </w:rPr>
        <w:t xml:space="preserve"> simulations</w:t>
      </w:r>
    </w:p>
    <w:p w:rsidR="005B0468" w:rsidRPr="00C90AC9" w:rsidRDefault="00370A75" w:rsidP="00ED3F45">
      <w:pPr>
        <w:pStyle w:val="BodyTextFirstIndent"/>
        <w:spacing w:line="360" w:lineRule="auto"/>
        <w:ind w:firstLine="357"/>
        <w:rPr>
          <w:rFonts w:eastAsiaTheme="minorHAnsi"/>
          <w:lang w:eastAsia="en-US"/>
        </w:rPr>
      </w:pPr>
      <w:r w:rsidRPr="00C90AC9">
        <w:rPr>
          <w:rFonts w:eastAsiaTheme="minorHAnsi"/>
          <w:lang w:eastAsia="en-US"/>
        </w:rPr>
        <w:t xml:space="preserve">The </w:t>
      </w:r>
      <w:r w:rsidR="00FB4B3E" w:rsidRPr="00C90AC9">
        <w:rPr>
          <w:rFonts w:eastAsiaTheme="minorHAnsi"/>
          <w:lang w:eastAsia="en-US"/>
        </w:rPr>
        <w:t xml:space="preserve">recorded irradiance as measured on </w:t>
      </w:r>
      <w:r w:rsidRPr="00C90AC9">
        <w:rPr>
          <w:rFonts w:eastAsiaTheme="minorHAnsi"/>
          <w:lang w:eastAsia="en-US"/>
        </w:rPr>
        <w:t xml:space="preserve">23/7/2014 was chosen as a single day </w:t>
      </w:r>
      <w:r w:rsidR="001953A7" w:rsidRPr="00C90AC9">
        <w:rPr>
          <w:rFonts w:eastAsiaTheme="minorHAnsi"/>
          <w:lang w:eastAsia="en-US"/>
        </w:rPr>
        <w:t xml:space="preserve">with which </w:t>
      </w:r>
      <w:r w:rsidRPr="00C90AC9">
        <w:rPr>
          <w:rFonts w:eastAsiaTheme="minorHAnsi"/>
          <w:lang w:eastAsia="en-US"/>
        </w:rPr>
        <w:t xml:space="preserve">to show the program operating under the different Tapping Cycles. The end of July was chosen as the it is often the middle of summer and will indicate the effectiveness of using the program choice of Tapping Cycle (in the winter when there is less irradiance the difference in the efficiency and cost savings will be least whereas in the summer the savings will be more pronounced).  </w:t>
      </w:r>
      <w:r w:rsidR="00B84AF7" w:rsidRPr="00C90AC9">
        <w:rPr>
          <w:rFonts w:eastAsiaTheme="minorHAnsi"/>
          <w:lang w:eastAsia="en-US"/>
        </w:rPr>
        <w:t xml:space="preserve">The temperature of the hot water tank as it heats up is </w:t>
      </w:r>
      <w:r w:rsidRPr="00C90AC9">
        <w:rPr>
          <w:rFonts w:eastAsiaTheme="minorHAnsi"/>
          <w:lang w:eastAsia="en-US"/>
        </w:rPr>
        <w:t xml:space="preserve">using Tapping Cycle #2 is </w:t>
      </w:r>
      <w:r w:rsidR="00B84AF7" w:rsidRPr="00C90AC9">
        <w:rPr>
          <w:rFonts w:eastAsiaTheme="minorHAnsi"/>
          <w:lang w:eastAsia="en-US"/>
        </w:rPr>
        <w:t>shown in Figure 3.2</w:t>
      </w:r>
      <w:r w:rsidR="007B7876" w:rsidRPr="00C90AC9">
        <w:rPr>
          <w:rFonts w:eastAsiaTheme="minorHAnsi"/>
          <w:lang w:eastAsia="en-US"/>
        </w:rPr>
        <w:t>3</w:t>
      </w:r>
      <w:r w:rsidR="00B84AF7" w:rsidRPr="00C90AC9">
        <w:rPr>
          <w:rFonts w:eastAsiaTheme="minorHAnsi"/>
          <w:lang w:eastAsia="en-US"/>
        </w:rPr>
        <w:t xml:space="preserve"> with the top slice, the middle slice and bottom slice of the tank graphed (“Slice 1” is at the top of the tank and “Slice 150” is at the bottom of the tank). </w:t>
      </w:r>
    </w:p>
    <w:p w:rsidR="001B350B" w:rsidRPr="00C90AC9" w:rsidRDefault="001B350B" w:rsidP="00B06779">
      <w:pPr>
        <w:pStyle w:val="BodyText"/>
        <w:rPr>
          <w:rFonts w:eastAsiaTheme="minorHAnsi"/>
        </w:rPr>
      </w:pPr>
      <w:r w:rsidRPr="00C90AC9">
        <w:rPr>
          <w:rFonts w:eastAsiaTheme="minorHAnsi"/>
        </w:rPr>
        <w:t>Figure 3.2</w:t>
      </w:r>
      <w:r w:rsidR="00BC1D74" w:rsidRPr="00C90AC9">
        <w:rPr>
          <w:rFonts w:eastAsiaTheme="minorHAnsi"/>
        </w:rPr>
        <w:t>3</w:t>
      </w:r>
      <w:r w:rsidRPr="00C90AC9">
        <w:rPr>
          <w:rFonts w:eastAsiaTheme="minorHAnsi"/>
        </w:rPr>
        <w:t xml:space="preserve">. The temperature of the tank at different slices, Tapping Cycle #1 00:00-23:59 23/07/2014 </w:t>
      </w:r>
    </w:p>
    <w:p w:rsidR="001B350B" w:rsidRPr="00C90AC9" w:rsidRDefault="00B41856" w:rsidP="00B06779">
      <w:pPr>
        <w:rPr>
          <w:rFonts w:eastAsiaTheme="minorHAnsi"/>
        </w:rPr>
      </w:pPr>
      <w:r w:rsidRPr="00C90AC9">
        <w:rPr>
          <w:rFonts w:eastAsiaTheme="minorHAnsi"/>
          <w:noProof/>
        </w:rPr>
        <w:drawing>
          <wp:inline distT="0" distB="0" distL="0" distR="0" wp14:anchorId="2C9B3D40" wp14:editId="5A89924C">
            <wp:extent cx="5591175" cy="5124450"/>
            <wp:effectExtent l="19050" t="19050" r="9525" b="190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slice1.png"/>
                    <pic:cNvPicPr/>
                  </pic:nvPicPr>
                  <pic:blipFill rotWithShape="1">
                    <a:blip r:embed="rId63" cstate="print">
                      <a:extLst>
                        <a:ext uri="{28A0092B-C50C-407E-A947-70E740481C1C}">
                          <a14:useLocalDpi xmlns:a14="http://schemas.microsoft.com/office/drawing/2010/main" val="0"/>
                        </a:ext>
                      </a:extLst>
                    </a:blip>
                    <a:srcRect l="5324" r="7994" b="2873"/>
                    <a:stretch/>
                  </pic:blipFill>
                  <pic:spPr bwMode="auto">
                    <a:xfrm>
                      <a:off x="0" y="0"/>
                      <a:ext cx="5597602" cy="513034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B350B" w:rsidRPr="00C90AC9" w:rsidRDefault="001B350B" w:rsidP="00B06779">
      <w:pPr>
        <w:rPr>
          <w:rFonts w:eastAsiaTheme="minorHAnsi"/>
        </w:rPr>
      </w:pPr>
    </w:p>
    <w:p w:rsidR="001B350B" w:rsidRPr="00C90AC9" w:rsidRDefault="001B350B" w:rsidP="00B06779">
      <w:pPr>
        <w:rPr>
          <w:rFonts w:eastAsiaTheme="minorHAnsi"/>
        </w:rPr>
      </w:pPr>
    </w:p>
    <w:p w:rsidR="001B350B" w:rsidRPr="00C90AC9" w:rsidRDefault="001B350B" w:rsidP="00B06779">
      <w:pPr>
        <w:pStyle w:val="BodyText"/>
        <w:rPr>
          <w:rFonts w:eastAsiaTheme="minorHAnsi"/>
        </w:rPr>
      </w:pPr>
      <w:r w:rsidRPr="00C90AC9">
        <w:rPr>
          <w:rFonts w:eastAsiaTheme="minorHAnsi"/>
        </w:rPr>
        <w:lastRenderedPageBreak/>
        <w:t>Figure 3.2</w:t>
      </w:r>
      <w:r w:rsidR="007B7876" w:rsidRPr="00C90AC9">
        <w:rPr>
          <w:rFonts w:eastAsiaTheme="minorHAnsi"/>
        </w:rPr>
        <w:t>4</w:t>
      </w:r>
      <w:r w:rsidRPr="00C90AC9">
        <w:rPr>
          <w:rFonts w:eastAsiaTheme="minorHAnsi"/>
        </w:rPr>
        <w:t>. The cost of heating up the required volume of water to 45°C throughout 00:00-23:59 23/07/2014 utilising a STP using Tapping Cycle#1</w:t>
      </w:r>
    </w:p>
    <w:p w:rsidR="001B350B" w:rsidRPr="00C90AC9" w:rsidRDefault="0000633D" w:rsidP="00B06779">
      <w:pPr>
        <w:rPr>
          <w:rFonts w:eastAsiaTheme="minorHAnsi"/>
        </w:rPr>
      </w:pPr>
      <w:r w:rsidRPr="00C90AC9">
        <w:rPr>
          <w:rFonts w:eastAsiaTheme="minorHAnsi"/>
          <w:noProof/>
        </w:rPr>
        <w:drawing>
          <wp:inline distT="0" distB="0" distL="0" distR="0" wp14:anchorId="6ABE437A" wp14:editId="202F7F4E">
            <wp:extent cx="5873769" cy="4972050"/>
            <wp:effectExtent l="19050" t="19050" r="12700" b="190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ing2.png"/>
                    <pic:cNvPicPr/>
                  </pic:nvPicPr>
                  <pic:blipFill rotWithShape="1">
                    <a:blip r:embed="rId64" cstate="print">
                      <a:extLst>
                        <a:ext uri="{28A0092B-C50C-407E-A947-70E740481C1C}">
                          <a14:useLocalDpi xmlns:a14="http://schemas.microsoft.com/office/drawing/2010/main" val="0"/>
                        </a:ext>
                      </a:extLst>
                    </a:blip>
                    <a:srcRect l="5990" t="3736" r="6330"/>
                    <a:stretch/>
                  </pic:blipFill>
                  <pic:spPr bwMode="auto">
                    <a:xfrm>
                      <a:off x="0" y="0"/>
                      <a:ext cx="5882748" cy="497965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6141F" w:rsidRPr="00C90AC9" w:rsidRDefault="0016141F">
      <w:pPr>
        <w:rPr>
          <w:rFonts w:eastAsiaTheme="minorHAnsi"/>
        </w:rPr>
      </w:pPr>
    </w:p>
    <w:p w:rsidR="001B350B" w:rsidRPr="00C90AC9" w:rsidRDefault="0016141F" w:rsidP="0016141F">
      <w:pPr>
        <w:spacing w:line="360" w:lineRule="auto"/>
        <w:rPr>
          <w:rFonts w:eastAsiaTheme="minorHAnsi"/>
        </w:rPr>
      </w:pPr>
      <w:r w:rsidRPr="00C90AC9">
        <w:rPr>
          <w:rFonts w:eastAsiaTheme="minorHAnsi"/>
          <w:lang w:eastAsia="en-US"/>
        </w:rPr>
        <w:t xml:space="preserve">The cost of using an auxiliary boiler throughout the day is shown in Figure 3.24. </w:t>
      </w:r>
      <w:r w:rsidR="00913117" w:rsidRPr="00C90AC9">
        <w:rPr>
          <w:rFonts w:eastAsiaTheme="minorHAnsi"/>
          <w:lang w:eastAsia="en-US"/>
        </w:rPr>
        <w:t>A</w:t>
      </w:r>
      <w:r w:rsidRPr="00C90AC9">
        <w:rPr>
          <w:rFonts w:eastAsiaTheme="minorHAnsi"/>
          <w:lang w:eastAsia="en-US"/>
        </w:rPr>
        <w:t>t those times throughout the day when an auxiliary boiler is required to raise the heated water up to the desired temperature of 45</w:t>
      </w:r>
      <w:r w:rsidRPr="00C90AC9">
        <w:rPr>
          <w:rFonts w:eastAsiaTheme="minorHAnsi"/>
          <w:lang w:eastAsia="en-US"/>
        </w:rPr>
        <w:sym w:font="Symbol" w:char="F0B0"/>
      </w:r>
      <w:r w:rsidRPr="00C90AC9">
        <w:rPr>
          <w:rFonts w:eastAsiaTheme="minorHAnsi"/>
          <w:lang w:eastAsia="en-US"/>
        </w:rPr>
        <w:t xml:space="preserve">C the cost only exceeds 0.25p </w:t>
      </w:r>
      <w:r w:rsidR="00913117" w:rsidRPr="00C90AC9">
        <w:rPr>
          <w:rFonts w:eastAsiaTheme="minorHAnsi"/>
          <w:lang w:eastAsia="en-US"/>
        </w:rPr>
        <w:t>for four of the eleven</w:t>
      </w:r>
      <w:r w:rsidRPr="00C90AC9">
        <w:rPr>
          <w:rFonts w:eastAsiaTheme="minorHAnsi"/>
          <w:lang w:eastAsia="en-US"/>
        </w:rPr>
        <w:t xml:space="preserve"> tapping occasions.</w:t>
      </w:r>
    </w:p>
    <w:p w:rsidR="001B350B" w:rsidRPr="00C90AC9" w:rsidRDefault="001B350B" w:rsidP="009902C3">
      <w:pPr>
        <w:pStyle w:val="BodyText"/>
        <w:spacing w:line="360" w:lineRule="auto"/>
        <w:rPr>
          <w:rFonts w:eastAsiaTheme="minorHAnsi"/>
          <w:lang w:eastAsia="en-US"/>
        </w:rPr>
      </w:pPr>
      <w:r w:rsidRPr="00C90AC9">
        <w:rPr>
          <w:rFonts w:eastAsiaTheme="minorHAnsi"/>
          <w:lang w:eastAsia="en-US"/>
        </w:rPr>
        <w:t xml:space="preserve">The total cost of using an auxiliary boiler for that day is calculated as being </w:t>
      </w:r>
      <w:r w:rsidR="0016141F" w:rsidRPr="00C90AC9">
        <w:rPr>
          <w:rFonts w:eastAsiaTheme="minorHAnsi"/>
          <w:lang w:eastAsia="en-US"/>
        </w:rPr>
        <w:t>2</w:t>
      </w:r>
      <w:r w:rsidRPr="00C90AC9">
        <w:rPr>
          <w:rFonts w:eastAsiaTheme="minorHAnsi"/>
          <w:lang w:eastAsia="en-US"/>
        </w:rPr>
        <w:t xml:space="preserve">p for the day using </w:t>
      </w:r>
      <w:r w:rsidR="0016141F" w:rsidRPr="00C90AC9">
        <w:rPr>
          <w:rFonts w:eastAsiaTheme="minorHAnsi"/>
          <w:lang w:eastAsia="en-US"/>
        </w:rPr>
        <w:t>T</w:t>
      </w:r>
      <w:r w:rsidRPr="00C90AC9">
        <w:rPr>
          <w:rFonts w:eastAsiaTheme="minorHAnsi"/>
          <w:lang w:eastAsia="en-US"/>
        </w:rPr>
        <w:t>apping Cycle</w:t>
      </w:r>
      <w:r w:rsidR="0016141F" w:rsidRPr="00C90AC9">
        <w:rPr>
          <w:rFonts w:eastAsiaTheme="minorHAnsi"/>
          <w:lang w:eastAsia="en-US"/>
        </w:rPr>
        <w:t xml:space="preserve"> </w:t>
      </w:r>
      <w:r w:rsidRPr="00C90AC9">
        <w:rPr>
          <w:rFonts w:eastAsiaTheme="minorHAnsi"/>
          <w:lang w:eastAsia="en-US"/>
        </w:rPr>
        <w:t xml:space="preserve">#1 with a STP connected to the hot water thank and an auxiliary boiler supplying the additional energy at those times when the temperature of the water is below 45°C. </w:t>
      </w:r>
      <w:r w:rsidR="0016141F" w:rsidRPr="00C90AC9">
        <w:rPr>
          <w:rFonts w:eastAsiaTheme="minorHAnsi"/>
          <w:lang w:eastAsia="en-US"/>
        </w:rPr>
        <w:t xml:space="preserve"> </w:t>
      </w:r>
      <w:r w:rsidRPr="00C90AC9">
        <w:rPr>
          <w:rFonts w:eastAsiaTheme="minorHAnsi"/>
          <w:lang w:eastAsia="en-US"/>
        </w:rPr>
        <w:t xml:space="preserve">This compares with a cost of 29p incurred when utilising just an auxiliary boiler. The Final Energy Savings for that one day are simply 29p, a modest saving. </w:t>
      </w:r>
    </w:p>
    <w:p w:rsidR="001B350B" w:rsidRPr="00C90AC9" w:rsidRDefault="001B350B" w:rsidP="00B06779">
      <w:pPr>
        <w:rPr>
          <w:rFonts w:eastAsiaTheme="minorHAnsi"/>
        </w:rPr>
      </w:pPr>
      <w:r w:rsidRPr="00C90AC9">
        <w:rPr>
          <w:rFonts w:eastAsiaTheme="minorHAnsi"/>
        </w:rPr>
        <w:br w:type="page"/>
      </w:r>
    </w:p>
    <w:p w:rsidR="00325112" w:rsidRPr="00C90AC9" w:rsidRDefault="004B00CC" w:rsidP="00012484">
      <w:pPr>
        <w:pStyle w:val="BodyText"/>
        <w:rPr>
          <w:rFonts w:eastAsiaTheme="minorHAnsi"/>
        </w:rPr>
      </w:pPr>
      <w:r w:rsidRPr="00C90AC9">
        <w:rPr>
          <w:rFonts w:eastAsiaTheme="minorHAnsi"/>
          <w:noProof/>
        </w:rPr>
        <w:lastRenderedPageBreak/>
        <w:drawing>
          <wp:anchor distT="0" distB="0" distL="114300" distR="114300" simplePos="0" relativeHeight="251904000" behindDoc="1" locked="0" layoutInCell="1" allowOverlap="1" wp14:anchorId="5933A0F6" wp14:editId="2CB2DE1A">
            <wp:simplePos x="0" y="0"/>
            <wp:positionH relativeFrom="column">
              <wp:posOffset>9525</wp:posOffset>
            </wp:positionH>
            <wp:positionV relativeFrom="paragraph">
              <wp:posOffset>637540</wp:posOffset>
            </wp:positionV>
            <wp:extent cx="5832475" cy="5800725"/>
            <wp:effectExtent l="19050" t="19050" r="15875" b="28575"/>
            <wp:wrapTight wrapText="bothSides">
              <wp:wrapPolygon edited="0">
                <wp:start x="-71" y="-71"/>
                <wp:lineTo x="-71" y="21635"/>
                <wp:lineTo x="21588" y="21635"/>
                <wp:lineTo x="21588" y="-71"/>
                <wp:lineTo x="-71" y="-71"/>
              </wp:wrapPolygon>
            </wp:wrapTight>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 of slices.png"/>
                    <pic:cNvPicPr/>
                  </pic:nvPicPr>
                  <pic:blipFill rotWithShape="1">
                    <a:blip r:embed="rId65" cstate="print">
                      <a:extLst>
                        <a:ext uri="{28A0092B-C50C-407E-A947-70E740481C1C}">
                          <a14:useLocalDpi xmlns:a14="http://schemas.microsoft.com/office/drawing/2010/main" val="0"/>
                        </a:ext>
                      </a:extLst>
                    </a:blip>
                    <a:srcRect l="3988" t="2474" r="5814" b="3712"/>
                    <a:stretch/>
                  </pic:blipFill>
                  <pic:spPr bwMode="auto">
                    <a:xfrm>
                      <a:off x="0" y="0"/>
                      <a:ext cx="5832475" cy="58007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439E" w:rsidRPr="00C90AC9">
        <w:rPr>
          <w:rFonts w:eastAsiaTheme="minorHAnsi"/>
        </w:rPr>
        <w:t>Figure 3.2</w:t>
      </w:r>
      <w:r w:rsidR="00913117" w:rsidRPr="00C90AC9">
        <w:rPr>
          <w:rFonts w:eastAsiaTheme="minorHAnsi"/>
        </w:rPr>
        <w:t>5</w:t>
      </w:r>
      <w:r w:rsidR="0064439E" w:rsidRPr="00C90AC9">
        <w:rPr>
          <w:rFonts w:eastAsiaTheme="minorHAnsi"/>
        </w:rPr>
        <w:t xml:space="preserve">. The temperature of the tank at different slices, </w:t>
      </w:r>
      <w:r w:rsidR="00A83496" w:rsidRPr="00C90AC9">
        <w:rPr>
          <w:rFonts w:eastAsiaTheme="minorHAnsi"/>
        </w:rPr>
        <w:t xml:space="preserve">Tapping Cycle #2 </w:t>
      </w:r>
      <w:r w:rsidR="00012484" w:rsidRPr="00C90AC9">
        <w:rPr>
          <w:rFonts w:eastAsiaTheme="minorHAnsi"/>
        </w:rPr>
        <w:t xml:space="preserve">00:00-23:59 23/07/2014 </w:t>
      </w:r>
    </w:p>
    <w:p w:rsidR="00012484" w:rsidRPr="00C90AC9" w:rsidRDefault="00012484">
      <w:pPr>
        <w:rPr>
          <w:rFonts w:eastAsiaTheme="minorHAnsi"/>
        </w:rPr>
      </w:pPr>
      <w:r w:rsidRPr="00C90AC9">
        <w:rPr>
          <w:rFonts w:eastAsiaTheme="minorHAnsi"/>
        </w:rPr>
        <w:br w:type="page"/>
      </w:r>
    </w:p>
    <w:p w:rsidR="00D92255" w:rsidRPr="00C90AC9" w:rsidRDefault="006306F9" w:rsidP="00B06779">
      <w:pPr>
        <w:pStyle w:val="BodyText"/>
        <w:rPr>
          <w:rFonts w:eastAsiaTheme="minorHAnsi"/>
        </w:rPr>
      </w:pPr>
      <w:r w:rsidRPr="00C90AC9">
        <w:rPr>
          <w:rFonts w:eastAsiaTheme="minorHAnsi"/>
          <w:noProof/>
        </w:rPr>
        <w:lastRenderedPageBreak/>
        <w:drawing>
          <wp:anchor distT="0" distB="0" distL="114300" distR="114300" simplePos="0" relativeHeight="251902976" behindDoc="0" locked="0" layoutInCell="1" allowOverlap="1" wp14:anchorId="64FF5207" wp14:editId="31FAB46E">
            <wp:simplePos x="0" y="0"/>
            <wp:positionH relativeFrom="column">
              <wp:posOffset>19050</wp:posOffset>
            </wp:positionH>
            <wp:positionV relativeFrom="paragraph">
              <wp:posOffset>542925</wp:posOffset>
            </wp:positionV>
            <wp:extent cx="5553075" cy="5743575"/>
            <wp:effectExtent l="19050" t="19050" r="28575" b="2857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xgas.png"/>
                    <pic:cNvPicPr/>
                  </pic:nvPicPr>
                  <pic:blipFill rotWithShape="1">
                    <a:blip r:embed="rId66" cstate="print">
                      <a:extLst>
                        <a:ext uri="{28A0092B-C50C-407E-A947-70E740481C1C}">
                          <a14:useLocalDpi xmlns:a14="http://schemas.microsoft.com/office/drawing/2010/main" val="0"/>
                        </a:ext>
                      </a:extLst>
                    </a:blip>
                    <a:srcRect l="7148" r="5588"/>
                    <a:stretch/>
                  </pic:blipFill>
                  <pic:spPr bwMode="auto">
                    <a:xfrm>
                      <a:off x="0" y="0"/>
                      <a:ext cx="5553075" cy="5743575"/>
                    </a:xfrm>
                    <a:prstGeom prst="rect">
                      <a:avLst/>
                    </a:prstGeom>
                    <a:ln>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92255" w:rsidRPr="00C90AC9">
        <w:rPr>
          <w:rFonts w:eastAsiaTheme="minorHAnsi"/>
        </w:rPr>
        <w:t>Figure 3.2</w:t>
      </w:r>
      <w:r w:rsidR="00913117" w:rsidRPr="00C90AC9">
        <w:rPr>
          <w:rFonts w:eastAsiaTheme="minorHAnsi"/>
        </w:rPr>
        <w:t>6</w:t>
      </w:r>
      <w:r w:rsidR="00D92255" w:rsidRPr="00C90AC9">
        <w:rPr>
          <w:rFonts w:eastAsiaTheme="minorHAnsi"/>
        </w:rPr>
        <w:t>. The cost of heating up the required volume of water to 45°C throughout 00:00-23:59 23/07/2014</w:t>
      </w:r>
      <w:r w:rsidR="00767167" w:rsidRPr="00C90AC9">
        <w:rPr>
          <w:rFonts w:eastAsiaTheme="minorHAnsi"/>
        </w:rPr>
        <w:t xml:space="preserve"> utilising a STP</w:t>
      </w:r>
      <w:r w:rsidR="00D92255" w:rsidRPr="00C90AC9">
        <w:rPr>
          <w:rFonts w:eastAsiaTheme="minorHAnsi"/>
        </w:rPr>
        <w:t xml:space="preserve"> using Tapping Cycle#2 </w:t>
      </w:r>
    </w:p>
    <w:p w:rsidR="00325112" w:rsidRPr="00C90AC9" w:rsidRDefault="00325112" w:rsidP="009902C3">
      <w:pPr>
        <w:pStyle w:val="BodyText"/>
        <w:spacing w:line="360" w:lineRule="auto"/>
        <w:rPr>
          <w:rFonts w:eastAsiaTheme="minorHAnsi"/>
          <w:lang w:eastAsia="en-US"/>
        </w:rPr>
      </w:pPr>
    </w:p>
    <w:p w:rsidR="006306F9" w:rsidRPr="00C90AC9" w:rsidRDefault="006306F9" w:rsidP="009F45DE">
      <w:pPr>
        <w:spacing w:line="360" w:lineRule="auto"/>
        <w:rPr>
          <w:rFonts w:eastAsiaTheme="minorHAnsi"/>
          <w:lang w:eastAsia="en-US"/>
        </w:rPr>
      </w:pPr>
      <w:r w:rsidRPr="00C90AC9">
        <w:rPr>
          <w:rFonts w:eastAsiaTheme="minorHAnsi"/>
          <w:lang w:eastAsia="en-US"/>
        </w:rPr>
        <w:t xml:space="preserve">The total cost of using an auxiliary boiler for that day is calculated as being 65p for the day using Tapping Cycle#2 with a STP connected to the hot water thank and an auxiliary boiler supplying the additional energy at those times when the temperature of the water is below 45°C. This compares with a cost of 80p incurred when utilising just an auxiliary boiler. The </w:t>
      </w:r>
      <w:r w:rsidR="008B3835" w:rsidRPr="00C90AC9">
        <w:rPr>
          <w:rFonts w:eastAsiaTheme="minorHAnsi"/>
          <w:lang w:eastAsia="en-US"/>
        </w:rPr>
        <w:t>f</w:t>
      </w:r>
      <w:r w:rsidRPr="00C90AC9">
        <w:rPr>
          <w:rFonts w:eastAsiaTheme="minorHAnsi"/>
          <w:lang w:eastAsia="en-US"/>
        </w:rPr>
        <w:t>inal</w:t>
      </w:r>
      <w:r w:rsidR="008B3835" w:rsidRPr="00C90AC9">
        <w:rPr>
          <w:rFonts w:eastAsiaTheme="minorHAnsi"/>
          <w:lang w:eastAsia="en-US"/>
        </w:rPr>
        <w:t xml:space="preserve"> e</w:t>
      </w:r>
      <w:r w:rsidRPr="00C90AC9">
        <w:rPr>
          <w:rFonts w:eastAsiaTheme="minorHAnsi"/>
          <w:lang w:eastAsia="en-US"/>
        </w:rPr>
        <w:t xml:space="preserve">nergy </w:t>
      </w:r>
      <w:r w:rsidR="008B3835" w:rsidRPr="00C90AC9">
        <w:rPr>
          <w:rFonts w:eastAsiaTheme="minorHAnsi"/>
          <w:lang w:eastAsia="en-US"/>
        </w:rPr>
        <w:t>s</w:t>
      </w:r>
      <w:r w:rsidRPr="00C90AC9">
        <w:rPr>
          <w:rFonts w:eastAsiaTheme="minorHAnsi"/>
          <w:lang w:eastAsia="en-US"/>
        </w:rPr>
        <w:t xml:space="preserve">avings for that one day are 15p, a modest saving. </w:t>
      </w:r>
    </w:p>
    <w:p w:rsidR="006306F9" w:rsidRPr="00C90AC9" w:rsidRDefault="006306F9" w:rsidP="00B06779">
      <w:pPr>
        <w:rPr>
          <w:rFonts w:eastAsiaTheme="minorHAnsi"/>
        </w:rPr>
      </w:pPr>
    </w:p>
    <w:p w:rsidR="005D3791" w:rsidRPr="00C90AC9" w:rsidRDefault="008B3835" w:rsidP="00C90AC9">
      <w:pPr>
        <w:spacing w:line="360" w:lineRule="auto"/>
        <w:rPr>
          <w:rFonts w:eastAsiaTheme="minorHAnsi"/>
        </w:rPr>
      </w:pPr>
      <w:r w:rsidRPr="00C90AC9">
        <w:rPr>
          <w:rFonts w:eastAsiaTheme="minorHAnsi"/>
        </w:rPr>
        <w:t>In Figure 3.27. the temperature of the water within the simulated hot water tank is shown at different slices</w:t>
      </w:r>
      <w:r w:rsidR="009F45DE" w:rsidRPr="00C90AC9">
        <w:rPr>
          <w:rFonts w:eastAsiaTheme="minorHAnsi"/>
        </w:rPr>
        <w:t xml:space="preserve">, </w:t>
      </w:r>
      <w:proofErr w:type="gramStart"/>
      <w:r w:rsidR="009F45DE" w:rsidRPr="00C90AC9">
        <w:rPr>
          <w:rFonts w:eastAsiaTheme="minorHAnsi"/>
        </w:rPr>
        <w:t>The</w:t>
      </w:r>
      <w:proofErr w:type="gramEnd"/>
      <w:r w:rsidRPr="00C90AC9">
        <w:rPr>
          <w:rFonts w:eastAsiaTheme="minorHAnsi"/>
        </w:rPr>
        <w:t xml:space="preserve"> blue </w:t>
      </w:r>
      <w:r w:rsidR="009F45DE" w:rsidRPr="00C90AC9">
        <w:rPr>
          <w:rFonts w:eastAsiaTheme="minorHAnsi"/>
        </w:rPr>
        <w:t xml:space="preserve">line profiles </w:t>
      </w:r>
      <w:r w:rsidRPr="00C90AC9">
        <w:rPr>
          <w:rFonts w:eastAsiaTheme="minorHAnsi"/>
        </w:rPr>
        <w:t xml:space="preserve">the temperature of the first slice </w:t>
      </w:r>
      <w:r w:rsidR="009F45DE" w:rsidRPr="00C90AC9">
        <w:rPr>
          <w:rFonts w:eastAsiaTheme="minorHAnsi"/>
        </w:rPr>
        <w:t xml:space="preserve">within the hot water tank </w:t>
      </w:r>
      <w:r w:rsidRPr="00C90AC9">
        <w:rPr>
          <w:rFonts w:eastAsiaTheme="minorHAnsi"/>
        </w:rPr>
        <w:lastRenderedPageBreak/>
        <w:t>(representing the uppermost layer of the tank)</w:t>
      </w:r>
      <w:r w:rsidR="009F45DE" w:rsidRPr="00C90AC9">
        <w:rPr>
          <w:rFonts w:eastAsiaTheme="minorHAnsi"/>
        </w:rPr>
        <w:t xml:space="preserve">, the red line is the 100 slice in the tank, and the green line is layer 200 which is the layer at the bottom of the tank. From Figure 3.27. the temperature profile of the heated water within the hot water tank can be determined and it is clear, that on this </w:t>
      </w:r>
      <w:r w:rsidR="00C90AC9" w:rsidRPr="00C90AC9">
        <w:rPr>
          <w:rFonts w:eastAsiaTheme="minorHAnsi"/>
        </w:rPr>
        <w:t>summer’s</w:t>
      </w:r>
      <w:r w:rsidR="009F45DE" w:rsidRPr="00C90AC9">
        <w:rPr>
          <w:rFonts w:eastAsiaTheme="minorHAnsi"/>
        </w:rPr>
        <w:t xml:space="preserve"> day in 2014 the heated water within the hot water tank is not </w:t>
      </w:r>
      <w:r w:rsidR="00C90AC9" w:rsidRPr="00C90AC9">
        <w:rPr>
          <w:rFonts w:eastAsiaTheme="minorHAnsi"/>
        </w:rPr>
        <w:t>compromised</w:t>
      </w:r>
      <w:r w:rsidR="009F45DE" w:rsidRPr="00C90AC9">
        <w:rPr>
          <w:rFonts w:eastAsiaTheme="minorHAnsi"/>
        </w:rPr>
        <w:t xml:space="preserve"> by the water entering the tank during tapping cycles.</w:t>
      </w:r>
      <w:r w:rsidR="00C90AC9">
        <w:rPr>
          <w:rFonts w:eastAsiaTheme="minorHAnsi"/>
        </w:rPr>
        <w:t xml:space="preserve"> This is evidenced by the tapping cycles only being apparent in slice 200 (the lowermost slice) within the tank. Tapping Cycle 3 </w:t>
      </w:r>
      <w:r w:rsidR="009F45DE" w:rsidRPr="00C90AC9">
        <w:rPr>
          <w:rFonts w:eastAsiaTheme="minorHAnsi"/>
        </w:rPr>
        <w:t xml:space="preserve"> </w:t>
      </w:r>
    </w:p>
    <w:p w:rsidR="005D3791" w:rsidRPr="00C90AC9" w:rsidRDefault="005D3791" w:rsidP="00B06779">
      <w:pPr>
        <w:rPr>
          <w:rFonts w:eastAsiaTheme="minorHAnsi"/>
        </w:rPr>
      </w:pPr>
    </w:p>
    <w:p w:rsidR="00D648D3" w:rsidRPr="00C90AC9" w:rsidRDefault="00D648D3" w:rsidP="00B06779">
      <w:pPr>
        <w:pStyle w:val="BodyText"/>
        <w:rPr>
          <w:rFonts w:eastAsiaTheme="minorHAnsi"/>
        </w:rPr>
      </w:pPr>
      <w:r w:rsidRPr="00C90AC9">
        <w:rPr>
          <w:rFonts w:eastAsiaTheme="minorHAnsi"/>
        </w:rPr>
        <w:t>Figure 3.2</w:t>
      </w:r>
      <w:r w:rsidR="00913117" w:rsidRPr="00C90AC9">
        <w:rPr>
          <w:rFonts w:eastAsiaTheme="minorHAnsi"/>
        </w:rPr>
        <w:t>7</w:t>
      </w:r>
      <w:r w:rsidRPr="00C90AC9">
        <w:rPr>
          <w:rFonts w:eastAsiaTheme="minorHAnsi"/>
        </w:rPr>
        <w:t xml:space="preserve">. The temperature of the tank at different slices, </w:t>
      </w:r>
      <w:r w:rsidR="00767167" w:rsidRPr="00C90AC9">
        <w:rPr>
          <w:rFonts w:eastAsiaTheme="minorHAnsi"/>
        </w:rPr>
        <w:t xml:space="preserve">utilising a STP </w:t>
      </w:r>
      <w:r w:rsidRPr="00C90AC9">
        <w:rPr>
          <w:rFonts w:eastAsiaTheme="minorHAnsi"/>
        </w:rPr>
        <w:t xml:space="preserve">Tapping </w:t>
      </w:r>
      <w:r w:rsidR="001B350B" w:rsidRPr="00C90AC9">
        <w:rPr>
          <w:rFonts w:eastAsiaTheme="minorHAnsi"/>
        </w:rPr>
        <w:t>Cycle #3</w:t>
      </w:r>
      <w:r w:rsidRPr="00C90AC9">
        <w:rPr>
          <w:rFonts w:eastAsiaTheme="minorHAnsi"/>
        </w:rPr>
        <w:t xml:space="preserve"> 00:00-23:59 23/07/2014</w:t>
      </w:r>
    </w:p>
    <w:p w:rsidR="00D648D3" w:rsidRPr="00C90AC9" w:rsidRDefault="008B3835" w:rsidP="00B06779">
      <w:pPr>
        <w:rPr>
          <w:rFonts w:eastAsiaTheme="minorHAnsi"/>
          <w:lang w:eastAsia="en-US"/>
        </w:rPr>
      </w:pPr>
      <w:r w:rsidRPr="00C90AC9">
        <w:rPr>
          <w:rFonts w:eastAsiaTheme="minorHAnsi"/>
          <w:noProof/>
        </w:rPr>
        <mc:AlternateContent>
          <mc:Choice Requires="wps">
            <w:drawing>
              <wp:anchor distT="45720" distB="45720" distL="114300" distR="114300" simplePos="0" relativeHeight="252013568" behindDoc="0" locked="0" layoutInCell="1" allowOverlap="1">
                <wp:simplePos x="0" y="0"/>
                <wp:positionH relativeFrom="column">
                  <wp:posOffset>3667125</wp:posOffset>
                </wp:positionH>
                <wp:positionV relativeFrom="paragraph">
                  <wp:posOffset>1244600</wp:posOffset>
                </wp:positionV>
                <wp:extent cx="828675" cy="714375"/>
                <wp:effectExtent l="0" t="0" r="28575" b="285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714375"/>
                        </a:xfrm>
                        <a:prstGeom prst="rect">
                          <a:avLst/>
                        </a:prstGeom>
                        <a:solidFill>
                          <a:srgbClr val="FFFFFF"/>
                        </a:solidFill>
                        <a:ln w="9525">
                          <a:solidFill>
                            <a:srgbClr val="000000"/>
                          </a:solidFill>
                          <a:miter lim="800000"/>
                          <a:headEnd/>
                          <a:tailEnd/>
                        </a:ln>
                      </wps:spPr>
                      <wps:txbx>
                        <w:txbxContent>
                          <w:p w:rsidR="00521573" w:rsidRPr="008B3835" w:rsidRDefault="00521573">
                            <w:pPr>
                              <w:rPr>
                                <w:sz w:val="20"/>
                              </w:rPr>
                            </w:pPr>
                            <w:r w:rsidRPr="008B3835">
                              <w:rPr>
                                <w:sz w:val="20"/>
                              </w:rPr>
                              <w:t>Slice 1</w:t>
                            </w:r>
                            <w:r>
                              <w:rPr>
                                <w:sz w:val="20"/>
                              </w:rPr>
                              <w:t xml:space="preserve"> </w:t>
                            </w:r>
                          </w:p>
                          <w:p w:rsidR="00521573" w:rsidRPr="008B3835" w:rsidRDefault="00521573">
                            <w:pPr>
                              <w:rPr>
                                <w:sz w:val="20"/>
                              </w:rPr>
                            </w:pPr>
                            <w:r w:rsidRPr="008B3835">
                              <w:rPr>
                                <w:sz w:val="20"/>
                              </w:rPr>
                              <w:t>Slice 100</w:t>
                            </w:r>
                          </w:p>
                          <w:p w:rsidR="00521573" w:rsidRPr="008B3835" w:rsidRDefault="00521573">
                            <w:pPr>
                              <w:rPr>
                                <w:sz w:val="16"/>
                              </w:rPr>
                            </w:pPr>
                            <w:r w:rsidRPr="008B3835">
                              <w:rPr>
                                <w:sz w:val="20"/>
                              </w:rPr>
                              <w:t>Slice 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288.75pt;margin-top:98pt;width:65.25pt;height:56.25pt;z-index:25201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">
                <v:textbox>
                  <w:txbxContent>
                    <w:p w:rsidR="00521573" w:rsidRPr="008B3835" w:rsidRDefault="00521573">
                      <w:pPr>
                        <w:rPr>
                          <w:sz w:val="20"/>
                        </w:rPr>
                      </w:pPr>
                      <w:r w:rsidRPr="008B3835">
                        <w:rPr>
                          <w:sz w:val="20"/>
                        </w:rPr>
                        <w:t>Slice 1</w:t>
                      </w:r>
                      <w:r>
                        <w:rPr>
                          <w:sz w:val="20"/>
                        </w:rPr>
                        <w:t xml:space="preserve"> </w:t>
                      </w:r>
                    </w:p>
                    <w:p w:rsidR="00521573" w:rsidRPr="008B3835" w:rsidRDefault="00521573">
                      <w:pPr>
                        <w:rPr>
                          <w:sz w:val="20"/>
                        </w:rPr>
                      </w:pPr>
                      <w:r w:rsidRPr="008B3835">
                        <w:rPr>
                          <w:sz w:val="20"/>
                        </w:rPr>
                        <w:t>Slice 100</w:t>
                      </w:r>
                    </w:p>
                    <w:p w:rsidR="00521573" w:rsidRPr="008B3835" w:rsidRDefault="00521573">
                      <w:pPr>
                        <w:rPr>
                          <w:sz w:val="16"/>
                        </w:rPr>
                      </w:pPr>
                      <w:r w:rsidRPr="008B3835">
                        <w:rPr>
                          <w:sz w:val="20"/>
                        </w:rPr>
                        <w:t>Slice 200</w:t>
                      </w:r>
                    </w:p>
                  </w:txbxContent>
                </v:textbox>
              </v:shape>
            </w:pict>
          </mc:Fallback>
        </mc:AlternateContent>
      </w:r>
      <w:r w:rsidRPr="00C90AC9">
        <w:rPr>
          <w:rFonts w:eastAsiaTheme="minorHAnsi"/>
          <w:noProof/>
        </w:rPr>
        <mc:AlternateContent>
          <mc:Choice Requires="wps">
            <w:drawing>
              <wp:anchor distT="0" distB="0" distL="114300" distR="114300" simplePos="0" relativeHeight="252014592" behindDoc="0" locked="0" layoutInCell="1" allowOverlap="1">
                <wp:simplePos x="0" y="0"/>
                <wp:positionH relativeFrom="column">
                  <wp:posOffset>4181475</wp:posOffset>
                </wp:positionH>
                <wp:positionV relativeFrom="paragraph">
                  <wp:posOffset>1301750</wp:posOffset>
                </wp:positionV>
                <wp:extent cx="152400" cy="142875"/>
                <wp:effectExtent l="0" t="0" r="19050" b="28575"/>
                <wp:wrapNone/>
                <wp:docPr id="4" name="Straight Connector 4"/>
                <wp:cNvGraphicFramePr/>
                <a:graphic xmlns:a="http://schemas.openxmlformats.org/drawingml/2006/main">
                  <a:graphicData uri="http://schemas.microsoft.com/office/word/2010/wordprocessingShape">
                    <wps:wsp>
                      <wps:cNvCnPr/>
                      <wps:spPr>
                        <a:xfrm flipH="1">
                          <a:off x="0" y="0"/>
                          <a:ext cx="152400" cy="142875"/>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8DC246" id="Straight Connector 4" o:spid="_x0000_s1026" style="position:absolute;flip:x;z-index:252014592;visibility:visible;mso-wrap-style:square;mso-wrap-distance-left:9pt;mso-wrap-distance-top:0;mso-wrap-distance-right:9pt;mso-wrap-distance-bottom:0;mso-position-horizontal:absolute;mso-position-horizontal-relative:text;mso-position-vertical:absolute;mso-position-vertical-relative:text" from="329.25pt,102.5pt" to="341.25pt,1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" strokecolor="#4579b8 [3044]" strokeweight="2pt"/>
            </w:pict>
          </mc:Fallback>
        </mc:AlternateContent>
      </w:r>
      <w:r w:rsidRPr="00C90AC9">
        <w:rPr>
          <w:rFonts w:eastAsiaTheme="minorHAnsi"/>
          <w:noProof/>
        </w:rPr>
        <mc:AlternateContent>
          <mc:Choice Requires="wps">
            <w:drawing>
              <wp:anchor distT="0" distB="0" distL="114300" distR="114300" simplePos="0" relativeHeight="252016640" behindDoc="0" locked="0" layoutInCell="1" allowOverlap="1" wp14:anchorId="4D8208D6" wp14:editId="1099D41C">
                <wp:simplePos x="0" y="0"/>
                <wp:positionH relativeFrom="column">
                  <wp:posOffset>4276725</wp:posOffset>
                </wp:positionH>
                <wp:positionV relativeFrom="paragraph">
                  <wp:posOffset>1539875</wp:posOffset>
                </wp:positionV>
                <wp:extent cx="152400" cy="142875"/>
                <wp:effectExtent l="19050" t="19050" r="19050" b="28575"/>
                <wp:wrapNone/>
                <wp:docPr id="30" name="Straight Connector 30"/>
                <wp:cNvGraphicFramePr/>
                <a:graphic xmlns:a="http://schemas.openxmlformats.org/drawingml/2006/main">
                  <a:graphicData uri="http://schemas.microsoft.com/office/word/2010/wordprocessingShape">
                    <wps:wsp>
                      <wps:cNvCnPr/>
                      <wps:spPr>
                        <a:xfrm flipH="1">
                          <a:off x="0" y="0"/>
                          <a:ext cx="152400" cy="142875"/>
                        </a:xfrm>
                        <a:prstGeom prst="line">
                          <a:avLst/>
                        </a:prstGeom>
                        <a:ln w="317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117E57" id="Straight Connector 30" o:spid="_x0000_s1026" style="position:absolute;flip:x;z-index:252016640;visibility:visible;mso-wrap-style:square;mso-wrap-distance-left:9pt;mso-wrap-distance-top:0;mso-wrap-distance-right:9pt;mso-wrap-distance-bottom:0;mso-position-horizontal:absolute;mso-position-horizontal-relative:text;mso-position-vertical:absolute;mso-position-vertical-relative:text" from="336.75pt,121.25pt" to="348.7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" strokecolor="red" strokeweight="2.5pt"/>
            </w:pict>
          </mc:Fallback>
        </mc:AlternateContent>
      </w:r>
      <w:r w:rsidRPr="00C90AC9">
        <w:rPr>
          <w:rFonts w:eastAsiaTheme="minorHAnsi"/>
          <w:noProof/>
        </w:rPr>
        <mc:AlternateContent>
          <mc:Choice Requires="wps">
            <w:drawing>
              <wp:anchor distT="0" distB="0" distL="114300" distR="114300" simplePos="0" relativeHeight="252018688" behindDoc="0" locked="0" layoutInCell="1" allowOverlap="1" wp14:anchorId="4D8208D6" wp14:editId="1099D41C">
                <wp:simplePos x="0" y="0"/>
                <wp:positionH relativeFrom="column">
                  <wp:posOffset>4295775</wp:posOffset>
                </wp:positionH>
                <wp:positionV relativeFrom="paragraph">
                  <wp:posOffset>1749425</wp:posOffset>
                </wp:positionV>
                <wp:extent cx="152400" cy="142875"/>
                <wp:effectExtent l="19050" t="19050" r="19050" b="28575"/>
                <wp:wrapNone/>
                <wp:docPr id="33" name="Straight Connector 33"/>
                <wp:cNvGraphicFramePr/>
                <a:graphic xmlns:a="http://schemas.openxmlformats.org/drawingml/2006/main">
                  <a:graphicData uri="http://schemas.microsoft.com/office/word/2010/wordprocessingShape">
                    <wps:wsp>
                      <wps:cNvCnPr/>
                      <wps:spPr>
                        <a:xfrm flipH="1">
                          <a:off x="0" y="0"/>
                          <a:ext cx="152400" cy="142875"/>
                        </a:xfrm>
                        <a:prstGeom prst="line">
                          <a:avLst/>
                        </a:prstGeom>
                        <a:ln w="34925">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F2309D" id="Straight Connector 33" o:spid="_x0000_s1026" style="position:absolute;flip:x;z-index:252018688;visibility:visible;mso-wrap-style:square;mso-wrap-distance-left:9pt;mso-wrap-distance-top:0;mso-wrap-distance-right:9pt;mso-wrap-distance-bottom:0;mso-position-horizontal:absolute;mso-position-horizontal-relative:text;mso-position-vertical:absolute;mso-position-vertical-relative:text" from="338.25pt,137.75pt" to="350.2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" strokecolor="#00b050" strokeweight="2.75pt"/>
            </w:pict>
          </mc:Fallback>
        </mc:AlternateContent>
      </w:r>
      <w:r w:rsidR="00D648D3" w:rsidRPr="00C90AC9">
        <w:rPr>
          <w:rFonts w:eastAsiaTheme="minorHAnsi"/>
          <w:noProof/>
        </w:rPr>
        <w:drawing>
          <wp:inline distT="0" distB="0" distL="0" distR="0" wp14:anchorId="79E8AA49" wp14:editId="6DD9B9EA">
            <wp:extent cx="5600700" cy="4991100"/>
            <wp:effectExtent l="19050" t="19050" r="19050" b="190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 of slices.png"/>
                    <pic:cNvPicPr/>
                  </pic:nvPicPr>
                  <pic:blipFill rotWithShape="1">
                    <a:blip r:embed="rId65" cstate="print">
                      <a:extLst>
                        <a:ext uri="{28A0092B-C50C-407E-A947-70E740481C1C}">
                          <a14:useLocalDpi xmlns:a14="http://schemas.microsoft.com/office/drawing/2010/main" val="0"/>
                        </a:ext>
                      </a:extLst>
                    </a:blip>
                    <a:srcRect l="4319" r="5150"/>
                    <a:stretch/>
                  </pic:blipFill>
                  <pic:spPr bwMode="auto">
                    <a:xfrm>
                      <a:off x="0" y="0"/>
                      <a:ext cx="5600700" cy="49911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B350B" w:rsidRPr="00C90AC9" w:rsidRDefault="001B350B" w:rsidP="00B06779">
      <w:pPr>
        <w:rPr>
          <w:rFonts w:eastAsiaTheme="minorHAnsi"/>
        </w:rPr>
      </w:pPr>
      <w:r w:rsidRPr="00C90AC9">
        <w:rPr>
          <w:rFonts w:eastAsiaTheme="minorHAnsi"/>
        </w:rPr>
        <w:br w:type="page"/>
      </w:r>
    </w:p>
    <w:p w:rsidR="00412097" w:rsidRPr="00C90AC9" w:rsidRDefault="00D648D3" w:rsidP="00B06779">
      <w:pPr>
        <w:pStyle w:val="BodyText"/>
        <w:rPr>
          <w:rFonts w:eastAsiaTheme="minorHAnsi"/>
          <w:lang w:eastAsia="en-US"/>
        </w:rPr>
      </w:pPr>
      <w:r w:rsidRPr="00C90AC9">
        <w:rPr>
          <w:rFonts w:eastAsiaTheme="minorHAnsi"/>
        </w:rPr>
        <w:lastRenderedPageBreak/>
        <w:t>Figure 3.2</w:t>
      </w:r>
      <w:r w:rsidR="00070842">
        <w:rPr>
          <w:rFonts w:eastAsiaTheme="minorHAnsi"/>
        </w:rPr>
        <w:t>8</w:t>
      </w:r>
      <w:r w:rsidRPr="00C90AC9">
        <w:rPr>
          <w:rFonts w:eastAsiaTheme="minorHAnsi"/>
        </w:rPr>
        <w:t>. The cost of heating up the required volume of water to 45°C throughout 00:00-23:59 23/07/2014 utilising a STP using Tapping Cycle#3</w:t>
      </w:r>
    </w:p>
    <w:p w:rsidR="00767167" w:rsidRPr="00C90AC9" w:rsidRDefault="00767167" w:rsidP="00B06779">
      <w:pPr>
        <w:rPr>
          <w:rFonts w:eastAsiaTheme="minorHAnsi"/>
          <w:lang w:eastAsia="en-US"/>
        </w:rPr>
      </w:pPr>
      <w:r w:rsidRPr="00C90AC9">
        <w:rPr>
          <w:rFonts w:eastAsiaTheme="minorHAnsi"/>
          <w:noProof/>
        </w:rPr>
        <w:drawing>
          <wp:inline distT="0" distB="0" distL="0" distR="0" wp14:anchorId="54BE288A" wp14:editId="1E260A94">
            <wp:extent cx="5553075" cy="4781550"/>
            <wp:effectExtent l="19050" t="19050" r="28575" b="190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st 3.png"/>
                    <pic:cNvPicPr/>
                  </pic:nvPicPr>
                  <pic:blipFill rotWithShape="1">
                    <a:blip r:embed="rId67" cstate="print">
                      <a:extLst>
                        <a:ext uri="{28A0092B-C50C-407E-A947-70E740481C1C}">
                          <a14:useLocalDpi xmlns:a14="http://schemas.microsoft.com/office/drawing/2010/main" val="0"/>
                        </a:ext>
                      </a:extLst>
                    </a:blip>
                    <a:srcRect l="3322" r="5316" b="2935"/>
                    <a:stretch/>
                  </pic:blipFill>
                  <pic:spPr bwMode="auto">
                    <a:xfrm>
                      <a:off x="0" y="0"/>
                      <a:ext cx="5555823" cy="47839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6306F9" w:rsidRPr="00C90AC9" w:rsidRDefault="006306F9" w:rsidP="00B06779">
      <w:pPr>
        <w:rPr>
          <w:rFonts w:eastAsiaTheme="minorHAnsi"/>
        </w:rPr>
      </w:pPr>
    </w:p>
    <w:p w:rsidR="006306F9" w:rsidRPr="00C90AC9" w:rsidRDefault="006306F9" w:rsidP="009902C3">
      <w:pPr>
        <w:pStyle w:val="BodyText"/>
        <w:spacing w:line="360" w:lineRule="auto"/>
        <w:rPr>
          <w:rFonts w:eastAsiaTheme="minorHAnsi"/>
          <w:lang w:eastAsia="en-US"/>
        </w:rPr>
      </w:pPr>
      <w:r w:rsidRPr="00C90AC9">
        <w:rPr>
          <w:rFonts w:eastAsiaTheme="minorHAnsi"/>
          <w:lang w:eastAsia="en-US"/>
        </w:rPr>
        <w:t xml:space="preserve">The total cost of using an auxiliary boiler for that day is calculated as being </w:t>
      </w:r>
      <w:r w:rsidR="001B350B" w:rsidRPr="00C90AC9">
        <w:rPr>
          <w:rFonts w:eastAsiaTheme="minorHAnsi"/>
          <w:lang w:eastAsia="en-US"/>
        </w:rPr>
        <w:t>27p</w:t>
      </w:r>
      <w:r w:rsidRPr="00C90AC9">
        <w:rPr>
          <w:rFonts w:eastAsiaTheme="minorHAnsi"/>
          <w:lang w:eastAsia="en-US"/>
        </w:rPr>
        <w:t xml:space="preserve"> for the day using Tapping Cycle</w:t>
      </w:r>
      <w:r w:rsidR="001B350B" w:rsidRPr="00C90AC9">
        <w:rPr>
          <w:rFonts w:eastAsiaTheme="minorHAnsi"/>
          <w:lang w:eastAsia="en-US"/>
        </w:rPr>
        <w:t>#3</w:t>
      </w:r>
      <w:r w:rsidRPr="00C90AC9">
        <w:rPr>
          <w:rFonts w:eastAsiaTheme="minorHAnsi"/>
          <w:lang w:eastAsia="en-US"/>
        </w:rPr>
        <w:t xml:space="preserve"> with a STP connected to the hot water thank and an auxiliary boiler supplying the additional energy at those times when the temperature of the water is below 45°C. This compares with a cost of </w:t>
      </w:r>
      <w:r w:rsidR="001B350B" w:rsidRPr="00C90AC9">
        <w:rPr>
          <w:rFonts w:eastAsiaTheme="minorHAnsi"/>
          <w:lang w:eastAsia="en-US"/>
        </w:rPr>
        <w:t>£1.66</w:t>
      </w:r>
      <w:r w:rsidRPr="00C90AC9">
        <w:rPr>
          <w:rFonts w:eastAsiaTheme="minorHAnsi"/>
          <w:lang w:eastAsia="en-US"/>
        </w:rPr>
        <w:t xml:space="preserve">p incurred when utilising just an auxiliary boiler. The Final Energy Savings </w:t>
      </w:r>
      <w:r w:rsidR="001B350B" w:rsidRPr="00C90AC9">
        <w:rPr>
          <w:rFonts w:eastAsiaTheme="minorHAnsi"/>
          <w:lang w:eastAsia="en-US"/>
        </w:rPr>
        <w:t>for that one day are £1.39</w:t>
      </w:r>
      <w:r w:rsidRPr="00C90AC9">
        <w:rPr>
          <w:rFonts w:eastAsiaTheme="minorHAnsi"/>
          <w:lang w:eastAsia="en-US"/>
        </w:rPr>
        <w:t xml:space="preserve">. </w:t>
      </w:r>
    </w:p>
    <w:p w:rsidR="006306F9" w:rsidRPr="00C90AC9" w:rsidRDefault="006306F9" w:rsidP="00B06779">
      <w:pPr>
        <w:rPr>
          <w:rFonts w:eastAsiaTheme="minorHAnsi"/>
        </w:rPr>
      </w:pPr>
    </w:p>
    <w:p w:rsidR="00B41856" w:rsidRPr="00C90AC9" w:rsidRDefault="00B41856" w:rsidP="00B06779">
      <w:pPr>
        <w:rPr>
          <w:rFonts w:eastAsiaTheme="minorHAnsi"/>
        </w:rPr>
      </w:pPr>
    </w:p>
    <w:p w:rsidR="00F67615" w:rsidRPr="00C90AC9" w:rsidRDefault="00F67615">
      <w:pPr>
        <w:rPr>
          <w:rStyle w:val="SubtleEmphasis"/>
          <w:rFonts w:eastAsiaTheme="minorHAnsi" w:cs="Times New Roman"/>
          <w:iCs/>
          <w:szCs w:val="24"/>
          <w:lang w:eastAsia="en-US"/>
        </w:rPr>
      </w:pPr>
      <w:r w:rsidRPr="00C90AC9">
        <w:rPr>
          <w:rStyle w:val="SubtleEmphasis"/>
          <w:rFonts w:cs="Times New Roman"/>
          <w:iCs/>
          <w:szCs w:val="24"/>
        </w:rPr>
        <w:br w:type="page"/>
      </w:r>
    </w:p>
    <w:p w:rsidR="00B41856" w:rsidRPr="00C90AC9" w:rsidRDefault="00B41856" w:rsidP="00CA6E35">
      <w:pPr>
        <w:pStyle w:val="ListParagraph"/>
        <w:numPr>
          <w:ilvl w:val="1"/>
          <w:numId w:val="3"/>
        </w:numPr>
        <w:ind w:left="709" w:hanging="709"/>
        <w:rPr>
          <w:rStyle w:val="SubtleEmphasis"/>
          <w:rFonts w:ascii="Times New Roman" w:hAnsi="Times New Roman" w:cs="Times New Roman"/>
          <w:iCs/>
          <w:szCs w:val="24"/>
        </w:rPr>
      </w:pPr>
      <w:r w:rsidRPr="00C90AC9">
        <w:rPr>
          <w:rStyle w:val="SubtleEmphasis"/>
          <w:rFonts w:ascii="Times New Roman" w:hAnsi="Times New Roman" w:cs="Times New Roman"/>
          <w:iCs/>
          <w:szCs w:val="24"/>
        </w:rPr>
        <w:lastRenderedPageBreak/>
        <w:t xml:space="preserve">Discussion of </w:t>
      </w:r>
      <w:proofErr w:type="spellStart"/>
      <w:r w:rsidRPr="00C90AC9">
        <w:rPr>
          <w:rStyle w:val="SubtleEmphasis"/>
          <w:rFonts w:ascii="Times New Roman" w:hAnsi="Times New Roman" w:cs="Times New Roman"/>
          <w:iCs/>
          <w:szCs w:val="24"/>
        </w:rPr>
        <w:t>Matlab</w:t>
      </w:r>
      <w:proofErr w:type="spellEnd"/>
      <w:r w:rsidRPr="00C90AC9">
        <w:rPr>
          <w:rStyle w:val="SubtleEmphasis"/>
          <w:rFonts w:ascii="Times New Roman" w:hAnsi="Times New Roman" w:cs="Times New Roman"/>
          <w:iCs/>
          <w:szCs w:val="24"/>
        </w:rPr>
        <w:t xml:space="preserve"> results</w:t>
      </w:r>
    </w:p>
    <w:p w:rsidR="00A21C86" w:rsidRPr="00C90AC9" w:rsidRDefault="00B41856" w:rsidP="009902C3">
      <w:pPr>
        <w:pStyle w:val="BodyTextFirstIndent"/>
        <w:spacing w:line="360" w:lineRule="auto"/>
        <w:ind w:firstLine="357"/>
        <w:rPr>
          <w:rFonts w:eastAsiaTheme="minorHAnsi"/>
          <w:lang w:eastAsia="en-US"/>
        </w:rPr>
      </w:pPr>
      <w:r w:rsidRPr="00C90AC9">
        <w:rPr>
          <w:rFonts w:eastAsiaTheme="minorHAnsi"/>
          <w:lang w:eastAsia="en-US"/>
        </w:rPr>
        <w:t>The results show that the use of weather predictions when incorporated with a STP can result in cost savings which will be most during the winter months when the solar irradiance is at its lowest. However</w:t>
      </w:r>
      <w:r w:rsidR="004524CB" w:rsidRPr="00C90AC9">
        <w:rPr>
          <w:rFonts w:eastAsiaTheme="minorHAnsi"/>
          <w:lang w:eastAsia="en-US"/>
        </w:rPr>
        <w:t>,</w:t>
      </w:r>
      <w:r w:rsidR="003459BC" w:rsidRPr="00C90AC9">
        <w:rPr>
          <w:rFonts w:eastAsiaTheme="minorHAnsi"/>
          <w:lang w:eastAsia="en-US"/>
        </w:rPr>
        <w:t xml:space="preserve"> during the summer months when there is a high amount of irradiance there are gains to be had from selecting the most appropriate Tapping Cycle matched with the </w:t>
      </w:r>
      <w:r w:rsidR="00A21C86" w:rsidRPr="00C90AC9">
        <w:rPr>
          <w:rFonts w:eastAsiaTheme="minorHAnsi"/>
          <w:lang w:eastAsia="en-US"/>
        </w:rPr>
        <w:t xml:space="preserve">available </w:t>
      </w:r>
      <w:r w:rsidR="003459BC" w:rsidRPr="00C90AC9">
        <w:rPr>
          <w:rFonts w:eastAsiaTheme="minorHAnsi"/>
          <w:lang w:eastAsia="en-US"/>
        </w:rPr>
        <w:t xml:space="preserve">irradiance. </w:t>
      </w:r>
    </w:p>
    <w:p w:rsidR="008C2881" w:rsidRPr="00C90AC9" w:rsidRDefault="00A21C86" w:rsidP="009902C3">
      <w:pPr>
        <w:pStyle w:val="BodyTextFirstIndent"/>
        <w:spacing w:line="360" w:lineRule="auto"/>
        <w:ind w:firstLine="357"/>
        <w:rPr>
          <w:rFonts w:eastAsiaTheme="minorHAnsi"/>
          <w:lang w:eastAsia="en-US"/>
        </w:rPr>
      </w:pPr>
      <w:r w:rsidRPr="00C90AC9">
        <w:rPr>
          <w:rFonts w:eastAsiaTheme="minorHAnsi"/>
          <w:lang w:eastAsia="en-US"/>
        </w:rPr>
        <w:t xml:space="preserve">This novel method of selecting which </w:t>
      </w:r>
      <w:r w:rsidR="00D61146" w:rsidRPr="00C90AC9">
        <w:rPr>
          <w:rFonts w:eastAsiaTheme="minorHAnsi"/>
          <w:lang w:eastAsia="en-US"/>
        </w:rPr>
        <w:t>Tapping Cycle</w:t>
      </w:r>
      <w:r w:rsidRPr="00C90AC9">
        <w:rPr>
          <w:rFonts w:eastAsiaTheme="minorHAnsi"/>
          <w:lang w:eastAsia="en-US"/>
        </w:rPr>
        <w:t xml:space="preserve"> or consumption pattern to apply to the hot water system relies on the user of the system responding to the suggestions of the STP system. Whilst in theory this assumption can be made</w:t>
      </w:r>
      <w:r w:rsidR="008C2881" w:rsidRPr="00C90AC9">
        <w:rPr>
          <w:rFonts w:eastAsiaTheme="minorHAnsi"/>
          <w:lang w:eastAsia="en-US"/>
        </w:rPr>
        <w:t>,</w:t>
      </w:r>
      <w:r w:rsidRPr="00C90AC9">
        <w:rPr>
          <w:rFonts w:eastAsiaTheme="minorHAnsi"/>
          <w:lang w:eastAsia="en-US"/>
        </w:rPr>
        <w:t xml:space="preserve"> in practice </w:t>
      </w:r>
      <w:r w:rsidR="008C2881" w:rsidRPr="00C90AC9">
        <w:rPr>
          <w:rFonts w:eastAsiaTheme="minorHAnsi"/>
          <w:lang w:eastAsia="en-US"/>
        </w:rPr>
        <w:t xml:space="preserve">people are unlikely to follow a strict regime perfectly. This is perfectly acceptable of course, but there will be a cost in the efficiency of the heating system and thus a monetary associated with using the conventional heating source to heat the water. </w:t>
      </w:r>
    </w:p>
    <w:p w:rsidR="008C2881" w:rsidRPr="00C90AC9" w:rsidRDefault="008C2881" w:rsidP="009902C3">
      <w:pPr>
        <w:pStyle w:val="BodyTextFirstIndent"/>
        <w:spacing w:line="360" w:lineRule="auto"/>
        <w:ind w:firstLine="357"/>
        <w:rPr>
          <w:rFonts w:eastAsiaTheme="minorHAnsi"/>
          <w:lang w:eastAsia="en-US"/>
        </w:rPr>
      </w:pPr>
      <w:r w:rsidRPr="00C90AC9">
        <w:rPr>
          <w:rFonts w:eastAsiaTheme="minorHAnsi"/>
          <w:lang w:eastAsia="en-US"/>
        </w:rPr>
        <w:t>Using the STP system on a real boiler, in an actual home</w:t>
      </w:r>
      <w:r w:rsidR="00D61146" w:rsidRPr="00C90AC9">
        <w:rPr>
          <w:rFonts w:eastAsiaTheme="minorHAnsi"/>
          <w:lang w:eastAsia="en-US"/>
        </w:rPr>
        <w:t>,</w:t>
      </w:r>
      <w:r w:rsidRPr="00C90AC9">
        <w:rPr>
          <w:rFonts w:eastAsiaTheme="minorHAnsi"/>
          <w:lang w:eastAsia="en-US"/>
        </w:rPr>
        <w:t xml:space="preserve"> is likely to reveal those times when people do not follow the </w:t>
      </w:r>
      <w:r w:rsidR="00D61146" w:rsidRPr="00C90AC9">
        <w:rPr>
          <w:rFonts w:eastAsiaTheme="minorHAnsi"/>
          <w:lang w:eastAsia="en-US"/>
        </w:rPr>
        <w:t>suggested T</w:t>
      </w:r>
      <w:r w:rsidRPr="00C90AC9">
        <w:rPr>
          <w:rFonts w:eastAsiaTheme="minorHAnsi"/>
          <w:lang w:eastAsia="en-US"/>
        </w:rPr>
        <w:t xml:space="preserve">apping </w:t>
      </w:r>
      <w:r w:rsidR="00D61146" w:rsidRPr="00C90AC9">
        <w:rPr>
          <w:rFonts w:eastAsiaTheme="minorHAnsi"/>
          <w:lang w:eastAsia="en-US"/>
        </w:rPr>
        <w:t>C</w:t>
      </w:r>
      <w:r w:rsidRPr="00C90AC9">
        <w:rPr>
          <w:rFonts w:eastAsiaTheme="minorHAnsi"/>
          <w:lang w:eastAsia="en-US"/>
        </w:rPr>
        <w:t>ycle</w:t>
      </w:r>
      <w:r w:rsidR="00D61146" w:rsidRPr="00C90AC9">
        <w:rPr>
          <w:rFonts w:eastAsiaTheme="minorHAnsi"/>
          <w:lang w:eastAsia="en-US"/>
        </w:rPr>
        <w:t xml:space="preserve"> and favour their own unique consumption of hot water.</w:t>
      </w:r>
    </w:p>
    <w:p w:rsidR="00774B9D" w:rsidRPr="00C90AC9" w:rsidRDefault="008C2881" w:rsidP="009651A6">
      <w:pPr>
        <w:pStyle w:val="BodyTextFirstIndent"/>
        <w:spacing w:line="360" w:lineRule="auto"/>
        <w:ind w:firstLine="357"/>
        <w:rPr>
          <w:rFonts w:eastAsiaTheme="minorHAnsi"/>
          <w:lang w:eastAsia="en-US"/>
        </w:rPr>
      </w:pPr>
      <w:r w:rsidRPr="00C90AC9">
        <w:rPr>
          <w:rFonts w:eastAsiaTheme="minorHAnsi"/>
          <w:lang w:eastAsia="en-US"/>
        </w:rPr>
        <w:t>This novel approach to a STP system</w:t>
      </w:r>
      <w:r w:rsidR="009651A6" w:rsidRPr="00C90AC9">
        <w:rPr>
          <w:rFonts w:eastAsiaTheme="minorHAnsi"/>
          <w:lang w:eastAsia="en-US"/>
        </w:rPr>
        <w:t>, as described in this chapter,</w:t>
      </w:r>
      <w:r w:rsidRPr="00C90AC9">
        <w:rPr>
          <w:rFonts w:eastAsiaTheme="minorHAnsi"/>
          <w:lang w:eastAsia="en-US"/>
        </w:rPr>
        <w:t xml:space="preserve"> </w:t>
      </w:r>
      <w:r w:rsidR="00CB1ADA" w:rsidRPr="00C90AC9">
        <w:rPr>
          <w:rFonts w:eastAsiaTheme="minorHAnsi"/>
          <w:lang w:eastAsia="en-US"/>
        </w:rPr>
        <w:t>has</w:t>
      </w:r>
      <w:r w:rsidR="003E7797" w:rsidRPr="00C90AC9">
        <w:rPr>
          <w:rFonts w:eastAsiaTheme="minorHAnsi"/>
          <w:lang w:eastAsia="en-US"/>
        </w:rPr>
        <w:t xml:space="preserve"> </w:t>
      </w:r>
      <w:r w:rsidR="00CB1ADA" w:rsidRPr="00C90AC9">
        <w:rPr>
          <w:rFonts w:eastAsiaTheme="minorHAnsi"/>
          <w:lang w:eastAsia="en-US"/>
        </w:rPr>
        <w:t>the potential to be expanded to encompass other</w:t>
      </w:r>
      <w:r w:rsidR="003E7797" w:rsidRPr="00C90AC9">
        <w:rPr>
          <w:rFonts w:eastAsiaTheme="minorHAnsi"/>
          <w:lang w:eastAsia="en-US"/>
        </w:rPr>
        <w:t xml:space="preserve"> </w:t>
      </w:r>
      <w:r w:rsidR="009651A6" w:rsidRPr="00C90AC9">
        <w:rPr>
          <w:rFonts w:eastAsiaTheme="minorHAnsi"/>
          <w:lang w:eastAsia="en-US"/>
        </w:rPr>
        <w:t xml:space="preserve">hot water consumption patterns as the occupants of the household changes with different occupants. The consumption pattern can be modified to correlate with the individual consumption pattern of each unique household. Some residents might favour showers over baths as a personal choice and their consumption patterns might be misaligned with the consumption patterns as described by Tapping Cycle #1, #2 and #3. The described program could use previous hot water consumption patterns for future hot water consumption patterns and give </w:t>
      </w:r>
      <w:r w:rsidR="00D61146" w:rsidRPr="00C90AC9">
        <w:rPr>
          <w:rFonts w:eastAsiaTheme="minorHAnsi"/>
          <w:lang w:eastAsia="en-US"/>
        </w:rPr>
        <w:t>advice about when it is most advantageous to use hot water dependant on the weather and solar irradiance. Additionally, homeowners might favour maximising cost benefits over efficiency gains of the system and if so, the described program is capable of adjusting to these changing constraints put on the program.</w:t>
      </w:r>
      <w:r w:rsidR="00774B9D" w:rsidRPr="00C90AC9">
        <w:rPr>
          <w:rFonts w:eastAsiaTheme="minorHAnsi"/>
          <w:lang w:eastAsia="en-US"/>
        </w:rPr>
        <w:br w:type="page"/>
      </w:r>
    </w:p>
    <w:p w:rsidR="00774B9D" w:rsidRPr="00C90AC9" w:rsidRDefault="00774B9D" w:rsidP="00CA6E35">
      <w:pPr>
        <w:pStyle w:val="ListParagraph"/>
        <w:numPr>
          <w:ilvl w:val="1"/>
          <w:numId w:val="3"/>
        </w:numPr>
        <w:ind w:left="851" w:hanging="851"/>
        <w:rPr>
          <w:rStyle w:val="SubtleEmphasis"/>
          <w:rFonts w:ascii="Times New Roman" w:hAnsi="Times New Roman" w:cs="Times New Roman"/>
          <w:iCs/>
          <w:szCs w:val="24"/>
        </w:rPr>
      </w:pPr>
      <w:r w:rsidRPr="00C90AC9">
        <w:rPr>
          <w:rStyle w:val="SubtleEmphasis"/>
          <w:rFonts w:ascii="Times New Roman" w:hAnsi="Times New Roman" w:cs="Times New Roman"/>
          <w:iCs/>
          <w:szCs w:val="24"/>
        </w:rPr>
        <w:lastRenderedPageBreak/>
        <w:t>Conclusions from engineering work and potential future directions for research</w:t>
      </w:r>
    </w:p>
    <w:p w:rsidR="00727B7A" w:rsidRPr="00C90AC9" w:rsidRDefault="00774B9D" w:rsidP="009902C3">
      <w:pPr>
        <w:pStyle w:val="BodyTextFirstIndent"/>
        <w:spacing w:line="360" w:lineRule="auto"/>
        <w:rPr>
          <w:rFonts w:eastAsiaTheme="minorHAnsi"/>
          <w:lang w:eastAsia="en-US"/>
        </w:rPr>
      </w:pPr>
      <w:r w:rsidRPr="00C90AC9">
        <w:rPr>
          <w:rFonts w:eastAsiaTheme="minorHAnsi"/>
          <w:lang w:eastAsia="en-US"/>
        </w:rPr>
        <w:t xml:space="preserve">The application of predicted weather to suggest optimal consumption patterns for homeowners shows that there are efficiency gains to be made by suggesting the most appropriate </w:t>
      </w:r>
      <w:r w:rsidR="002C001C" w:rsidRPr="00C90AC9">
        <w:rPr>
          <w:rFonts w:eastAsiaTheme="minorHAnsi"/>
          <w:lang w:eastAsia="en-US"/>
        </w:rPr>
        <w:t>Tapping</w:t>
      </w:r>
      <w:r w:rsidRPr="00C90AC9">
        <w:rPr>
          <w:rFonts w:eastAsiaTheme="minorHAnsi"/>
          <w:lang w:eastAsia="en-US"/>
        </w:rPr>
        <w:t xml:space="preserve"> </w:t>
      </w:r>
      <w:r w:rsidR="002C001C" w:rsidRPr="00C90AC9">
        <w:rPr>
          <w:rFonts w:eastAsiaTheme="minorHAnsi"/>
          <w:lang w:eastAsia="en-US"/>
        </w:rPr>
        <w:t>Cycle</w:t>
      </w:r>
      <w:r w:rsidRPr="00C90AC9">
        <w:rPr>
          <w:rFonts w:eastAsiaTheme="minorHAnsi"/>
          <w:lang w:eastAsia="en-US"/>
        </w:rPr>
        <w:t xml:space="preserve">s dependent on the predicted weather for today and tomorrow. The choice of the </w:t>
      </w:r>
      <w:r w:rsidR="002C001C" w:rsidRPr="00C90AC9">
        <w:rPr>
          <w:rFonts w:eastAsiaTheme="minorHAnsi"/>
          <w:lang w:eastAsia="en-US"/>
        </w:rPr>
        <w:t>Tapping</w:t>
      </w:r>
      <w:r w:rsidRPr="00C90AC9">
        <w:rPr>
          <w:rFonts w:eastAsiaTheme="minorHAnsi"/>
          <w:lang w:eastAsia="en-US"/>
        </w:rPr>
        <w:t xml:space="preserve"> </w:t>
      </w:r>
      <w:r w:rsidR="002C001C" w:rsidRPr="00C90AC9">
        <w:rPr>
          <w:rFonts w:eastAsiaTheme="minorHAnsi"/>
          <w:lang w:eastAsia="en-US"/>
        </w:rPr>
        <w:t>Cycle</w:t>
      </w:r>
      <w:r w:rsidR="004524CB" w:rsidRPr="00C90AC9">
        <w:rPr>
          <w:rFonts w:eastAsiaTheme="minorHAnsi"/>
          <w:lang w:eastAsia="en-US"/>
        </w:rPr>
        <w:t>s however is</w:t>
      </w:r>
      <w:r w:rsidRPr="00C90AC9">
        <w:rPr>
          <w:rFonts w:eastAsiaTheme="minorHAnsi"/>
          <w:lang w:eastAsia="en-US"/>
        </w:rPr>
        <w:t xml:space="preserve"> not dependent on previous consumption patterns and this offers new directions for future research. Future research could include not only the household occupants and the varying hot water usage specific to individuals but a future model could include the previous consumption patterns of the occupants into the </w:t>
      </w:r>
      <w:proofErr w:type="gramStart"/>
      <w:r w:rsidRPr="00C90AC9">
        <w:rPr>
          <w:rFonts w:eastAsiaTheme="minorHAnsi"/>
          <w:lang w:eastAsia="en-US"/>
        </w:rPr>
        <w:t>decision making</w:t>
      </w:r>
      <w:proofErr w:type="gramEnd"/>
      <w:r w:rsidRPr="00C90AC9">
        <w:rPr>
          <w:rFonts w:eastAsiaTheme="minorHAnsi"/>
          <w:lang w:eastAsia="en-US"/>
        </w:rPr>
        <w:t xml:space="preserve"> process </w:t>
      </w:r>
      <w:r w:rsidR="00727B7A" w:rsidRPr="00C90AC9">
        <w:rPr>
          <w:rFonts w:eastAsiaTheme="minorHAnsi"/>
          <w:lang w:eastAsia="en-US"/>
        </w:rPr>
        <w:t xml:space="preserve">about which is the most appropriate Tapping Cycle to select predicted on the weather. </w:t>
      </w:r>
      <w:proofErr w:type="gramStart"/>
      <w:r w:rsidR="00727B7A" w:rsidRPr="00C90AC9">
        <w:rPr>
          <w:rFonts w:eastAsiaTheme="minorHAnsi"/>
          <w:lang w:eastAsia="en-US"/>
        </w:rPr>
        <w:t>Thus</w:t>
      </w:r>
      <w:proofErr w:type="gramEnd"/>
      <w:r w:rsidR="00727B7A" w:rsidRPr="00C90AC9">
        <w:rPr>
          <w:rFonts w:eastAsiaTheme="minorHAnsi"/>
          <w:lang w:eastAsia="en-US"/>
        </w:rPr>
        <w:t xml:space="preserve"> future work could include a weekly consumption volume of water and occupants could specify their consumption volume limits on a weekly basis. Occupants could select the volume of water they are typical to use and this could be used as a minimum consumption volume. </w:t>
      </w:r>
    </w:p>
    <w:p w:rsidR="00727B7A" w:rsidRPr="00C90AC9" w:rsidRDefault="00727B7A" w:rsidP="009902C3">
      <w:pPr>
        <w:pStyle w:val="BodyText"/>
        <w:spacing w:line="360" w:lineRule="auto"/>
        <w:rPr>
          <w:rFonts w:eastAsiaTheme="minorHAnsi"/>
          <w:lang w:eastAsia="en-US"/>
        </w:rPr>
      </w:pPr>
      <w:r w:rsidRPr="00C90AC9">
        <w:rPr>
          <w:rFonts w:eastAsiaTheme="minorHAnsi"/>
          <w:lang w:eastAsia="en-US"/>
        </w:rPr>
        <w:t>Occupants co</w:t>
      </w:r>
      <w:r w:rsidR="00615226" w:rsidRPr="00C90AC9">
        <w:rPr>
          <w:rFonts w:eastAsiaTheme="minorHAnsi"/>
          <w:lang w:eastAsia="en-US"/>
        </w:rPr>
        <w:t>uld select the frequency of the</w:t>
      </w:r>
      <w:r w:rsidR="007A3242" w:rsidRPr="00C90AC9">
        <w:rPr>
          <w:rFonts w:eastAsiaTheme="minorHAnsi"/>
          <w:lang w:eastAsia="en-US"/>
        </w:rPr>
        <w:t xml:space="preserve"> </w:t>
      </w:r>
      <w:r w:rsidRPr="00C90AC9">
        <w:rPr>
          <w:rFonts w:eastAsiaTheme="minorHAnsi"/>
          <w:lang w:eastAsia="en-US"/>
        </w:rPr>
        <w:t xml:space="preserve">highest demand profile (typically </w:t>
      </w:r>
      <w:r w:rsidR="008C2881" w:rsidRPr="00C90AC9">
        <w:rPr>
          <w:rFonts w:eastAsiaTheme="minorHAnsi"/>
          <w:lang w:eastAsia="en-US"/>
        </w:rPr>
        <w:t xml:space="preserve">when having </w:t>
      </w:r>
      <w:r w:rsidRPr="00C90AC9">
        <w:rPr>
          <w:rFonts w:eastAsiaTheme="minorHAnsi"/>
          <w:lang w:eastAsia="en-US"/>
        </w:rPr>
        <w:t xml:space="preserve">a bath) and could select the frequency of their baths on a weekly or monthly basis. This could change throughout the seasons of the year as the supply of hot water from the solar thermal panel changes. </w:t>
      </w:r>
    </w:p>
    <w:p w:rsidR="00727B7A" w:rsidRPr="00C90AC9" w:rsidRDefault="00727B7A" w:rsidP="009902C3">
      <w:pPr>
        <w:pStyle w:val="BodyText"/>
        <w:spacing w:line="360" w:lineRule="auto"/>
        <w:rPr>
          <w:rFonts w:eastAsiaTheme="minorHAnsi"/>
          <w:lang w:eastAsia="en-US"/>
        </w:rPr>
      </w:pPr>
      <w:r w:rsidRPr="00C90AC9">
        <w:rPr>
          <w:rFonts w:eastAsiaTheme="minorHAnsi"/>
          <w:lang w:eastAsia="en-US"/>
        </w:rPr>
        <w:t xml:space="preserve">Additionally, whilst the efficiency, temperature of hot water and cost of heating the generated hot water from an auxiliary heater have been calculated here greater prominence could be placed on those parameters that are suited to individual users. Some occupants may be more interested in reducing their </w:t>
      </w:r>
      <w:r w:rsidR="007E00BF" w:rsidRPr="00C90AC9">
        <w:rPr>
          <w:rFonts w:eastAsia="Calibri"/>
          <w:lang w:eastAsia="en-US"/>
        </w:rPr>
        <w:t>CO</w:t>
      </w:r>
      <w:r w:rsidR="007E00BF" w:rsidRPr="00C90AC9">
        <w:rPr>
          <w:rFonts w:eastAsia="Calibri"/>
          <w:vertAlign w:val="subscript"/>
          <w:lang w:eastAsia="en-US"/>
        </w:rPr>
        <w:t>2</w:t>
      </w:r>
      <w:r w:rsidRPr="00C90AC9">
        <w:rPr>
          <w:rFonts w:eastAsiaTheme="minorHAnsi"/>
          <w:lang w:eastAsia="en-US"/>
        </w:rPr>
        <w:t xml:space="preserve"> emissions and so this could be the parameter that is calculated and provided as a feedback to the occupant when suggesting the most suitable consumption patter for them to follow.</w:t>
      </w:r>
    </w:p>
    <w:p w:rsidR="00A16B8C" w:rsidRPr="00C90AC9" w:rsidRDefault="00727B7A" w:rsidP="009902C3">
      <w:pPr>
        <w:pStyle w:val="BodyText"/>
        <w:spacing w:line="360" w:lineRule="auto"/>
        <w:rPr>
          <w:rFonts w:eastAsiaTheme="minorHAnsi"/>
          <w:lang w:eastAsia="en-US"/>
        </w:rPr>
      </w:pPr>
      <w:r w:rsidRPr="00C90AC9">
        <w:rPr>
          <w:rFonts w:eastAsiaTheme="minorHAnsi"/>
          <w:lang w:eastAsia="en-US"/>
        </w:rPr>
        <w:t xml:space="preserve">A final note should be made concerning the program as it stands in that it </w:t>
      </w:r>
      <w:r w:rsidR="004B6CFB" w:rsidRPr="00C90AC9">
        <w:rPr>
          <w:rFonts w:eastAsiaTheme="minorHAnsi"/>
          <w:lang w:eastAsia="en-US"/>
        </w:rPr>
        <w:t>selects the most suitable Tapping Cycle and applies the consumption pattern as designated by</w:t>
      </w:r>
      <w:r w:rsidR="004A7DF2" w:rsidRPr="00C90AC9">
        <w:rPr>
          <w:rFonts w:eastAsiaTheme="minorHAnsi"/>
          <w:lang w:eastAsia="en-US"/>
        </w:rPr>
        <w:t xml:space="preserve"> </w:t>
      </w:r>
      <w:r w:rsidR="00C0462B" w:rsidRPr="00C90AC9">
        <w:rPr>
          <w:rFonts w:eastAsiaTheme="minorHAnsi"/>
          <w:lang w:eastAsia="en-US"/>
        </w:rPr>
        <w:fldChar w:fldCharType="begin"/>
      </w:r>
      <w:r w:rsidR="00C0462B" w:rsidRPr="00C90AC9">
        <w:rPr>
          <w:rFonts w:eastAsiaTheme="minorHAnsi"/>
          <w:lang w:eastAsia="en-US"/>
        </w:rPr>
        <w:instrText xml:space="preserve"> ADDIN EN.CITE &lt;EndNote&gt;&lt;Cite&gt;&lt;Author&gt;Commission&lt;/Author&gt;&lt;Year&gt;2002&lt;/Year&gt;&lt;RecNum&gt;250&lt;/RecNum&gt;&lt;DisplayText&gt;(Commission, 2002)&lt;/DisplayText&gt;&lt;record&gt;&lt;rec-number&gt;250&lt;/rec-number&gt;&lt;foreign-keys&gt;&lt;key app="EN" db-id="50wxdpzd9vd5r7e9t5b595djrfpttrxw9avp" timestamp="1525679612"&gt;250&lt;/key&gt;&lt;/foreign-keys&gt;&lt;ref-type name="Report"&gt;27&lt;/ref-type&gt;&lt;contributors&gt;&lt;authors&gt;&lt;author&gt;European Commission&lt;/author&gt;&lt;/authors&gt;&lt;secondary-authors&gt;&lt;author&gt;European Commission&lt;/author&gt;&lt;/secondary-authors&gt;&lt;/contributors&gt;&lt;titles&gt;&lt;title&gt;M/324 Mandate to CEN and CENELEC for the elaboration and adoption of measurement standards for household appliances: Water-heaters, hot water storage appliances and water heating systems&lt;/title&gt;&lt;secondary-title&gt;STANDARDISATION - Mandates&lt;/secondary-title&gt;&lt;/titles&gt;&lt;dates&gt;&lt;year&gt;2002&lt;/year&gt;&lt;/dates&gt;&lt;publisher&gt;European Commission&lt;/publisher&gt;&lt;urls&gt;&lt;/urls&gt;&lt;/record&gt;&lt;/Cite&gt;&lt;/EndNote&gt;</w:instrText>
      </w:r>
      <w:r w:rsidR="00C0462B" w:rsidRPr="00C90AC9">
        <w:rPr>
          <w:rFonts w:eastAsiaTheme="minorHAnsi"/>
          <w:lang w:eastAsia="en-US"/>
        </w:rPr>
        <w:fldChar w:fldCharType="separate"/>
      </w:r>
      <w:r w:rsidR="00C0462B" w:rsidRPr="00C90AC9">
        <w:rPr>
          <w:rFonts w:eastAsiaTheme="minorHAnsi"/>
          <w:lang w:eastAsia="en-US"/>
        </w:rPr>
        <w:t>(Commission, 2002)</w:t>
      </w:r>
      <w:r w:rsidR="00C0462B" w:rsidRPr="00C90AC9">
        <w:rPr>
          <w:rFonts w:eastAsiaTheme="minorHAnsi"/>
          <w:lang w:eastAsia="en-US"/>
        </w:rPr>
        <w:fldChar w:fldCharType="end"/>
      </w:r>
      <w:r w:rsidR="004A7DF2" w:rsidRPr="00C90AC9">
        <w:rPr>
          <w:rFonts w:eastAsiaTheme="minorHAnsi"/>
          <w:lang w:eastAsia="en-US"/>
        </w:rPr>
        <w:t xml:space="preserve">. </w:t>
      </w:r>
      <w:r w:rsidR="004B6CFB" w:rsidRPr="00C90AC9">
        <w:rPr>
          <w:rFonts w:eastAsiaTheme="minorHAnsi"/>
          <w:lang w:eastAsia="en-US"/>
        </w:rPr>
        <w:t xml:space="preserve">Previous studies have researched </w:t>
      </w:r>
      <w:r w:rsidR="00BF0861" w:rsidRPr="00C90AC9">
        <w:rPr>
          <w:rFonts w:eastAsiaTheme="minorHAnsi"/>
          <w:lang w:eastAsia="en-US"/>
        </w:rPr>
        <w:t>how differences to the ho</w:t>
      </w:r>
      <w:r w:rsidR="004B6CFB" w:rsidRPr="00C90AC9">
        <w:rPr>
          <w:rFonts w:eastAsiaTheme="minorHAnsi"/>
          <w:lang w:eastAsia="en-US"/>
        </w:rPr>
        <w:t xml:space="preserve">t water consumption patterns </w:t>
      </w:r>
      <w:r w:rsidR="00BF0861" w:rsidRPr="00C90AC9">
        <w:rPr>
          <w:rFonts w:eastAsiaTheme="minorHAnsi"/>
          <w:lang w:eastAsia="en-US"/>
        </w:rPr>
        <w:t>can influence a</w:t>
      </w:r>
      <w:r w:rsidR="004A7DF2" w:rsidRPr="00C90AC9">
        <w:rPr>
          <w:rFonts w:eastAsiaTheme="minorHAnsi"/>
          <w:lang w:eastAsia="en-US"/>
        </w:rPr>
        <w:t xml:space="preserve">n STP’s </w:t>
      </w:r>
      <w:r w:rsidR="00191628" w:rsidRPr="00C90AC9">
        <w:rPr>
          <w:rFonts w:eastAsiaTheme="minorHAnsi"/>
          <w:lang w:eastAsia="en-US"/>
        </w:rPr>
        <w:t xml:space="preserve">efficiency </w:t>
      </w:r>
      <w:r w:rsidR="004A0956" w:rsidRPr="00C90AC9">
        <w:rPr>
          <w:rFonts w:eastAsiaTheme="minorHAnsi"/>
          <w:lang w:eastAsia="en-US"/>
        </w:rPr>
        <w:t xml:space="preserve">with the efficiency of the STP falling at either very low or very high flow rates. Further investigation to determine the full effect of flow rate on an STPs efficiency at these flow rate limits should be made to ascertain precisely how they will impact the described </w:t>
      </w:r>
      <w:r w:rsidR="00191628" w:rsidRPr="00C90AC9">
        <w:rPr>
          <w:rFonts w:eastAsiaTheme="minorHAnsi"/>
          <w:lang w:eastAsia="en-US"/>
        </w:rPr>
        <w:t>program and the resulting section of Tapping Cycle.</w:t>
      </w:r>
      <w:r w:rsidR="00A16B8C" w:rsidRPr="00C90AC9">
        <w:rPr>
          <w:rFonts w:eastAsiaTheme="minorHAnsi"/>
          <w:lang w:eastAsia="en-US"/>
        </w:rPr>
        <w:br w:type="page"/>
      </w:r>
    </w:p>
    <w:p w:rsidR="00A16B8C" w:rsidRPr="00C90AC9" w:rsidRDefault="00A16B8C" w:rsidP="00D23A2C">
      <w:pPr>
        <w:pStyle w:val="Heading11"/>
        <w:rPr>
          <w:sz w:val="72"/>
        </w:rPr>
      </w:pPr>
      <w:bookmarkStart w:id="53" w:name="_Toc447173073"/>
      <w:r w:rsidRPr="00C90AC9">
        <w:rPr>
          <w:sz w:val="72"/>
        </w:rPr>
        <w:lastRenderedPageBreak/>
        <w:t>Chapter 4</w:t>
      </w:r>
      <w:bookmarkEnd w:id="53"/>
    </w:p>
    <w:p w:rsidR="009579D5" w:rsidRPr="00C90AC9" w:rsidRDefault="00941E69" w:rsidP="00ED36C8">
      <w:pPr>
        <w:pStyle w:val="Subtitle"/>
        <w:jc w:val="center"/>
        <w:rPr>
          <w:rStyle w:val="SubtleEmphasis"/>
          <w:rFonts w:ascii="Times New Roman" w:hAnsi="Times New Roman" w:cs="Times New Roman"/>
          <w:i w:val="0"/>
          <w:sz w:val="24"/>
        </w:rPr>
      </w:pPr>
      <w:r w:rsidRPr="00C90AC9">
        <w:rPr>
          <w:rStyle w:val="SubtleEmphasis"/>
          <w:rFonts w:ascii="Times New Roman" w:hAnsi="Times New Roman" w:cs="Times New Roman"/>
          <w:i w:val="0"/>
          <w:sz w:val="24"/>
        </w:rPr>
        <w:t>Qualitative studies, using s</w:t>
      </w:r>
      <w:r w:rsidR="00A16B8C" w:rsidRPr="00C90AC9">
        <w:rPr>
          <w:rStyle w:val="SubtleEmphasis"/>
          <w:rFonts w:ascii="Times New Roman" w:hAnsi="Times New Roman" w:cs="Times New Roman"/>
          <w:i w:val="0"/>
          <w:sz w:val="24"/>
        </w:rPr>
        <w:t xml:space="preserve">emi-structured interviews </w:t>
      </w:r>
      <w:r w:rsidR="003967B7" w:rsidRPr="00C90AC9">
        <w:rPr>
          <w:rStyle w:val="SubtleEmphasis"/>
          <w:rFonts w:ascii="Times New Roman" w:hAnsi="Times New Roman" w:cs="Times New Roman"/>
          <w:i w:val="0"/>
          <w:sz w:val="24"/>
        </w:rPr>
        <w:t xml:space="preserve">with the </w:t>
      </w:r>
      <w:r w:rsidR="00E82522" w:rsidRPr="00C90AC9">
        <w:rPr>
          <w:rStyle w:val="SubtleEmphasis"/>
          <w:rFonts w:ascii="Times New Roman" w:hAnsi="Times New Roman" w:cs="Times New Roman"/>
          <w:i w:val="0"/>
          <w:sz w:val="24"/>
        </w:rPr>
        <w:t>main</w:t>
      </w:r>
      <w:r w:rsidR="003967B7" w:rsidRPr="00C90AC9">
        <w:rPr>
          <w:rStyle w:val="SubtleEmphasis"/>
          <w:rFonts w:ascii="Times New Roman" w:hAnsi="Times New Roman" w:cs="Times New Roman"/>
          <w:i w:val="0"/>
          <w:sz w:val="24"/>
        </w:rPr>
        <w:t xml:space="preserve"> actors in the solar thermal </w:t>
      </w:r>
      <w:r w:rsidR="003E7797" w:rsidRPr="00C90AC9">
        <w:rPr>
          <w:rStyle w:val="SubtleEmphasis"/>
          <w:rFonts w:ascii="Times New Roman" w:hAnsi="Times New Roman" w:cs="Times New Roman"/>
          <w:i w:val="0"/>
          <w:sz w:val="24"/>
        </w:rPr>
        <w:t xml:space="preserve">market </w:t>
      </w:r>
      <w:r w:rsidR="009579D5" w:rsidRPr="00C90AC9">
        <w:rPr>
          <w:rStyle w:val="SubtleEmphasis"/>
          <w:rFonts w:ascii="Times New Roman" w:hAnsi="Times New Roman" w:cs="Times New Roman"/>
          <w:i w:val="0"/>
          <w:sz w:val="24"/>
        </w:rPr>
        <w:t xml:space="preserve">to </w:t>
      </w:r>
      <w:r w:rsidR="003967B7" w:rsidRPr="00C90AC9">
        <w:rPr>
          <w:rStyle w:val="SubtleEmphasis"/>
          <w:rFonts w:ascii="Times New Roman" w:hAnsi="Times New Roman" w:cs="Times New Roman"/>
          <w:i w:val="0"/>
          <w:sz w:val="24"/>
        </w:rPr>
        <w:t xml:space="preserve">understand their </w:t>
      </w:r>
      <w:r w:rsidR="009579D5" w:rsidRPr="00C90AC9">
        <w:rPr>
          <w:rStyle w:val="SubtleEmphasis"/>
          <w:rFonts w:ascii="Times New Roman" w:hAnsi="Times New Roman" w:cs="Times New Roman"/>
          <w:i w:val="0"/>
          <w:sz w:val="24"/>
        </w:rPr>
        <w:t xml:space="preserve">opinions of </w:t>
      </w:r>
      <w:r w:rsidR="006518C0" w:rsidRPr="00C90AC9">
        <w:rPr>
          <w:rStyle w:val="SubtleEmphasis"/>
          <w:rFonts w:ascii="Times New Roman" w:hAnsi="Times New Roman" w:cs="Times New Roman"/>
          <w:i w:val="0"/>
          <w:sz w:val="24"/>
        </w:rPr>
        <w:t>STPs</w:t>
      </w:r>
    </w:p>
    <w:p w:rsidR="00ED36C8" w:rsidRPr="00C90AC9" w:rsidRDefault="00ED36C8" w:rsidP="00ED36C8">
      <w:pPr>
        <w:rPr>
          <w:lang w:eastAsia="en-US"/>
        </w:rPr>
      </w:pPr>
      <w:r w:rsidRPr="00C90AC9">
        <w:rPr>
          <w:rFonts w:eastAsiaTheme="minorHAnsi"/>
          <w:noProof/>
        </w:rPr>
        <mc:AlternateContent>
          <mc:Choice Requires="wps">
            <w:drawing>
              <wp:anchor distT="0" distB="0" distL="114300" distR="114300" simplePos="0" relativeHeight="251862016" behindDoc="0" locked="0" layoutInCell="1" allowOverlap="1" wp14:anchorId="5253E285" wp14:editId="7725FA94">
                <wp:simplePos x="0" y="0"/>
                <wp:positionH relativeFrom="column">
                  <wp:posOffset>-219075</wp:posOffset>
                </wp:positionH>
                <wp:positionV relativeFrom="paragraph">
                  <wp:posOffset>173355</wp:posOffset>
                </wp:positionV>
                <wp:extent cx="6105525" cy="838200"/>
                <wp:effectExtent l="0" t="0" r="28575" b="19050"/>
                <wp:wrapNone/>
                <wp:docPr id="473" name="Rectangle 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5525" cy="838200"/>
                        </a:xfrm>
                        <a:prstGeom prst="rect">
                          <a:avLst/>
                        </a:prstGeom>
                        <a:solidFill>
                          <a:srgbClr val="4F81BD">
                            <a:alpha val="20000"/>
                          </a:srgbClr>
                        </a:solidFill>
                        <a:ln w="127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3DFE8" id="Rectangle 473" o:spid="_x0000_s1026" style="position:absolute;margin-left:-17.25pt;margin-top:13.65pt;width:480.75pt;height:66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" fillcolor="#4f81bd" strokecolor="#4f81bd" strokeweight="1pt">
                <v:fill opacity="13107f"/>
                <v:path arrowok="t"/>
              </v:rect>
            </w:pict>
          </mc:Fallback>
        </mc:AlternateContent>
      </w:r>
    </w:p>
    <w:p w:rsidR="00A16B8C" w:rsidRPr="00C90AC9" w:rsidRDefault="00A16B8C" w:rsidP="00B06779">
      <w:pPr>
        <w:pStyle w:val="BodyText"/>
        <w:rPr>
          <w:rFonts w:eastAsiaTheme="minorHAnsi"/>
          <w:lang w:eastAsia="en-US"/>
        </w:rPr>
      </w:pPr>
      <w:r w:rsidRPr="00C90AC9">
        <w:rPr>
          <w:rFonts w:eastAsiaTheme="minorHAnsi"/>
          <w:lang w:eastAsia="en-US"/>
        </w:rPr>
        <w:t xml:space="preserve">This chapter assesses </w:t>
      </w:r>
      <w:r w:rsidR="00412097" w:rsidRPr="00C90AC9">
        <w:rPr>
          <w:rFonts w:eastAsiaTheme="minorHAnsi"/>
          <w:lang w:eastAsia="en-US"/>
        </w:rPr>
        <w:t xml:space="preserve">the opinions of the </w:t>
      </w:r>
      <w:r w:rsidR="00E82522" w:rsidRPr="00C90AC9">
        <w:rPr>
          <w:rFonts w:eastAsiaTheme="minorHAnsi"/>
          <w:lang w:eastAsia="en-US"/>
        </w:rPr>
        <w:t>main</w:t>
      </w:r>
      <w:r w:rsidR="00412097" w:rsidRPr="00C90AC9">
        <w:rPr>
          <w:rFonts w:eastAsiaTheme="minorHAnsi"/>
          <w:lang w:eastAsia="en-US"/>
        </w:rPr>
        <w:t xml:space="preserve"> actors within the STP </w:t>
      </w:r>
      <w:r w:rsidR="003E7797" w:rsidRPr="00C90AC9">
        <w:rPr>
          <w:rFonts w:eastAsiaTheme="minorHAnsi"/>
          <w:lang w:eastAsia="en-US"/>
        </w:rPr>
        <w:t xml:space="preserve">market </w:t>
      </w:r>
      <w:r w:rsidRPr="00C90AC9">
        <w:rPr>
          <w:rFonts w:eastAsiaTheme="minorHAnsi"/>
          <w:lang w:eastAsia="en-US"/>
        </w:rPr>
        <w:t xml:space="preserve">using </w:t>
      </w:r>
      <w:r w:rsidR="003967B7" w:rsidRPr="00C90AC9">
        <w:rPr>
          <w:rFonts w:eastAsiaTheme="minorHAnsi"/>
          <w:lang w:eastAsia="en-US"/>
        </w:rPr>
        <w:t xml:space="preserve">semi-structured interviews. </w:t>
      </w:r>
      <w:r w:rsidR="00412097" w:rsidRPr="00C90AC9">
        <w:rPr>
          <w:rFonts w:eastAsiaTheme="minorHAnsi"/>
          <w:lang w:eastAsia="en-US"/>
        </w:rPr>
        <w:t>The studies were first conducted in 2012 and then again in 2015</w:t>
      </w:r>
      <w:r w:rsidR="00A22953" w:rsidRPr="00C90AC9">
        <w:rPr>
          <w:rFonts w:eastAsiaTheme="minorHAnsi"/>
          <w:lang w:eastAsia="en-US"/>
        </w:rPr>
        <w:t xml:space="preserve"> with different participants in each year</w:t>
      </w:r>
      <w:r w:rsidR="00412097" w:rsidRPr="00C90AC9">
        <w:rPr>
          <w:rFonts w:eastAsiaTheme="minorHAnsi"/>
          <w:lang w:eastAsia="en-US"/>
        </w:rPr>
        <w:t>.</w:t>
      </w:r>
    </w:p>
    <w:p w:rsidR="00ED36C8" w:rsidRPr="00C90AC9" w:rsidRDefault="00ED36C8" w:rsidP="00B06779">
      <w:pPr>
        <w:pStyle w:val="BodyText"/>
        <w:rPr>
          <w:rFonts w:eastAsiaTheme="minorHAnsi"/>
          <w:lang w:eastAsia="en-US"/>
        </w:rPr>
      </w:pPr>
    </w:p>
    <w:p w:rsidR="00F171E4" w:rsidRPr="00C90AC9" w:rsidRDefault="006474B4" w:rsidP="00F171E4">
      <w:pPr>
        <w:pStyle w:val="BodyText"/>
        <w:numPr>
          <w:ilvl w:val="1"/>
          <w:numId w:val="1"/>
        </w:numPr>
        <w:ind w:left="851" w:hanging="851"/>
        <w:rPr>
          <w:rFonts w:eastAsiaTheme="minorHAnsi"/>
          <w:sz w:val="28"/>
          <w:lang w:eastAsia="en-US"/>
        </w:rPr>
      </w:pPr>
      <w:r w:rsidRPr="00C90AC9">
        <w:rPr>
          <w:rFonts w:eastAsiaTheme="minorHAnsi"/>
          <w:sz w:val="28"/>
          <w:lang w:eastAsia="en-US"/>
        </w:rPr>
        <w:t>Introduction</w:t>
      </w:r>
      <w:bookmarkStart w:id="54" w:name="_Toc447173075"/>
      <w:r w:rsidR="00F171E4" w:rsidRPr="00C90AC9">
        <w:rPr>
          <w:rFonts w:eastAsiaTheme="minorHAnsi"/>
          <w:sz w:val="28"/>
          <w:lang w:eastAsia="en-US"/>
        </w:rPr>
        <w:t>, the use of semi-structured interviews</w:t>
      </w:r>
    </w:p>
    <w:p w:rsidR="00F171E4" w:rsidRPr="00C90AC9" w:rsidRDefault="00BF3B73" w:rsidP="009715C7">
      <w:pPr>
        <w:pStyle w:val="BodyText"/>
        <w:spacing w:line="360" w:lineRule="auto"/>
        <w:rPr>
          <w:rFonts w:eastAsiaTheme="minorHAnsi"/>
          <w:lang w:eastAsia="en-US"/>
        </w:rPr>
      </w:pPr>
      <w:r w:rsidRPr="00C90AC9">
        <w:rPr>
          <w:rFonts w:eastAsiaTheme="minorHAnsi"/>
          <w:lang w:eastAsia="en-US"/>
        </w:rPr>
        <w:tab/>
      </w:r>
      <w:r w:rsidR="00F171E4" w:rsidRPr="00C90AC9">
        <w:rPr>
          <w:rFonts w:eastAsiaTheme="minorHAnsi"/>
          <w:lang w:eastAsia="en-US"/>
        </w:rPr>
        <w:t xml:space="preserve">Semi-structured interviews were chosen as the method to </w:t>
      </w:r>
      <w:r w:rsidRPr="00C90AC9">
        <w:rPr>
          <w:rFonts w:eastAsiaTheme="minorHAnsi"/>
          <w:lang w:eastAsia="en-US"/>
        </w:rPr>
        <w:t xml:space="preserve">understand the </w:t>
      </w:r>
      <w:r w:rsidR="00F171E4" w:rsidRPr="00C90AC9">
        <w:rPr>
          <w:rFonts w:eastAsiaTheme="minorHAnsi"/>
          <w:lang w:eastAsia="en-US"/>
        </w:rPr>
        <w:t xml:space="preserve">opinions </w:t>
      </w:r>
      <w:r w:rsidRPr="00C90AC9">
        <w:rPr>
          <w:rFonts w:eastAsiaTheme="minorHAnsi"/>
          <w:lang w:eastAsia="en-US"/>
        </w:rPr>
        <w:t xml:space="preserve">of the main actors in the solar thermal panel market </w:t>
      </w:r>
      <w:r w:rsidR="00F171E4" w:rsidRPr="00C90AC9">
        <w:rPr>
          <w:rFonts w:eastAsiaTheme="minorHAnsi"/>
          <w:lang w:eastAsia="en-US"/>
        </w:rPr>
        <w:t xml:space="preserve">as semi-structured interviews allow a specific and direct conversation </w:t>
      </w:r>
      <w:r w:rsidRPr="00C90AC9">
        <w:rPr>
          <w:rFonts w:eastAsiaTheme="minorHAnsi"/>
          <w:lang w:eastAsia="en-US"/>
        </w:rPr>
        <w:t>which allows</w:t>
      </w:r>
      <w:r w:rsidR="00F171E4" w:rsidRPr="00C90AC9">
        <w:rPr>
          <w:rFonts w:eastAsiaTheme="minorHAnsi"/>
          <w:lang w:eastAsia="en-US"/>
        </w:rPr>
        <w:t xml:space="preserve"> the required information can be elucidated effectively</w:t>
      </w:r>
      <w:r w:rsidRPr="00C90AC9">
        <w:rPr>
          <w:rFonts w:eastAsiaTheme="minorHAnsi"/>
          <w:lang w:eastAsia="en-US"/>
        </w:rPr>
        <w:t xml:space="preserve">. At the same </w:t>
      </w:r>
      <w:proofErr w:type="gramStart"/>
      <w:r w:rsidRPr="00C90AC9">
        <w:rPr>
          <w:rFonts w:eastAsiaTheme="minorHAnsi"/>
          <w:lang w:eastAsia="en-US"/>
        </w:rPr>
        <w:t>time</w:t>
      </w:r>
      <w:proofErr w:type="gramEnd"/>
      <w:r w:rsidR="00F171E4" w:rsidRPr="00C90AC9">
        <w:rPr>
          <w:rFonts w:eastAsiaTheme="minorHAnsi"/>
          <w:lang w:eastAsia="en-US"/>
        </w:rPr>
        <w:t xml:space="preserve"> it allows the participants to express their opinions in the way that they see fit. Another key benefit for employing this method is that it is time beneficial whilst not constraining the answers given by the participants. The structure of the interview is capable of being defined and arranged in such a way so that greater information on the key attributes that each participant has can be determined with regard to STPs </w:t>
      </w:r>
      <w:r w:rsidR="00F171E4" w:rsidRPr="00C90AC9">
        <w:rPr>
          <w:rFonts w:eastAsiaTheme="minorHAnsi"/>
          <w:lang w:eastAsia="en-US"/>
        </w:rPr>
        <w:fldChar w:fldCharType="begin"/>
      </w:r>
      <w:r w:rsidR="00F171E4" w:rsidRPr="00C90AC9">
        <w:rPr>
          <w:rFonts w:eastAsiaTheme="minorHAnsi"/>
          <w:lang w:eastAsia="en-US"/>
        </w:rPr>
        <w:instrText xml:space="preserve"> ADDIN EN.CITE &lt;EndNote&gt;&lt;Cite&gt;&lt;Author&gt;Weijermars&lt;/Author&gt;&lt;Year&gt;2012&lt;/Year&gt;&lt;RecNum&gt;276&lt;/RecNum&gt;&lt;DisplayText&gt;(Weijermars et al., 2012)&lt;/DisplayText&gt;&lt;record&gt;&lt;rec-number&gt;276&lt;/rec-number&gt;&lt;foreign-keys&gt;&lt;key app="EN" db-id="50wxdpzd9vd5r7e9t5b595djrfpttrxw9avp" timestamp="1526376218"&gt;276&lt;/key&gt;&lt;/foreign-keys&gt;&lt;ref-type name="Journal Article"&gt;17&lt;/ref-type&gt;&lt;contributors&gt;&lt;authors&gt;&lt;author&gt;Weijermars, Ruud&lt;/author&gt;&lt;author&gt;Taylor, Peter&lt;/author&gt;&lt;author&gt;Bahn, Olivier&lt;/author&gt;&lt;author&gt;Das, Subir Ranjan&lt;/author&gt;&lt;author&gt;Wei, Yi-Ming&lt;/author&gt;&lt;/authors&gt;&lt;/contributors&gt;&lt;titles&gt;&lt;title&gt;Review of models and actors in energy mix optimization – can leader visions and decisions align with optimum model strategies for our future energy systems?&lt;/title&gt;&lt;secondary-title&gt;Energy Strategy Reviews&lt;/secondary-title&gt;&lt;/titles&gt;&lt;pages&gt;5-18&lt;/pages&gt;&lt;volume&gt;1&lt;/volume&gt;&lt;number&gt;1&lt;/number&gt;&lt;keywords&gt;&lt;keyword&gt;Energy strategy&lt;/keyword&gt;&lt;keyword&gt;Energy vision&lt;/keyword&gt;&lt;keyword&gt;Energy scenarios&lt;/keyword&gt;&lt;keyword&gt;Energy mix&lt;/keyword&gt;&lt;keyword&gt;Future energy choices&lt;/keyword&gt;&lt;keyword&gt;Energy strategy decision-making&lt;/keyword&gt;&lt;keyword&gt;Corporate energy strategy&lt;/keyword&gt;&lt;keyword&gt;Energy strategy analysis&lt;/keyword&gt;&lt;keyword&gt;Energy strategy implementation&lt;/keyword&gt;&lt;/keywords&gt;&lt;dates&gt;&lt;year&gt;2012&lt;/year&gt;&lt;pub-dates&gt;&lt;date&gt;2012/03/01/&lt;/date&gt;&lt;/pub-dates&gt;&lt;/dates&gt;&lt;isbn&gt;2211-467X&lt;/isbn&gt;&lt;urls&gt;&lt;related-urls&gt;&lt;url&gt;http://www.sciencedirect.com/science/article/pii/S2211467X11000022&lt;/url&gt;&lt;/related-urls&gt;&lt;/urls&gt;&lt;electronic-resource-num&gt;https://doi.org/10.1016/j.esr.2011.10.001&lt;/electronic-resource-num&gt;&lt;/record&gt;&lt;/Cite&gt;&lt;/EndNote&gt;</w:instrText>
      </w:r>
      <w:r w:rsidR="00F171E4" w:rsidRPr="00C90AC9">
        <w:rPr>
          <w:rFonts w:eastAsiaTheme="minorHAnsi"/>
          <w:lang w:eastAsia="en-US"/>
        </w:rPr>
        <w:fldChar w:fldCharType="separate"/>
      </w:r>
      <w:r w:rsidR="00F171E4" w:rsidRPr="00C90AC9">
        <w:rPr>
          <w:rFonts w:eastAsiaTheme="minorHAnsi"/>
          <w:lang w:eastAsia="en-US"/>
        </w:rPr>
        <w:t>(Weijermars et al., 2012)</w:t>
      </w:r>
      <w:r w:rsidR="00F171E4" w:rsidRPr="00C90AC9">
        <w:rPr>
          <w:rFonts w:eastAsiaTheme="minorHAnsi"/>
          <w:lang w:eastAsia="en-US"/>
        </w:rPr>
        <w:fldChar w:fldCharType="end"/>
      </w:r>
      <w:r w:rsidR="00F171E4" w:rsidRPr="00C90AC9">
        <w:rPr>
          <w:rFonts w:eastAsiaTheme="minorHAnsi"/>
          <w:lang w:eastAsia="en-US"/>
        </w:rPr>
        <w:t>.</w:t>
      </w:r>
    </w:p>
    <w:p w:rsidR="00F171E4" w:rsidRPr="00C90AC9" w:rsidRDefault="00F171E4" w:rsidP="00BF3B73">
      <w:pPr>
        <w:pStyle w:val="ListContinue"/>
        <w:spacing w:line="360" w:lineRule="auto"/>
        <w:ind w:left="0"/>
        <w:rPr>
          <w:rStyle w:val="SubtleEmphasis"/>
          <w:rFonts w:eastAsiaTheme="minorHAnsi"/>
          <w:sz w:val="24"/>
          <w:lang w:eastAsia="en-US"/>
        </w:rPr>
      </w:pPr>
      <w:r w:rsidRPr="00C90AC9">
        <w:rPr>
          <w:rFonts w:eastAsiaTheme="minorHAnsi"/>
          <w:lang w:eastAsia="en-US"/>
        </w:rPr>
        <w:t xml:space="preserve">A key topic to discern </w:t>
      </w:r>
      <w:r w:rsidR="00BF3B73" w:rsidRPr="00C90AC9">
        <w:rPr>
          <w:rFonts w:eastAsiaTheme="minorHAnsi"/>
          <w:lang w:eastAsia="en-US"/>
        </w:rPr>
        <w:t xml:space="preserve">from the main actors was their </w:t>
      </w:r>
      <w:r w:rsidRPr="00C90AC9">
        <w:rPr>
          <w:rFonts w:eastAsiaTheme="minorHAnsi"/>
          <w:lang w:eastAsia="en-US"/>
        </w:rPr>
        <w:t>opinion</w:t>
      </w:r>
      <w:r w:rsidR="00BF3B73" w:rsidRPr="00C90AC9">
        <w:rPr>
          <w:rFonts w:eastAsiaTheme="minorHAnsi"/>
          <w:lang w:eastAsia="en-US"/>
        </w:rPr>
        <w:t>s</w:t>
      </w:r>
      <w:r w:rsidRPr="00C90AC9">
        <w:rPr>
          <w:rFonts w:eastAsiaTheme="minorHAnsi"/>
          <w:lang w:eastAsia="en-US"/>
        </w:rPr>
        <w:t xml:space="preserve"> on </w:t>
      </w:r>
      <w:r w:rsidR="00BF3B73" w:rsidRPr="00C90AC9">
        <w:rPr>
          <w:rFonts w:eastAsiaTheme="minorHAnsi"/>
          <w:lang w:eastAsia="en-US"/>
        </w:rPr>
        <w:t>what they perceive as available</w:t>
      </w:r>
      <w:r w:rsidRPr="00C90AC9">
        <w:rPr>
          <w:rFonts w:eastAsiaTheme="minorHAnsi"/>
          <w:lang w:eastAsia="en-US"/>
        </w:rPr>
        <w:t xml:space="preserve"> methods </w:t>
      </w:r>
      <w:r w:rsidR="00BF3B73" w:rsidRPr="00C90AC9">
        <w:rPr>
          <w:rFonts w:eastAsiaTheme="minorHAnsi"/>
          <w:lang w:eastAsia="en-US"/>
        </w:rPr>
        <w:t xml:space="preserve">which </w:t>
      </w:r>
      <w:r w:rsidRPr="00C90AC9">
        <w:rPr>
          <w:rFonts w:eastAsiaTheme="minorHAnsi"/>
          <w:lang w:eastAsia="en-US"/>
        </w:rPr>
        <w:t xml:space="preserve">could be employed to </w:t>
      </w:r>
      <w:r w:rsidR="00BF3B73" w:rsidRPr="00C90AC9">
        <w:rPr>
          <w:rFonts w:eastAsiaTheme="minorHAnsi"/>
          <w:lang w:eastAsia="en-US"/>
        </w:rPr>
        <w:t xml:space="preserve">best </w:t>
      </w:r>
      <w:r w:rsidRPr="00C90AC9">
        <w:rPr>
          <w:rFonts w:eastAsiaTheme="minorHAnsi"/>
          <w:lang w:eastAsia="en-US"/>
        </w:rPr>
        <w:t>diffuse this technology to the broader population. Conversely</w:t>
      </w:r>
      <w:r w:rsidR="00BF3B73" w:rsidRPr="00C90AC9">
        <w:rPr>
          <w:rFonts w:eastAsiaTheme="minorHAnsi"/>
          <w:lang w:eastAsia="en-US"/>
        </w:rPr>
        <w:t>,</w:t>
      </w:r>
      <w:r w:rsidRPr="00C90AC9">
        <w:rPr>
          <w:rFonts w:eastAsiaTheme="minorHAnsi"/>
          <w:lang w:eastAsia="en-US"/>
        </w:rPr>
        <w:t xml:space="preserve"> any potential pitfalls which should be avoided in the diffusion of this technology were also investigated. </w:t>
      </w:r>
    </w:p>
    <w:p w:rsidR="00A16B8C" w:rsidRPr="00C90AC9" w:rsidRDefault="00A16B8C" w:rsidP="003967B7">
      <w:pPr>
        <w:pStyle w:val="List"/>
        <w:numPr>
          <w:ilvl w:val="1"/>
          <w:numId w:val="1"/>
        </w:numPr>
        <w:ind w:left="851" w:hanging="851"/>
        <w:rPr>
          <w:rStyle w:val="SubtleEmphasis"/>
          <w:rFonts w:cs="Times New Roman"/>
          <w:iCs/>
          <w:szCs w:val="24"/>
        </w:rPr>
      </w:pPr>
      <w:r w:rsidRPr="00C90AC9">
        <w:rPr>
          <w:rStyle w:val="SubtleEmphasis"/>
          <w:rFonts w:cs="Times New Roman"/>
          <w:iCs/>
          <w:szCs w:val="24"/>
        </w:rPr>
        <w:t>Key stakeholders in the UK domestic heat market</w:t>
      </w:r>
      <w:bookmarkEnd w:id="54"/>
    </w:p>
    <w:p w:rsidR="00A16B8C" w:rsidRPr="00C90AC9" w:rsidRDefault="00A16B8C" w:rsidP="009902C3">
      <w:pPr>
        <w:pStyle w:val="BodyTextFirstIndent"/>
        <w:spacing w:line="360" w:lineRule="auto"/>
        <w:rPr>
          <w:rFonts w:eastAsiaTheme="minorHAnsi"/>
          <w:lang w:eastAsia="en-US"/>
        </w:rPr>
      </w:pPr>
      <w:r w:rsidRPr="00C90AC9">
        <w:rPr>
          <w:rFonts w:eastAsiaTheme="minorHAnsi"/>
          <w:lang w:eastAsia="en-US"/>
        </w:rPr>
        <w:t xml:space="preserve">The UK government has expressed the need for “evidence based” decisions to be made with regard to energy and climate change thus the key stakeholders who will have influence the success or failure of a novel technology should be identified to ensure of renewable technologies </w:t>
      </w:r>
      <w:r w:rsidR="00D428DD" w:rsidRPr="00C90AC9">
        <w:rPr>
          <w:rFonts w:eastAsiaTheme="minorHAnsi"/>
          <w:lang w:eastAsia="en-US"/>
        </w:rPr>
        <w:fldChar w:fldCharType="begin"/>
      </w:r>
      <w:r w:rsidR="00D428DD" w:rsidRPr="00C90AC9">
        <w:rPr>
          <w:rFonts w:eastAsiaTheme="minorHAnsi"/>
          <w:lang w:eastAsia="en-US"/>
        </w:rPr>
        <w:instrText xml:space="preserve"> ADDIN EN.CITE &lt;EndNote&gt;&lt;Cite&gt;&lt;Author&gt;Martin&lt;/Author&gt;&lt;Year&gt;2014&lt;/Year&gt;&lt;RecNum&gt;277&lt;/RecNum&gt;&lt;DisplayText&gt;(Martin et al., 2014)&lt;/DisplayText&gt;&lt;record&gt;&lt;rec-number&gt;277&lt;/rec-number&gt;&lt;foreign-keys&gt;&lt;key app="EN" db-id="50wxdpzd9vd5r7e9t5b595djrfpttrxw9avp" timestamp="1526376625"&gt;277&lt;/key&gt;&lt;/foreign-keys&gt;&lt;ref-type name="Journal Article"&gt;17&lt;/ref-type&gt;&lt;contributors&gt;&lt;authors&gt;&lt;author&gt;Martin, Chris J.&lt;/author&gt;&lt;author&gt;Taylor, Peter G.&lt;/author&gt;&lt;author&gt;Upham, Paul&lt;/author&gt;&lt;author&gt;Ghiasi, Golnoush&lt;/author&gt;&lt;author&gt;Bale, Catherine S. E.&lt;/author&gt;&lt;author&gt;James, Hannah&lt;/author&gt;&lt;author&gt;Owen, Alice&lt;/author&gt;&lt;author&gt;Gale, William F.&lt;/author&gt;&lt;author&gt;Slack, Rebecca J.&lt;/author&gt;&lt;author&gt;Helmer, Simon&lt;/author&gt;&lt;/authors&gt;&lt;/contributors&gt;&lt;titles&gt;&lt;title&gt;Energy in low carbon cities and social learning: A process for defining priority research questions with UK stakeholders&lt;/title&gt;&lt;secondary-title&gt;Sustainable Cities and Society&lt;/secondary-title&gt;&lt;/titles&gt;&lt;pages&gt;149-160&lt;/pages&gt;&lt;volume&gt;10&lt;/volume&gt;&lt;keywords&gt;&lt;keyword&gt;Low-carbon energy&lt;/keyword&gt;&lt;keyword&gt;Cities&lt;/keyword&gt;&lt;keyword&gt;Urban&lt;/keyword&gt;&lt;keyword&gt;Social learning&lt;/keyword&gt;&lt;keyword&gt;Energy demand&lt;/keyword&gt;&lt;keyword&gt;Energy supply&lt;/keyword&gt;&lt;keyword&gt;Framing research questions&lt;/keyword&gt;&lt;/keywords&gt;&lt;dates&gt;&lt;year&gt;2014&lt;/year&gt;&lt;pub-dates&gt;&lt;date&gt;2014/02/01/&lt;/date&gt;&lt;/pub-dates&gt;&lt;/dates&gt;&lt;isbn&gt;2210-6707&lt;/isbn&gt;&lt;urls&gt;&lt;related-urls&gt;&lt;url&gt;http://www.sciencedirect.com/science/article/pii/S2210670713000516&lt;/url&gt;&lt;/related-urls&gt;&lt;/urls&gt;&lt;electronic-resource-num&gt;https://doi.org/10.1016/j.scs.2013.08.001&lt;/electronic-resource-num&gt;&lt;/record&gt;&lt;/Cite&gt;&lt;/EndNote&gt;</w:instrText>
      </w:r>
      <w:r w:rsidR="00D428DD" w:rsidRPr="00C90AC9">
        <w:rPr>
          <w:rFonts w:eastAsiaTheme="minorHAnsi"/>
          <w:lang w:eastAsia="en-US"/>
        </w:rPr>
        <w:fldChar w:fldCharType="separate"/>
      </w:r>
      <w:r w:rsidR="00D428DD" w:rsidRPr="00C90AC9">
        <w:rPr>
          <w:rFonts w:eastAsiaTheme="minorHAnsi"/>
          <w:lang w:eastAsia="en-US"/>
        </w:rPr>
        <w:t>(Martin et al., 2014)</w:t>
      </w:r>
      <w:r w:rsidR="00D428DD" w:rsidRPr="00C90AC9">
        <w:rPr>
          <w:rFonts w:eastAsiaTheme="minorHAnsi"/>
          <w:lang w:eastAsia="en-US"/>
        </w:rPr>
        <w:fldChar w:fldCharType="end"/>
      </w:r>
      <w:r w:rsidRPr="00C90AC9">
        <w:rPr>
          <w:rFonts w:eastAsiaTheme="minorHAnsi"/>
          <w:lang w:eastAsia="en-US"/>
        </w:rPr>
        <w:t>.</w:t>
      </w:r>
      <w:r w:rsidR="00D428DD" w:rsidRPr="00C90AC9">
        <w:rPr>
          <w:rFonts w:eastAsiaTheme="minorHAnsi"/>
          <w:lang w:eastAsia="en-US"/>
        </w:rPr>
        <w:t xml:space="preserve"> </w:t>
      </w:r>
      <w:r w:rsidRPr="00C90AC9">
        <w:rPr>
          <w:rFonts w:eastAsiaTheme="minorHAnsi"/>
          <w:lang w:eastAsia="en-US"/>
        </w:rPr>
        <w:t xml:space="preserve">By identifying the key stakeholders in the STP market the degree to which </w:t>
      </w:r>
      <w:r w:rsidR="006518C0" w:rsidRPr="00C90AC9">
        <w:rPr>
          <w:rFonts w:eastAsiaTheme="minorHAnsi"/>
          <w:lang w:eastAsia="en-US"/>
        </w:rPr>
        <w:t>STPs</w:t>
      </w:r>
      <w:r w:rsidRPr="00C90AC9">
        <w:rPr>
          <w:rFonts w:eastAsiaTheme="minorHAnsi"/>
          <w:lang w:eastAsia="en-US"/>
        </w:rPr>
        <w:t xml:space="preserve"> are accepted or rejected can be assessed </w:t>
      </w:r>
      <w:r w:rsidR="00D428DD" w:rsidRPr="00C90AC9">
        <w:rPr>
          <w:rFonts w:eastAsiaTheme="minorHAnsi"/>
          <w:lang w:eastAsia="en-US"/>
        </w:rPr>
        <w:fldChar w:fldCharType="begin">
          <w:fldData xml:space="preserve">PEVuZE5vdGU+PENpdGU+PEF1dGhvcj5GaXNoYmVpbjwvQXV0aG9yPjxZZWFyPjE5NzU8L1llYXI+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</w:fldData>
        </w:fldChar>
      </w:r>
      <w:r w:rsidR="00B90BEE" w:rsidRPr="00C90AC9">
        <w:rPr>
          <w:rFonts w:eastAsiaTheme="minorHAnsi"/>
          <w:lang w:eastAsia="en-US"/>
        </w:rPr>
        <w:instrText xml:space="preserve"> ADDIN EN.CITE </w:instrText>
      </w:r>
      <w:r w:rsidR="00B90BEE" w:rsidRPr="00C90AC9">
        <w:rPr>
          <w:rFonts w:eastAsiaTheme="minorHAnsi"/>
          <w:lang w:eastAsia="en-US"/>
        </w:rPr>
        <w:fldChar w:fldCharType="begin">
          <w:fldData xml:space="preserve">PEVuZE5vdGU+PENpdGU+PEF1dGhvcj5GaXNoYmVpbjwvQXV0aG9yPjxZZWFyPjE5NzU8L1llYXI+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</w:fldData>
        </w:fldChar>
      </w:r>
      <w:r w:rsidR="00B90BEE" w:rsidRPr="00C90AC9">
        <w:rPr>
          <w:rFonts w:eastAsiaTheme="minorHAnsi"/>
          <w:lang w:eastAsia="en-US"/>
        </w:rPr>
        <w:instrText xml:space="preserve"> ADDIN EN.CITE.DATA </w:instrText>
      </w:r>
      <w:r w:rsidR="00B90BEE" w:rsidRPr="00C90AC9">
        <w:rPr>
          <w:rFonts w:eastAsiaTheme="minorHAnsi"/>
          <w:lang w:eastAsia="en-US"/>
        </w:rPr>
      </w:r>
      <w:r w:rsidR="00B90BEE" w:rsidRPr="00C90AC9">
        <w:rPr>
          <w:rFonts w:eastAsiaTheme="minorHAnsi"/>
          <w:lang w:eastAsia="en-US"/>
        </w:rPr>
        <w:fldChar w:fldCharType="end"/>
      </w:r>
      <w:r w:rsidR="00D428DD" w:rsidRPr="00C90AC9">
        <w:rPr>
          <w:rFonts w:eastAsiaTheme="minorHAnsi"/>
          <w:lang w:eastAsia="en-US"/>
        </w:rPr>
      </w:r>
      <w:r w:rsidR="00D428DD" w:rsidRPr="00C90AC9">
        <w:rPr>
          <w:rFonts w:eastAsiaTheme="minorHAnsi"/>
          <w:lang w:eastAsia="en-US"/>
        </w:rPr>
        <w:fldChar w:fldCharType="separate"/>
      </w:r>
      <w:r w:rsidR="00B90BEE" w:rsidRPr="00C90AC9">
        <w:rPr>
          <w:rFonts w:eastAsiaTheme="minorHAnsi"/>
          <w:lang w:eastAsia="en-US"/>
        </w:rPr>
        <w:t>(Fishbein, 1975; Weijermars et al., 2012)</w:t>
      </w:r>
      <w:r w:rsidR="00D428DD" w:rsidRPr="00C90AC9">
        <w:rPr>
          <w:rFonts w:eastAsiaTheme="minorHAnsi"/>
          <w:lang w:eastAsia="en-US"/>
        </w:rPr>
        <w:fldChar w:fldCharType="end"/>
      </w:r>
      <w:r w:rsidRPr="00C90AC9">
        <w:rPr>
          <w:rFonts w:eastAsiaTheme="minorHAnsi"/>
          <w:lang w:eastAsia="en-US"/>
        </w:rPr>
        <w:t>.</w:t>
      </w:r>
    </w:p>
    <w:p w:rsidR="00A16B8C" w:rsidRPr="00C90AC9" w:rsidRDefault="00A16B8C" w:rsidP="009902C3">
      <w:pPr>
        <w:pStyle w:val="BodyText"/>
        <w:spacing w:line="360" w:lineRule="auto"/>
        <w:rPr>
          <w:rFonts w:eastAsiaTheme="minorHAnsi"/>
          <w:lang w:eastAsia="en-US"/>
        </w:rPr>
      </w:pPr>
      <w:r w:rsidRPr="00C90AC9">
        <w:rPr>
          <w:rFonts w:eastAsiaTheme="minorHAnsi"/>
          <w:lang w:eastAsia="en-US"/>
        </w:rPr>
        <w:t xml:space="preserve">The seven categories of ‘principle actors’ as described by </w:t>
      </w:r>
      <w:proofErr w:type="spellStart"/>
      <w:r w:rsidRPr="00C90AC9">
        <w:rPr>
          <w:rFonts w:eastAsiaTheme="minorHAnsi"/>
          <w:lang w:eastAsia="en-US"/>
        </w:rPr>
        <w:t>Weijermars</w:t>
      </w:r>
      <w:proofErr w:type="spellEnd"/>
      <w:r w:rsidRPr="00C90AC9">
        <w:rPr>
          <w:rFonts w:eastAsiaTheme="minorHAnsi"/>
          <w:lang w:eastAsia="en-US"/>
        </w:rPr>
        <w:t xml:space="preserve"> et al are listed below </w:t>
      </w:r>
      <w:r w:rsidR="00775580" w:rsidRPr="00C90AC9">
        <w:rPr>
          <w:rFonts w:eastAsiaTheme="minorHAnsi"/>
          <w:lang w:eastAsia="en-US"/>
        </w:rPr>
        <w:fldChar w:fldCharType="begin"/>
      </w:r>
      <w:r w:rsidR="00D428DD" w:rsidRPr="00C90AC9">
        <w:rPr>
          <w:rFonts w:eastAsiaTheme="minorHAnsi"/>
          <w:lang w:eastAsia="en-US"/>
        </w:rPr>
        <w:instrText xml:space="preserve"> ADDIN EN.CITE &lt;EndNote&gt;&lt;Cite&gt;&lt;Author&gt;Weijermars&lt;/Author&gt;&lt;Year&gt;2012&lt;/Year&gt;&lt;RecNum&gt;276&lt;/RecNum&gt;&lt;DisplayText&gt;(Weijermars et al., 2012)&lt;/DisplayText&gt;&lt;record&gt;&lt;rec-number&gt;276&lt;/rec-number&gt;&lt;foreign-keys&gt;&lt;key app="EN" db-id="50wxdpzd9vd5r7e9t5b595djrfpttrxw9avp" timestamp="1526376218"&gt;276&lt;/key&gt;&lt;/foreign-keys&gt;&lt;ref-type name="Journal Article"&gt;17&lt;/ref-type&gt;&lt;contributors&gt;&lt;authors&gt;&lt;author&gt;Weijermars, Ruud&lt;/author&gt;&lt;author&gt;Taylor, Peter&lt;/author&gt;&lt;author&gt;Bahn, Olivier&lt;/author&gt;&lt;author&gt;Das, Subir Ranjan&lt;/author&gt;&lt;author&gt;Wei, Yi-Ming&lt;/author&gt;&lt;/authors&gt;&lt;/contributors&gt;&lt;titles&gt;&lt;title&gt;Review of models and actors in energy mix optimization – can leader visions and decisions align with optimum model strategies for our future energy systems?&lt;/title&gt;&lt;secondary-title&gt;Energy Strategy Reviews&lt;/secondary-title&gt;&lt;/titles&gt;&lt;pages&gt;5-18&lt;/pages&gt;&lt;volume&gt;1&lt;/volume&gt;&lt;number&gt;1&lt;/number&gt;&lt;keywords&gt;&lt;keyword&gt;Energy strategy&lt;/keyword&gt;&lt;keyword&gt;Energy vision&lt;/keyword&gt;&lt;keyword&gt;Energy scenarios&lt;/keyword&gt;&lt;keyword&gt;Energy mix&lt;/keyword&gt;&lt;keyword&gt;Future energy choices&lt;/keyword&gt;&lt;keyword&gt;Energy strategy decision-making&lt;/keyword&gt;&lt;keyword&gt;Corporate energy strategy&lt;/keyword&gt;&lt;keyword&gt;Energy strategy analysis&lt;/keyword&gt;&lt;keyword&gt;Energy strategy implementation&lt;/keyword&gt;&lt;/keywords&gt;&lt;dates&gt;&lt;year&gt;2012&lt;/year&gt;&lt;pub-dates&gt;&lt;date&gt;2012/03/01/&lt;/date&gt;&lt;/pub-dates&gt;&lt;/dates&gt;&lt;isbn&gt;2211-467X&lt;/isbn&gt;&lt;urls&gt;&lt;related-urls&gt;&lt;url&gt;http://www.sciencedirect.com/science/article/pii/S2211467X11000022&lt;/url&gt;&lt;/related-urls&gt;&lt;/urls&gt;&lt;electronic-resource-num&gt;https://doi.org/10.1016/j.esr.2011.10.001&lt;/electronic-resource-num&gt;&lt;/record&gt;&lt;/Cite&gt;&lt;/EndNote&gt;</w:instrText>
      </w:r>
      <w:r w:rsidR="00775580" w:rsidRPr="00C90AC9">
        <w:rPr>
          <w:rFonts w:eastAsiaTheme="minorHAnsi"/>
          <w:lang w:eastAsia="en-US"/>
        </w:rPr>
        <w:fldChar w:fldCharType="separate"/>
      </w:r>
      <w:r w:rsidR="00D428DD" w:rsidRPr="00C90AC9">
        <w:rPr>
          <w:rFonts w:eastAsiaTheme="minorHAnsi"/>
          <w:lang w:eastAsia="en-US"/>
        </w:rPr>
        <w:t>(Weijermars et al., 2012)</w:t>
      </w:r>
      <w:r w:rsidR="00775580" w:rsidRPr="00C90AC9">
        <w:rPr>
          <w:rFonts w:eastAsiaTheme="minorHAnsi"/>
          <w:lang w:eastAsia="en-US"/>
        </w:rPr>
        <w:fldChar w:fldCharType="end"/>
      </w:r>
      <w:r w:rsidRPr="00C90AC9">
        <w:rPr>
          <w:rFonts w:eastAsiaTheme="minorHAnsi"/>
          <w:lang w:eastAsia="en-US"/>
        </w:rPr>
        <w:t xml:space="preserve">. They reference an IAC Report and highlight seven categories of key stakeholders which have an impact on the formulation of energy policy and difficult decisions </w:t>
      </w:r>
      <w:r w:rsidRPr="00C90AC9">
        <w:rPr>
          <w:rFonts w:eastAsiaTheme="minorHAnsi"/>
          <w:lang w:eastAsia="en-US"/>
        </w:rPr>
        <w:lastRenderedPageBreak/>
        <w:t xml:space="preserve">that impact on achieving energy technologies (such as </w:t>
      </w:r>
      <w:r w:rsidR="006518C0" w:rsidRPr="00C90AC9">
        <w:rPr>
          <w:rFonts w:eastAsiaTheme="minorHAnsi"/>
          <w:lang w:eastAsia="en-US"/>
        </w:rPr>
        <w:t>STPs</w:t>
      </w:r>
      <w:r w:rsidRPr="00C90AC9">
        <w:rPr>
          <w:rFonts w:eastAsiaTheme="minorHAnsi"/>
          <w:lang w:eastAsia="en-US"/>
        </w:rPr>
        <w:t xml:space="preserve">) success or failure  </w:t>
      </w:r>
      <w:r w:rsidR="00D428DD" w:rsidRPr="00C90AC9">
        <w:rPr>
          <w:rFonts w:eastAsiaTheme="minorHAnsi"/>
          <w:lang w:eastAsia="en-US"/>
        </w:rPr>
        <w:fldChar w:fldCharType="begin"/>
      </w:r>
      <w:r w:rsidR="00D428DD" w:rsidRPr="00C90AC9">
        <w:rPr>
          <w:rFonts w:eastAsiaTheme="minorHAnsi"/>
          <w:lang w:eastAsia="en-US"/>
        </w:rPr>
        <w:instrText xml:space="preserve"> ADDIN EN.CITE &lt;EndNote&gt;&lt;Cite&gt;&lt;Author&gt;Weijermars&lt;/Author&gt;&lt;Year&gt;2012&lt;/Year&gt;&lt;RecNum&gt;276&lt;/RecNum&gt;&lt;DisplayText&gt;(Weijermars et al., 2012)&lt;/DisplayText&gt;&lt;record&gt;&lt;rec-number&gt;276&lt;/rec-number&gt;&lt;foreign-keys&gt;&lt;key app="EN" db-id="50wxdpzd9vd5r7e9t5b595djrfpttrxw9avp" timestamp="1526376218"&gt;276&lt;/key&gt;&lt;/foreign-keys&gt;&lt;ref-type name="Journal Article"&gt;17&lt;/ref-type&gt;&lt;contributors&gt;&lt;authors&gt;&lt;author&gt;Weijermars, Ruud&lt;/author&gt;&lt;author&gt;Taylor, Peter&lt;/author&gt;&lt;author&gt;Bahn, Olivier&lt;/author&gt;&lt;author&gt;Das, Subir Ranjan&lt;/author&gt;&lt;author&gt;Wei, Yi-Ming&lt;/author&gt;&lt;/authors&gt;&lt;/contributors&gt;&lt;titles&gt;&lt;title&gt;Review of models and actors in energy mix optimization – can leader visions and decisions align with optimum model strategies for our future energy systems?&lt;/title&gt;&lt;secondary-title&gt;Energy Strategy Reviews&lt;/secondary-title&gt;&lt;/titles&gt;&lt;pages&gt;5-18&lt;/pages&gt;&lt;volume&gt;1&lt;/volume&gt;&lt;number&gt;1&lt;/number&gt;&lt;keywords&gt;&lt;keyword&gt;Energy strategy&lt;/keyword&gt;&lt;keyword&gt;Energy vision&lt;/keyword&gt;&lt;keyword&gt;Energy scenarios&lt;/keyword&gt;&lt;keyword&gt;Energy mix&lt;/keyword&gt;&lt;keyword&gt;Future energy choices&lt;/keyword&gt;&lt;keyword&gt;Energy strategy decision-making&lt;/keyword&gt;&lt;keyword&gt;Corporate energy strategy&lt;/keyword&gt;&lt;keyword&gt;Energy strategy analysis&lt;/keyword&gt;&lt;keyword&gt;Energy strategy implementation&lt;/keyword&gt;&lt;/keywords&gt;&lt;dates&gt;&lt;year&gt;2012&lt;/year&gt;&lt;pub-dates&gt;&lt;date&gt;2012/03/01/&lt;/date&gt;&lt;/pub-dates&gt;&lt;/dates&gt;&lt;isbn&gt;2211-467X&lt;/isbn&gt;&lt;urls&gt;&lt;related-urls&gt;&lt;url&gt;http://www.sciencedirect.com/science/article/pii/S2211467X11000022&lt;/url&gt;&lt;/related-urls&gt;&lt;/urls&gt;&lt;electronic-resource-num&gt;https://doi.org/10.1016/j.esr.2011.10.001&lt;/electronic-resource-num&gt;&lt;/record&gt;&lt;/Cite&gt;&lt;/EndNote&gt;</w:instrText>
      </w:r>
      <w:r w:rsidR="00D428DD" w:rsidRPr="00C90AC9">
        <w:rPr>
          <w:rFonts w:eastAsiaTheme="minorHAnsi"/>
          <w:lang w:eastAsia="en-US"/>
        </w:rPr>
        <w:fldChar w:fldCharType="separate"/>
      </w:r>
      <w:r w:rsidR="00D428DD" w:rsidRPr="00C90AC9">
        <w:rPr>
          <w:rFonts w:eastAsiaTheme="minorHAnsi"/>
          <w:lang w:eastAsia="en-US"/>
        </w:rPr>
        <w:t>(Weijermars et al., 2012)</w:t>
      </w:r>
      <w:r w:rsidR="00D428DD" w:rsidRPr="00C90AC9">
        <w:rPr>
          <w:rFonts w:eastAsiaTheme="minorHAnsi"/>
          <w:lang w:eastAsia="en-US"/>
        </w:rPr>
        <w:fldChar w:fldCharType="end"/>
      </w:r>
      <w:r w:rsidRPr="00C90AC9">
        <w:rPr>
          <w:rFonts w:eastAsiaTheme="minorHAnsi"/>
          <w:lang w:eastAsia="en-US"/>
        </w:rPr>
        <w:t>. The seven categories that the IAC report highlights are:</w:t>
      </w:r>
    </w:p>
    <w:p w:rsidR="00A16B8C" w:rsidRPr="00C90AC9" w:rsidRDefault="00A16B8C" w:rsidP="00CA6E35">
      <w:pPr>
        <w:pStyle w:val="ListBullet2"/>
        <w:numPr>
          <w:ilvl w:val="0"/>
          <w:numId w:val="16"/>
        </w:numPr>
        <w:spacing w:line="360" w:lineRule="auto"/>
        <w:rPr>
          <w:rFonts w:eastAsiaTheme="minorHAnsi"/>
          <w:lang w:eastAsia="en-US"/>
        </w:rPr>
      </w:pPr>
      <w:r w:rsidRPr="00C90AC9">
        <w:rPr>
          <w:rFonts w:eastAsiaTheme="minorHAnsi"/>
          <w:lang w:eastAsia="en-US"/>
        </w:rPr>
        <w:t>Multinational organizations: IEA, UN World Bank, regional development banks etc.;</w:t>
      </w:r>
    </w:p>
    <w:p w:rsidR="00A16B8C" w:rsidRPr="00C90AC9" w:rsidRDefault="00A16B8C" w:rsidP="00CA6E35">
      <w:pPr>
        <w:pStyle w:val="ListBullet2"/>
        <w:numPr>
          <w:ilvl w:val="0"/>
          <w:numId w:val="16"/>
        </w:numPr>
        <w:spacing w:line="360" w:lineRule="auto"/>
        <w:rPr>
          <w:rFonts w:eastAsiaTheme="minorHAnsi"/>
          <w:lang w:eastAsia="en-US"/>
        </w:rPr>
      </w:pPr>
      <w:r w:rsidRPr="00C90AC9">
        <w:rPr>
          <w:rFonts w:eastAsiaTheme="minorHAnsi"/>
          <w:lang w:eastAsia="en-US"/>
        </w:rPr>
        <w:t>Governments, national, regional local energy policy makers;</w:t>
      </w:r>
    </w:p>
    <w:p w:rsidR="00A16B8C" w:rsidRPr="00C90AC9" w:rsidRDefault="00A16B8C" w:rsidP="00CA6E35">
      <w:pPr>
        <w:pStyle w:val="ListBullet2"/>
        <w:numPr>
          <w:ilvl w:val="0"/>
          <w:numId w:val="16"/>
        </w:numPr>
        <w:spacing w:line="360" w:lineRule="auto"/>
        <w:rPr>
          <w:rFonts w:eastAsiaTheme="minorHAnsi"/>
          <w:lang w:eastAsia="en-US"/>
        </w:rPr>
      </w:pPr>
      <w:r w:rsidRPr="00C90AC9">
        <w:rPr>
          <w:rFonts w:eastAsiaTheme="minorHAnsi"/>
          <w:lang w:eastAsia="en-US"/>
        </w:rPr>
        <w:t>Science and technology community: academia and associations;</w:t>
      </w:r>
    </w:p>
    <w:p w:rsidR="00A16B8C" w:rsidRPr="00C90AC9" w:rsidRDefault="00A16B8C" w:rsidP="00CA6E35">
      <w:pPr>
        <w:pStyle w:val="ListBullet2"/>
        <w:numPr>
          <w:ilvl w:val="0"/>
          <w:numId w:val="16"/>
        </w:numPr>
        <w:spacing w:line="360" w:lineRule="auto"/>
        <w:rPr>
          <w:rFonts w:eastAsiaTheme="minorHAnsi"/>
          <w:lang w:eastAsia="en-US"/>
        </w:rPr>
      </w:pPr>
      <w:r w:rsidRPr="00C90AC9">
        <w:rPr>
          <w:rFonts w:eastAsiaTheme="minorHAnsi"/>
          <w:lang w:eastAsia="en-US"/>
        </w:rPr>
        <w:t>Private sector: industry, consultancies and foundations;</w:t>
      </w:r>
    </w:p>
    <w:p w:rsidR="00A16B8C" w:rsidRPr="00C90AC9" w:rsidRDefault="00A16B8C" w:rsidP="00CA6E35">
      <w:pPr>
        <w:pStyle w:val="ListBullet2"/>
        <w:numPr>
          <w:ilvl w:val="0"/>
          <w:numId w:val="16"/>
        </w:numPr>
        <w:spacing w:line="360" w:lineRule="auto"/>
        <w:rPr>
          <w:rFonts w:eastAsiaTheme="minorHAnsi"/>
          <w:lang w:eastAsia="en-US"/>
        </w:rPr>
      </w:pPr>
      <w:r w:rsidRPr="00C90AC9">
        <w:rPr>
          <w:rFonts w:eastAsiaTheme="minorHAnsi"/>
          <w:lang w:eastAsia="en-US"/>
        </w:rPr>
        <w:t xml:space="preserve">Non-governmental organizations: World Energy Council, </w:t>
      </w:r>
      <w:proofErr w:type="spellStart"/>
      <w:r w:rsidRPr="00C90AC9">
        <w:rPr>
          <w:rFonts w:eastAsiaTheme="minorHAnsi"/>
          <w:lang w:eastAsia="en-US"/>
        </w:rPr>
        <w:t>Earthrearch</w:t>
      </w:r>
      <w:proofErr w:type="spellEnd"/>
      <w:r w:rsidRPr="00C90AC9">
        <w:rPr>
          <w:rFonts w:eastAsiaTheme="minorHAnsi"/>
          <w:lang w:eastAsia="en-US"/>
        </w:rPr>
        <w:t xml:space="preserve"> etc.;</w:t>
      </w:r>
    </w:p>
    <w:p w:rsidR="00A16B8C" w:rsidRPr="00C90AC9" w:rsidRDefault="00A16B8C" w:rsidP="00CA6E35">
      <w:pPr>
        <w:pStyle w:val="ListBullet2"/>
        <w:numPr>
          <w:ilvl w:val="0"/>
          <w:numId w:val="16"/>
        </w:numPr>
        <w:spacing w:line="360" w:lineRule="auto"/>
        <w:rPr>
          <w:rFonts w:eastAsiaTheme="minorHAnsi"/>
          <w:lang w:eastAsia="en-US"/>
        </w:rPr>
      </w:pPr>
      <w:r w:rsidRPr="00C90AC9">
        <w:rPr>
          <w:rFonts w:eastAsiaTheme="minorHAnsi"/>
          <w:lang w:eastAsia="en-US"/>
        </w:rPr>
        <w:t>Media: Scholarly journals and Popular media, web radio TV;</w:t>
      </w:r>
    </w:p>
    <w:p w:rsidR="00775580" w:rsidRPr="00C90AC9" w:rsidRDefault="00A16B8C" w:rsidP="00CA6E35">
      <w:pPr>
        <w:pStyle w:val="ListBullet2"/>
        <w:numPr>
          <w:ilvl w:val="0"/>
          <w:numId w:val="16"/>
        </w:numPr>
        <w:spacing w:line="360" w:lineRule="auto"/>
        <w:rPr>
          <w:rFonts w:eastAsiaTheme="minorHAnsi"/>
          <w:lang w:eastAsia="en-US"/>
        </w:rPr>
      </w:pPr>
      <w:r w:rsidRPr="00C90AC9">
        <w:rPr>
          <w:rFonts w:eastAsiaTheme="minorHAnsi"/>
          <w:lang w:eastAsia="en-US"/>
        </w:rPr>
        <w:t xml:space="preserve">General public, social networks </w:t>
      </w:r>
      <w:r w:rsidR="004524CB" w:rsidRPr="00C90AC9">
        <w:rPr>
          <w:rFonts w:eastAsiaTheme="minorHAnsi"/>
          <w:lang w:eastAsia="en-US"/>
        </w:rPr>
        <w:t>etc.</w:t>
      </w:r>
      <w:r w:rsidRPr="00C90AC9">
        <w:rPr>
          <w:rFonts w:eastAsiaTheme="minorHAnsi"/>
          <w:lang w:eastAsia="en-US"/>
        </w:rPr>
        <w:t xml:space="preserve">  </w:t>
      </w:r>
      <w:r w:rsidR="00091094" w:rsidRPr="00C90AC9">
        <w:rPr>
          <w:rFonts w:eastAsiaTheme="minorHAnsi"/>
          <w:lang w:eastAsia="en-US"/>
        </w:rPr>
        <w:tab/>
      </w:r>
      <w:r w:rsidR="007A3242" w:rsidRPr="00C90AC9">
        <w:rPr>
          <w:rFonts w:eastAsiaTheme="minorHAnsi"/>
          <w:lang w:eastAsia="en-US"/>
        </w:rPr>
        <w:tab/>
      </w:r>
      <w:r w:rsidR="007A3242" w:rsidRPr="00C90AC9">
        <w:rPr>
          <w:rFonts w:eastAsiaTheme="minorHAnsi"/>
          <w:lang w:eastAsia="en-US"/>
        </w:rPr>
        <w:tab/>
      </w:r>
      <w:r w:rsidR="002D18AD" w:rsidRPr="00C90AC9">
        <w:rPr>
          <w:rFonts w:eastAsiaTheme="minorHAnsi"/>
          <w:lang w:eastAsia="en-US"/>
        </w:rPr>
        <w:fldChar w:fldCharType="begin"/>
      </w:r>
      <w:r w:rsidR="002D18AD" w:rsidRPr="00C90AC9">
        <w:rPr>
          <w:rFonts w:eastAsiaTheme="minorHAnsi"/>
          <w:lang w:eastAsia="en-US"/>
        </w:rPr>
        <w:instrText xml:space="preserve"> ADDIN EN.CITE &lt;EndNote&gt;&lt;Cite&gt;&lt;Author&gt;Weijermars&lt;/Author&gt;&lt;Year&gt;2012&lt;/Year&gt;&lt;RecNum&gt;276&lt;/RecNum&gt;&lt;DisplayText&gt;(Weijermars et al., 2012)&lt;/DisplayText&gt;&lt;record&gt;&lt;rec-number&gt;276&lt;/rec-number&gt;&lt;foreign-keys&gt;&lt;key app="EN" db-id="50wxdpzd9vd5r7e9t5b595djrfpttrxw9avp" timestamp="1526376218"&gt;276&lt;/key&gt;&lt;/foreign-keys&gt;&lt;ref-type name="Journal Article"&gt;17&lt;/ref-type&gt;&lt;contributors&gt;&lt;authors&gt;&lt;author&gt;Weijermars, Ruud&lt;/author&gt;&lt;author&gt;Taylor, Peter&lt;/author&gt;&lt;author&gt;Bahn, Olivier&lt;/author&gt;&lt;author&gt;Das, Subir Ranjan&lt;/author&gt;&lt;author&gt;Wei, Yi-Ming&lt;/author&gt;&lt;/authors&gt;&lt;/contributors&gt;&lt;titles&gt;&lt;title&gt;Review of models and actors in energy mix optimization – can leader visions and decisions align with optimum model strategies for our future energy systems?&lt;/title&gt;&lt;secondary-title&gt;Energy Strategy Reviews&lt;/secondary-title&gt;&lt;/titles&gt;&lt;pages&gt;5-18&lt;/pages&gt;&lt;volume&gt;1&lt;/volume&gt;&lt;number&gt;1&lt;/number&gt;&lt;keywords&gt;&lt;keyword&gt;Energy strategy&lt;/keyword&gt;&lt;keyword&gt;Energy vision&lt;/keyword&gt;&lt;keyword&gt;Energy scenarios&lt;/keyword&gt;&lt;keyword&gt;Energy mix&lt;/keyword&gt;&lt;keyword&gt;Future energy choices&lt;/keyword&gt;&lt;keyword&gt;Energy strategy decision-making&lt;/keyword&gt;&lt;keyword&gt;Corporate energy strategy&lt;/keyword&gt;&lt;keyword&gt;Energy strategy analysis&lt;/keyword&gt;&lt;keyword&gt;Energy strategy implementation&lt;/keyword&gt;&lt;/keywords&gt;&lt;dates&gt;&lt;year&gt;2012&lt;/year&gt;&lt;pub-dates&gt;&lt;date&gt;2012/03/01/&lt;/date&gt;&lt;/pub-dates&gt;&lt;/dates&gt;&lt;isbn&gt;2211-467X&lt;/isbn&gt;&lt;urls&gt;&lt;related-urls&gt;&lt;url&gt;http://www.sciencedirect.com/science/article/pii/S2211467X11000022&lt;/url&gt;&lt;/related-urls&gt;&lt;/urls&gt;&lt;electronic-resource-num&gt;https://doi.org/10.1016/j.esr.2011.10.001&lt;/electronic-resource-num&gt;&lt;/record&gt;&lt;/Cite&gt;&lt;/EndNote&gt;</w:instrText>
      </w:r>
      <w:r w:rsidR="002D18AD" w:rsidRPr="00C90AC9">
        <w:rPr>
          <w:rFonts w:eastAsiaTheme="minorHAnsi"/>
          <w:lang w:eastAsia="en-US"/>
        </w:rPr>
        <w:fldChar w:fldCharType="separate"/>
      </w:r>
      <w:r w:rsidR="002D18AD" w:rsidRPr="00C90AC9">
        <w:rPr>
          <w:rFonts w:eastAsiaTheme="minorHAnsi"/>
          <w:lang w:eastAsia="en-US"/>
        </w:rPr>
        <w:t>(Weijermars et al., 2012)</w:t>
      </w:r>
      <w:r w:rsidR="002D18AD" w:rsidRPr="00C90AC9">
        <w:rPr>
          <w:rFonts w:eastAsiaTheme="minorHAnsi"/>
          <w:lang w:eastAsia="en-US"/>
        </w:rPr>
        <w:fldChar w:fldCharType="end"/>
      </w:r>
    </w:p>
    <w:p w:rsidR="00A16B8C" w:rsidRPr="00C90AC9" w:rsidRDefault="00A16B8C" w:rsidP="00F171E4">
      <w:pPr>
        <w:pStyle w:val="ListContinue"/>
        <w:spacing w:line="360" w:lineRule="auto"/>
        <w:ind w:left="0"/>
        <w:rPr>
          <w:rFonts w:eastAsiaTheme="minorHAnsi"/>
          <w:lang w:eastAsia="en-US"/>
        </w:rPr>
      </w:pPr>
      <w:r w:rsidRPr="00C90AC9">
        <w:rPr>
          <w:rFonts w:eastAsiaTheme="minorHAnsi"/>
          <w:lang w:eastAsia="en-US"/>
        </w:rPr>
        <w:t xml:space="preserve">The domestic STP system proposed means that there are a number of categories listed by the IAC that are not applicable to this study. Governments (local and national), the science community, the private sector and the general public have direct applicability for this research. To ensure expedient conclusions from this study that can </w:t>
      </w:r>
      <w:r w:rsidR="003967B7" w:rsidRPr="00C90AC9">
        <w:rPr>
          <w:rFonts w:eastAsiaTheme="minorHAnsi"/>
          <w:lang w:eastAsia="en-US"/>
        </w:rPr>
        <w:t xml:space="preserve">be </w:t>
      </w:r>
      <w:r w:rsidRPr="00C90AC9">
        <w:rPr>
          <w:rFonts w:eastAsiaTheme="minorHAnsi"/>
          <w:lang w:eastAsia="en-US"/>
        </w:rPr>
        <w:t xml:space="preserve">used by the STP market as a whole, the key stakeholders within the STP market were determined first before sampling could start. </w:t>
      </w:r>
    </w:p>
    <w:p w:rsidR="00A16B8C" w:rsidRPr="00C90AC9" w:rsidRDefault="00A16B8C" w:rsidP="003967B7">
      <w:pPr>
        <w:pStyle w:val="BodyText"/>
        <w:spacing w:line="360" w:lineRule="auto"/>
        <w:rPr>
          <w:rFonts w:eastAsiaTheme="minorHAnsi"/>
          <w:lang w:eastAsia="en-US"/>
        </w:rPr>
      </w:pPr>
      <w:r w:rsidRPr="00C90AC9">
        <w:rPr>
          <w:rFonts w:eastAsiaTheme="minorHAnsi"/>
          <w:lang w:eastAsia="en-US"/>
        </w:rPr>
        <w:t>By first considering the key stakeholders to speak to</w:t>
      </w:r>
      <w:r w:rsidR="00B90C04" w:rsidRPr="00C90AC9">
        <w:rPr>
          <w:rFonts w:eastAsiaTheme="minorHAnsi"/>
          <w:lang w:eastAsia="en-US"/>
        </w:rPr>
        <w:t>,</w:t>
      </w:r>
      <w:r w:rsidRPr="00C90AC9">
        <w:rPr>
          <w:rFonts w:eastAsiaTheme="minorHAnsi"/>
          <w:lang w:eastAsia="en-US"/>
        </w:rPr>
        <w:t xml:space="preserve"> the most beneficial method of data gathering can be established. The production of heated water using a STP necessitates the need for the physical hardware to be installed on a domestic property and so for this reason manufacturers of </w:t>
      </w:r>
      <w:r w:rsidR="006518C0" w:rsidRPr="00C90AC9">
        <w:rPr>
          <w:rFonts w:eastAsiaTheme="minorHAnsi"/>
          <w:lang w:eastAsia="en-US"/>
        </w:rPr>
        <w:t>STPs</w:t>
      </w:r>
      <w:r w:rsidRPr="00C90AC9">
        <w:rPr>
          <w:rFonts w:eastAsiaTheme="minorHAnsi"/>
          <w:lang w:eastAsia="en-US"/>
        </w:rPr>
        <w:t xml:space="preserve"> are considered to be a key stakeholder in this work. The specialist knowledge which </w:t>
      </w:r>
      <w:r w:rsidR="00BF3B73" w:rsidRPr="00C90AC9">
        <w:rPr>
          <w:rFonts w:eastAsiaTheme="minorHAnsi"/>
          <w:lang w:eastAsia="en-US"/>
        </w:rPr>
        <w:t>manufacturer</w:t>
      </w:r>
      <w:r w:rsidRPr="00C90AC9">
        <w:rPr>
          <w:rFonts w:eastAsiaTheme="minorHAnsi"/>
          <w:lang w:eastAsia="en-US"/>
        </w:rPr>
        <w:t xml:space="preserve">s have about this technology is in-depth knowledge about the operation and capability of </w:t>
      </w:r>
      <w:r w:rsidR="006518C0" w:rsidRPr="00C90AC9">
        <w:rPr>
          <w:rFonts w:eastAsiaTheme="minorHAnsi"/>
          <w:lang w:eastAsia="en-US"/>
        </w:rPr>
        <w:t>STPs</w:t>
      </w:r>
      <w:r w:rsidRPr="00C90AC9">
        <w:rPr>
          <w:rFonts w:eastAsiaTheme="minorHAnsi"/>
          <w:lang w:eastAsia="en-US"/>
        </w:rPr>
        <w:t xml:space="preserve"> to provide heated water for domestic needs. This group of </w:t>
      </w:r>
      <w:r w:rsidR="00E82522" w:rsidRPr="00C90AC9">
        <w:rPr>
          <w:rFonts w:eastAsiaTheme="minorHAnsi"/>
          <w:lang w:eastAsia="en-US"/>
        </w:rPr>
        <w:t>main</w:t>
      </w:r>
      <w:r w:rsidRPr="00C90AC9">
        <w:rPr>
          <w:rFonts w:eastAsiaTheme="minorHAnsi"/>
          <w:lang w:eastAsia="en-US"/>
        </w:rPr>
        <w:t xml:space="preserve"> actors will also have a greater understanding about any potential drawbacks to having this technology installed on a domestic property and the potential limitations of </w:t>
      </w:r>
      <w:r w:rsidR="006518C0" w:rsidRPr="00C90AC9">
        <w:rPr>
          <w:rFonts w:eastAsiaTheme="minorHAnsi"/>
          <w:lang w:eastAsia="en-US"/>
        </w:rPr>
        <w:t>STPs</w:t>
      </w:r>
      <w:r w:rsidRPr="00C90AC9">
        <w:rPr>
          <w:rFonts w:eastAsiaTheme="minorHAnsi"/>
          <w:lang w:eastAsia="en-US"/>
        </w:rPr>
        <w:t xml:space="preserve"> to satisfy the demand of residents. These limitations may include specific technological considerations but may also encompass surrounding issues such as financial costs or pay-back periods. </w:t>
      </w:r>
      <w:r w:rsidR="00BF3B73" w:rsidRPr="00C90AC9">
        <w:rPr>
          <w:rFonts w:eastAsiaTheme="minorHAnsi"/>
          <w:lang w:eastAsia="en-US"/>
        </w:rPr>
        <w:t>manufacturer</w:t>
      </w:r>
      <w:r w:rsidRPr="00C90AC9">
        <w:rPr>
          <w:rFonts w:eastAsiaTheme="minorHAnsi"/>
          <w:lang w:eastAsia="en-US"/>
        </w:rPr>
        <w:t>s are a likely source of information to ascertain potential ways in which the technology does not perform as expected (potentially of greater significance for a country such as the UK which does not have copious amounts of solar irradiation throughout the year) and the reaction, if any, by consumers to this performance deficit.</w:t>
      </w:r>
    </w:p>
    <w:p w:rsidR="00A16B8C" w:rsidRPr="00C90AC9" w:rsidRDefault="003967B7" w:rsidP="00325112">
      <w:pPr>
        <w:pStyle w:val="BodyText"/>
        <w:spacing w:line="360" w:lineRule="auto"/>
        <w:rPr>
          <w:rFonts w:eastAsiaTheme="minorHAnsi"/>
          <w:lang w:eastAsia="en-US"/>
        </w:rPr>
      </w:pPr>
      <w:r w:rsidRPr="00C90AC9">
        <w:rPr>
          <w:rFonts w:eastAsiaTheme="minorHAnsi"/>
          <w:lang w:eastAsia="en-US"/>
        </w:rPr>
        <w:t>As well as</w:t>
      </w:r>
      <w:r w:rsidR="00A16B8C" w:rsidRPr="00C90AC9">
        <w:rPr>
          <w:rFonts w:eastAsiaTheme="minorHAnsi"/>
          <w:lang w:eastAsia="en-US"/>
        </w:rPr>
        <w:t xml:space="preserve"> manufacturers being considered as a key stakeholder group in the STP market academics are also considered as a key stakeholder as they have specialist knowledge about the operation and functionality of the technology. The applicability and potential benefits of the technology are </w:t>
      </w:r>
      <w:r w:rsidRPr="00C90AC9">
        <w:rPr>
          <w:rFonts w:eastAsiaTheme="minorHAnsi"/>
          <w:lang w:eastAsia="en-US"/>
        </w:rPr>
        <w:t>well understood by academics</w:t>
      </w:r>
      <w:r w:rsidR="00A16B8C" w:rsidRPr="00C90AC9">
        <w:rPr>
          <w:rFonts w:eastAsiaTheme="minorHAnsi"/>
          <w:lang w:eastAsia="en-US"/>
        </w:rPr>
        <w:t xml:space="preserve"> particularly if their research utilises this domestic renewable technology. For this reason</w:t>
      </w:r>
      <w:r w:rsidR="006C5214" w:rsidRPr="00C90AC9">
        <w:rPr>
          <w:rFonts w:eastAsiaTheme="minorHAnsi"/>
          <w:lang w:eastAsia="en-US"/>
        </w:rPr>
        <w:t>,</w:t>
      </w:r>
      <w:r w:rsidR="00A16B8C" w:rsidRPr="00C90AC9">
        <w:rPr>
          <w:rFonts w:eastAsiaTheme="minorHAnsi"/>
          <w:lang w:eastAsia="en-US"/>
        </w:rPr>
        <w:t xml:space="preserve"> academics with experience of </w:t>
      </w:r>
      <w:r w:rsidR="006518C0" w:rsidRPr="00C90AC9">
        <w:rPr>
          <w:rFonts w:eastAsiaTheme="minorHAnsi"/>
          <w:lang w:eastAsia="en-US"/>
        </w:rPr>
        <w:t>STPs</w:t>
      </w:r>
      <w:r w:rsidR="00A16B8C" w:rsidRPr="00C90AC9">
        <w:rPr>
          <w:rFonts w:eastAsiaTheme="minorHAnsi"/>
          <w:lang w:eastAsia="en-US"/>
        </w:rPr>
        <w:t xml:space="preserve"> for </w:t>
      </w:r>
      <w:r w:rsidR="00A16B8C" w:rsidRPr="00C90AC9">
        <w:rPr>
          <w:rFonts w:eastAsiaTheme="minorHAnsi"/>
          <w:lang w:eastAsia="en-US"/>
        </w:rPr>
        <w:lastRenderedPageBreak/>
        <w:t>domestic generation of renewable hot water are considered a key stakeholder to speak with</w:t>
      </w:r>
      <w:r w:rsidRPr="00C90AC9">
        <w:rPr>
          <w:rFonts w:eastAsiaTheme="minorHAnsi"/>
          <w:lang w:eastAsia="en-US"/>
        </w:rPr>
        <w:t xml:space="preserve"> and understand their opinions of STPs technology in the UK</w:t>
      </w:r>
      <w:r w:rsidR="00A16B8C" w:rsidRPr="00C90AC9">
        <w:rPr>
          <w:rFonts w:eastAsiaTheme="minorHAnsi"/>
          <w:lang w:eastAsia="en-US"/>
        </w:rPr>
        <w:t>.</w:t>
      </w:r>
    </w:p>
    <w:p w:rsidR="00A16B8C" w:rsidRPr="00C90AC9" w:rsidRDefault="00A16B8C" w:rsidP="009715C7">
      <w:pPr>
        <w:pStyle w:val="BodyText"/>
        <w:spacing w:line="360" w:lineRule="auto"/>
        <w:rPr>
          <w:rFonts w:eastAsiaTheme="minorHAnsi"/>
          <w:lang w:eastAsia="en-US"/>
        </w:rPr>
      </w:pPr>
      <w:r w:rsidRPr="00C90AC9">
        <w:rPr>
          <w:rFonts w:eastAsiaTheme="minorHAnsi"/>
          <w:lang w:eastAsia="en-US"/>
        </w:rPr>
        <w:t xml:space="preserve">Other key stakeholders in the UK STP market as selected for this </w:t>
      </w:r>
      <w:r w:rsidR="003F4BEE" w:rsidRPr="00C90AC9">
        <w:rPr>
          <w:rFonts w:eastAsiaTheme="minorHAnsi"/>
          <w:lang w:eastAsia="en-US"/>
        </w:rPr>
        <w:t>dissertation</w:t>
      </w:r>
      <w:r w:rsidRPr="00C90AC9">
        <w:rPr>
          <w:rFonts w:eastAsiaTheme="minorHAnsi"/>
          <w:lang w:eastAsia="en-US"/>
        </w:rPr>
        <w:t xml:space="preserve"> are </w:t>
      </w:r>
      <w:r w:rsidR="003967B7" w:rsidRPr="00C90AC9">
        <w:rPr>
          <w:rFonts w:eastAsiaTheme="minorHAnsi"/>
          <w:lang w:eastAsia="en-US"/>
        </w:rPr>
        <w:t>p</w:t>
      </w:r>
      <w:r w:rsidRPr="00C90AC9">
        <w:rPr>
          <w:rFonts w:eastAsiaTheme="minorHAnsi"/>
          <w:lang w:eastAsia="en-US"/>
        </w:rPr>
        <w:t xml:space="preserve">oliticians as they decide policies that could affect the UK STP market. Even though the operation and capability of this technology might be well understood by this group of key stakeholders if the political conditions are not agreeable then widespread adoption will not be possible for this novel technology. Politicians are considered a key stakeholder as the decisions made by politicians can influence the STP market and the ability of this technology to be widely adopted. </w:t>
      </w:r>
      <w:proofErr w:type="gramStart"/>
      <w:r w:rsidRPr="00C90AC9">
        <w:rPr>
          <w:rFonts w:eastAsiaTheme="minorHAnsi"/>
          <w:lang w:eastAsia="en-US"/>
        </w:rPr>
        <w:t>Thus</w:t>
      </w:r>
      <w:proofErr w:type="gramEnd"/>
      <w:r w:rsidRPr="00C90AC9">
        <w:rPr>
          <w:rFonts w:eastAsiaTheme="minorHAnsi"/>
          <w:lang w:eastAsia="en-US"/>
        </w:rPr>
        <w:t xml:space="preserve"> the opinions that </w:t>
      </w:r>
      <w:r w:rsidR="00FF15E5" w:rsidRPr="00C90AC9">
        <w:rPr>
          <w:rFonts w:eastAsiaTheme="minorHAnsi"/>
          <w:lang w:eastAsia="en-US"/>
        </w:rPr>
        <w:t>politician</w:t>
      </w:r>
      <w:r w:rsidRPr="00C90AC9">
        <w:rPr>
          <w:rFonts w:eastAsiaTheme="minorHAnsi"/>
          <w:lang w:eastAsia="en-US"/>
        </w:rPr>
        <w:t xml:space="preserve"> have about </w:t>
      </w:r>
      <w:r w:rsidR="006518C0" w:rsidRPr="00C90AC9">
        <w:rPr>
          <w:rFonts w:eastAsiaTheme="minorHAnsi"/>
          <w:lang w:eastAsia="en-US"/>
        </w:rPr>
        <w:t>STPs</w:t>
      </w:r>
      <w:r w:rsidRPr="00C90AC9">
        <w:rPr>
          <w:rFonts w:eastAsiaTheme="minorHAnsi"/>
          <w:lang w:eastAsia="en-US"/>
        </w:rPr>
        <w:t xml:space="preserve"> could influence the ability of this novel technology to be adopted widely.</w:t>
      </w:r>
    </w:p>
    <w:p w:rsidR="0014612B" w:rsidRPr="00C90AC9" w:rsidRDefault="00A16B8C" w:rsidP="00F171E4">
      <w:pPr>
        <w:pStyle w:val="BodyText"/>
        <w:spacing w:line="360" w:lineRule="auto"/>
        <w:rPr>
          <w:rFonts w:eastAsiaTheme="minorHAnsi"/>
          <w:lang w:eastAsia="en-US"/>
        </w:rPr>
      </w:pPr>
      <w:r w:rsidRPr="00C90AC9">
        <w:rPr>
          <w:rFonts w:eastAsiaTheme="minorHAnsi"/>
          <w:lang w:eastAsia="en-US"/>
        </w:rPr>
        <w:t xml:space="preserve">A final key stakeholder group considered for this research are </w:t>
      </w:r>
      <w:r w:rsidR="003967B7" w:rsidRPr="00C90AC9">
        <w:rPr>
          <w:rFonts w:eastAsiaTheme="minorHAnsi"/>
          <w:lang w:eastAsia="en-US"/>
        </w:rPr>
        <w:t>c</w:t>
      </w:r>
      <w:r w:rsidRPr="00C90AC9">
        <w:rPr>
          <w:rFonts w:eastAsiaTheme="minorHAnsi"/>
          <w:lang w:eastAsia="en-US"/>
        </w:rPr>
        <w:t xml:space="preserve">ommunity </w:t>
      </w:r>
      <w:r w:rsidR="003967B7" w:rsidRPr="00C90AC9">
        <w:rPr>
          <w:rFonts w:eastAsiaTheme="minorHAnsi"/>
          <w:lang w:eastAsia="en-US"/>
        </w:rPr>
        <w:t>o</w:t>
      </w:r>
      <w:r w:rsidRPr="00C90AC9">
        <w:rPr>
          <w:rFonts w:eastAsiaTheme="minorHAnsi"/>
          <w:lang w:eastAsia="en-US"/>
        </w:rPr>
        <w:t xml:space="preserve">rganisers as they are potential sources of information for potential consumers to approach for guidance and advice prior to their adoption of the technology. Potential adopters of </w:t>
      </w:r>
      <w:r w:rsidR="006518C0" w:rsidRPr="00C90AC9">
        <w:rPr>
          <w:rFonts w:eastAsiaTheme="minorHAnsi"/>
          <w:lang w:eastAsia="en-US"/>
        </w:rPr>
        <w:t>STPs</w:t>
      </w:r>
      <w:r w:rsidRPr="00C90AC9">
        <w:rPr>
          <w:rFonts w:eastAsiaTheme="minorHAnsi"/>
          <w:lang w:eastAsia="en-US"/>
        </w:rPr>
        <w:t xml:space="preserve"> are likely to seek information about a technology from a trusted source which will inform their decision. </w:t>
      </w:r>
      <w:r w:rsidR="00FF15E5" w:rsidRPr="00C90AC9">
        <w:rPr>
          <w:rFonts w:eastAsiaTheme="minorHAnsi"/>
          <w:lang w:eastAsia="en-US"/>
        </w:rPr>
        <w:t>community</w:t>
      </w:r>
      <w:r w:rsidRPr="00C90AC9">
        <w:rPr>
          <w:rFonts w:eastAsiaTheme="minorHAnsi"/>
          <w:lang w:eastAsia="en-US"/>
        </w:rPr>
        <w:t xml:space="preserve"> organisers are potentially aware of various factors which could influence consumer adoption of this renewable technology. Factors such as the efficiency as well as the potential pay-back period of the technology are likely to be of interest to potential adopters of the technology. Community </w:t>
      </w:r>
      <w:r w:rsidR="00FF15E5" w:rsidRPr="00C90AC9">
        <w:rPr>
          <w:rFonts w:eastAsiaTheme="minorHAnsi"/>
          <w:lang w:eastAsia="en-US"/>
        </w:rPr>
        <w:t>organiser</w:t>
      </w:r>
      <w:r w:rsidRPr="00C90AC9">
        <w:rPr>
          <w:rFonts w:eastAsiaTheme="minorHAnsi"/>
          <w:lang w:eastAsia="en-US"/>
        </w:rPr>
        <w:t xml:space="preserve">s are approached </w:t>
      </w:r>
      <w:r w:rsidR="004524CB" w:rsidRPr="00C90AC9">
        <w:rPr>
          <w:rFonts w:eastAsiaTheme="minorHAnsi"/>
          <w:lang w:eastAsia="en-US"/>
        </w:rPr>
        <w:t xml:space="preserve">by the general public </w:t>
      </w:r>
      <w:r w:rsidRPr="00C90AC9">
        <w:rPr>
          <w:rFonts w:eastAsiaTheme="minorHAnsi"/>
          <w:lang w:eastAsia="en-US"/>
        </w:rPr>
        <w:t>for their opinions on a variety of issues</w:t>
      </w:r>
      <w:r w:rsidR="004524CB" w:rsidRPr="00C90AC9">
        <w:rPr>
          <w:rFonts w:eastAsiaTheme="minorHAnsi"/>
          <w:lang w:eastAsia="en-US"/>
        </w:rPr>
        <w:t>,</w:t>
      </w:r>
      <w:r w:rsidRPr="00C90AC9">
        <w:rPr>
          <w:rFonts w:eastAsiaTheme="minorHAnsi"/>
          <w:lang w:eastAsia="en-US"/>
        </w:rPr>
        <w:t xml:space="preserve"> which may</w:t>
      </w:r>
      <w:r w:rsidR="004524CB" w:rsidRPr="00C90AC9">
        <w:rPr>
          <w:rFonts w:eastAsiaTheme="minorHAnsi"/>
          <w:lang w:eastAsia="en-US"/>
        </w:rPr>
        <w:t xml:space="preserve"> not be familiar to potential </w:t>
      </w:r>
      <w:r w:rsidRPr="00C90AC9">
        <w:rPr>
          <w:rFonts w:eastAsiaTheme="minorHAnsi"/>
          <w:lang w:eastAsia="en-US"/>
        </w:rPr>
        <w:t xml:space="preserve">adopters of a new unfamiliar technology such as </w:t>
      </w:r>
      <w:r w:rsidR="006518C0" w:rsidRPr="00C90AC9">
        <w:rPr>
          <w:rFonts w:eastAsiaTheme="minorHAnsi"/>
          <w:lang w:eastAsia="en-US"/>
        </w:rPr>
        <w:t>STPs</w:t>
      </w:r>
      <w:r w:rsidRPr="00C90AC9">
        <w:rPr>
          <w:rFonts w:eastAsiaTheme="minorHAnsi"/>
          <w:lang w:eastAsia="en-US"/>
        </w:rPr>
        <w:t xml:space="preserve">. This is particularly true if the technology in question provides a necessity such as hot water. It is expected that potential adopters of </w:t>
      </w:r>
      <w:r w:rsidR="006518C0" w:rsidRPr="00C90AC9">
        <w:rPr>
          <w:rFonts w:eastAsiaTheme="minorHAnsi"/>
          <w:lang w:eastAsia="en-US"/>
        </w:rPr>
        <w:t>STPs</w:t>
      </w:r>
      <w:r w:rsidRPr="00C90AC9">
        <w:rPr>
          <w:rFonts w:eastAsiaTheme="minorHAnsi"/>
          <w:lang w:eastAsia="en-US"/>
        </w:rPr>
        <w:t xml:space="preserve"> would have concerns about how the new technology would be implemented in the home which they would raise with </w:t>
      </w:r>
      <w:r w:rsidR="00FF15E5" w:rsidRPr="00C90AC9">
        <w:rPr>
          <w:rFonts w:eastAsiaTheme="minorHAnsi"/>
          <w:lang w:eastAsia="en-US"/>
        </w:rPr>
        <w:t>community</w:t>
      </w:r>
      <w:r w:rsidRPr="00C90AC9">
        <w:rPr>
          <w:rFonts w:eastAsiaTheme="minorHAnsi"/>
          <w:lang w:eastAsia="en-US"/>
        </w:rPr>
        <w:t xml:space="preserve"> </w:t>
      </w:r>
      <w:r w:rsidR="00FF15E5" w:rsidRPr="00C90AC9">
        <w:rPr>
          <w:rFonts w:eastAsiaTheme="minorHAnsi"/>
          <w:lang w:eastAsia="en-US"/>
        </w:rPr>
        <w:t>organiser</w:t>
      </w:r>
      <w:r w:rsidRPr="00C90AC9">
        <w:rPr>
          <w:rFonts w:eastAsiaTheme="minorHAnsi"/>
          <w:lang w:eastAsia="en-US"/>
        </w:rPr>
        <w:t>s. Therefore</w:t>
      </w:r>
      <w:r w:rsidR="004524CB" w:rsidRPr="00C90AC9">
        <w:rPr>
          <w:rFonts w:eastAsiaTheme="minorHAnsi"/>
          <w:lang w:eastAsia="en-US"/>
        </w:rPr>
        <w:t>,</w:t>
      </w:r>
      <w:r w:rsidRPr="00C90AC9">
        <w:rPr>
          <w:rFonts w:eastAsiaTheme="minorHAnsi"/>
          <w:lang w:eastAsia="en-US"/>
        </w:rPr>
        <w:t xml:space="preserve"> the opinions that </w:t>
      </w:r>
      <w:r w:rsidR="00FF15E5" w:rsidRPr="00C90AC9">
        <w:rPr>
          <w:rFonts w:eastAsiaTheme="minorHAnsi"/>
          <w:lang w:eastAsia="en-US"/>
        </w:rPr>
        <w:t>community</w:t>
      </w:r>
      <w:r w:rsidRPr="00C90AC9">
        <w:rPr>
          <w:rFonts w:eastAsiaTheme="minorHAnsi"/>
          <w:lang w:eastAsia="en-US"/>
        </w:rPr>
        <w:t xml:space="preserve"> </w:t>
      </w:r>
      <w:r w:rsidR="00FF15E5" w:rsidRPr="00C90AC9">
        <w:rPr>
          <w:rFonts w:eastAsiaTheme="minorHAnsi"/>
          <w:lang w:eastAsia="en-US"/>
        </w:rPr>
        <w:t>organiser</w:t>
      </w:r>
      <w:r w:rsidRPr="00C90AC9">
        <w:rPr>
          <w:rFonts w:eastAsiaTheme="minorHAnsi"/>
          <w:lang w:eastAsia="en-US"/>
        </w:rPr>
        <w:t xml:space="preserve">s have about </w:t>
      </w:r>
      <w:r w:rsidR="006518C0" w:rsidRPr="00C90AC9">
        <w:rPr>
          <w:rFonts w:eastAsiaTheme="minorHAnsi"/>
          <w:lang w:eastAsia="en-US"/>
        </w:rPr>
        <w:t>STPs</w:t>
      </w:r>
      <w:r w:rsidRPr="00C90AC9">
        <w:rPr>
          <w:rFonts w:eastAsiaTheme="minorHAnsi"/>
          <w:lang w:eastAsia="en-US"/>
        </w:rPr>
        <w:t xml:space="preserve"> could therefore influence the final decision potential adopters of the technology </w:t>
      </w:r>
      <w:r w:rsidR="00F171E4" w:rsidRPr="00C90AC9">
        <w:rPr>
          <w:rFonts w:eastAsiaTheme="minorHAnsi"/>
          <w:lang w:eastAsia="en-US"/>
        </w:rPr>
        <w:t>regarding their final decision.</w:t>
      </w:r>
    </w:p>
    <w:p w:rsidR="00A16B8C" w:rsidRPr="00C90AC9" w:rsidRDefault="00A16B8C" w:rsidP="00B06779">
      <w:pPr>
        <w:pStyle w:val="BodyText"/>
        <w:rPr>
          <w:rFonts w:eastAsiaTheme="minorHAnsi"/>
          <w:lang w:eastAsia="en-US"/>
        </w:rPr>
      </w:pPr>
      <w:r w:rsidRPr="00C90AC9">
        <w:rPr>
          <w:rFonts w:eastAsiaTheme="minorHAnsi"/>
          <w:lang w:eastAsia="en-US"/>
        </w:rPr>
        <w:t xml:space="preserve">The categories of </w:t>
      </w:r>
      <w:r w:rsidR="00E82522" w:rsidRPr="00C90AC9">
        <w:rPr>
          <w:rFonts w:eastAsiaTheme="minorHAnsi"/>
          <w:lang w:eastAsia="en-US"/>
        </w:rPr>
        <w:t>main</w:t>
      </w:r>
      <w:r w:rsidR="00B0797D" w:rsidRPr="00C90AC9">
        <w:rPr>
          <w:rFonts w:eastAsiaTheme="minorHAnsi"/>
          <w:lang w:eastAsia="en-US"/>
        </w:rPr>
        <w:t xml:space="preserve"> actors </w:t>
      </w:r>
      <w:r w:rsidRPr="00C90AC9">
        <w:rPr>
          <w:rFonts w:eastAsiaTheme="minorHAnsi"/>
          <w:lang w:eastAsia="en-US"/>
        </w:rPr>
        <w:t xml:space="preserve">with specialist knowledge of the STP industry selected </w:t>
      </w:r>
      <w:r w:rsidR="00B0797D" w:rsidRPr="00C90AC9">
        <w:rPr>
          <w:rFonts w:eastAsiaTheme="minorHAnsi"/>
          <w:lang w:eastAsia="en-US"/>
        </w:rPr>
        <w:t>were</w:t>
      </w:r>
      <w:r w:rsidRPr="00C90AC9">
        <w:rPr>
          <w:rFonts w:eastAsiaTheme="minorHAnsi"/>
          <w:lang w:eastAsia="en-US"/>
        </w:rPr>
        <w:t>:</w:t>
      </w:r>
    </w:p>
    <w:p w:rsidR="00A16B8C" w:rsidRPr="00C90AC9" w:rsidRDefault="00BF3B73" w:rsidP="00CA6E35">
      <w:pPr>
        <w:pStyle w:val="List2"/>
        <w:numPr>
          <w:ilvl w:val="0"/>
          <w:numId w:val="11"/>
        </w:numPr>
        <w:rPr>
          <w:rFonts w:eastAsiaTheme="minorHAnsi"/>
          <w:lang w:eastAsia="en-US"/>
        </w:rPr>
      </w:pPr>
      <w:r w:rsidRPr="00C90AC9">
        <w:rPr>
          <w:rFonts w:eastAsiaTheme="minorHAnsi"/>
          <w:lang w:eastAsia="en-US"/>
        </w:rPr>
        <w:t>manufacturer</w:t>
      </w:r>
      <w:r w:rsidR="00A16B8C" w:rsidRPr="00C90AC9">
        <w:rPr>
          <w:rFonts w:eastAsiaTheme="minorHAnsi"/>
          <w:lang w:eastAsia="en-US"/>
        </w:rPr>
        <w:t>s and Distributors;</w:t>
      </w:r>
    </w:p>
    <w:p w:rsidR="00A16B8C" w:rsidRPr="00C90AC9" w:rsidRDefault="00FF15E5" w:rsidP="00CA6E35">
      <w:pPr>
        <w:pStyle w:val="List2"/>
        <w:numPr>
          <w:ilvl w:val="0"/>
          <w:numId w:val="11"/>
        </w:numPr>
        <w:ind w:left="714" w:hanging="357"/>
        <w:rPr>
          <w:rFonts w:eastAsiaTheme="minorHAnsi"/>
          <w:lang w:eastAsia="en-US"/>
        </w:rPr>
      </w:pPr>
      <w:r w:rsidRPr="00C90AC9">
        <w:rPr>
          <w:rFonts w:eastAsiaTheme="minorHAnsi"/>
          <w:lang w:eastAsia="en-US"/>
        </w:rPr>
        <w:t>academic</w:t>
      </w:r>
      <w:r w:rsidR="00A16B8C" w:rsidRPr="00C90AC9">
        <w:rPr>
          <w:rFonts w:eastAsiaTheme="minorHAnsi"/>
          <w:lang w:eastAsia="en-US"/>
        </w:rPr>
        <w:t>s;</w:t>
      </w:r>
    </w:p>
    <w:p w:rsidR="00A16B8C" w:rsidRPr="00C90AC9" w:rsidRDefault="00FF15E5" w:rsidP="00CA6E35">
      <w:pPr>
        <w:pStyle w:val="List2"/>
        <w:numPr>
          <w:ilvl w:val="0"/>
          <w:numId w:val="11"/>
        </w:numPr>
        <w:rPr>
          <w:rFonts w:eastAsiaTheme="minorHAnsi"/>
          <w:lang w:eastAsia="en-US"/>
        </w:rPr>
      </w:pPr>
      <w:r w:rsidRPr="00C90AC9">
        <w:rPr>
          <w:rFonts w:eastAsiaTheme="minorHAnsi"/>
          <w:lang w:eastAsia="en-US"/>
        </w:rPr>
        <w:t>community</w:t>
      </w:r>
      <w:r w:rsidR="00A16B8C" w:rsidRPr="00C90AC9">
        <w:rPr>
          <w:rFonts w:eastAsiaTheme="minorHAnsi"/>
          <w:lang w:eastAsia="en-US"/>
        </w:rPr>
        <w:t xml:space="preserve"> </w:t>
      </w:r>
      <w:r w:rsidRPr="00C90AC9">
        <w:rPr>
          <w:rFonts w:eastAsiaTheme="minorHAnsi"/>
          <w:lang w:eastAsia="en-US"/>
        </w:rPr>
        <w:t>organiser</w:t>
      </w:r>
      <w:r w:rsidR="00A16B8C" w:rsidRPr="00C90AC9">
        <w:rPr>
          <w:rFonts w:eastAsiaTheme="minorHAnsi"/>
          <w:lang w:eastAsia="en-US"/>
        </w:rPr>
        <w:t>s; and</w:t>
      </w:r>
    </w:p>
    <w:p w:rsidR="003967B7" w:rsidRPr="00C90AC9" w:rsidRDefault="00FF15E5" w:rsidP="00CA6E35">
      <w:pPr>
        <w:pStyle w:val="List2"/>
        <w:numPr>
          <w:ilvl w:val="0"/>
          <w:numId w:val="11"/>
        </w:numPr>
        <w:rPr>
          <w:rFonts w:eastAsiaTheme="minorHAnsi"/>
          <w:lang w:eastAsia="en-US"/>
        </w:rPr>
      </w:pPr>
      <w:r w:rsidRPr="00C90AC9">
        <w:rPr>
          <w:rFonts w:eastAsiaTheme="minorHAnsi"/>
          <w:lang w:eastAsia="en-US"/>
        </w:rPr>
        <w:t>politician</w:t>
      </w:r>
      <w:r w:rsidR="00A16B8C" w:rsidRPr="00C90AC9">
        <w:rPr>
          <w:rFonts w:eastAsiaTheme="minorHAnsi"/>
          <w:lang w:eastAsia="en-US"/>
        </w:rPr>
        <w:t>s.</w:t>
      </w:r>
    </w:p>
    <w:p w:rsidR="00A16B8C" w:rsidRPr="00C90AC9" w:rsidRDefault="00A16B8C" w:rsidP="00325112">
      <w:pPr>
        <w:pStyle w:val="BodyText"/>
        <w:spacing w:line="360" w:lineRule="auto"/>
        <w:rPr>
          <w:rFonts w:eastAsiaTheme="minorHAnsi"/>
          <w:lang w:eastAsia="en-US"/>
        </w:rPr>
      </w:pPr>
      <w:r w:rsidRPr="00C90AC9">
        <w:rPr>
          <w:rFonts w:eastAsiaTheme="minorHAnsi"/>
          <w:lang w:eastAsia="en-US"/>
        </w:rPr>
        <w:t xml:space="preserve">These four </w:t>
      </w:r>
      <w:r w:rsidR="001953A7" w:rsidRPr="00C90AC9">
        <w:rPr>
          <w:rFonts w:eastAsiaTheme="minorHAnsi"/>
          <w:lang w:eastAsia="en-US"/>
        </w:rPr>
        <w:t xml:space="preserve">categories of </w:t>
      </w:r>
      <w:r w:rsidR="00E82522" w:rsidRPr="00C90AC9">
        <w:rPr>
          <w:rFonts w:eastAsiaTheme="minorHAnsi"/>
          <w:lang w:eastAsia="en-US"/>
        </w:rPr>
        <w:t>main</w:t>
      </w:r>
      <w:r w:rsidR="001953A7" w:rsidRPr="00C90AC9">
        <w:rPr>
          <w:rFonts w:eastAsiaTheme="minorHAnsi"/>
          <w:lang w:eastAsia="en-US"/>
        </w:rPr>
        <w:t xml:space="preserve"> actors</w:t>
      </w:r>
      <w:r w:rsidRPr="00C90AC9">
        <w:rPr>
          <w:rFonts w:eastAsiaTheme="minorHAnsi"/>
          <w:lang w:eastAsia="en-US"/>
        </w:rPr>
        <w:t xml:space="preserve"> can broadly be cat</w:t>
      </w:r>
      <w:r w:rsidR="001953A7" w:rsidRPr="00C90AC9">
        <w:rPr>
          <w:rFonts w:eastAsiaTheme="minorHAnsi"/>
          <w:lang w:eastAsia="en-US"/>
        </w:rPr>
        <w:t>egorized as</w:t>
      </w:r>
      <w:r w:rsidR="00BF3B73" w:rsidRPr="00C90AC9">
        <w:rPr>
          <w:rFonts w:eastAsiaTheme="minorHAnsi"/>
          <w:lang w:eastAsia="en-US"/>
        </w:rPr>
        <w:t>:</w:t>
      </w:r>
      <w:r w:rsidR="001953A7" w:rsidRPr="00C90AC9">
        <w:rPr>
          <w:rFonts w:eastAsiaTheme="minorHAnsi"/>
          <w:lang w:eastAsia="en-US"/>
        </w:rPr>
        <w:t xml:space="preserve"> Groups 1 &amp; 2 as hav</w:t>
      </w:r>
      <w:r w:rsidRPr="00C90AC9">
        <w:rPr>
          <w:rFonts w:eastAsiaTheme="minorHAnsi"/>
          <w:lang w:eastAsia="en-US"/>
        </w:rPr>
        <w:t xml:space="preserve">ing a greater understanding about the operation and ability of </w:t>
      </w:r>
      <w:r w:rsidR="006518C0" w:rsidRPr="00C90AC9">
        <w:rPr>
          <w:rFonts w:eastAsiaTheme="minorHAnsi"/>
          <w:lang w:eastAsia="en-US"/>
        </w:rPr>
        <w:t>STPs</w:t>
      </w:r>
      <w:r w:rsidRPr="00C90AC9">
        <w:rPr>
          <w:rFonts w:eastAsiaTheme="minorHAnsi"/>
          <w:lang w:eastAsia="en-US"/>
        </w:rPr>
        <w:t xml:space="preserve"> at providing sufficient hot water for resident’s needs</w:t>
      </w:r>
      <w:r w:rsidR="00BF3B73" w:rsidRPr="00C90AC9">
        <w:rPr>
          <w:rFonts w:eastAsiaTheme="minorHAnsi"/>
          <w:lang w:eastAsia="en-US"/>
        </w:rPr>
        <w:t>;</w:t>
      </w:r>
      <w:r w:rsidRPr="00C90AC9">
        <w:rPr>
          <w:rFonts w:eastAsiaTheme="minorHAnsi"/>
          <w:lang w:eastAsia="en-US"/>
        </w:rPr>
        <w:t xml:space="preserve"> and Groups 3 &amp; 4 as having a greater knowledge about additional factors which will affect potential adopters’ final decision. These factors may include but is not </w:t>
      </w:r>
      <w:r w:rsidRPr="00C90AC9">
        <w:rPr>
          <w:rFonts w:eastAsiaTheme="minorHAnsi"/>
          <w:lang w:eastAsia="en-US"/>
        </w:rPr>
        <w:lastRenderedPageBreak/>
        <w:t xml:space="preserve">restricted to the effects of current or upcoming legislation and may impact the STP industry or </w:t>
      </w:r>
      <w:r w:rsidR="00BF3B73" w:rsidRPr="00C90AC9">
        <w:rPr>
          <w:rFonts w:eastAsiaTheme="minorHAnsi"/>
          <w:lang w:eastAsia="en-US"/>
        </w:rPr>
        <w:t>limit</w:t>
      </w:r>
      <w:r w:rsidRPr="00C90AC9">
        <w:rPr>
          <w:rFonts w:eastAsiaTheme="minorHAnsi"/>
          <w:lang w:eastAsia="en-US"/>
        </w:rPr>
        <w:t xml:space="preserve"> the benefits that residents may </w:t>
      </w:r>
      <w:r w:rsidR="00BF3B73" w:rsidRPr="00C90AC9">
        <w:rPr>
          <w:rFonts w:eastAsiaTheme="minorHAnsi"/>
          <w:lang w:eastAsia="en-US"/>
        </w:rPr>
        <w:t xml:space="preserve">receive </w:t>
      </w:r>
      <w:r w:rsidRPr="00C90AC9">
        <w:rPr>
          <w:rFonts w:eastAsiaTheme="minorHAnsi"/>
          <w:lang w:eastAsia="en-US"/>
        </w:rPr>
        <w:t xml:space="preserve">from owning </w:t>
      </w:r>
      <w:r w:rsidR="006518C0" w:rsidRPr="00C90AC9">
        <w:rPr>
          <w:rFonts w:eastAsiaTheme="minorHAnsi"/>
          <w:lang w:eastAsia="en-US"/>
        </w:rPr>
        <w:t>STPs</w:t>
      </w:r>
      <w:r w:rsidRPr="00C90AC9">
        <w:rPr>
          <w:rFonts w:eastAsiaTheme="minorHAnsi"/>
          <w:lang w:eastAsia="en-US"/>
        </w:rPr>
        <w:t>.</w:t>
      </w:r>
    </w:p>
    <w:p w:rsidR="00A16B8C" w:rsidRPr="00C90AC9" w:rsidRDefault="00A16B8C" w:rsidP="00325112">
      <w:pPr>
        <w:pStyle w:val="BodyText"/>
        <w:spacing w:line="360" w:lineRule="auto"/>
        <w:rPr>
          <w:rFonts w:eastAsiaTheme="minorHAnsi"/>
          <w:lang w:eastAsia="en-US"/>
        </w:rPr>
      </w:pPr>
      <w:r w:rsidRPr="00C90AC9">
        <w:rPr>
          <w:rFonts w:eastAsiaTheme="minorHAnsi"/>
          <w:lang w:eastAsia="en-US"/>
        </w:rPr>
        <w:t xml:space="preserve">It should be noted that </w:t>
      </w:r>
      <w:r w:rsidR="00BF3B73" w:rsidRPr="00C90AC9">
        <w:rPr>
          <w:rFonts w:eastAsiaTheme="minorHAnsi"/>
          <w:lang w:eastAsia="en-US"/>
        </w:rPr>
        <w:t xml:space="preserve">it was recognised prior to the research being conducted that </w:t>
      </w:r>
      <w:r w:rsidRPr="00C90AC9">
        <w:rPr>
          <w:rFonts w:eastAsiaTheme="minorHAnsi"/>
          <w:lang w:eastAsia="en-US"/>
        </w:rPr>
        <w:t xml:space="preserve">there </w:t>
      </w:r>
      <w:r w:rsidR="00BF3B73" w:rsidRPr="00C90AC9">
        <w:rPr>
          <w:rFonts w:eastAsiaTheme="minorHAnsi"/>
          <w:lang w:eastAsia="en-US"/>
        </w:rPr>
        <w:t xml:space="preserve">was potential for there to </w:t>
      </w:r>
      <w:r w:rsidRPr="00C90AC9">
        <w:rPr>
          <w:rFonts w:eastAsiaTheme="minorHAnsi"/>
          <w:lang w:eastAsia="en-US"/>
        </w:rPr>
        <w:t xml:space="preserve">be overlap between the </w:t>
      </w:r>
      <w:r w:rsidR="00BF3B73" w:rsidRPr="00C90AC9">
        <w:rPr>
          <w:rFonts w:eastAsiaTheme="minorHAnsi"/>
          <w:lang w:eastAsia="en-US"/>
        </w:rPr>
        <w:t>specialists</w:t>
      </w:r>
      <w:r w:rsidR="00B90C04" w:rsidRPr="00C90AC9">
        <w:rPr>
          <w:rFonts w:eastAsiaTheme="minorHAnsi"/>
          <w:lang w:eastAsia="en-US"/>
        </w:rPr>
        <w:t>’</w:t>
      </w:r>
      <w:r w:rsidRPr="00C90AC9">
        <w:rPr>
          <w:rFonts w:eastAsiaTheme="minorHAnsi"/>
          <w:lang w:eastAsia="en-US"/>
        </w:rPr>
        <w:t xml:space="preserve"> knowledge that these four groups of </w:t>
      </w:r>
      <w:r w:rsidR="00E82522" w:rsidRPr="00C90AC9">
        <w:rPr>
          <w:rFonts w:eastAsiaTheme="minorHAnsi"/>
          <w:lang w:eastAsia="en-US"/>
        </w:rPr>
        <w:t>main</w:t>
      </w:r>
      <w:r w:rsidRPr="00C90AC9">
        <w:rPr>
          <w:rFonts w:eastAsiaTheme="minorHAnsi"/>
          <w:lang w:eastAsia="en-US"/>
        </w:rPr>
        <w:t xml:space="preserve"> actors have</w:t>
      </w:r>
      <w:r w:rsidR="00BF3B73" w:rsidRPr="00C90AC9">
        <w:rPr>
          <w:rFonts w:eastAsiaTheme="minorHAnsi"/>
          <w:lang w:eastAsia="en-US"/>
        </w:rPr>
        <w:t>. T</w:t>
      </w:r>
      <w:r w:rsidRPr="00C90AC9">
        <w:rPr>
          <w:rFonts w:eastAsiaTheme="minorHAnsi"/>
          <w:lang w:eastAsia="en-US"/>
        </w:rPr>
        <w:t xml:space="preserve">heir </w:t>
      </w:r>
      <w:r w:rsidR="00BF3B73" w:rsidRPr="00C90AC9">
        <w:rPr>
          <w:rFonts w:eastAsiaTheme="minorHAnsi"/>
          <w:lang w:eastAsia="en-US"/>
        </w:rPr>
        <w:t xml:space="preserve">specific </w:t>
      </w:r>
      <w:r w:rsidRPr="00C90AC9">
        <w:rPr>
          <w:rFonts w:eastAsiaTheme="minorHAnsi"/>
          <w:lang w:eastAsia="en-US"/>
        </w:rPr>
        <w:t xml:space="preserve">knowledge </w:t>
      </w:r>
      <w:r w:rsidR="00BF3B73" w:rsidRPr="00C90AC9">
        <w:rPr>
          <w:rFonts w:eastAsiaTheme="minorHAnsi"/>
          <w:lang w:eastAsia="en-US"/>
        </w:rPr>
        <w:t xml:space="preserve">on a given topic is </w:t>
      </w:r>
      <w:r w:rsidRPr="00C90AC9">
        <w:rPr>
          <w:rFonts w:eastAsiaTheme="minorHAnsi"/>
          <w:lang w:eastAsia="en-US"/>
        </w:rPr>
        <w:t xml:space="preserve">not restricted to the definition </w:t>
      </w:r>
      <w:r w:rsidR="00BF3B73" w:rsidRPr="00C90AC9">
        <w:rPr>
          <w:rFonts w:eastAsiaTheme="minorHAnsi"/>
          <w:lang w:eastAsia="en-US"/>
        </w:rPr>
        <w:t xml:space="preserve">of that topic </w:t>
      </w:r>
      <w:r w:rsidRPr="00C90AC9">
        <w:rPr>
          <w:rFonts w:eastAsiaTheme="minorHAnsi"/>
          <w:lang w:eastAsia="en-US"/>
        </w:rPr>
        <w:t>that is put on them here</w:t>
      </w:r>
      <w:r w:rsidR="00BF3B73" w:rsidRPr="00C90AC9">
        <w:rPr>
          <w:rFonts w:eastAsiaTheme="minorHAnsi"/>
          <w:lang w:eastAsia="en-US"/>
        </w:rPr>
        <w:t>. The specific knowledge they have regarding that topic is specialised but that is not to say the participants don’t have knowledge that goes beyond their own specialisation</w:t>
      </w:r>
      <w:r w:rsidRPr="00C90AC9">
        <w:rPr>
          <w:rFonts w:eastAsiaTheme="minorHAnsi"/>
          <w:lang w:eastAsia="en-US"/>
        </w:rPr>
        <w:t>. For example</w:t>
      </w:r>
      <w:r w:rsidR="006C5214" w:rsidRPr="00C90AC9">
        <w:rPr>
          <w:rFonts w:eastAsiaTheme="minorHAnsi"/>
          <w:lang w:eastAsia="en-US"/>
        </w:rPr>
        <w:t>,</w:t>
      </w:r>
      <w:r w:rsidRPr="00C90AC9">
        <w:rPr>
          <w:rFonts w:eastAsiaTheme="minorHAnsi"/>
          <w:lang w:eastAsia="en-US"/>
        </w:rPr>
        <w:t xml:space="preserve"> a </w:t>
      </w:r>
      <w:r w:rsidR="00BF3B73" w:rsidRPr="00C90AC9">
        <w:rPr>
          <w:rFonts w:eastAsiaTheme="minorHAnsi"/>
          <w:lang w:eastAsia="en-US"/>
        </w:rPr>
        <w:t>manufacturer</w:t>
      </w:r>
      <w:r w:rsidRPr="00C90AC9">
        <w:rPr>
          <w:rFonts w:eastAsiaTheme="minorHAnsi"/>
          <w:lang w:eastAsia="en-US"/>
        </w:rPr>
        <w:t xml:space="preserve"> may have an understanding of the legislation surrounding </w:t>
      </w:r>
      <w:r w:rsidR="006518C0" w:rsidRPr="00C90AC9">
        <w:rPr>
          <w:rFonts w:eastAsiaTheme="minorHAnsi"/>
          <w:lang w:eastAsia="en-US"/>
        </w:rPr>
        <w:t>STPs</w:t>
      </w:r>
      <w:r w:rsidRPr="00C90AC9">
        <w:rPr>
          <w:rFonts w:eastAsiaTheme="minorHAnsi"/>
          <w:lang w:eastAsia="en-US"/>
        </w:rPr>
        <w:t xml:space="preserve"> but their specialist knowledge is on the operation and ability of </w:t>
      </w:r>
      <w:r w:rsidR="006518C0" w:rsidRPr="00C90AC9">
        <w:rPr>
          <w:rFonts w:eastAsiaTheme="minorHAnsi"/>
          <w:lang w:eastAsia="en-US"/>
        </w:rPr>
        <w:t>STPs</w:t>
      </w:r>
      <w:r w:rsidRPr="00C90AC9">
        <w:rPr>
          <w:rFonts w:eastAsiaTheme="minorHAnsi"/>
          <w:lang w:eastAsia="en-US"/>
        </w:rPr>
        <w:t xml:space="preserve"> to provide hot water for domestic needs.</w:t>
      </w:r>
    </w:p>
    <w:p w:rsidR="00A16B8C" w:rsidRPr="00C90AC9" w:rsidRDefault="00A16B8C" w:rsidP="00325112">
      <w:pPr>
        <w:pStyle w:val="BodyText"/>
        <w:spacing w:line="360" w:lineRule="auto"/>
        <w:rPr>
          <w:rFonts w:eastAsiaTheme="minorHAnsi"/>
          <w:lang w:eastAsia="en-US"/>
        </w:rPr>
      </w:pPr>
      <w:r w:rsidRPr="00C90AC9">
        <w:rPr>
          <w:rFonts w:eastAsiaTheme="minorHAnsi"/>
          <w:lang w:eastAsia="en-US"/>
        </w:rPr>
        <w:t xml:space="preserve">Previous studies have highlighted the importance of </w:t>
      </w:r>
      <w:r w:rsidR="00E82522" w:rsidRPr="00C90AC9">
        <w:rPr>
          <w:rFonts w:eastAsiaTheme="minorHAnsi"/>
          <w:lang w:eastAsia="en-US"/>
        </w:rPr>
        <w:t>main</w:t>
      </w:r>
      <w:r w:rsidRPr="00C90AC9">
        <w:rPr>
          <w:rFonts w:eastAsiaTheme="minorHAnsi"/>
          <w:lang w:eastAsia="en-US"/>
        </w:rPr>
        <w:t xml:space="preserve"> actors that have an influence on the adoption rate and diffusion of renewable technologies such as wind power </w:t>
      </w:r>
      <w:r w:rsidR="00325112" w:rsidRPr="00C90AC9">
        <w:rPr>
          <w:rFonts w:eastAsiaTheme="minorHAnsi"/>
          <w:lang w:eastAsia="en-US"/>
        </w:rPr>
        <w:fldChar w:fldCharType="begin"/>
      </w:r>
      <w:r w:rsidR="00325112" w:rsidRPr="00C90AC9">
        <w:rPr>
          <w:rFonts w:eastAsiaTheme="minorHAnsi"/>
          <w:lang w:eastAsia="en-US"/>
        </w:rPr>
        <w:instrText xml:space="preserve"> ADDIN EN.CITE &lt;EndNote&gt;&lt;Cite&gt;&lt;Author&gt;Doblinger&lt;/Author&gt;&lt;Year&gt;2013&lt;/Year&gt;&lt;RecNum&gt;265&lt;/RecNum&gt;&lt;DisplayText&gt;(Doblinger &amp;amp; Soppe, 2013)&lt;/DisplayText&gt;&lt;record&gt;&lt;rec-number&gt;265&lt;/rec-number&gt;&lt;foreign-keys&gt;&lt;key app="EN" db-id="50wxdpzd9vd5r7e9t5b595djrfpttrxw9avp" timestamp="1526107186"&gt;265&lt;/key&gt;&lt;/foreign-keys&gt;&lt;ref-type name="Journal Article"&gt;17&lt;/ref-type&gt;&lt;contributors&gt;&lt;authors&gt;&lt;author&gt;Doblinger, Claudia&lt;/author&gt;&lt;author&gt;Soppe, Birthe&lt;/author&gt;&lt;/authors&gt;&lt;/contributors&gt;&lt;titles&gt;&lt;title&gt;Change-actors in the U.S. electric energy system: The role of environmental groups in utility adoption and diffusion of wind power&lt;/title&gt;&lt;secondary-title&gt;Energy Policy&lt;/secondary-title&gt;&lt;/titles&gt;&lt;pages&gt;274-284&lt;/pages&gt;&lt;volume&gt;61&lt;/volume&gt;&lt;keywords&gt;&lt;keyword&gt;Environmental groups&lt;/keyword&gt;&lt;keyword&gt;Institutional theory&lt;/keyword&gt;&lt;keyword&gt;Renewable energy technologies&lt;/keyword&gt;&lt;/keywords&gt;&lt;dates&gt;&lt;year&gt;2013&lt;/year&gt;&lt;pub-dates&gt;&lt;date&gt;2013/10/01/&lt;/date&gt;&lt;/pub-dates&gt;&lt;/dates&gt;&lt;isbn&gt;0301-4215&lt;/isbn&gt;&lt;urls&gt;&lt;related-urls&gt;&lt;url&gt;http://www.sciencedirect.com/science/article/pii/S030142151300671X&lt;/url&gt;&lt;/related-urls&gt;&lt;/urls&gt;&lt;electronic-resource-num&gt;https://doi.org/10.1016/j.enpol.2013.07.028&lt;/electronic-resource-num&gt;&lt;/record&gt;&lt;/Cite&gt;&lt;/EndNote&gt;</w:instrText>
      </w:r>
      <w:r w:rsidR="00325112" w:rsidRPr="00C90AC9">
        <w:rPr>
          <w:rFonts w:eastAsiaTheme="minorHAnsi"/>
          <w:lang w:eastAsia="en-US"/>
        </w:rPr>
        <w:fldChar w:fldCharType="separate"/>
      </w:r>
      <w:r w:rsidR="00325112" w:rsidRPr="00C90AC9">
        <w:rPr>
          <w:rFonts w:eastAsiaTheme="minorHAnsi"/>
          <w:lang w:eastAsia="en-US"/>
        </w:rPr>
        <w:t>(Doblinger &amp; Soppe, 2013)</w:t>
      </w:r>
      <w:r w:rsidR="00325112" w:rsidRPr="00C90AC9">
        <w:rPr>
          <w:rFonts w:eastAsiaTheme="minorHAnsi"/>
          <w:lang w:eastAsia="en-US"/>
        </w:rPr>
        <w:fldChar w:fldCharType="end"/>
      </w:r>
      <w:r w:rsidRPr="00C90AC9">
        <w:rPr>
          <w:rFonts w:eastAsiaTheme="minorHAnsi"/>
          <w:lang w:eastAsia="en-US"/>
        </w:rPr>
        <w:t xml:space="preserve">. In this study the value of accessing the opinions of </w:t>
      </w:r>
      <w:r w:rsidR="00E82522" w:rsidRPr="00C90AC9">
        <w:rPr>
          <w:rFonts w:eastAsiaTheme="minorHAnsi"/>
          <w:lang w:eastAsia="en-US"/>
        </w:rPr>
        <w:t>main</w:t>
      </w:r>
      <w:r w:rsidRPr="00C90AC9">
        <w:rPr>
          <w:rFonts w:eastAsiaTheme="minorHAnsi"/>
          <w:lang w:eastAsia="en-US"/>
        </w:rPr>
        <w:t xml:space="preserve"> actors is highlighted and the role their opinions have on the diffusion of renewable technologies to the wider population is emphasised</w:t>
      </w:r>
      <w:r w:rsidR="00325112" w:rsidRPr="00C90AC9">
        <w:rPr>
          <w:rFonts w:eastAsiaTheme="minorHAnsi"/>
          <w:lang w:eastAsia="en-US"/>
        </w:rPr>
        <w:t xml:space="preserve"> </w:t>
      </w:r>
      <w:r w:rsidR="00325112" w:rsidRPr="00C90AC9">
        <w:rPr>
          <w:rFonts w:eastAsiaTheme="minorHAnsi"/>
          <w:lang w:eastAsia="en-US"/>
        </w:rPr>
        <w:fldChar w:fldCharType="begin"/>
      </w:r>
      <w:r w:rsidR="00325112" w:rsidRPr="00C90AC9">
        <w:rPr>
          <w:rFonts w:eastAsiaTheme="minorHAnsi"/>
          <w:lang w:eastAsia="en-US"/>
        </w:rPr>
        <w:instrText xml:space="preserve"> ADDIN EN.CITE &lt;EndNote&gt;&lt;Cite&gt;&lt;Author&gt;Doblinger&lt;/Author&gt;&lt;Year&gt;2013&lt;/Year&gt;&lt;RecNum&gt;265&lt;/RecNum&gt;&lt;DisplayText&gt;(Doblinger &amp;amp; Soppe, 2013)&lt;/DisplayText&gt;&lt;record&gt;&lt;rec-number&gt;265&lt;/rec-number&gt;&lt;foreign-keys&gt;&lt;key app="EN" db-id="50wxdpzd9vd5r7e9t5b595djrfpttrxw9avp" timestamp="1526107186"&gt;265&lt;/key&gt;&lt;/foreign-keys&gt;&lt;ref-type name="Journal Article"&gt;17&lt;/ref-type&gt;&lt;contributors&gt;&lt;authors&gt;&lt;author&gt;Doblinger, Claudia&lt;/author&gt;&lt;author&gt;Soppe, Birthe&lt;/author&gt;&lt;/authors&gt;&lt;/contributors&gt;&lt;titles&gt;&lt;title&gt;Change-actors in the U.S. electric energy system: The role of environmental groups in utility adoption and diffusion of wind power&lt;/title&gt;&lt;secondary-title&gt;Energy Policy&lt;/secondary-title&gt;&lt;/titles&gt;&lt;pages&gt;274-284&lt;/pages&gt;&lt;volume&gt;61&lt;/volume&gt;&lt;keywords&gt;&lt;keyword&gt;Environmental groups&lt;/keyword&gt;&lt;keyword&gt;Institutional theory&lt;/keyword&gt;&lt;keyword&gt;Renewable energy technologies&lt;/keyword&gt;&lt;/keywords&gt;&lt;dates&gt;&lt;year&gt;2013&lt;/year&gt;&lt;pub-dates&gt;&lt;date&gt;2013/10/01/&lt;/date&gt;&lt;/pub-dates&gt;&lt;/dates&gt;&lt;isbn&gt;0301-4215&lt;/isbn&gt;&lt;urls&gt;&lt;related-urls&gt;&lt;url&gt;http://www.sciencedirect.com/science/article/pii/S030142151300671X&lt;/url&gt;&lt;/related-urls&gt;&lt;/urls&gt;&lt;electronic-resource-num&gt;https://doi.org/10.1016/j.enpol.2013.07.028&lt;/electronic-resource-num&gt;&lt;/record&gt;&lt;/Cite&gt;&lt;/EndNote&gt;</w:instrText>
      </w:r>
      <w:r w:rsidR="00325112" w:rsidRPr="00C90AC9">
        <w:rPr>
          <w:rFonts w:eastAsiaTheme="minorHAnsi"/>
          <w:lang w:eastAsia="en-US"/>
        </w:rPr>
        <w:fldChar w:fldCharType="separate"/>
      </w:r>
      <w:r w:rsidR="00325112" w:rsidRPr="00C90AC9">
        <w:rPr>
          <w:rFonts w:eastAsiaTheme="minorHAnsi"/>
          <w:lang w:eastAsia="en-US"/>
        </w:rPr>
        <w:t>(Doblinger &amp; Soppe, 2013)</w:t>
      </w:r>
      <w:r w:rsidR="00325112" w:rsidRPr="00C90AC9">
        <w:rPr>
          <w:rFonts w:eastAsiaTheme="minorHAnsi"/>
          <w:lang w:eastAsia="en-US"/>
        </w:rPr>
        <w:fldChar w:fldCharType="end"/>
      </w:r>
      <w:r w:rsidRPr="00C90AC9">
        <w:rPr>
          <w:rFonts w:eastAsiaTheme="minorHAnsi"/>
          <w:lang w:eastAsia="en-US"/>
        </w:rPr>
        <w:t>.</w:t>
      </w:r>
      <w:r w:rsidR="00325112" w:rsidRPr="00C90AC9">
        <w:rPr>
          <w:rFonts w:eastAsiaTheme="minorHAnsi"/>
          <w:lang w:eastAsia="en-US"/>
        </w:rPr>
        <w:t xml:space="preserve"> </w:t>
      </w:r>
      <w:proofErr w:type="spellStart"/>
      <w:r w:rsidR="00325112" w:rsidRPr="00C90AC9">
        <w:rPr>
          <w:rFonts w:eastAsiaTheme="minorHAnsi"/>
          <w:lang w:eastAsia="en-US"/>
        </w:rPr>
        <w:t>Doblinger</w:t>
      </w:r>
      <w:proofErr w:type="spellEnd"/>
      <w:r w:rsidR="00775580" w:rsidRPr="00C90AC9">
        <w:rPr>
          <w:rFonts w:eastAsiaTheme="minorHAnsi"/>
          <w:lang w:eastAsia="en-US"/>
        </w:rPr>
        <w:t xml:space="preserve"> and </w:t>
      </w:r>
      <w:proofErr w:type="spellStart"/>
      <w:r w:rsidR="00775580" w:rsidRPr="00C90AC9">
        <w:rPr>
          <w:rFonts w:eastAsiaTheme="minorHAnsi"/>
          <w:lang w:eastAsia="en-US"/>
        </w:rPr>
        <w:t>Scoppe</w:t>
      </w:r>
      <w:proofErr w:type="spellEnd"/>
      <w:r w:rsidR="00325112" w:rsidRPr="00C90AC9">
        <w:rPr>
          <w:rFonts w:eastAsiaTheme="minorHAnsi"/>
          <w:lang w:eastAsia="en-US"/>
        </w:rPr>
        <w:t xml:space="preserve"> 2013 </w:t>
      </w:r>
      <w:r w:rsidRPr="00C90AC9">
        <w:rPr>
          <w:rFonts w:eastAsiaTheme="minorHAnsi"/>
          <w:lang w:eastAsia="en-US"/>
        </w:rPr>
        <w:t>stress</w:t>
      </w:r>
      <w:r w:rsidR="00325112" w:rsidRPr="00C90AC9">
        <w:rPr>
          <w:rFonts w:eastAsiaTheme="minorHAnsi"/>
          <w:lang w:eastAsia="en-US"/>
        </w:rPr>
        <w:t>es</w:t>
      </w:r>
      <w:r w:rsidRPr="00C90AC9">
        <w:rPr>
          <w:rFonts w:eastAsiaTheme="minorHAnsi"/>
          <w:lang w:eastAsia="en-US"/>
        </w:rPr>
        <w:t xml:space="preserve"> that by taking a “bottom up” approach to understanding the adoption  and diffusion of renewable technology by appreciating the opinions of “change-actors” one is more likely not to neglect any important factors that might facilitate this process </w:t>
      </w:r>
      <w:r w:rsidR="00325112" w:rsidRPr="00C90AC9">
        <w:rPr>
          <w:rFonts w:eastAsiaTheme="minorHAnsi"/>
          <w:lang w:eastAsia="en-US"/>
        </w:rPr>
        <w:fldChar w:fldCharType="begin"/>
      </w:r>
      <w:r w:rsidR="00325112" w:rsidRPr="00C90AC9">
        <w:rPr>
          <w:rFonts w:eastAsiaTheme="minorHAnsi"/>
          <w:lang w:eastAsia="en-US"/>
        </w:rPr>
        <w:instrText xml:space="preserve"> ADDIN EN.CITE &lt;EndNote&gt;&lt;Cite&gt;&lt;Author&gt;Doblinger&lt;/Author&gt;&lt;Year&gt;2013&lt;/Year&gt;&lt;RecNum&gt;265&lt;/RecNum&gt;&lt;DisplayText&gt;(Doblinger &amp;amp; Soppe, 2013)&lt;/DisplayText&gt;&lt;record&gt;&lt;rec-number&gt;265&lt;/rec-number&gt;&lt;foreign-keys&gt;&lt;key app="EN" db-id="50wxdpzd9vd5r7e9t5b595djrfpttrxw9avp" timestamp="1526107186"&gt;265&lt;/key&gt;&lt;/foreign-keys&gt;&lt;ref-type name="Journal Article"&gt;17&lt;/ref-type&gt;&lt;contributors&gt;&lt;authors&gt;&lt;author&gt;Doblinger, Claudia&lt;/author&gt;&lt;author&gt;Soppe, Birthe&lt;/author&gt;&lt;/authors&gt;&lt;/contributors&gt;&lt;titles&gt;&lt;title&gt;Change-actors in the U.S. electric energy system: The role of environmental groups in utility adoption and diffusion of wind power&lt;/title&gt;&lt;secondary-title&gt;Energy Policy&lt;/secondary-title&gt;&lt;/titles&gt;&lt;pages&gt;274-284&lt;/pages&gt;&lt;volume&gt;61&lt;/volume&gt;&lt;keywords&gt;&lt;keyword&gt;Environmental groups&lt;/keyword&gt;&lt;keyword&gt;Institutional theory&lt;/keyword&gt;&lt;keyword&gt;Renewable energy technologies&lt;/keyword&gt;&lt;/keywords&gt;&lt;dates&gt;&lt;year&gt;2013&lt;/year&gt;&lt;pub-dates&gt;&lt;date&gt;2013/10/01/&lt;/date&gt;&lt;/pub-dates&gt;&lt;/dates&gt;&lt;isbn&gt;0301-4215&lt;/isbn&gt;&lt;urls&gt;&lt;related-urls&gt;&lt;url&gt;http://www.sciencedirect.com/science/article/pii/S030142151300671X&lt;/url&gt;&lt;/related-urls&gt;&lt;/urls&gt;&lt;electronic-resource-num&gt;https://doi.org/10.1016/j.enpol.2013.07.028&lt;/electronic-resource-num&gt;&lt;/record&gt;&lt;/Cite&gt;&lt;/EndNote&gt;</w:instrText>
      </w:r>
      <w:r w:rsidR="00325112" w:rsidRPr="00C90AC9">
        <w:rPr>
          <w:rFonts w:eastAsiaTheme="minorHAnsi"/>
          <w:lang w:eastAsia="en-US"/>
        </w:rPr>
        <w:fldChar w:fldCharType="separate"/>
      </w:r>
      <w:r w:rsidR="00325112" w:rsidRPr="00C90AC9">
        <w:rPr>
          <w:rFonts w:eastAsiaTheme="minorHAnsi"/>
          <w:lang w:eastAsia="en-US"/>
        </w:rPr>
        <w:t>(Doblinger &amp; Soppe, 2013)</w:t>
      </w:r>
      <w:r w:rsidR="00325112" w:rsidRPr="00C90AC9">
        <w:rPr>
          <w:rFonts w:eastAsiaTheme="minorHAnsi"/>
          <w:lang w:eastAsia="en-US"/>
        </w:rPr>
        <w:fldChar w:fldCharType="end"/>
      </w:r>
      <w:r w:rsidRPr="00C90AC9">
        <w:rPr>
          <w:rFonts w:eastAsiaTheme="minorHAnsi"/>
          <w:lang w:eastAsia="en-US"/>
        </w:rPr>
        <w:t>. This appr</w:t>
      </w:r>
      <w:r w:rsidR="002D18AD" w:rsidRPr="00C90AC9">
        <w:rPr>
          <w:rFonts w:eastAsiaTheme="minorHAnsi"/>
          <w:lang w:eastAsia="en-US"/>
        </w:rPr>
        <w:t xml:space="preserve">oach was the focus of DiMaggio </w:t>
      </w:r>
      <w:r w:rsidR="00325112" w:rsidRPr="00C90AC9">
        <w:rPr>
          <w:rFonts w:eastAsiaTheme="minorHAnsi"/>
          <w:lang w:eastAsia="en-US"/>
        </w:rPr>
        <w:t>who also</w:t>
      </w:r>
      <w:r w:rsidRPr="00C90AC9">
        <w:rPr>
          <w:rFonts w:eastAsiaTheme="minorHAnsi"/>
          <w:lang w:eastAsia="en-US"/>
        </w:rPr>
        <w:t xml:space="preserve"> str</w:t>
      </w:r>
      <w:r w:rsidR="00325112" w:rsidRPr="00C90AC9">
        <w:rPr>
          <w:rFonts w:eastAsiaTheme="minorHAnsi"/>
          <w:lang w:eastAsia="en-US"/>
        </w:rPr>
        <w:t xml:space="preserve">essed the importance of understanding </w:t>
      </w:r>
      <w:r w:rsidRPr="00C90AC9">
        <w:rPr>
          <w:rFonts w:eastAsiaTheme="minorHAnsi"/>
          <w:lang w:eastAsia="en-US"/>
        </w:rPr>
        <w:t xml:space="preserve">the opinions of </w:t>
      </w:r>
      <w:r w:rsidR="00E82522" w:rsidRPr="00C90AC9">
        <w:rPr>
          <w:rFonts w:eastAsiaTheme="minorHAnsi"/>
          <w:lang w:eastAsia="en-US"/>
        </w:rPr>
        <w:t>main</w:t>
      </w:r>
      <w:r w:rsidRPr="00C90AC9">
        <w:rPr>
          <w:rFonts w:eastAsiaTheme="minorHAnsi"/>
          <w:lang w:eastAsia="en-US"/>
        </w:rPr>
        <w:t xml:space="preserve"> actors</w:t>
      </w:r>
      <w:r w:rsidR="002D18AD" w:rsidRPr="00C90AC9">
        <w:rPr>
          <w:rFonts w:eastAsiaTheme="minorHAnsi"/>
          <w:lang w:eastAsia="en-US"/>
        </w:rPr>
        <w:t xml:space="preserve"> as did Martin et al </w:t>
      </w:r>
      <w:r w:rsidR="002D18AD" w:rsidRPr="00C90AC9">
        <w:rPr>
          <w:rFonts w:eastAsiaTheme="minorHAnsi"/>
          <w:lang w:eastAsia="en-US"/>
        </w:rPr>
        <w:fldChar w:fldCharType="begin">
          <w:fldData xml:space="preserve">PEVuZE5vdGU+PENpdGU+PEF1dGhvcj5Db29uZXk8L0F1dGhvcj48WWVhcj4yMDA3PC9ZZWFyPjxS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</w:fldData>
        </w:fldChar>
      </w:r>
      <w:r w:rsidR="002D18AD" w:rsidRPr="00C90AC9">
        <w:rPr>
          <w:rFonts w:eastAsiaTheme="minorHAnsi"/>
          <w:lang w:eastAsia="en-US"/>
        </w:rPr>
        <w:instrText xml:space="preserve"> ADDIN EN.CITE </w:instrText>
      </w:r>
      <w:r w:rsidR="002D18AD" w:rsidRPr="00C90AC9">
        <w:rPr>
          <w:rFonts w:eastAsiaTheme="minorHAnsi"/>
          <w:lang w:eastAsia="en-US"/>
        </w:rPr>
        <w:fldChar w:fldCharType="begin">
          <w:fldData xml:space="preserve">PEVuZE5vdGU+PENpdGU+PEF1dGhvcj5Db29uZXk8L0F1dGhvcj48WWVhcj4yMDA3PC9ZZWFyPjxS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</w:fldData>
        </w:fldChar>
      </w:r>
      <w:r w:rsidR="002D18AD" w:rsidRPr="00C90AC9">
        <w:rPr>
          <w:rFonts w:eastAsiaTheme="minorHAnsi"/>
          <w:lang w:eastAsia="en-US"/>
        </w:rPr>
        <w:instrText xml:space="preserve"> ADDIN EN.CITE.DATA </w:instrText>
      </w:r>
      <w:r w:rsidR="002D18AD" w:rsidRPr="00C90AC9">
        <w:rPr>
          <w:rFonts w:eastAsiaTheme="minorHAnsi"/>
          <w:lang w:eastAsia="en-US"/>
        </w:rPr>
      </w:r>
      <w:r w:rsidR="002D18AD" w:rsidRPr="00C90AC9">
        <w:rPr>
          <w:rFonts w:eastAsiaTheme="minorHAnsi"/>
          <w:lang w:eastAsia="en-US"/>
        </w:rPr>
        <w:fldChar w:fldCharType="end"/>
      </w:r>
      <w:r w:rsidR="002D18AD" w:rsidRPr="00C90AC9">
        <w:rPr>
          <w:rFonts w:eastAsiaTheme="minorHAnsi"/>
          <w:lang w:eastAsia="en-US"/>
        </w:rPr>
      </w:r>
      <w:r w:rsidR="002D18AD" w:rsidRPr="00C90AC9">
        <w:rPr>
          <w:rFonts w:eastAsiaTheme="minorHAnsi"/>
          <w:lang w:eastAsia="en-US"/>
        </w:rPr>
        <w:fldChar w:fldCharType="separate"/>
      </w:r>
      <w:r w:rsidR="002D18AD" w:rsidRPr="00C90AC9">
        <w:rPr>
          <w:rFonts w:eastAsiaTheme="minorHAnsi"/>
          <w:lang w:eastAsia="en-US"/>
        </w:rPr>
        <w:t>(Cooney, 2007; Martin et al., 2014)</w:t>
      </w:r>
      <w:r w:rsidR="002D18AD" w:rsidRPr="00C90AC9">
        <w:rPr>
          <w:rFonts w:eastAsiaTheme="minorHAnsi"/>
          <w:lang w:eastAsia="en-US"/>
        </w:rPr>
        <w:fldChar w:fldCharType="end"/>
      </w:r>
      <w:r w:rsidRPr="00C90AC9">
        <w:rPr>
          <w:rFonts w:eastAsiaTheme="minorHAnsi"/>
          <w:lang w:eastAsia="en-US"/>
        </w:rPr>
        <w:t>.</w:t>
      </w:r>
    </w:p>
    <w:p w:rsidR="00F171E4" w:rsidRPr="00C90AC9" w:rsidRDefault="00F171E4" w:rsidP="00F171E4">
      <w:pPr>
        <w:pStyle w:val="ListContinue"/>
        <w:spacing w:line="360" w:lineRule="auto"/>
        <w:ind w:left="0"/>
        <w:rPr>
          <w:rFonts w:eastAsiaTheme="minorHAnsi"/>
          <w:lang w:eastAsia="en-US"/>
        </w:rPr>
      </w:pPr>
      <w:r w:rsidRPr="00C90AC9">
        <w:rPr>
          <w:rFonts w:eastAsiaTheme="minorHAnsi"/>
          <w:lang w:eastAsia="en-US"/>
        </w:rPr>
        <w:t xml:space="preserve">Semi-structured interviews were chosen as the method to best achieve these opinions as semi-structured interviews allow a specific and direct conversation to be had thus the required information can be elucidated effectively whilst it allows the participants to express their opinions in the way that they see fit. Another key benefit for employing this method is that it is time beneficial whilst not constraining the answers given by the participants. The structure of the interview is capable of being defined and arranged in such a way so that greater information on the key attributes that each participant has can be determined with regard to STPs </w:t>
      </w:r>
      <w:r w:rsidRPr="00C90AC9">
        <w:rPr>
          <w:rFonts w:eastAsiaTheme="minorHAnsi"/>
          <w:lang w:eastAsia="en-US"/>
        </w:rPr>
        <w:fldChar w:fldCharType="begin"/>
      </w:r>
      <w:r w:rsidRPr="00C90AC9">
        <w:rPr>
          <w:rFonts w:eastAsiaTheme="minorHAnsi"/>
          <w:lang w:eastAsia="en-US"/>
        </w:rPr>
        <w:instrText xml:space="preserve"> ADDIN EN.CITE &lt;EndNote&gt;&lt;Cite&gt;&lt;Author&gt;Weijermars&lt;/Author&gt;&lt;Year&gt;2012&lt;/Year&gt;&lt;RecNum&gt;276&lt;/RecNum&gt;&lt;DisplayText&gt;(Weijermars et al., 2012)&lt;/DisplayText&gt;&lt;record&gt;&lt;rec-number&gt;276&lt;/rec-number&gt;&lt;foreign-keys&gt;&lt;key app="EN" db-id="50wxdpzd9vd5r7e9t5b595djrfpttrxw9avp" timestamp="1526376218"&gt;276&lt;/key&gt;&lt;/foreign-keys&gt;&lt;ref-type name="Journal Article"&gt;17&lt;/ref-type&gt;&lt;contributors&gt;&lt;authors&gt;&lt;author&gt;Weijermars, Ruud&lt;/author&gt;&lt;author&gt;Taylor, Peter&lt;/author&gt;&lt;author&gt;Bahn, Olivier&lt;/author&gt;&lt;author&gt;Das, Subir Ranjan&lt;/author&gt;&lt;author&gt;Wei, Yi-Ming&lt;/author&gt;&lt;/authors&gt;&lt;/contributors&gt;&lt;titles&gt;&lt;title&gt;Review of models and actors in energy mix optimization – can leader visions and decisions align with optimum model strategies for our future energy systems?&lt;/title&gt;&lt;secondary-title&gt;Energy Strategy Reviews&lt;/secondary-title&gt;&lt;/titles&gt;&lt;pages&gt;5-18&lt;/pages&gt;&lt;volume&gt;1&lt;/volume&gt;&lt;number&gt;1&lt;/number&gt;&lt;keywords&gt;&lt;keyword&gt;Energy strategy&lt;/keyword&gt;&lt;keyword&gt;Energy vision&lt;/keyword&gt;&lt;keyword&gt;Energy scenarios&lt;/keyword&gt;&lt;keyword&gt;Energy mix&lt;/keyword&gt;&lt;keyword&gt;Future energy choices&lt;/keyword&gt;&lt;keyword&gt;Energy strategy decision-making&lt;/keyword&gt;&lt;keyword&gt;Corporate energy strategy&lt;/keyword&gt;&lt;keyword&gt;Energy strategy analysis&lt;/keyword&gt;&lt;keyword&gt;Energy strategy implementation&lt;/keyword&gt;&lt;/keywords&gt;&lt;dates&gt;&lt;year&gt;2012&lt;/year&gt;&lt;pub-dates&gt;&lt;date&gt;2012/03/01/&lt;/date&gt;&lt;/pub-dates&gt;&lt;/dates&gt;&lt;isbn&gt;2211-467X&lt;/isbn&gt;&lt;urls&gt;&lt;related-urls&gt;&lt;url&gt;http://www.sciencedirect.com/science/article/pii/S2211467X11000022&lt;/url&gt;&lt;/related-urls&gt;&lt;/urls&gt;&lt;electronic-resource-num&gt;https://doi.org/10.1016/j.esr.2011.10.001&lt;/electronic-resource-num&gt;&lt;/record&gt;&lt;/Cite&gt;&lt;/EndNote&gt;</w:instrText>
      </w:r>
      <w:r w:rsidRPr="00C90AC9">
        <w:rPr>
          <w:rFonts w:eastAsiaTheme="minorHAnsi"/>
          <w:lang w:eastAsia="en-US"/>
        </w:rPr>
        <w:fldChar w:fldCharType="separate"/>
      </w:r>
      <w:r w:rsidRPr="00C90AC9">
        <w:rPr>
          <w:rFonts w:eastAsiaTheme="minorHAnsi"/>
          <w:lang w:eastAsia="en-US"/>
        </w:rPr>
        <w:t>(Weijermars et al., 2012)</w:t>
      </w:r>
      <w:r w:rsidRPr="00C90AC9">
        <w:rPr>
          <w:rFonts w:eastAsiaTheme="minorHAnsi"/>
          <w:lang w:eastAsia="en-US"/>
        </w:rPr>
        <w:fldChar w:fldCharType="end"/>
      </w:r>
      <w:r w:rsidRPr="00C90AC9">
        <w:rPr>
          <w:rFonts w:eastAsiaTheme="minorHAnsi"/>
          <w:lang w:eastAsia="en-US"/>
        </w:rPr>
        <w:t xml:space="preserve">. A key topic to discern their opinion on is the methods that could be employed to maximally diffuse this technology to the broader population. Conversely any potential pitfalls which should be avoided in the diffusion of this technology were also investigated. </w:t>
      </w:r>
    </w:p>
    <w:p w:rsidR="00F171E4" w:rsidRPr="00C90AC9" w:rsidRDefault="00F171E4" w:rsidP="00F171E4">
      <w:pPr>
        <w:pStyle w:val="BodyText"/>
        <w:spacing w:line="360" w:lineRule="auto"/>
        <w:rPr>
          <w:rFonts w:eastAsiaTheme="minorHAnsi"/>
          <w:lang w:eastAsia="en-US"/>
        </w:rPr>
      </w:pPr>
    </w:p>
    <w:p w:rsidR="00A16B8C" w:rsidRPr="00C90AC9" w:rsidRDefault="00A16B8C" w:rsidP="00CA6E35">
      <w:pPr>
        <w:pStyle w:val="List"/>
        <w:numPr>
          <w:ilvl w:val="1"/>
          <w:numId w:val="11"/>
        </w:numPr>
        <w:ind w:left="0" w:firstLine="0"/>
        <w:rPr>
          <w:rStyle w:val="SubtleEmphasis"/>
          <w:rFonts w:cs="Times New Roman"/>
          <w:iCs/>
          <w:szCs w:val="24"/>
        </w:rPr>
      </w:pPr>
      <w:bookmarkStart w:id="55" w:name="_Toc447173076"/>
      <w:r w:rsidRPr="00C90AC9">
        <w:rPr>
          <w:rStyle w:val="SubtleEmphasis"/>
          <w:rFonts w:cs="Times New Roman"/>
          <w:iCs/>
          <w:szCs w:val="24"/>
        </w:rPr>
        <w:lastRenderedPageBreak/>
        <w:t>Semi-structured interviews</w:t>
      </w:r>
      <w:bookmarkEnd w:id="55"/>
      <w:r w:rsidR="00775580" w:rsidRPr="00C90AC9">
        <w:rPr>
          <w:rStyle w:val="SubtleEmphasis"/>
          <w:rFonts w:cs="Times New Roman"/>
          <w:iCs/>
          <w:szCs w:val="24"/>
        </w:rPr>
        <w:t>, methods</w:t>
      </w:r>
    </w:p>
    <w:p w:rsidR="00B90C04" w:rsidRPr="00C90AC9" w:rsidRDefault="00A16B8C" w:rsidP="003967B7">
      <w:pPr>
        <w:pStyle w:val="ListContinue"/>
        <w:spacing w:line="360" w:lineRule="auto"/>
        <w:ind w:left="0"/>
        <w:rPr>
          <w:rFonts w:eastAsiaTheme="minorHAnsi"/>
          <w:lang w:eastAsia="en-US"/>
        </w:rPr>
      </w:pPr>
      <w:r w:rsidRPr="00C90AC9">
        <w:rPr>
          <w:rFonts w:eastAsiaTheme="minorHAnsi"/>
          <w:lang w:eastAsia="en-US"/>
        </w:rPr>
        <w:t xml:space="preserve">Semi-structured interviews were conducted with the various </w:t>
      </w:r>
      <w:r w:rsidR="00E82522" w:rsidRPr="00C90AC9">
        <w:rPr>
          <w:rFonts w:eastAsiaTheme="minorHAnsi"/>
          <w:lang w:eastAsia="en-US"/>
        </w:rPr>
        <w:t>main</w:t>
      </w:r>
      <w:r w:rsidRPr="00C90AC9">
        <w:rPr>
          <w:rFonts w:eastAsiaTheme="minorHAnsi"/>
          <w:lang w:eastAsia="en-US"/>
        </w:rPr>
        <w:t xml:space="preserve"> actors in the solar thermal panel industry as </w:t>
      </w:r>
      <w:r w:rsidR="004970BC" w:rsidRPr="00C90AC9">
        <w:rPr>
          <w:rFonts w:eastAsiaTheme="minorHAnsi"/>
          <w:lang w:eastAsia="en-US"/>
        </w:rPr>
        <w:t>listed</w:t>
      </w:r>
      <w:r w:rsidRPr="00C90AC9">
        <w:rPr>
          <w:rFonts w:eastAsiaTheme="minorHAnsi"/>
          <w:lang w:eastAsia="en-US"/>
        </w:rPr>
        <w:t xml:space="preserve"> above to better understand their opinions about </w:t>
      </w:r>
      <w:r w:rsidR="006518C0" w:rsidRPr="00C90AC9">
        <w:rPr>
          <w:rFonts w:eastAsiaTheme="minorHAnsi"/>
          <w:lang w:eastAsia="en-US"/>
        </w:rPr>
        <w:t>STPs</w:t>
      </w:r>
      <w:r w:rsidRPr="00C90AC9">
        <w:rPr>
          <w:rFonts w:eastAsiaTheme="minorHAnsi"/>
          <w:lang w:eastAsia="en-US"/>
        </w:rPr>
        <w:t xml:space="preserve"> and their specialist knowledge about </w:t>
      </w:r>
      <w:r w:rsidR="00775580" w:rsidRPr="00C90AC9">
        <w:rPr>
          <w:rFonts w:eastAsiaTheme="minorHAnsi"/>
          <w:lang w:eastAsia="en-US"/>
        </w:rPr>
        <w:t>STP</w:t>
      </w:r>
      <w:r w:rsidRPr="00C90AC9">
        <w:rPr>
          <w:rFonts w:eastAsiaTheme="minorHAnsi"/>
          <w:lang w:eastAsia="en-US"/>
        </w:rPr>
        <w:t xml:space="preserve"> technology.</w:t>
      </w:r>
      <w:r w:rsidR="004970BC" w:rsidRPr="00C90AC9">
        <w:rPr>
          <w:rFonts w:eastAsiaTheme="minorHAnsi"/>
          <w:lang w:eastAsia="en-US"/>
        </w:rPr>
        <w:t xml:space="preserve"> </w:t>
      </w:r>
      <w:r w:rsidR="00B90C04" w:rsidRPr="00C90AC9">
        <w:rPr>
          <w:rFonts w:eastAsiaTheme="minorHAnsi"/>
          <w:lang w:eastAsia="en-US"/>
        </w:rPr>
        <w:t xml:space="preserve">Once the main categories of main actors </w:t>
      </w:r>
      <w:r w:rsidR="004970BC" w:rsidRPr="00C90AC9">
        <w:rPr>
          <w:rFonts w:eastAsiaTheme="minorHAnsi"/>
          <w:lang w:eastAsia="en-US"/>
        </w:rPr>
        <w:t xml:space="preserve">were </w:t>
      </w:r>
      <w:r w:rsidR="00B90C04" w:rsidRPr="00C90AC9">
        <w:rPr>
          <w:rFonts w:eastAsiaTheme="minorHAnsi"/>
          <w:lang w:eastAsia="en-US"/>
        </w:rPr>
        <w:t xml:space="preserve">identified, potential participants of this study were contacted to enquire about their </w:t>
      </w:r>
      <w:r w:rsidR="004970BC" w:rsidRPr="00C90AC9">
        <w:rPr>
          <w:rFonts w:eastAsiaTheme="minorHAnsi"/>
          <w:lang w:eastAsia="en-US"/>
        </w:rPr>
        <w:t>availability to be included in this research.</w:t>
      </w:r>
    </w:p>
    <w:p w:rsidR="00A16B8C" w:rsidRPr="00C90AC9" w:rsidRDefault="00BF3B73" w:rsidP="003967B7">
      <w:pPr>
        <w:pStyle w:val="ListContinue"/>
        <w:spacing w:line="360" w:lineRule="auto"/>
        <w:ind w:left="0"/>
        <w:rPr>
          <w:rFonts w:eastAsiaTheme="minorHAnsi"/>
          <w:lang w:eastAsia="en-US"/>
        </w:rPr>
      </w:pPr>
      <w:r w:rsidRPr="00C90AC9">
        <w:rPr>
          <w:rFonts w:eastAsiaTheme="minorHAnsi"/>
          <w:lang w:eastAsia="en-US"/>
        </w:rPr>
        <w:t xml:space="preserve">Prior to </w:t>
      </w:r>
      <w:r w:rsidR="00B90C04" w:rsidRPr="00C90AC9">
        <w:rPr>
          <w:rFonts w:eastAsiaTheme="minorHAnsi"/>
          <w:lang w:eastAsia="en-US"/>
        </w:rPr>
        <w:t>the interviews being conducted</w:t>
      </w:r>
      <w:r w:rsidR="004970BC" w:rsidRPr="00C90AC9">
        <w:rPr>
          <w:rFonts w:eastAsiaTheme="minorHAnsi"/>
          <w:lang w:eastAsia="en-US"/>
        </w:rPr>
        <w:t>,</w:t>
      </w:r>
      <w:r w:rsidR="00B90C04" w:rsidRPr="00C90AC9">
        <w:rPr>
          <w:rFonts w:eastAsiaTheme="minorHAnsi"/>
          <w:lang w:eastAsia="en-US"/>
        </w:rPr>
        <w:t xml:space="preserve"> a</w:t>
      </w:r>
      <w:r w:rsidR="004970BC" w:rsidRPr="00C90AC9">
        <w:rPr>
          <w:rFonts w:eastAsiaTheme="minorHAnsi"/>
          <w:lang w:eastAsia="en-US"/>
        </w:rPr>
        <w:t>n interview question guide was prepared which can be found in Appendix</w:t>
      </w:r>
      <w:r w:rsidR="0048060D" w:rsidRPr="00C90AC9">
        <w:rPr>
          <w:rFonts w:eastAsiaTheme="minorHAnsi"/>
          <w:lang w:eastAsia="en-US"/>
        </w:rPr>
        <w:t xml:space="preserve"> 7.9</w:t>
      </w:r>
      <w:r w:rsidR="004970BC" w:rsidRPr="00C90AC9">
        <w:rPr>
          <w:rFonts w:eastAsiaTheme="minorHAnsi"/>
          <w:lang w:eastAsia="en-US"/>
        </w:rPr>
        <w:t xml:space="preserve">. This interview guide served as a question prompt for the researcher however it is not rigidly adhered to as is the case with semi-structured interviews. </w:t>
      </w:r>
      <w:r w:rsidR="00A16B8C" w:rsidRPr="00C90AC9">
        <w:rPr>
          <w:rFonts w:eastAsiaTheme="minorHAnsi"/>
          <w:lang w:eastAsia="en-US"/>
        </w:rPr>
        <w:t xml:space="preserve">The interviews were conducted by telephone for </w:t>
      </w:r>
      <w:r w:rsidR="005573E1" w:rsidRPr="00C90AC9">
        <w:rPr>
          <w:rFonts w:eastAsiaTheme="minorHAnsi"/>
          <w:lang w:eastAsia="en-US"/>
        </w:rPr>
        <w:t>ease of access to the participants where necessary</w:t>
      </w:r>
      <w:r w:rsidRPr="00C90AC9">
        <w:rPr>
          <w:rFonts w:eastAsiaTheme="minorHAnsi"/>
          <w:lang w:eastAsia="en-US"/>
        </w:rPr>
        <w:t>,</w:t>
      </w:r>
      <w:r w:rsidR="005573E1" w:rsidRPr="00C90AC9">
        <w:rPr>
          <w:rFonts w:eastAsiaTheme="minorHAnsi"/>
          <w:lang w:eastAsia="en-US"/>
        </w:rPr>
        <w:t xml:space="preserve"> or in person where possible. T</w:t>
      </w:r>
      <w:r w:rsidR="00A16B8C" w:rsidRPr="00C90AC9">
        <w:rPr>
          <w:rFonts w:eastAsiaTheme="minorHAnsi"/>
          <w:lang w:eastAsia="en-US"/>
        </w:rPr>
        <w:t xml:space="preserve">he conversations </w:t>
      </w:r>
      <w:r w:rsidR="005573E1" w:rsidRPr="00C90AC9">
        <w:rPr>
          <w:rFonts w:eastAsiaTheme="minorHAnsi"/>
          <w:lang w:eastAsia="en-US"/>
        </w:rPr>
        <w:t xml:space="preserve">were </w:t>
      </w:r>
      <w:r w:rsidR="00A16B8C" w:rsidRPr="00C90AC9">
        <w:rPr>
          <w:rFonts w:eastAsiaTheme="minorHAnsi"/>
          <w:lang w:eastAsia="en-US"/>
        </w:rPr>
        <w:t>a</w:t>
      </w:r>
      <w:r w:rsidR="005573E1" w:rsidRPr="00C90AC9">
        <w:rPr>
          <w:rFonts w:eastAsiaTheme="minorHAnsi"/>
          <w:lang w:eastAsia="en-US"/>
        </w:rPr>
        <w:t>udio recorded and the</w:t>
      </w:r>
      <w:r w:rsidR="00A16B8C" w:rsidRPr="00C90AC9">
        <w:rPr>
          <w:rFonts w:eastAsiaTheme="minorHAnsi"/>
          <w:lang w:eastAsia="en-US"/>
        </w:rPr>
        <w:t xml:space="preserve"> resulting conversations were transcribed verbatim so that no information was lost</w:t>
      </w:r>
      <w:r w:rsidR="005573E1" w:rsidRPr="00C90AC9">
        <w:rPr>
          <w:rFonts w:eastAsiaTheme="minorHAnsi"/>
          <w:lang w:eastAsia="en-US"/>
        </w:rPr>
        <w:t xml:space="preserve"> before </w:t>
      </w:r>
      <w:r w:rsidR="00A16B8C" w:rsidRPr="00C90AC9">
        <w:rPr>
          <w:rFonts w:eastAsiaTheme="minorHAnsi"/>
          <w:lang w:eastAsia="en-US"/>
        </w:rPr>
        <w:t>the analysis</w:t>
      </w:r>
      <w:r w:rsidR="005573E1" w:rsidRPr="00C90AC9">
        <w:rPr>
          <w:rFonts w:eastAsiaTheme="minorHAnsi"/>
          <w:lang w:eastAsia="en-US"/>
        </w:rPr>
        <w:t xml:space="preserve"> of the transcripts could be conducted</w:t>
      </w:r>
      <w:r w:rsidR="00A16B8C" w:rsidRPr="00C90AC9">
        <w:rPr>
          <w:rFonts w:eastAsiaTheme="minorHAnsi"/>
          <w:lang w:eastAsia="en-US"/>
        </w:rPr>
        <w:t xml:space="preserve">. </w:t>
      </w:r>
    </w:p>
    <w:p w:rsidR="005573E1" w:rsidRPr="00C90AC9" w:rsidRDefault="005573E1" w:rsidP="003967B7">
      <w:pPr>
        <w:pStyle w:val="ListContinue"/>
        <w:spacing w:line="360" w:lineRule="auto"/>
        <w:ind w:left="0"/>
        <w:rPr>
          <w:rFonts w:eastAsiaTheme="minorHAnsi"/>
          <w:lang w:eastAsia="en-US"/>
        </w:rPr>
      </w:pPr>
      <w:r w:rsidRPr="00C90AC9">
        <w:rPr>
          <w:rFonts w:eastAsiaTheme="minorHAnsi"/>
          <w:lang w:eastAsia="en-US"/>
        </w:rPr>
        <w:t>The structure of the conversations was prepared in advance and centred around the constructs of the TAM which is to say that the perceived usefulness and perceived ease of news was investigated. Additional factors which might impact the TAM such as trust was also included in the structure of the interviews</w:t>
      </w:r>
    </w:p>
    <w:p w:rsidR="00F171E4" w:rsidRPr="00C90AC9" w:rsidRDefault="00F171E4" w:rsidP="003967B7">
      <w:pPr>
        <w:pStyle w:val="ListContinue"/>
        <w:spacing w:line="360" w:lineRule="auto"/>
        <w:ind w:left="0"/>
        <w:rPr>
          <w:rFonts w:eastAsiaTheme="minorHAnsi"/>
          <w:lang w:eastAsia="en-US"/>
        </w:rPr>
      </w:pPr>
    </w:p>
    <w:p w:rsidR="003E76C5" w:rsidRPr="00C90AC9" w:rsidRDefault="003E76C5" w:rsidP="00CA6E35">
      <w:pPr>
        <w:pStyle w:val="List2"/>
        <w:numPr>
          <w:ilvl w:val="2"/>
          <w:numId w:val="11"/>
        </w:numPr>
        <w:ind w:left="0" w:firstLine="0"/>
        <w:rPr>
          <w:rStyle w:val="SubtleEmphasis"/>
          <w:rFonts w:cs="Times New Roman"/>
          <w:iCs/>
          <w:szCs w:val="24"/>
        </w:rPr>
      </w:pPr>
      <w:bookmarkStart w:id="56" w:name="_Toc447173088"/>
      <w:r w:rsidRPr="00C90AC9">
        <w:rPr>
          <w:rStyle w:val="SubtleEmphasis"/>
          <w:rFonts w:cs="Times New Roman"/>
          <w:iCs/>
          <w:szCs w:val="24"/>
        </w:rPr>
        <w:t>Summary of participants for the semi-structured interviews in 2012 and 2015</w:t>
      </w:r>
      <w:bookmarkEnd w:id="56"/>
    </w:p>
    <w:p w:rsidR="003E76C5" w:rsidRPr="00C90AC9" w:rsidRDefault="000B0214" w:rsidP="00012484">
      <w:pPr>
        <w:pStyle w:val="BodyTextFirstIndent"/>
        <w:spacing w:line="360" w:lineRule="auto"/>
        <w:ind w:firstLine="357"/>
        <w:rPr>
          <w:rFonts w:eastAsiaTheme="minorHAnsi"/>
          <w:lang w:eastAsia="en-US"/>
        </w:rPr>
      </w:pPr>
      <w:r w:rsidRPr="00C90AC9">
        <w:rPr>
          <w:rFonts w:eastAsiaTheme="minorHAnsi"/>
          <w:lang w:eastAsia="en-US"/>
        </w:rPr>
        <w:t>I</w:t>
      </w:r>
      <w:r w:rsidR="003E76C5" w:rsidRPr="00C90AC9">
        <w:rPr>
          <w:rFonts w:eastAsiaTheme="minorHAnsi"/>
          <w:lang w:eastAsia="en-US"/>
        </w:rPr>
        <w:t xml:space="preserve">n Table 4.1. is a summary of the participants with specialist knowledge </w:t>
      </w:r>
      <w:r w:rsidRPr="00C90AC9">
        <w:rPr>
          <w:rFonts w:eastAsiaTheme="minorHAnsi"/>
          <w:lang w:eastAsia="en-US"/>
        </w:rPr>
        <w:t xml:space="preserve">(main actors) which </w:t>
      </w:r>
      <w:r w:rsidR="003E76C5" w:rsidRPr="00C90AC9">
        <w:rPr>
          <w:rFonts w:eastAsiaTheme="minorHAnsi"/>
          <w:lang w:eastAsia="en-US"/>
        </w:rPr>
        <w:t>were involved with the semi-structured interviews. The sample size is small but it is felt that the conclusions drawn from the research has generalizability to a wider population for a number of reasons. Firstly, the two data sets, one from 2012 and a second from 2015 were very similar and no significant new nodes were apparent in the 2015 study. This suggests that there has not been a significant change in the STP market and the opinions that main actors within it have about the technology. This is a reasonable assumption as the planned Renewable Heat Incentive is still not fully available and there have been no significant advancement in the technology which would make the technology more appealing to potential adopters.</w:t>
      </w:r>
    </w:p>
    <w:p w:rsidR="00F171E4" w:rsidRPr="00C90AC9" w:rsidRDefault="00F171E4" w:rsidP="003E76C5">
      <w:pPr>
        <w:pStyle w:val="BodyTextFirstIndent"/>
        <w:spacing w:line="360" w:lineRule="auto"/>
        <w:ind w:firstLine="0"/>
        <w:rPr>
          <w:rFonts w:eastAsiaTheme="minorHAnsi"/>
          <w:lang w:eastAsia="en-US"/>
        </w:rPr>
      </w:pPr>
    </w:p>
    <w:p w:rsidR="00F171E4" w:rsidRPr="00C90AC9" w:rsidRDefault="00F171E4" w:rsidP="003E76C5">
      <w:pPr>
        <w:pStyle w:val="BodyTextFirstIndent"/>
        <w:spacing w:line="360" w:lineRule="auto"/>
        <w:ind w:firstLine="0"/>
        <w:rPr>
          <w:rFonts w:eastAsiaTheme="minorHAnsi"/>
          <w:lang w:eastAsia="en-US"/>
        </w:rPr>
      </w:pPr>
    </w:p>
    <w:p w:rsidR="00F171E4" w:rsidRPr="00C90AC9" w:rsidRDefault="00F171E4" w:rsidP="003E76C5">
      <w:pPr>
        <w:pStyle w:val="BodyTextFirstIndent"/>
        <w:spacing w:line="360" w:lineRule="auto"/>
        <w:ind w:firstLine="0"/>
        <w:rPr>
          <w:rFonts w:eastAsiaTheme="minorHAnsi"/>
          <w:lang w:eastAsia="en-US"/>
        </w:rPr>
      </w:pPr>
    </w:p>
    <w:p w:rsidR="003E76C5" w:rsidRPr="00C90AC9" w:rsidRDefault="003E76C5" w:rsidP="003E76C5">
      <w:pPr>
        <w:pStyle w:val="BodyTextFirstIndent"/>
        <w:spacing w:line="360" w:lineRule="auto"/>
        <w:ind w:firstLine="0"/>
        <w:rPr>
          <w:rFonts w:eastAsiaTheme="minorHAnsi"/>
          <w:lang w:eastAsia="en-US"/>
        </w:rPr>
      </w:pPr>
      <w:r w:rsidRPr="00C90AC9">
        <w:rPr>
          <w:rFonts w:eastAsiaTheme="minorHAnsi"/>
          <w:lang w:eastAsia="en-US"/>
        </w:rPr>
        <w:lastRenderedPageBreak/>
        <w:t xml:space="preserve">Table 4.1. Summary of participants for the semi-structured interviews in 2012 and 2015 </w:t>
      </w:r>
      <w:r w:rsidRPr="00C90AC9">
        <w:rPr>
          <w:rFonts w:eastAsiaTheme="minorHAnsi"/>
          <w:lang w:eastAsia="en-US"/>
        </w:rPr>
        <w:fldChar w:fldCharType="begin">
          <w:fldData xml:space="preserve">PEVuZE5vdGU+PENpdGU+PEF1dGhvcj5UdXJuZXI8L0F1dGhvcj48WWVhcj4yMDEwPC9ZZWFyPjxS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</w:fldData>
        </w:fldChar>
      </w:r>
      <w:r w:rsidRPr="00C90AC9">
        <w:rPr>
          <w:rFonts w:eastAsiaTheme="minorHAnsi"/>
          <w:lang w:eastAsia="en-US"/>
        </w:rPr>
        <w:instrText xml:space="preserve"> ADDIN EN.CITE </w:instrText>
      </w:r>
      <w:r w:rsidRPr="00C90AC9">
        <w:rPr>
          <w:rFonts w:eastAsiaTheme="minorHAnsi"/>
          <w:lang w:eastAsia="en-US"/>
        </w:rPr>
        <w:fldChar w:fldCharType="begin">
          <w:fldData xml:space="preserve">PEVuZE5vdGU+PENpdGU+PEF1dGhvcj5UdXJuZXI8L0F1dGhvcj48WWVhcj4yMDEwPC9ZZWFyPjxS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</w:fldData>
        </w:fldChar>
      </w:r>
      <w:r w:rsidRPr="00C90AC9">
        <w:rPr>
          <w:rFonts w:eastAsiaTheme="minorHAnsi"/>
          <w:lang w:eastAsia="en-US"/>
        </w:rPr>
        <w:instrText xml:space="preserve"> ADDIN EN.CITE.DATA </w:instrText>
      </w:r>
      <w:r w:rsidRPr="00C90AC9">
        <w:rPr>
          <w:rFonts w:eastAsiaTheme="minorHAnsi"/>
          <w:lang w:eastAsia="en-US"/>
        </w:rPr>
      </w:r>
      <w:r w:rsidRPr="00C90AC9">
        <w:rPr>
          <w:rFonts w:eastAsiaTheme="minorHAnsi"/>
          <w:lang w:eastAsia="en-US"/>
        </w:rPr>
        <w:fldChar w:fldCharType="end"/>
      </w:r>
      <w:r w:rsidRPr="00C90AC9">
        <w:rPr>
          <w:rFonts w:eastAsiaTheme="minorHAnsi"/>
          <w:lang w:eastAsia="en-US"/>
        </w:rPr>
      </w:r>
      <w:r w:rsidRPr="00C90AC9">
        <w:rPr>
          <w:rFonts w:eastAsiaTheme="minorHAnsi"/>
          <w:lang w:eastAsia="en-US"/>
        </w:rPr>
        <w:fldChar w:fldCharType="separate"/>
      </w:r>
      <w:r w:rsidRPr="00C90AC9">
        <w:rPr>
          <w:rFonts w:eastAsiaTheme="minorHAnsi"/>
          <w:lang w:eastAsia="en-US"/>
        </w:rPr>
        <w:t>(Martin et al., 2014; Turner et al., 2010)</w:t>
      </w:r>
      <w:r w:rsidRPr="00C90AC9">
        <w:rPr>
          <w:rFonts w:eastAsiaTheme="minorHAnsi"/>
          <w:lang w:eastAsia="en-US"/>
        </w:rPr>
        <w:fldChar w:fldCharType="end"/>
      </w:r>
    </w:p>
    <w:tbl>
      <w:tblPr>
        <w:tblStyle w:val="TableGrid"/>
        <w:tblW w:w="0" w:type="auto"/>
        <w:jc w:val="center"/>
        <w:tblLook w:val="04A0" w:firstRow="1" w:lastRow="0" w:firstColumn="1" w:lastColumn="0" w:noHBand="0" w:noVBand="1"/>
      </w:tblPr>
      <w:tblGrid>
        <w:gridCol w:w="1649"/>
        <w:gridCol w:w="2275"/>
        <w:gridCol w:w="2339"/>
        <w:gridCol w:w="2247"/>
      </w:tblGrid>
      <w:tr w:rsidR="003E76C5" w:rsidRPr="00C90AC9" w:rsidTr="003E76C5">
        <w:trPr>
          <w:jc w:val="center"/>
        </w:trPr>
        <w:tc>
          <w:tcPr>
            <w:tcW w:w="1649" w:type="dxa"/>
            <w:vAlign w:val="center"/>
          </w:tcPr>
          <w:p w:rsidR="003E76C5" w:rsidRPr="00C90AC9" w:rsidRDefault="003E76C5" w:rsidP="009715C7">
            <w:pPr>
              <w:pStyle w:val="BodyTextFirstIndent"/>
              <w:spacing w:line="360" w:lineRule="auto"/>
              <w:ind w:firstLine="0"/>
              <w:jc w:val="center"/>
              <w:rPr>
                <w:rFonts w:eastAsiaTheme="minorHAnsi"/>
                <w:lang w:eastAsia="en-US"/>
              </w:rPr>
            </w:pPr>
            <w:r w:rsidRPr="00C90AC9">
              <w:rPr>
                <w:rFonts w:eastAsiaTheme="minorHAnsi"/>
                <w:lang w:eastAsia="en-US"/>
              </w:rPr>
              <w:t>Year</w:t>
            </w:r>
          </w:p>
        </w:tc>
        <w:tc>
          <w:tcPr>
            <w:tcW w:w="2275" w:type="dxa"/>
            <w:vAlign w:val="center"/>
          </w:tcPr>
          <w:p w:rsidR="003E76C5" w:rsidRPr="00C90AC9" w:rsidRDefault="003E76C5" w:rsidP="009715C7">
            <w:pPr>
              <w:pStyle w:val="BodyTextFirstIndent"/>
              <w:spacing w:line="360" w:lineRule="auto"/>
              <w:ind w:firstLine="0"/>
              <w:jc w:val="center"/>
              <w:rPr>
                <w:rFonts w:eastAsiaTheme="minorHAnsi"/>
                <w:lang w:eastAsia="en-US"/>
              </w:rPr>
            </w:pPr>
            <w:r w:rsidRPr="00C90AC9">
              <w:rPr>
                <w:rFonts w:eastAsiaTheme="minorHAnsi"/>
                <w:lang w:eastAsia="en-US"/>
              </w:rPr>
              <w:t>Participant</w:t>
            </w:r>
          </w:p>
        </w:tc>
        <w:tc>
          <w:tcPr>
            <w:tcW w:w="2339" w:type="dxa"/>
            <w:vAlign w:val="center"/>
          </w:tcPr>
          <w:p w:rsidR="003E76C5" w:rsidRPr="00C90AC9" w:rsidRDefault="003E76C5" w:rsidP="009715C7">
            <w:pPr>
              <w:pStyle w:val="BodyTextFirstIndent"/>
              <w:spacing w:line="360" w:lineRule="auto"/>
              <w:ind w:firstLine="0"/>
              <w:jc w:val="center"/>
              <w:rPr>
                <w:rFonts w:eastAsiaTheme="minorHAnsi"/>
                <w:lang w:eastAsia="en-US"/>
              </w:rPr>
            </w:pPr>
            <w:r w:rsidRPr="00C90AC9">
              <w:rPr>
                <w:rFonts w:eastAsiaTheme="minorHAnsi"/>
                <w:lang w:eastAsia="en-US"/>
              </w:rPr>
              <w:t>STP benefits/drawbacks</w:t>
            </w:r>
          </w:p>
        </w:tc>
        <w:tc>
          <w:tcPr>
            <w:tcW w:w="2247" w:type="dxa"/>
            <w:vAlign w:val="center"/>
          </w:tcPr>
          <w:p w:rsidR="003E76C5" w:rsidRPr="00C90AC9" w:rsidRDefault="003E76C5" w:rsidP="009715C7">
            <w:pPr>
              <w:pStyle w:val="BodyTextFirstIndent"/>
              <w:spacing w:line="360" w:lineRule="auto"/>
              <w:ind w:firstLine="0"/>
              <w:jc w:val="center"/>
              <w:rPr>
                <w:rFonts w:eastAsiaTheme="minorHAnsi"/>
                <w:lang w:eastAsia="en-US"/>
              </w:rPr>
            </w:pPr>
            <w:r w:rsidRPr="00C90AC9">
              <w:rPr>
                <w:rFonts w:eastAsiaTheme="minorHAnsi"/>
                <w:lang w:eastAsia="en-US"/>
              </w:rPr>
              <w:t>Personal reasons for adopting or not</w:t>
            </w:r>
          </w:p>
        </w:tc>
      </w:tr>
      <w:tr w:rsidR="003E76C5" w:rsidRPr="00C90AC9" w:rsidTr="003E76C5">
        <w:trPr>
          <w:jc w:val="center"/>
        </w:trPr>
        <w:tc>
          <w:tcPr>
            <w:tcW w:w="1649" w:type="dxa"/>
            <w:vAlign w:val="center"/>
          </w:tcPr>
          <w:p w:rsidR="003E76C5" w:rsidRPr="00C90AC9" w:rsidRDefault="003E76C5" w:rsidP="009715C7">
            <w:pPr>
              <w:pStyle w:val="BodyTextFirstIndent"/>
              <w:spacing w:line="360" w:lineRule="auto"/>
              <w:ind w:firstLine="0"/>
              <w:jc w:val="center"/>
              <w:rPr>
                <w:rFonts w:eastAsiaTheme="minorHAnsi"/>
                <w:lang w:eastAsia="en-US"/>
              </w:rPr>
            </w:pPr>
            <w:r w:rsidRPr="00C90AC9">
              <w:rPr>
                <w:rFonts w:eastAsiaTheme="minorHAnsi"/>
                <w:lang w:eastAsia="en-US"/>
              </w:rPr>
              <w:t>2012</w:t>
            </w:r>
          </w:p>
        </w:tc>
        <w:tc>
          <w:tcPr>
            <w:tcW w:w="2275" w:type="dxa"/>
            <w:vAlign w:val="center"/>
          </w:tcPr>
          <w:p w:rsidR="003E76C5" w:rsidRPr="00C90AC9" w:rsidRDefault="004970BC" w:rsidP="009715C7">
            <w:pPr>
              <w:pStyle w:val="BodyTextFirstIndent"/>
              <w:spacing w:line="360" w:lineRule="auto"/>
              <w:ind w:firstLine="0"/>
              <w:jc w:val="center"/>
              <w:rPr>
                <w:rFonts w:eastAsiaTheme="minorHAnsi"/>
                <w:lang w:eastAsia="en-US"/>
              </w:rPr>
            </w:pPr>
            <w:r w:rsidRPr="00C90AC9">
              <w:rPr>
                <w:rFonts w:eastAsiaTheme="minorHAnsi"/>
                <w:lang w:eastAsia="en-US"/>
              </w:rPr>
              <w:t>a</w:t>
            </w:r>
            <w:r w:rsidR="003E76C5" w:rsidRPr="00C90AC9">
              <w:rPr>
                <w:rFonts w:eastAsiaTheme="minorHAnsi"/>
                <w:lang w:eastAsia="en-US"/>
              </w:rPr>
              <w:t>cademic</w:t>
            </w:r>
          </w:p>
        </w:tc>
        <w:tc>
          <w:tcPr>
            <w:tcW w:w="2339" w:type="dxa"/>
            <w:vAlign w:val="center"/>
          </w:tcPr>
          <w:p w:rsidR="003E76C5" w:rsidRPr="00C90AC9" w:rsidRDefault="003E76C5" w:rsidP="009715C7">
            <w:pPr>
              <w:pStyle w:val="BodyTextFirstIndent"/>
              <w:spacing w:line="360" w:lineRule="auto"/>
              <w:ind w:firstLine="0"/>
              <w:jc w:val="center"/>
              <w:rPr>
                <w:rFonts w:eastAsiaTheme="minorHAnsi"/>
                <w:sz w:val="22"/>
                <w:lang w:eastAsia="en-US"/>
              </w:rPr>
            </w:pPr>
            <w:r w:rsidRPr="00C90AC9">
              <w:rPr>
                <w:rFonts w:eastAsiaTheme="minorHAnsi"/>
                <w:sz w:val="22"/>
                <w:lang w:eastAsia="en-US"/>
              </w:rPr>
              <w:sym w:font="Wingdings" w:char="F0FC"/>
            </w:r>
          </w:p>
        </w:tc>
        <w:tc>
          <w:tcPr>
            <w:tcW w:w="2247" w:type="dxa"/>
            <w:vAlign w:val="center"/>
          </w:tcPr>
          <w:p w:rsidR="003E76C5" w:rsidRPr="00C90AC9" w:rsidRDefault="003E76C5" w:rsidP="009715C7">
            <w:pPr>
              <w:pStyle w:val="BodyTextFirstIndent"/>
              <w:spacing w:line="360" w:lineRule="auto"/>
              <w:ind w:firstLine="0"/>
              <w:jc w:val="center"/>
              <w:rPr>
                <w:rFonts w:eastAsiaTheme="minorHAnsi"/>
                <w:lang w:eastAsia="en-US"/>
              </w:rPr>
            </w:pPr>
            <w:r w:rsidRPr="00C90AC9">
              <w:rPr>
                <w:rFonts w:eastAsiaTheme="minorHAnsi"/>
                <w:lang w:eastAsia="en-US"/>
              </w:rPr>
              <w:t>?</w:t>
            </w:r>
          </w:p>
        </w:tc>
      </w:tr>
      <w:tr w:rsidR="003E76C5" w:rsidRPr="00C90AC9" w:rsidTr="003E76C5">
        <w:trPr>
          <w:jc w:val="center"/>
        </w:trPr>
        <w:tc>
          <w:tcPr>
            <w:tcW w:w="1649" w:type="dxa"/>
            <w:vAlign w:val="center"/>
          </w:tcPr>
          <w:p w:rsidR="003E76C5" w:rsidRPr="00C90AC9" w:rsidRDefault="003E76C5" w:rsidP="009715C7">
            <w:pPr>
              <w:pStyle w:val="BodyTextFirstIndent"/>
              <w:spacing w:line="360" w:lineRule="auto"/>
              <w:ind w:firstLine="0"/>
              <w:jc w:val="center"/>
              <w:rPr>
                <w:rFonts w:eastAsiaTheme="minorHAnsi"/>
                <w:lang w:eastAsia="en-US"/>
              </w:rPr>
            </w:pPr>
            <w:r w:rsidRPr="00C90AC9">
              <w:rPr>
                <w:rFonts w:eastAsiaTheme="minorHAnsi"/>
                <w:lang w:eastAsia="en-US"/>
              </w:rPr>
              <w:t>2012</w:t>
            </w:r>
          </w:p>
        </w:tc>
        <w:tc>
          <w:tcPr>
            <w:tcW w:w="2275" w:type="dxa"/>
            <w:vAlign w:val="center"/>
          </w:tcPr>
          <w:p w:rsidR="003E76C5" w:rsidRPr="00C90AC9" w:rsidRDefault="00B90C04" w:rsidP="00B90C04">
            <w:pPr>
              <w:pStyle w:val="BodyTextFirstIndent"/>
              <w:spacing w:line="360" w:lineRule="auto"/>
              <w:ind w:firstLine="0"/>
              <w:jc w:val="center"/>
              <w:rPr>
                <w:rFonts w:eastAsiaTheme="minorHAnsi"/>
                <w:lang w:eastAsia="en-US"/>
              </w:rPr>
            </w:pPr>
            <w:r w:rsidRPr="00C90AC9">
              <w:rPr>
                <w:rFonts w:eastAsiaTheme="minorHAnsi"/>
                <w:lang w:eastAsia="en-US"/>
              </w:rPr>
              <w:t>po</w:t>
            </w:r>
            <w:r w:rsidR="003E76C5" w:rsidRPr="00C90AC9">
              <w:rPr>
                <w:rFonts w:eastAsiaTheme="minorHAnsi"/>
                <w:lang w:eastAsia="en-US"/>
              </w:rPr>
              <w:t>litician</w:t>
            </w:r>
          </w:p>
        </w:tc>
        <w:tc>
          <w:tcPr>
            <w:tcW w:w="2339" w:type="dxa"/>
            <w:vAlign w:val="center"/>
          </w:tcPr>
          <w:p w:rsidR="003E76C5" w:rsidRPr="00C90AC9" w:rsidRDefault="003E76C5" w:rsidP="009715C7">
            <w:pPr>
              <w:pStyle w:val="BodyTextFirstIndent"/>
              <w:spacing w:line="360" w:lineRule="auto"/>
              <w:ind w:firstLine="0"/>
              <w:jc w:val="center"/>
              <w:rPr>
                <w:rFonts w:eastAsiaTheme="minorHAnsi"/>
                <w:sz w:val="22"/>
                <w:lang w:eastAsia="en-US"/>
              </w:rPr>
            </w:pPr>
            <w:r w:rsidRPr="00C90AC9">
              <w:rPr>
                <w:rFonts w:eastAsiaTheme="minorHAnsi"/>
                <w:sz w:val="22"/>
                <w:lang w:eastAsia="en-US"/>
              </w:rPr>
              <w:t>?</w:t>
            </w:r>
          </w:p>
        </w:tc>
        <w:tc>
          <w:tcPr>
            <w:tcW w:w="2247" w:type="dxa"/>
            <w:vAlign w:val="center"/>
          </w:tcPr>
          <w:p w:rsidR="003E76C5" w:rsidRPr="00C90AC9" w:rsidRDefault="003E76C5" w:rsidP="009715C7">
            <w:pPr>
              <w:pStyle w:val="BodyTextFirstIndent"/>
              <w:spacing w:line="360" w:lineRule="auto"/>
              <w:ind w:firstLine="0"/>
              <w:jc w:val="center"/>
              <w:rPr>
                <w:rFonts w:eastAsiaTheme="minorHAnsi"/>
                <w:lang w:eastAsia="en-US"/>
              </w:rPr>
            </w:pPr>
            <w:r w:rsidRPr="00C90AC9">
              <w:rPr>
                <w:rFonts w:eastAsiaTheme="minorHAnsi"/>
                <w:lang w:eastAsia="en-US"/>
              </w:rPr>
              <w:sym w:font="Wingdings" w:char="F0FC"/>
            </w:r>
          </w:p>
        </w:tc>
      </w:tr>
      <w:tr w:rsidR="003E76C5" w:rsidRPr="00C90AC9" w:rsidTr="003E76C5">
        <w:trPr>
          <w:jc w:val="center"/>
        </w:trPr>
        <w:tc>
          <w:tcPr>
            <w:tcW w:w="1649" w:type="dxa"/>
            <w:vAlign w:val="center"/>
          </w:tcPr>
          <w:p w:rsidR="003E76C5" w:rsidRPr="00C90AC9" w:rsidRDefault="003E76C5" w:rsidP="009715C7">
            <w:pPr>
              <w:pStyle w:val="BodyTextFirstIndent"/>
              <w:spacing w:line="360" w:lineRule="auto"/>
              <w:ind w:firstLine="0"/>
              <w:jc w:val="center"/>
              <w:rPr>
                <w:rFonts w:eastAsiaTheme="minorHAnsi"/>
                <w:lang w:eastAsia="en-US"/>
              </w:rPr>
            </w:pPr>
            <w:r w:rsidRPr="00C90AC9">
              <w:rPr>
                <w:rFonts w:eastAsiaTheme="minorHAnsi"/>
                <w:lang w:eastAsia="en-US"/>
              </w:rPr>
              <w:t>2012</w:t>
            </w:r>
          </w:p>
        </w:tc>
        <w:tc>
          <w:tcPr>
            <w:tcW w:w="2275" w:type="dxa"/>
            <w:vAlign w:val="center"/>
          </w:tcPr>
          <w:p w:rsidR="003E76C5" w:rsidRPr="00C90AC9" w:rsidRDefault="00BF3B73" w:rsidP="009715C7">
            <w:pPr>
              <w:pStyle w:val="BodyTextFirstIndent"/>
              <w:spacing w:line="360" w:lineRule="auto"/>
              <w:ind w:firstLine="0"/>
              <w:jc w:val="center"/>
              <w:rPr>
                <w:rFonts w:eastAsiaTheme="minorHAnsi"/>
                <w:lang w:eastAsia="en-US"/>
              </w:rPr>
            </w:pPr>
            <w:r w:rsidRPr="00C90AC9">
              <w:rPr>
                <w:rFonts w:eastAsiaTheme="minorHAnsi"/>
                <w:lang w:eastAsia="en-US"/>
              </w:rPr>
              <w:t>manufacturer</w:t>
            </w:r>
          </w:p>
        </w:tc>
        <w:tc>
          <w:tcPr>
            <w:tcW w:w="2339" w:type="dxa"/>
            <w:vAlign w:val="center"/>
          </w:tcPr>
          <w:p w:rsidR="003E76C5" w:rsidRPr="00C90AC9" w:rsidRDefault="003E76C5" w:rsidP="009715C7">
            <w:pPr>
              <w:pStyle w:val="BodyTextFirstIndent"/>
              <w:spacing w:line="360" w:lineRule="auto"/>
              <w:ind w:firstLine="0"/>
              <w:jc w:val="center"/>
              <w:rPr>
                <w:rFonts w:eastAsiaTheme="minorHAnsi"/>
                <w:sz w:val="22"/>
                <w:lang w:eastAsia="en-US"/>
              </w:rPr>
            </w:pPr>
            <w:r w:rsidRPr="00C90AC9">
              <w:rPr>
                <w:rFonts w:eastAsiaTheme="minorHAnsi"/>
                <w:sz w:val="22"/>
                <w:lang w:eastAsia="en-US"/>
              </w:rPr>
              <w:sym w:font="Wingdings" w:char="F0FC"/>
            </w:r>
          </w:p>
        </w:tc>
        <w:tc>
          <w:tcPr>
            <w:tcW w:w="2247" w:type="dxa"/>
            <w:vAlign w:val="center"/>
          </w:tcPr>
          <w:p w:rsidR="003E76C5" w:rsidRPr="00C90AC9" w:rsidRDefault="003E76C5" w:rsidP="009715C7">
            <w:pPr>
              <w:pStyle w:val="BodyTextFirstIndent"/>
              <w:spacing w:line="360" w:lineRule="auto"/>
              <w:ind w:firstLine="0"/>
              <w:jc w:val="center"/>
              <w:rPr>
                <w:rFonts w:eastAsiaTheme="minorHAnsi"/>
                <w:lang w:eastAsia="en-US"/>
              </w:rPr>
            </w:pPr>
            <w:r w:rsidRPr="00C90AC9">
              <w:rPr>
                <w:rFonts w:eastAsiaTheme="minorHAnsi"/>
                <w:lang w:eastAsia="en-US"/>
              </w:rPr>
              <w:t>?</w:t>
            </w:r>
          </w:p>
        </w:tc>
      </w:tr>
      <w:tr w:rsidR="003E76C5" w:rsidRPr="00C90AC9" w:rsidTr="003E76C5">
        <w:trPr>
          <w:jc w:val="center"/>
        </w:trPr>
        <w:tc>
          <w:tcPr>
            <w:tcW w:w="1649" w:type="dxa"/>
            <w:vAlign w:val="center"/>
          </w:tcPr>
          <w:p w:rsidR="003E76C5" w:rsidRPr="00C90AC9" w:rsidRDefault="003E76C5" w:rsidP="009715C7">
            <w:pPr>
              <w:pStyle w:val="BodyTextFirstIndent"/>
              <w:spacing w:line="360" w:lineRule="auto"/>
              <w:ind w:firstLine="0"/>
              <w:jc w:val="center"/>
              <w:rPr>
                <w:rFonts w:eastAsiaTheme="minorHAnsi"/>
                <w:lang w:eastAsia="en-US"/>
              </w:rPr>
            </w:pPr>
            <w:r w:rsidRPr="00C90AC9">
              <w:rPr>
                <w:rFonts w:eastAsiaTheme="minorHAnsi"/>
                <w:lang w:eastAsia="en-US"/>
              </w:rPr>
              <w:t>2012</w:t>
            </w:r>
          </w:p>
        </w:tc>
        <w:tc>
          <w:tcPr>
            <w:tcW w:w="2275" w:type="dxa"/>
            <w:vAlign w:val="center"/>
          </w:tcPr>
          <w:p w:rsidR="003E76C5" w:rsidRPr="00C90AC9" w:rsidRDefault="00B90C04" w:rsidP="009715C7">
            <w:pPr>
              <w:pStyle w:val="BodyTextFirstIndent"/>
              <w:spacing w:line="360" w:lineRule="auto"/>
              <w:ind w:firstLine="0"/>
              <w:jc w:val="center"/>
              <w:rPr>
                <w:rFonts w:eastAsiaTheme="minorHAnsi"/>
                <w:lang w:eastAsia="en-US"/>
              </w:rPr>
            </w:pPr>
            <w:r w:rsidRPr="00C90AC9">
              <w:rPr>
                <w:rFonts w:eastAsiaTheme="minorHAnsi"/>
                <w:lang w:eastAsia="en-US"/>
              </w:rPr>
              <w:t>c</w:t>
            </w:r>
            <w:r w:rsidR="003E76C5" w:rsidRPr="00C90AC9">
              <w:rPr>
                <w:rFonts w:eastAsiaTheme="minorHAnsi"/>
                <w:lang w:eastAsia="en-US"/>
              </w:rPr>
              <w:t>ommunity organiser</w:t>
            </w:r>
          </w:p>
        </w:tc>
        <w:tc>
          <w:tcPr>
            <w:tcW w:w="2339" w:type="dxa"/>
            <w:vAlign w:val="center"/>
          </w:tcPr>
          <w:p w:rsidR="003E76C5" w:rsidRPr="00C90AC9" w:rsidRDefault="003E76C5" w:rsidP="009715C7">
            <w:pPr>
              <w:pStyle w:val="BodyTextFirstIndent"/>
              <w:spacing w:line="360" w:lineRule="auto"/>
              <w:ind w:firstLine="0"/>
              <w:jc w:val="center"/>
              <w:rPr>
                <w:rFonts w:eastAsiaTheme="minorHAnsi"/>
                <w:sz w:val="22"/>
                <w:lang w:eastAsia="en-US"/>
              </w:rPr>
            </w:pPr>
            <w:r w:rsidRPr="00C90AC9">
              <w:rPr>
                <w:rFonts w:eastAsiaTheme="minorHAnsi"/>
                <w:sz w:val="22"/>
                <w:lang w:eastAsia="en-US"/>
              </w:rPr>
              <w:t>?</w:t>
            </w:r>
          </w:p>
        </w:tc>
        <w:tc>
          <w:tcPr>
            <w:tcW w:w="2247" w:type="dxa"/>
            <w:vAlign w:val="center"/>
          </w:tcPr>
          <w:p w:rsidR="003E76C5" w:rsidRPr="00C90AC9" w:rsidRDefault="003E76C5" w:rsidP="009715C7">
            <w:pPr>
              <w:pStyle w:val="BodyTextFirstIndent"/>
              <w:spacing w:line="360" w:lineRule="auto"/>
              <w:ind w:firstLine="0"/>
              <w:jc w:val="center"/>
              <w:rPr>
                <w:rFonts w:eastAsiaTheme="minorHAnsi"/>
                <w:lang w:eastAsia="en-US"/>
              </w:rPr>
            </w:pPr>
            <w:r w:rsidRPr="00C90AC9">
              <w:rPr>
                <w:rFonts w:eastAsiaTheme="minorHAnsi"/>
                <w:lang w:eastAsia="en-US"/>
              </w:rPr>
              <w:sym w:font="Wingdings" w:char="F0FC"/>
            </w:r>
          </w:p>
        </w:tc>
      </w:tr>
      <w:tr w:rsidR="003E76C5" w:rsidRPr="00C90AC9" w:rsidTr="003E76C5">
        <w:trPr>
          <w:jc w:val="center"/>
        </w:trPr>
        <w:tc>
          <w:tcPr>
            <w:tcW w:w="1649" w:type="dxa"/>
            <w:vAlign w:val="center"/>
          </w:tcPr>
          <w:p w:rsidR="003E76C5" w:rsidRPr="00C90AC9" w:rsidRDefault="003E76C5" w:rsidP="009715C7">
            <w:pPr>
              <w:pStyle w:val="BodyTextFirstIndent"/>
              <w:spacing w:line="360" w:lineRule="auto"/>
              <w:ind w:firstLine="0"/>
              <w:jc w:val="center"/>
              <w:rPr>
                <w:rFonts w:eastAsiaTheme="minorHAnsi"/>
                <w:lang w:eastAsia="en-US"/>
              </w:rPr>
            </w:pPr>
            <w:r w:rsidRPr="00C90AC9">
              <w:rPr>
                <w:rFonts w:eastAsiaTheme="minorHAnsi"/>
                <w:lang w:eastAsia="en-US"/>
              </w:rPr>
              <w:t>2015</w:t>
            </w:r>
          </w:p>
        </w:tc>
        <w:tc>
          <w:tcPr>
            <w:tcW w:w="2275" w:type="dxa"/>
            <w:vAlign w:val="center"/>
          </w:tcPr>
          <w:p w:rsidR="003E76C5" w:rsidRPr="00C90AC9" w:rsidRDefault="00B90C04" w:rsidP="009715C7">
            <w:pPr>
              <w:pStyle w:val="BodyTextFirstIndent"/>
              <w:spacing w:line="360" w:lineRule="auto"/>
              <w:ind w:firstLine="0"/>
              <w:jc w:val="center"/>
              <w:rPr>
                <w:rFonts w:eastAsiaTheme="minorHAnsi"/>
                <w:lang w:eastAsia="en-US"/>
              </w:rPr>
            </w:pPr>
            <w:r w:rsidRPr="00C90AC9">
              <w:rPr>
                <w:rFonts w:eastAsiaTheme="minorHAnsi"/>
                <w:lang w:eastAsia="en-US"/>
              </w:rPr>
              <w:t>a</w:t>
            </w:r>
            <w:r w:rsidR="003E76C5" w:rsidRPr="00C90AC9">
              <w:rPr>
                <w:rFonts w:eastAsiaTheme="minorHAnsi"/>
                <w:lang w:eastAsia="en-US"/>
              </w:rPr>
              <w:t>cademic</w:t>
            </w:r>
          </w:p>
        </w:tc>
        <w:tc>
          <w:tcPr>
            <w:tcW w:w="2339" w:type="dxa"/>
            <w:vAlign w:val="center"/>
          </w:tcPr>
          <w:p w:rsidR="003E76C5" w:rsidRPr="00C90AC9" w:rsidRDefault="003E76C5" w:rsidP="009715C7">
            <w:pPr>
              <w:pStyle w:val="BodyTextFirstIndent"/>
              <w:spacing w:line="360" w:lineRule="auto"/>
              <w:ind w:firstLine="0"/>
              <w:jc w:val="center"/>
              <w:rPr>
                <w:rFonts w:eastAsiaTheme="minorHAnsi"/>
                <w:sz w:val="22"/>
                <w:lang w:eastAsia="en-US"/>
              </w:rPr>
            </w:pPr>
            <w:r w:rsidRPr="00C90AC9">
              <w:rPr>
                <w:rFonts w:eastAsiaTheme="minorHAnsi"/>
                <w:sz w:val="22"/>
                <w:lang w:eastAsia="en-US"/>
              </w:rPr>
              <w:sym w:font="Wingdings" w:char="F0FC"/>
            </w:r>
          </w:p>
        </w:tc>
        <w:tc>
          <w:tcPr>
            <w:tcW w:w="2247" w:type="dxa"/>
            <w:vAlign w:val="center"/>
          </w:tcPr>
          <w:p w:rsidR="003E76C5" w:rsidRPr="00C90AC9" w:rsidRDefault="003E76C5" w:rsidP="009715C7">
            <w:pPr>
              <w:pStyle w:val="BodyTextFirstIndent"/>
              <w:spacing w:line="360" w:lineRule="auto"/>
              <w:ind w:firstLine="0"/>
              <w:jc w:val="center"/>
              <w:rPr>
                <w:rFonts w:eastAsiaTheme="minorHAnsi"/>
                <w:lang w:eastAsia="en-US"/>
              </w:rPr>
            </w:pPr>
            <w:r w:rsidRPr="00C90AC9">
              <w:rPr>
                <w:rFonts w:eastAsiaTheme="minorHAnsi"/>
                <w:lang w:eastAsia="en-US"/>
              </w:rPr>
              <w:t>?</w:t>
            </w:r>
          </w:p>
        </w:tc>
      </w:tr>
      <w:tr w:rsidR="003E76C5" w:rsidRPr="00C90AC9" w:rsidTr="003E76C5">
        <w:trPr>
          <w:jc w:val="center"/>
        </w:trPr>
        <w:tc>
          <w:tcPr>
            <w:tcW w:w="1649" w:type="dxa"/>
            <w:vAlign w:val="center"/>
          </w:tcPr>
          <w:p w:rsidR="003E76C5" w:rsidRPr="00C90AC9" w:rsidRDefault="003E76C5" w:rsidP="009715C7">
            <w:pPr>
              <w:pStyle w:val="BodyTextFirstIndent"/>
              <w:spacing w:line="360" w:lineRule="auto"/>
              <w:ind w:firstLine="0"/>
              <w:jc w:val="center"/>
              <w:rPr>
                <w:rFonts w:eastAsiaTheme="minorHAnsi"/>
                <w:lang w:eastAsia="en-US"/>
              </w:rPr>
            </w:pPr>
            <w:r w:rsidRPr="00C90AC9">
              <w:rPr>
                <w:rFonts w:eastAsiaTheme="minorHAnsi"/>
                <w:lang w:eastAsia="en-US"/>
              </w:rPr>
              <w:t>2015</w:t>
            </w:r>
          </w:p>
        </w:tc>
        <w:tc>
          <w:tcPr>
            <w:tcW w:w="2275" w:type="dxa"/>
            <w:vAlign w:val="center"/>
          </w:tcPr>
          <w:p w:rsidR="003E76C5" w:rsidRPr="00C90AC9" w:rsidRDefault="00B90C04" w:rsidP="009715C7">
            <w:pPr>
              <w:pStyle w:val="BodyTextFirstIndent"/>
              <w:spacing w:line="360" w:lineRule="auto"/>
              <w:ind w:firstLine="0"/>
              <w:jc w:val="center"/>
              <w:rPr>
                <w:rFonts w:eastAsiaTheme="minorHAnsi"/>
                <w:lang w:eastAsia="en-US"/>
              </w:rPr>
            </w:pPr>
            <w:r w:rsidRPr="00C90AC9">
              <w:rPr>
                <w:rFonts w:eastAsiaTheme="minorHAnsi"/>
                <w:lang w:eastAsia="en-US"/>
              </w:rPr>
              <w:t>p</w:t>
            </w:r>
            <w:r w:rsidR="003E76C5" w:rsidRPr="00C90AC9">
              <w:rPr>
                <w:rFonts w:eastAsiaTheme="minorHAnsi"/>
                <w:lang w:eastAsia="en-US"/>
              </w:rPr>
              <w:t>olitician</w:t>
            </w:r>
          </w:p>
        </w:tc>
        <w:tc>
          <w:tcPr>
            <w:tcW w:w="2339" w:type="dxa"/>
            <w:vAlign w:val="center"/>
          </w:tcPr>
          <w:p w:rsidR="003E76C5" w:rsidRPr="00C90AC9" w:rsidRDefault="003E76C5" w:rsidP="009715C7">
            <w:pPr>
              <w:pStyle w:val="BodyTextFirstIndent"/>
              <w:spacing w:line="360" w:lineRule="auto"/>
              <w:ind w:firstLine="0"/>
              <w:jc w:val="center"/>
              <w:rPr>
                <w:rFonts w:eastAsiaTheme="minorHAnsi"/>
                <w:sz w:val="22"/>
                <w:lang w:eastAsia="en-US"/>
              </w:rPr>
            </w:pPr>
            <w:r w:rsidRPr="00C90AC9">
              <w:rPr>
                <w:rFonts w:eastAsiaTheme="minorHAnsi"/>
                <w:sz w:val="22"/>
                <w:lang w:eastAsia="en-US"/>
              </w:rPr>
              <w:t>?</w:t>
            </w:r>
          </w:p>
        </w:tc>
        <w:tc>
          <w:tcPr>
            <w:tcW w:w="2247" w:type="dxa"/>
            <w:vAlign w:val="center"/>
          </w:tcPr>
          <w:p w:rsidR="003E76C5" w:rsidRPr="00C90AC9" w:rsidRDefault="003E76C5" w:rsidP="009715C7">
            <w:pPr>
              <w:pStyle w:val="BodyTextFirstIndent"/>
              <w:spacing w:line="360" w:lineRule="auto"/>
              <w:ind w:firstLine="0"/>
              <w:jc w:val="center"/>
              <w:rPr>
                <w:rFonts w:eastAsiaTheme="minorHAnsi"/>
                <w:lang w:eastAsia="en-US"/>
              </w:rPr>
            </w:pPr>
            <w:r w:rsidRPr="00C90AC9">
              <w:rPr>
                <w:rFonts w:eastAsiaTheme="minorHAnsi"/>
                <w:lang w:eastAsia="en-US"/>
              </w:rPr>
              <w:sym w:font="Wingdings" w:char="F0FC"/>
            </w:r>
          </w:p>
        </w:tc>
      </w:tr>
      <w:tr w:rsidR="003E76C5" w:rsidRPr="00C90AC9" w:rsidTr="003E76C5">
        <w:trPr>
          <w:jc w:val="center"/>
        </w:trPr>
        <w:tc>
          <w:tcPr>
            <w:tcW w:w="1649" w:type="dxa"/>
            <w:vAlign w:val="center"/>
          </w:tcPr>
          <w:p w:rsidR="003E76C5" w:rsidRPr="00C90AC9" w:rsidRDefault="003E76C5" w:rsidP="009715C7">
            <w:pPr>
              <w:pStyle w:val="BodyTextFirstIndent"/>
              <w:spacing w:line="360" w:lineRule="auto"/>
              <w:ind w:firstLine="0"/>
              <w:jc w:val="center"/>
              <w:rPr>
                <w:rFonts w:eastAsiaTheme="minorHAnsi"/>
                <w:lang w:eastAsia="en-US"/>
              </w:rPr>
            </w:pPr>
            <w:r w:rsidRPr="00C90AC9">
              <w:rPr>
                <w:rFonts w:eastAsiaTheme="minorHAnsi"/>
                <w:lang w:eastAsia="en-US"/>
              </w:rPr>
              <w:t>2015</w:t>
            </w:r>
          </w:p>
        </w:tc>
        <w:tc>
          <w:tcPr>
            <w:tcW w:w="2275" w:type="dxa"/>
            <w:vAlign w:val="center"/>
          </w:tcPr>
          <w:p w:rsidR="003E76C5" w:rsidRPr="00C90AC9" w:rsidRDefault="00BF3B73" w:rsidP="009715C7">
            <w:pPr>
              <w:pStyle w:val="BodyTextFirstIndent"/>
              <w:spacing w:line="360" w:lineRule="auto"/>
              <w:ind w:firstLine="0"/>
              <w:jc w:val="center"/>
              <w:rPr>
                <w:rFonts w:eastAsiaTheme="minorHAnsi"/>
                <w:lang w:eastAsia="en-US"/>
              </w:rPr>
            </w:pPr>
            <w:r w:rsidRPr="00C90AC9">
              <w:rPr>
                <w:rFonts w:eastAsiaTheme="minorHAnsi"/>
                <w:lang w:eastAsia="en-US"/>
              </w:rPr>
              <w:t>manufacturer</w:t>
            </w:r>
          </w:p>
        </w:tc>
        <w:tc>
          <w:tcPr>
            <w:tcW w:w="2339" w:type="dxa"/>
            <w:vAlign w:val="center"/>
          </w:tcPr>
          <w:p w:rsidR="003E76C5" w:rsidRPr="00C90AC9" w:rsidRDefault="003E76C5" w:rsidP="009715C7">
            <w:pPr>
              <w:pStyle w:val="BodyTextFirstIndent"/>
              <w:spacing w:line="360" w:lineRule="auto"/>
              <w:ind w:firstLine="0"/>
              <w:jc w:val="center"/>
              <w:rPr>
                <w:rFonts w:eastAsiaTheme="minorHAnsi"/>
                <w:sz w:val="22"/>
                <w:lang w:eastAsia="en-US"/>
              </w:rPr>
            </w:pPr>
            <w:r w:rsidRPr="00C90AC9">
              <w:rPr>
                <w:rFonts w:eastAsiaTheme="minorHAnsi"/>
                <w:sz w:val="22"/>
                <w:lang w:eastAsia="en-US"/>
              </w:rPr>
              <w:sym w:font="Wingdings" w:char="F0FC"/>
            </w:r>
          </w:p>
        </w:tc>
        <w:tc>
          <w:tcPr>
            <w:tcW w:w="2247" w:type="dxa"/>
            <w:vAlign w:val="center"/>
          </w:tcPr>
          <w:p w:rsidR="003E76C5" w:rsidRPr="00C90AC9" w:rsidRDefault="003E76C5" w:rsidP="009715C7">
            <w:pPr>
              <w:pStyle w:val="BodyTextFirstIndent"/>
              <w:spacing w:line="360" w:lineRule="auto"/>
              <w:ind w:firstLine="0"/>
              <w:jc w:val="center"/>
              <w:rPr>
                <w:rFonts w:eastAsiaTheme="minorHAnsi"/>
                <w:lang w:eastAsia="en-US"/>
              </w:rPr>
            </w:pPr>
            <w:r w:rsidRPr="00C90AC9">
              <w:rPr>
                <w:rFonts w:eastAsiaTheme="minorHAnsi"/>
                <w:lang w:eastAsia="en-US"/>
              </w:rPr>
              <w:t>?</w:t>
            </w:r>
          </w:p>
        </w:tc>
      </w:tr>
      <w:tr w:rsidR="003E76C5" w:rsidRPr="00C90AC9" w:rsidTr="003E76C5">
        <w:trPr>
          <w:jc w:val="center"/>
        </w:trPr>
        <w:tc>
          <w:tcPr>
            <w:tcW w:w="1649" w:type="dxa"/>
            <w:vAlign w:val="center"/>
          </w:tcPr>
          <w:p w:rsidR="003E76C5" w:rsidRPr="00C90AC9" w:rsidRDefault="003E76C5" w:rsidP="009715C7">
            <w:pPr>
              <w:pStyle w:val="BodyTextFirstIndent"/>
              <w:spacing w:line="360" w:lineRule="auto"/>
              <w:ind w:firstLine="0"/>
              <w:jc w:val="center"/>
              <w:rPr>
                <w:rFonts w:eastAsiaTheme="minorHAnsi"/>
                <w:lang w:eastAsia="en-US"/>
              </w:rPr>
            </w:pPr>
            <w:r w:rsidRPr="00C90AC9">
              <w:rPr>
                <w:rFonts w:eastAsiaTheme="minorHAnsi"/>
                <w:lang w:eastAsia="en-US"/>
              </w:rPr>
              <w:t>2015</w:t>
            </w:r>
          </w:p>
        </w:tc>
        <w:tc>
          <w:tcPr>
            <w:tcW w:w="2275" w:type="dxa"/>
            <w:vAlign w:val="center"/>
          </w:tcPr>
          <w:p w:rsidR="003E76C5" w:rsidRPr="00C90AC9" w:rsidRDefault="00B90C04" w:rsidP="009715C7">
            <w:pPr>
              <w:pStyle w:val="BodyTextFirstIndent"/>
              <w:spacing w:line="360" w:lineRule="auto"/>
              <w:ind w:firstLine="0"/>
              <w:jc w:val="center"/>
              <w:rPr>
                <w:rFonts w:eastAsiaTheme="minorHAnsi"/>
                <w:lang w:eastAsia="en-US"/>
              </w:rPr>
            </w:pPr>
            <w:r w:rsidRPr="00C90AC9">
              <w:rPr>
                <w:rFonts w:eastAsiaTheme="minorHAnsi"/>
                <w:lang w:eastAsia="en-US"/>
              </w:rPr>
              <w:t>c</w:t>
            </w:r>
            <w:r w:rsidR="003E76C5" w:rsidRPr="00C90AC9">
              <w:rPr>
                <w:rFonts w:eastAsiaTheme="minorHAnsi"/>
                <w:lang w:eastAsia="en-US"/>
              </w:rPr>
              <w:t>ommunity organiser</w:t>
            </w:r>
          </w:p>
        </w:tc>
        <w:tc>
          <w:tcPr>
            <w:tcW w:w="2339" w:type="dxa"/>
            <w:vAlign w:val="center"/>
          </w:tcPr>
          <w:p w:rsidR="003E76C5" w:rsidRPr="00C90AC9" w:rsidRDefault="003E76C5" w:rsidP="009715C7">
            <w:pPr>
              <w:pStyle w:val="BodyTextFirstIndent"/>
              <w:spacing w:line="360" w:lineRule="auto"/>
              <w:ind w:firstLine="0"/>
              <w:jc w:val="center"/>
              <w:rPr>
                <w:rFonts w:eastAsiaTheme="minorHAnsi"/>
                <w:sz w:val="22"/>
                <w:lang w:eastAsia="en-US"/>
              </w:rPr>
            </w:pPr>
            <w:r w:rsidRPr="00C90AC9">
              <w:rPr>
                <w:rFonts w:eastAsiaTheme="minorHAnsi"/>
                <w:sz w:val="22"/>
                <w:lang w:eastAsia="en-US"/>
              </w:rPr>
              <w:t>?</w:t>
            </w:r>
          </w:p>
        </w:tc>
        <w:tc>
          <w:tcPr>
            <w:tcW w:w="2247" w:type="dxa"/>
            <w:vAlign w:val="center"/>
          </w:tcPr>
          <w:p w:rsidR="003E76C5" w:rsidRPr="00C90AC9" w:rsidRDefault="003E76C5" w:rsidP="009715C7">
            <w:pPr>
              <w:pStyle w:val="BodyTextFirstIndent"/>
              <w:spacing w:line="360" w:lineRule="auto"/>
              <w:ind w:firstLine="0"/>
              <w:jc w:val="center"/>
              <w:rPr>
                <w:rFonts w:eastAsiaTheme="minorHAnsi"/>
                <w:lang w:eastAsia="en-US"/>
              </w:rPr>
            </w:pPr>
            <w:r w:rsidRPr="00C90AC9">
              <w:rPr>
                <w:rFonts w:eastAsiaTheme="minorHAnsi"/>
                <w:lang w:eastAsia="en-US"/>
              </w:rPr>
              <w:sym w:font="Wingdings" w:char="F0FC"/>
            </w:r>
          </w:p>
        </w:tc>
      </w:tr>
    </w:tbl>
    <w:p w:rsidR="003E76C5" w:rsidRPr="00C90AC9" w:rsidRDefault="003E76C5" w:rsidP="003E76C5">
      <w:pPr>
        <w:pStyle w:val="BodyText"/>
        <w:spacing w:line="360" w:lineRule="auto"/>
        <w:rPr>
          <w:rFonts w:eastAsiaTheme="minorHAnsi"/>
          <w:lang w:eastAsia="en-US"/>
        </w:rPr>
      </w:pPr>
    </w:p>
    <w:p w:rsidR="003E76C5" w:rsidRPr="00C90AC9" w:rsidRDefault="003E76C5" w:rsidP="009715C7">
      <w:pPr>
        <w:pStyle w:val="BodyText"/>
        <w:spacing w:line="360" w:lineRule="auto"/>
        <w:rPr>
          <w:rFonts w:eastAsiaTheme="minorHAnsi"/>
          <w:lang w:eastAsia="en-US"/>
        </w:rPr>
      </w:pPr>
      <w:r w:rsidRPr="00C90AC9">
        <w:rPr>
          <w:rFonts w:eastAsiaTheme="minorHAnsi"/>
          <w:lang w:eastAsia="en-US"/>
        </w:rPr>
        <w:t>There are distinct reasons why the various participants were chosen specifically for the semi-structured interviews concerning STPs. In Table 4.1. a “</w:t>
      </w:r>
      <w:r w:rsidRPr="00C90AC9">
        <w:rPr>
          <w:rFonts w:eastAsiaTheme="minorHAnsi"/>
          <w:lang w:eastAsia="en-US"/>
        </w:rPr>
        <w:sym w:font="Wingdings" w:char="F0FC"/>
      </w:r>
      <w:r w:rsidRPr="00C90AC9">
        <w:rPr>
          <w:rFonts w:eastAsiaTheme="minorHAnsi"/>
          <w:lang w:eastAsia="en-US"/>
        </w:rPr>
        <w:t xml:space="preserve">” denotes that the main actor is likely to have a greater understanding of the particular topic. A “?” denotes the main actors as potentially having a greater understanding of the topic. </w:t>
      </w:r>
      <w:r w:rsidR="00BF3B73" w:rsidRPr="00C90AC9">
        <w:rPr>
          <w:rFonts w:eastAsiaTheme="minorHAnsi"/>
          <w:lang w:eastAsia="en-US"/>
        </w:rPr>
        <w:t>manufacturer</w:t>
      </w:r>
      <w:r w:rsidRPr="00C90AC9">
        <w:rPr>
          <w:rFonts w:eastAsiaTheme="minorHAnsi"/>
          <w:lang w:eastAsia="en-US"/>
        </w:rPr>
        <w:t xml:space="preserve">s were included in this research so as to gain valuable first-hand knowledge of the technology and its capabilities. </w:t>
      </w:r>
      <w:proofErr w:type="gramStart"/>
      <w:r w:rsidRPr="00C90AC9">
        <w:rPr>
          <w:rFonts w:eastAsiaTheme="minorHAnsi"/>
          <w:lang w:eastAsia="en-US"/>
        </w:rPr>
        <w:t>Also</w:t>
      </w:r>
      <w:proofErr w:type="gramEnd"/>
      <w:r w:rsidRPr="00C90AC9">
        <w:rPr>
          <w:rFonts w:eastAsiaTheme="minorHAnsi"/>
          <w:lang w:eastAsia="en-US"/>
        </w:rPr>
        <w:t xml:space="preserve"> this group of main actor was included as they have direct interaction with consumers who actually use the technology and so the benefits and the potential problems consumers have with the technology is more likely to be understood with this main actor included in this research. Additionally, </w:t>
      </w:r>
      <w:r w:rsidR="00BF3B73" w:rsidRPr="00C90AC9">
        <w:rPr>
          <w:rFonts w:eastAsiaTheme="minorHAnsi"/>
          <w:lang w:eastAsia="en-US"/>
        </w:rPr>
        <w:t>manufacturer</w:t>
      </w:r>
      <w:r w:rsidRPr="00C90AC9">
        <w:rPr>
          <w:rFonts w:eastAsiaTheme="minorHAnsi"/>
          <w:lang w:eastAsia="en-US"/>
        </w:rPr>
        <w:t xml:space="preserve">s due in part to their interaction with the end users and them having a greater understanding of the STP market are more likely to have ideas about how the diffusion of this technology could be improved and any potential problems that are stifling this diffusion. </w:t>
      </w:r>
      <w:r w:rsidR="00FF15E5" w:rsidRPr="00C90AC9">
        <w:rPr>
          <w:rFonts w:eastAsiaTheme="minorHAnsi"/>
          <w:lang w:eastAsia="en-US"/>
        </w:rPr>
        <w:t>academic</w:t>
      </w:r>
      <w:r w:rsidRPr="00C90AC9">
        <w:rPr>
          <w:rFonts w:eastAsiaTheme="minorHAnsi"/>
          <w:lang w:eastAsia="en-US"/>
        </w:rPr>
        <w:t xml:space="preserve">s are more likely to have specific knowledge about the benefits and the restrictions that the technology has. They are also more likely to have a deeper knowledge about the technical issues concerned with the technology and any potential barriers to adoption that this might invoke. Community </w:t>
      </w:r>
      <w:r w:rsidR="00FF15E5" w:rsidRPr="00C90AC9">
        <w:rPr>
          <w:rFonts w:eastAsiaTheme="minorHAnsi"/>
          <w:lang w:eastAsia="en-US"/>
        </w:rPr>
        <w:t>organisers</w:t>
      </w:r>
      <w:r w:rsidRPr="00C90AC9">
        <w:rPr>
          <w:rFonts w:eastAsiaTheme="minorHAnsi"/>
          <w:lang w:eastAsia="en-US"/>
        </w:rPr>
        <w:t xml:space="preserve"> are more likely to understand the concerns or worries which consumers may have with the technology and the therefore will have a deeper understanding of the potential barriers to diffusion that may exist with the technology. As such Community </w:t>
      </w:r>
      <w:r w:rsidR="00FF15E5" w:rsidRPr="00C90AC9">
        <w:rPr>
          <w:rFonts w:eastAsiaTheme="minorHAnsi"/>
          <w:lang w:eastAsia="en-US"/>
        </w:rPr>
        <w:t>organiser</w:t>
      </w:r>
      <w:r w:rsidRPr="00C90AC9">
        <w:rPr>
          <w:rFonts w:eastAsiaTheme="minorHAnsi"/>
          <w:lang w:eastAsia="en-US"/>
        </w:rPr>
        <w:t xml:space="preserve">s are more likely to have a greater understanding about methods which may exist to improve the diffusion of STPs. Finally, </w:t>
      </w:r>
      <w:r w:rsidR="00FF15E5" w:rsidRPr="00C90AC9">
        <w:rPr>
          <w:rFonts w:eastAsiaTheme="minorHAnsi"/>
          <w:lang w:eastAsia="en-US"/>
        </w:rPr>
        <w:t>politician</w:t>
      </w:r>
      <w:r w:rsidRPr="00C90AC9">
        <w:rPr>
          <w:rFonts w:eastAsiaTheme="minorHAnsi"/>
          <w:lang w:eastAsia="en-US"/>
        </w:rPr>
        <w:t xml:space="preserve">s are more likely to see potential barriers to the diffusion on STPs and could potentially offer methods by which to improve the </w:t>
      </w:r>
      <w:r w:rsidRPr="00C90AC9">
        <w:rPr>
          <w:rFonts w:eastAsiaTheme="minorHAnsi"/>
          <w:lang w:eastAsia="en-US"/>
        </w:rPr>
        <w:lastRenderedPageBreak/>
        <w:t>diffusion of the technology. Due to the small number if semi-structured interviews the two data sets from 2012 and 2015 are discussed as being homogenous. There were very few differences between the two years with far more parallels arising between the two years than opposites and so it is reasonable to consider the semi-structured interviews as one data set.</w:t>
      </w:r>
    </w:p>
    <w:p w:rsidR="00F171E4" w:rsidRPr="00C90AC9" w:rsidRDefault="00F171E4" w:rsidP="00F171E4">
      <w:pPr>
        <w:pStyle w:val="BodyTextFirstIndent"/>
        <w:spacing w:line="360" w:lineRule="auto"/>
        <w:ind w:firstLine="0"/>
        <w:rPr>
          <w:rFonts w:eastAsiaTheme="minorHAnsi"/>
          <w:lang w:eastAsia="en-US"/>
        </w:rPr>
      </w:pPr>
    </w:p>
    <w:p w:rsidR="00A16B8C" w:rsidRPr="00C90AC9" w:rsidRDefault="00A16B8C" w:rsidP="00F171E4">
      <w:pPr>
        <w:pStyle w:val="BodyTextFirstIndent"/>
        <w:spacing w:line="360" w:lineRule="auto"/>
        <w:ind w:firstLine="0"/>
        <w:rPr>
          <w:rFonts w:eastAsiaTheme="minorHAnsi"/>
          <w:lang w:eastAsia="en-US"/>
        </w:rPr>
      </w:pPr>
      <w:r w:rsidRPr="00C90AC9">
        <w:rPr>
          <w:rFonts w:eastAsiaTheme="minorHAnsi"/>
          <w:lang w:eastAsia="en-US"/>
        </w:rPr>
        <w:t>In total</w:t>
      </w:r>
      <w:r w:rsidR="008C170F" w:rsidRPr="00C90AC9">
        <w:rPr>
          <w:rFonts w:eastAsiaTheme="minorHAnsi"/>
          <w:lang w:eastAsia="en-US"/>
        </w:rPr>
        <w:t>,</w:t>
      </w:r>
      <w:r w:rsidRPr="00C90AC9">
        <w:rPr>
          <w:rFonts w:eastAsiaTheme="minorHAnsi"/>
          <w:lang w:eastAsia="en-US"/>
        </w:rPr>
        <w:t xml:space="preserve"> 8 semi-structured interviews took place, 4 in 2012 and 4 in 2015 with the following number of interviews conducted with each </w:t>
      </w:r>
      <w:r w:rsidR="003E76C5" w:rsidRPr="00C90AC9">
        <w:rPr>
          <w:rFonts w:eastAsiaTheme="minorHAnsi"/>
          <w:lang w:eastAsia="en-US"/>
        </w:rPr>
        <w:t>main actor</w:t>
      </w:r>
      <w:r w:rsidRPr="00C90AC9">
        <w:rPr>
          <w:rFonts w:eastAsiaTheme="minorHAnsi"/>
          <w:lang w:eastAsia="en-US"/>
        </w:rPr>
        <w:t>:</w:t>
      </w:r>
    </w:p>
    <w:p w:rsidR="00A16B8C" w:rsidRPr="00C90AC9" w:rsidRDefault="00FF15E5" w:rsidP="00CA6E35">
      <w:pPr>
        <w:pStyle w:val="List3"/>
        <w:numPr>
          <w:ilvl w:val="0"/>
          <w:numId w:val="12"/>
        </w:numPr>
        <w:rPr>
          <w:rFonts w:eastAsiaTheme="minorHAnsi"/>
          <w:lang w:eastAsia="en-US"/>
        </w:rPr>
      </w:pPr>
      <w:r w:rsidRPr="00C90AC9">
        <w:rPr>
          <w:rFonts w:eastAsiaTheme="minorHAnsi"/>
          <w:lang w:eastAsia="en-US"/>
        </w:rPr>
        <w:t>academic</w:t>
      </w:r>
      <w:r w:rsidR="00C807A3" w:rsidRPr="00C90AC9">
        <w:rPr>
          <w:rFonts w:eastAsiaTheme="minorHAnsi"/>
          <w:lang w:eastAsia="en-US"/>
        </w:rPr>
        <w:t>s 2 interviews</w:t>
      </w:r>
      <w:r w:rsidR="00A16B8C" w:rsidRPr="00C90AC9">
        <w:rPr>
          <w:rFonts w:eastAsiaTheme="minorHAnsi"/>
          <w:lang w:eastAsia="en-US"/>
        </w:rPr>
        <w:t>;</w:t>
      </w:r>
    </w:p>
    <w:p w:rsidR="00A16B8C" w:rsidRPr="00C90AC9" w:rsidRDefault="00BF3B73" w:rsidP="00CA6E35">
      <w:pPr>
        <w:pStyle w:val="List3"/>
        <w:numPr>
          <w:ilvl w:val="0"/>
          <w:numId w:val="12"/>
        </w:numPr>
        <w:rPr>
          <w:rFonts w:eastAsiaTheme="minorHAnsi"/>
          <w:lang w:eastAsia="en-US"/>
        </w:rPr>
      </w:pPr>
      <w:r w:rsidRPr="00C90AC9">
        <w:rPr>
          <w:rFonts w:eastAsiaTheme="minorHAnsi"/>
          <w:lang w:eastAsia="en-US"/>
        </w:rPr>
        <w:t>manufacturer</w:t>
      </w:r>
      <w:r w:rsidR="00FF15E5" w:rsidRPr="00C90AC9">
        <w:rPr>
          <w:rFonts w:eastAsiaTheme="minorHAnsi"/>
          <w:lang w:eastAsia="en-US"/>
        </w:rPr>
        <w:t>s and d</w:t>
      </w:r>
      <w:r w:rsidR="00A16B8C" w:rsidRPr="00C90AC9">
        <w:rPr>
          <w:rFonts w:eastAsiaTheme="minorHAnsi"/>
          <w:lang w:eastAsia="en-US"/>
        </w:rPr>
        <w:t>istributors 2 interviews;</w:t>
      </w:r>
    </w:p>
    <w:p w:rsidR="00A16B8C" w:rsidRPr="00C90AC9" w:rsidRDefault="00FF15E5" w:rsidP="00CA6E35">
      <w:pPr>
        <w:pStyle w:val="List3"/>
        <w:numPr>
          <w:ilvl w:val="0"/>
          <w:numId w:val="12"/>
        </w:numPr>
        <w:rPr>
          <w:rFonts w:eastAsiaTheme="minorHAnsi"/>
          <w:lang w:eastAsia="en-US"/>
        </w:rPr>
      </w:pPr>
      <w:r w:rsidRPr="00C90AC9">
        <w:rPr>
          <w:rFonts w:eastAsiaTheme="minorHAnsi"/>
          <w:lang w:eastAsia="en-US"/>
        </w:rPr>
        <w:t>c</w:t>
      </w:r>
      <w:r w:rsidR="00A16B8C" w:rsidRPr="00C90AC9">
        <w:rPr>
          <w:rFonts w:eastAsiaTheme="minorHAnsi"/>
          <w:lang w:eastAsia="en-US"/>
        </w:rPr>
        <w:t xml:space="preserve">ommunity </w:t>
      </w:r>
      <w:r w:rsidRPr="00C90AC9">
        <w:rPr>
          <w:rFonts w:eastAsiaTheme="minorHAnsi"/>
          <w:lang w:eastAsia="en-US"/>
        </w:rPr>
        <w:t>organiser</w:t>
      </w:r>
      <w:r w:rsidR="00A16B8C" w:rsidRPr="00C90AC9">
        <w:rPr>
          <w:rFonts w:eastAsiaTheme="minorHAnsi"/>
          <w:lang w:eastAsia="en-US"/>
        </w:rPr>
        <w:t>s 2 interviews; and</w:t>
      </w:r>
    </w:p>
    <w:p w:rsidR="00A16B8C" w:rsidRPr="00C90AC9" w:rsidRDefault="00FF15E5" w:rsidP="00CA6E35">
      <w:pPr>
        <w:pStyle w:val="List3"/>
        <w:numPr>
          <w:ilvl w:val="0"/>
          <w:numId w:val="12"/>
        </w:numPr>
        <w:rPr>
          <w:rFonts w:eastAsiaTheme="minorHAnsi"/>
          <w:lang w:eastAsia="en-US"/>
        </w:rPr>
      </w:pPr>
      <w:r w:rsidRPr="00C90AC9">
        <w:rPr>
          <w:rFonts w:eastAsiaTheme="minorHAnsi"/>
          <w:lang w:eastAsia="en-US"/>
        </w:rPr>
        <w:t>politician</w:t>
      </w:r>
      <w:r w:rsidR="00A16B8C" w:rsidRPr="00C90AC9">
        <w:rPr>
          <w:rFonts w:eastAsiaTheme="minorHAnsi"/>
          <w:lang w:eastAsia="en-US"/>
        </w:rPr>
        <w:t>s 2 interviews.</w:t>
      </w:r>
    </w:p>
    <w:p w:rsidR="00A16B8C" w:rsidRPr="00C90AC9" w:rsidRDefault="00A16B8C" w:rsidP="003967B7">
      <w:pPr>
        <w:pStyle w:val="BodyText"/>
        <w:spacing w:line="360" w:lineRule="auto"/>
        <w:rPr>
          <w:rFonts w:eastAsiaTheme="minorHAnsi"/>
          <w:lang w:eastAsia="en-US"/>
        </w:rPr>
      </w:pPr>
      <w:r w:rsidRPr="00C90AC9">
        <w:rPr>
          <w:rFonts w:eastAsiaTheme="minorHAnsi"/>
          <w:lang w:eastAsia="en-US"/>
        </w:rPr>
        <w:t>The resulting audio files were transcribed verbatim and then organised an</w:t>
      </w:r>
      <w:r w:rsidR="008C170F" w:rsidRPr="00C90AC9">
        <w:rPr>
          <w:rFonts w:eastAsiaTheme="minorHAnsi"/>
          <w:lang w:eastAsia="en-US"/>
        </w:rPr>
        <w:t>d coded using the software NVIVO</w:t>
      </w:r>
      <w:r w:rsidRPr="00C90AC9">
        <w:rPr>
          <w:rFonts w:eastAsiaTheme="minorHAnsi"/>
          <w:lang w:eastAsia="en-US"/>
        </w:rPr>
        <w:t xml:space="preserve"> 10 for analysis. An additional researcher second coded the resulting transcripts so as to ensure that the coding was validated. As with the focus groups, the semi-structured interviews were conducted in 2012 and at the end of the research period in 2015 to discover if there were any differences between the themes that were raised by the participants over the intervening years of this research project.</w:t>
      </w:r>
    </w:p>
    <w:p w:rsidR="00ED36C8" w:rsidRPr="00C90AC9" w:rsidRDefault="00ED36C8" w:rsidP="00B06779">
      <w:pPr>
        <w:pStyle w:val="BodyText"/>
        <w:rPr>
          <w:rFonts w:eastAsiaTheme="minorHAnsi"/>
          <w:sz w:val="28"/>
          <w:lang w:eastAsia="en-US"/>
        </w:rPr>
      </w:pPr>
    </w:p>
    <w:p w:rsidR="00A16B8C" w:rsidRPr="00C90AC9" w:rsidRDefault="00A16B8C" w:rsidP="00CA6E35">
      <w:pPr>
        <w:pStyle w:val="List"/>
        <w:numPr>
          <w:ilvl w:val="2"/>
          <w:numId w:val="11"/>
        </w:numPr>
        <w:ind w:left="851" w:hanging="851"/>
        <w:rPr>
          <w:rStyle w:val="SubtleEmphasis"/>
          <w:rFonts w:cs="Times New Roman"/>
          <w:iCs/>
          <w:sz w:val="24"/>
          <w:szCs w:val="24"/>
        </w:rPr>
      </w:pPr>
      <w:bookmarkStart w:id="57" w:name="_Toc447173078"/>
      <w:r w:rsidRPr="00C90AC9">
        <w:rPr>
          <w:rStyle w:val="SubtleEmphasis"/>
          <w:rFonts w:cs="Times New Roman"/>
          <w:iCs/>
          <w:szCs w:val="24"/>
        </w:rPr>
        <w:t xml:space="preserve">Sampling of </w:t>
      </w:r>
      <w:r w:rsidR="00E82522" w:rsidRPr="00C90AC9">
        <w:rPr>
          <w:rStyle w:val="SubtleEmphasis"/>
          <w:rFonts w:cs="Times New Roman"/>
          <w:iCs/>
          <w:szCs w:val="24"/>
        </w:rPr>
        <w:t>main</w:t>
      </w:r>
      <w:r w:rsidRPr="00C90AC9">
        <w:rPr>
          <w:rStyle w:val="SubtleEmphasis"/>
          <w:rFonts w:cs="Times New Roman"/>
          <w:iCs/>
          <w:szCs w:val="24"/>
        </w:rPr>
        <w:t xml:space="preserve"> actors in the STP market </w:t>
      </w:r>
      <w:r w:rsidR="003E7797" w:rsidRPr="00C90AC9">
        <w:rPr>
          <w:rStyle w:val="SubtleEmphasis"/>
          <w:rFonts w:cs="Times New Roman"/>
          <w:iCs/>
          <w:szCs w:val="24"/>
        </w:rPr>
        <w:t xml:space="preserve">in </w:t>
      </w:r>
      <w:r w:rsidRPr="00C90AC9">
        <w:rPr>
          <w:rStyle w:val="SubtleEmphasis"/>
          <w:rFonts w:cs="Times New Roman"/>
          <w:iCs/>
          <w:szCs w:val="24"/>
        </w:rPr>
        <w:t>2012 &amp; 2015</w:t>
      </w:r>
      <w:bookmarkEnd w:id="57"/>
    </w:p>
    <w:p w:rsidR="00656316" w:rsidRPr="00C90AC9" w:rsidRDefault="003E7797" w:rsidP="00012484">
      <w:pPr>
        <w:pStyle w:val="BodyTextFirstIndent"/>
        <w:spacing w:line="360" w:lineRule="auto"/>
        <w:ind w:firstLine="0"/>
        <w:rPr>
          <w:rFonts w:eastAsiaTheme="majorEastAsia"/>
          <w:lang w:eastAsia="en-US"/>
        </w:rPr>
      </w:pPr>
      <w:bookmarkStart w:id="58" w:name="_Toc447173079"/>
      <w:r w:rsidRPr="00C90AC9">
        <w:rPr>
          <w:rFonts w:eastAsiaTheme="majorEastAsia"/>
          <w:lang w:eastAsia="en-US"/>
        </w:rPr>
        <w:tab/>
      </w:r>
      <w:r w:rsidR="002E64EA" w:rsidRPr="00C90AC9">
        <w:rPr>
          <w:rFonts w:eastAsiaTheme="majorEastAsia"/>
          <w:lang w:eastAsia="en-US"/>
        </w:rPr>
        <w:t>T</w:t>
      </w:r>
      <w:r w:rsidR="00826E54" w:rsidRPr="00C90AC9">
        <w:rPr>
          <w:rFonts w:eastAsiaTheme="majorEastAsia"/>
          <w:lang w:eastAsia="en-US"/>
        </w:rPr>
        <w:t>he exploratory nature of this research</w:t>
      </w:r>
      <w:r w:rsidR="00656316" w:rsidRPr="00C90AC9">
        <w:rPr>
          <w:rFonts w:eastAsiaTheme="majorEastAsia"/>
          <w:lang w:eastAsia="en-US"/>
        </w:rPr>
        <w:t>,</w:t>
      </w:r>
      <w:r w:rsidR="00826E54" w:rsidRPr="00C90AC9">
        <w:rPr>
          <w:rFonts w:eastAsiaTheme="majorEastAsia"/>
          <w:lang w:eastAsia="en-US"/>
        </w:rPr>
        <w:t xml:space="preserve"> wanting to </w:t>
      </w:r>
      <w:r w:rsidR="0068115A" w:rsidRPr="00C90AC9">
        <w:rPr>
          <w:rFonts w:eastAsiaTheme="majorEastAsia"/>
          <w:lang w:eastAsia="en-US"/>
        </w:rPr>
        <w:t xml:space="preserve">investigate and </w:t>
      </w:r>
      <w:r w:rsidR="00656316" w:rsidRPr="00C90AC9">
        <w:rPr>
          <w:rFonts w:eastAsiaTheme="majorEastAsia"/>
          <w:lang w:eastAsia="en-US"/>
        </w:rPr>
        <w:t xml:space="preserve">assess the opinions of the </w:t>
      </w:r>
      <w:r w:rsidR="00E82522" w:rsidRPr="00C90AC9">
        <w:rPr>
          <w:rFonts w:eastAsiaTheme="majorEastAsia"/>
          <w:lang w:eastAsia="en-US"/>
        </w:rPr>
        <w:t>main</w:t>
      </w:r>
      <w:r w:rsidR="00656316" w:rsidRPr="00C90AC9">
        <w:rPr>
          <w:rFonts w:eastAsiaTheme="majorEastAsia"/>
          <w:lang w:eastAsia="en-US"/>
        </w:rPr>
        <w:t xml:space="preserve"> actors </w:t>
      </w:r>
      <w:r w:rsidR="002E64EA" w:rsidRPr="00C90AC9">
        <w:rPr>
          <w:rFonts w:eastAsiaTheme="majorEastAsia"/>
          <w:lang w:eastAsia="en-US"/>
        </w:rPr>
        <w:t xml:space="preserve">in the STP market </w:t>
      </w:r>
      <w:r w:rsidR="0068115A" w:rsidRPr="00C90AC9">
        <w:rPr>
          <w:rFonts w:eastAsiaTheme="majorEastAsia"/>
          <w:lang w:eastAsia="en-US"/>
        </w:rPr>
        <w:t>rather than measuring</w:t>
      </w:r>
      <w:r w:rsidR="00656316" w:rsidRPr="00C90AC9">
        <w:rPr>
          <w:rFonts w:eastAsiaTheme="majorEastAsia"/>
          <w:lang w:eastAsia="en-US"/>
        </w:rPr>
        <w:t xml:space="preserve"> a specific variable, semi-structured interviews </w:t>
      </w:r>
      <w:r w:rsidR="0068115A" w:rsidRPr="00C90AC9">
        <w:rPr>
          <w:rFonts w:eastAsiaTheme="majorEastAsia"/>
          <w:lang w:eastAsia="en-US"/>
        </w:rPr>
        <w:t xml:space="preserve">were </w:t>
      </w:r>
      <w:r w:rsidR="002E64EA" w:rsidRPr="00C90AC9">
        <w:rPr>
          <w:rFonts w:eastAsiaTheme="majorEastAsia"/>
          <w:lang w:eastAsia="en-US"/>
        </w:rPr>
        <w:t xml:space="preserve">chosen as the method best suited to elucidate the </w:t>
      </w:r>
      <w:proofErr w:type="gramStart"/>
      <w:r w:rsidR="0068115A" w:rsidRPr="00C90AC9">
        <w:rPr>
          <w:rFonts w:eastAsiaTheme="majorEastAsia"/>
          <w:lang w:eastAsia="en-US"/>
        </w:rPr>
        <w:t>sought after</w:t>
      </w:r>
      <w:proofErr w:type="gramEnd"/>
      <w:r w:rsidR="0068115A" w:rsidRPr="00C90AC9">
        <w:rPr>
          <w:rFonts w:eastAsiaTheme="majorEastAsia"/>
          <w:lang w:eastAsia="en-US"/>
        </w:rPr>
        <w:t xml:space="preserve"> </w:t>
      </w:r>
      <w:r w:rsidR="002E64EA" w:rsidRPr="00C90AC9">
        <w:rPr>
          <w:rFonts w:eastAsiaTheme="majorEastAsia"/>
          <w:lang w:eastAsia="en-US"/>
        </w:rPr>
        <w:t>information.</w:t>
      </w:r>
      <w:r w:rsidR="0068115A" w:rsidRPr="00C90AC9">
        <w:rPr>
          <w:rFonts w:eastAsiaTheme="majorEastAsia"/>
          <w:lang w:eastAsia="en-US"/>
        </w:rPr>
        <w:t xml:space="preserve"> Broadly speaking this </w:t>
      </w:r>
      <w:r w:rsidR="00304DFD" w:rsidRPr="00C90AC9">
        <w:rPr>
          <w:rFonts w:eastAsiaTheme="majorEastAsia"/>
          <w:lang w:eastAsia="en-US"/>
        </w:rPr>
        <w:t xml:space="preserve">part of the qualitative research was conducted </w:t>
      </w:r>
      <w:r w:rsidR="0068115A" w:rsidRPr="00C90AC9">
        <w:rPr>
          <w:rFonts w:eastAsiaTheme="majorEastAsia"/>
          <w:lang w:eastAsia="en-US"/>
        </w:rPr>
        <w:t xml:space="preserve">to determine if the </w:t>
      </w:r>
      <w:r w:rsidR="00E82522" w:rsidRPr="00C90AC9">
        <w:rPr>
          <w:rFonts w:eastAsiaTheme="majorEastAsia"/>
          <w:lang w:eastAsia="en-US"/>
        </w:rPr>
        <w:t>main</w:t>
      </w:r>
      <w:r w:rsidR="0068115A" w:rsidRPr="00C90AC9">
        <w:rPr>
          <w:rFonts w:eastAsiaTheme="majorEastAsia"/>
          <w:lang w:eastAsia="en-US"/>
        </w:rPr>
        <w:t xml:space="preserve"> actors perceived</w:t>
      </w:r>
      <w:r w:rsidR="00F708EE" w:rsidRPr="00C90AC9">
        <w:rPr>
          <w:rFonts w:eastAsiaTheme="majorEastAsia"/>
          <w:lang w:eastAsia="en-US"/>
        </w:rPr>
        <w:t xml:space="preserve"> any significant factors which would hinder the adoption of STP technology and equally if it is perceived that there are factors which would help facilitate the adoption process. </w:t>
      </w:r>
      <w:r w:rsidR="002E64EA" w:rsidRPr="00C90AC9">
        <w:rPr>
          <w:rFonts w:eastAsiaTheme="majorEastAsia"/>
          <w:lang w:eastAsia="en-US"/>
        </w:rPr>
        <w:t xml:space="preserve">Interviews have been previously used in the energy market in </w:t>
      </w:r>
      <w:r w:rsidR="00F708EE" w:rsidRPr="00C90AC9">
        <w:rPr>
          <w:rFonts w:eastAsiaTheme="majorEastAsia"/>
          <w:lang w:eastAsia="en-US"/>
        </w:rPr>
        <w:t xml:space="preserve">recent </w:t>
      </w:r>
      <w:r w:rsidR="002E64EA" w:rsidRPr="00C90AC9">
        <w:rPr>
          <w:rFonts w:eastAsiaTheme="majorEastAsia"/>
          <w:lang w:eastAsia="en-US"/>
        </w:rPr>
        <w:t xml:space="preserve">studies </w:t>
      </w:r>
      <w:r w:rsidR="00F708EE" w:rsidRPr="00C90AC9">
        <w:rPr>
          <w:rFonts w:eastAsiaTheme="majorEastAsia"/>
          <w:lang w:eastAsia="en-US"/>
        </w:rPr>
        <w:t>such as</w:t>
      </w:r>
      <w:r w:rsidR="003967B7" w:rsidRPr="00C90AC9">
        <w:rPr>
          <w:rFonts w:eastAsiaTheme="majorEastAsia"/>
          <w:lang w:eastAsia="en-US"/>
        </w:rPr>
        <w:t xml:space="preserve"> </w:t>
      </w:r>
      <w:proofErr w:type="spellStart"/>
      <w:r w:rsidR="003967B7" w:rsidRPr="00C90AC9">
        <w:rPr>
          <w:rFonts w:eastAsiaTheme="majorEastAsia"/>
          <w:lang w:eastAsia="en-US"/>
        </w:rPr>
        <w:t>Matus</w:t>
      </w:r>
      <w:proofErr w:type="spellEnd"/>
      <w:r w:rsidR="003967B7" w:rsidRPr="00C90AC9">
        <w:rPr>
          <w:rFonts w:eastAsiaTheme="majorEastAsia"/>
          <w:lang w:eastAsia="en-US"/>
        </w:rPr>
        <w:t xml:space="preserve">, Clark, </w:t>
      </w:r>
      <w:proofErr w:type="spellStart"/>
      <w:r w:rsidR="003967B7" w:rsidRPr="00C90AC9">
        <w:rPr>
          <w:rFonts w:eastAsiaTheme="majorEastAsia"/>
          <w:lang w:eastAsia="en-US"/>
        </w:rPr>
        <w:t>Anastas</w:t>
      </w:r>
      <w:proofErr w:type="spellEnd"/>
      <w:r w:rsidR="003967B7" w:rsidRPr="00C90AC9">
        <w:rPr>
          <w:rFonts w:eastAsiaTheme="majorEastAsia"/>
          <w:lang w:eastAsia="en-US"/>
        </w:rPr>
        <w:t>, &amp; Zimmerman, 2012</w:t>
      </w:r>
      <w:r w:rsidR="00F708EE" w:rsidRPr="00C90AC9">
        <w:rPr>
          <w:rFonts w:eastAsiaTheme="majorEastAsia"/>
          <w:lang w:eastAsia="en-US"/>
        </w:rPr>
        <w:t xml:space="preserve"> </w:t>
      </w:r>
      <w:bookmarkEnd w:id="58"/>
      <w:r w:rsidR="003967B7" w:rsidRPr="00C90AC9">
        <w:rPr>
          <w:rFonts w:eastAsiaTheme="majorEastAsia"/>
          <w:lang w:eastAsia="en-US"/>
        </w:rPr>
        <w:fldChar w:fldCharType="begin"/>
      </w:r>
      <w:r w:rsidR="003967B7" w:rsidRPr="00C90AC9">
        <w:rPr>
          <w:rFonts w:eastAsiaTheme="majorEastAsia"/>
          <w:lang w:eastAsia="en-US"/>
        </w:rPr>
        <w:instrText xml:space="preserve"> ADDIN EN.CITE &lt;EndNote&gt;&lt;Cite&gt;&lt;Author&gt;Matus&lt;/Author&gt;&lt;Year&gt;2012&lt;/Year&gt;&lt;RecNum&gt;268&lt;/RecNum&gt;&lt;DisplayText&gt;(Matus, Clark, Anastas, &amp;amp; Zimmerman, 2012)&lt;/DisplayText&gt;&lt;record&gt;&lt;rec-number&gt;268&lt;/rec-number&gt;&lt;foreign-keys&gt;&lt;key app="EN" db-id="50wxdpzd9vd5r7e9t5b595djrfpttrxw9avp" timestamp="1526108086"&gt;268&lt;/key&gt;&lt;/foreign-keys&gt;&lt;ref-type name="Journal Article"&gt;17&lt;/ref-type&gt;&lt;contributors&gt;&lt;authors&gt;&lt;author&gt;Matus, Kira J. M.&lt;/author&gt;&lt;author&gt;Clark, William C.&lt;/author&gt;&lt;author&gt;Anastas, Paul T.&lt;/author&gt;&lt;author&gt;Zimmerman, Julie B.&lt;/author&gt;&lt;/authors&gt;&lt;/contributors&gt;&lt;titles&gt;&lt;title&gt;Barriers to the Implementation of Green Chemistry in the United States&lt;/title&gt;&lt;secondary-title&gt;Environmental Science &amp;amp; Technology&lt;/secondary-title&gt;&lt;/titles&gt;&lt;pages&gt;10892-10899&lt;/pages&gt;&lt;volume&gt;46&lt;/volume&gt;&lt;number&gt;20&lt;/number&gt;&lt;dates&gt;&lt;year&gt;2012&lt;/year&gt;&lt;pub-dates&gt;&lt;date&gt;2012/10/16&lt;/date&gt;&lt;/pub-dates&gt;&lt;/dates&gt;&lt;publisher&gt;American Chemical Society&lt;/publisher&gt;&lt;isbn&gt;0013-936X&lt;/isbn&gt;&lt;urls&gt;&lt;related-urls&gt;&lt;url&gt;https://doi.org/10.1021/es3021777&lt;/url&gt;&lt;/related-urls&gt;&lt;/urls&gt;&lt;electronic-resource-num&gt;10.1021/es3021777&lt;/electronic-resource-num&gt;&lt;/record&gt;&lt;/Cite&gt;&lt;/EndNote&gt;</w:instrText>
      </w:r>
      <w:r w:rsidR="003967B7" w:rsidRPr="00C90AC9">
        <w:rPr>
          <w:rFonts w:eastAsiaTheme="majorEastAsia"/>
          <w:lang w:eastAsia="en-US"/>
        </w:rPr>
        <w:fldChar w:fldCharType="separate"/>
      </w:r>
      <w:r w:rsidR="003967B7" w:rsidRPr="00C90AC9">
        <w:rPr>
          <w:rFonts w:eastAsiaTheme="majorEastAsia"/>
          <w:lang w:eastAsia="en-US"/>
        </w:rPr>
        <w:t>(Matus, Clark, Anastas, &amp; Zimmerman, 2012)</w:t>
      </w:r>
      <w:r w:rsidR="003967B7" w:rsidRPr="00C90AC9">
        <w:rPr>
          <w:rFonts w:eastAsiaTheme="majorEastAsia"/>
          <w:lang w:eastAsia="en-US"/>
        </w:rPr>
        <w:fldChar w:fldCharType="end"/>
      </w:r>
      <w:r w:rsidR="003967B7" w:rsidRPr="00C90AC9">
        <w:rPr>
          <w:rFonts w:eastAsiaTheme="majorEastAsia"/>
          <w:lang w:eastAsia="en-US"/>
        </w:rPr>
        <w:t>.</w:t>
      </w:r>
    </w:p>
    <w:p w:rsidR="0001462D" w:rsidRPr="00C90AC9" w:rsidRDefault="00A16B8C" w:rsidP="003967B7">
      <w:pPr>
        <w:pStyle w:val="BodyText"/>
        <w:spacing w:line="360" w:lineRule="auto"/>
        <w:rPr>
          <w:rFonts w:eastAsiaTheme="majorEastAsia"/>
          <w:lang w:eastAsia="en-US"/>
        </w:rPr>
      </w:pPr>
      <w:bookmarkStart w:id="59" w:name="_Toc447173080"/>
      <w:r w:rsidRPr="00C90AC9">
        <w:rPr>
          <w:rFonts w:eastAsiaTheme="majorEastAsia"/>
          <w:lang w:eastAsia="en-US"/>
        </w:rPr>
        <w:t xml:space="preserve">These </w:t>
      </w:r>
      <w:r w:rsidR="00E82522" w:rsidRPr="00C90AC9">
        <w:rPr>
          <w:rFonts w:eastAsiaTheme="majorEastAsia"/>
          <w:lang w:eastAsia="en-US"/>
        </w:rPr>
        <w:t>main</w:t>
      </w:r>
      <w:r w:rsidRPr="00C90AC9">
        <w:rPr>
          <w:rFonts w:eastAsiaTheme="majorEastAsia"/>
          <w:lang w:eastAsia="en-US"/>
        </w:rPr>
        <w:t xml:space="preserve"> actors were chosen as they are </w:t>
      </w:r>
      <w:r w:rsidR="00F708EE" w:rsidRPr="00C90AC9">
        <w:rPr>
          <w:rFonts w:eastAsiaTheme="majorEastAsia"/>
          <w:lang w:eastAsia="en-US"/>
        </w:rPr>
        <w:t xml:space="preserve">employed in their respective areas of expertise </w:t>
      </w:r>
      <w:r w:rsidR="0001462D" w:rsidRPr="00C90AC9">
        <w:rPr>
          <w:rFonts w:eastAsiaTheme="majorEastAsia"/>
          <w:lang w:eastAsia="en-US"/>
        </w:rPr>
        <w:t xml:space="preserve">which make them relevant to this study </w:t>
      </w:r>
      <w:r w:rsidR="00F708EE" w:rsidRPr="00C90AC9">
        <w:rPr>
          <w:rFonts w:eastAsiaTheme="majorEastAsia"/>
          <w:lang w:eastAsia="en-US"/>
        </w:rPr>
        <w:t>and</w:t>
      </w:r>
      <w:r w:rsidR="0001462D" w:rsidRPr="00C90AC9">
        <w:rPr>
          <w:rFonts w:eastAsiaTheme="majorEastAsia"/>
          <w:lang w:eastAsia="en-US"/>
        </w:rPr>
        <w:t xml:space="preserve"> they additionally</w:t>
      </w:r>
      <w:r w:rsidR="00F708EE" w:rsidRPr="00C90AC9">
        <w:rPr>
          <w:rFonts w:eastAsiaTheme="majorEastAsia"/>
          <w:lang w:eastAsia="en-US"/>
        </w:rPr>
        <w:t xml:space="preserve"> have experience of </w:t>
      </w:r>
      <w:r w:rsidR="006518C0" w:rsidRPr="00C90AC9">
        <w:rPr>
          <w:rFonts w:eastAsiaTheme="majorEastAsia"/>
          <w:lang w:eastAsia="en-US"/>
        </w:rPr>
        <w:t>STPs</w:t>
      </w:r>
      <w:r w:rsidR="00F708EE" w:rsidRPr="00C90AC9">
        <w:rPr>
          <w:rFonts w:eastAsiaTheme="majorEastAsia"/>
          <w:lang w:eastAsia="en-US"/>
        </w:rPr>
        <w:t xml:space="preserve"> through their jobs. They have been employed in or near to Sheffield </w:t>
      </w:r>
      <w:r w:rsidRPr="00C90AC9">
        <w:rPr>
          <w:rFonts w:eastAsiaTheme="majorEastAsia"/>
          <w:lang w:eastAsia="en-US"/>
        </w:rPr>
        <w:t>(so as to keep consistency with the opinion</w:t>
      </w:r>
      <w:r w:rsidR="0001462D" w:rsidRPr="00C90AC9">
        <w:rPr>
          <w:rFonts w:eastAsiaTheme="majorEastAsia"/>
          <w:lang w:eastAsia="en-US"/>
        </w:rPr>
        <w:t>s of consumers in Sheffield)</w:t>
      </w:r>
      <w:r w:rsidRPr="00C90AC9">
        <w:rPr>
          <w:rFonts w:eastAsiaTheme="majorEastAsia"/>
          <w:lang w:eastAsia="en-US"/>
        </w:rPr>
        <w:t xml:space="preserve">. Internet searches discerned potential candidates for the study and </w:t>
      </w:r>
      <w:r w:rsidR="0001462D" w:rsidRPr="00C90AC9">
        <w:rPr>
          <w:rFonts w:eastAsiaTheme="majorEastAsia"/>
          <w:lang w:eastAsia="en-US"/>
        </w:rPr>
        <w:t xml:space="preserve">prospective participants were </w:t>
      </w:r>
      <w:r w:rsidRPr="00C90AC9">
        <w:rPr>
          <w:rFonts w:eastAsiaTheme="majorEastAsia"/>
          <w:lang w:eastAsia="en-US"/>
        </w:rPr>
        <w:t xml:space="preserve">contacted via email. The interviews were conducted </w:t>
      </w:r>
      <w:r w:rsidRPr="00C90AC9">
        <w:rPr>
          <w:rFonts w:eastAsiaTheme="majorEastAsia"/>
          <w:lang w:eastAsia="en-US"/>
        </w:rPr>
        <w:lastRenderedPageBreak/>
        <w:t xml:space="preserve">via telephone with the exception of the </w:t>
      </w:r>
      <w:r w:rsidR="00FF15E5" w:rsidRPr="00C90AC9">
        <w:rPr>
          <w:rFonts w:eastAsiaTheme="majorEastAsia"/>
          <w:lang w:eastAsia="en-US"/>
        </w:rPr>
        <w:t>academic</w:t>
      </w:r>
      <w:r w:rsidRPr="00C90AC9">
        <w:rPr>
          <w:rFonts w:eastAsiaTheme="majorEastAsia"/>
          <w:lang w:eastAsia="en-US"/>
        </w:rPr>
        <w:t xml:space="preserve"> in 2012 who was interviewed in person. </w:t>
      </w:r>
      <w:r w:rsidR="0001462D" w:rsidRPr="00C90AC9">
        <w:rPr>
          <w:rFonts w:eastAsiaTheme="majorEastAsia"/>
          <w:lang w:eastAsia="en-US"/>
        </w:rPr>
        <w:t>No monetary compensation was offered or sought for their time.</w:t>
      </w:r>
      <w:bookmarkEnd w:id="59"/>
    </w:p>
    <w:p w:rsidR="00A16B8C" w:rsidRPr="00C90AC9" w:rsidRDefault="00A16B8C" w:rsidP="003967B7">
      <w:pPr>
        <w:pStyle w:val="BodyText"/>
        <w:spacing w:line="360" w:lineRule="auto"/>
        <w:rPr>
          <w:rFonts w:eastAsiaTheme="majorEastAsia"/>
          <w:bCs/>
          <w:lang w:eastAsia="en-US"/>
        </w:rPr>
      </w:pPr>
      <w:bookmarkStart w:id="60" w:name="_Toc447173081"/>
      <w:r w:rsidRPr="00C90AC9">
        <w:rPr>
          <w:rFonts w:eastAsiaTheme="minorHAnsi"/>
          <w:lang w:eastAsia="en-US"/>
        </w:rPr>
        <w:t xml:space="preserve">The interview structure </w:t>
      </w:r>
      <w:r w:rsidR="0068115A" w:rsidRPr="00C90AC9">
        <w:rPr>
          <w:rFonts w:eastAsiaTheme="minorHAnsi"/>
          <w:lang w:eastAsia="en-US"/>
        </w:rPr>
        <w:t xml:space="preserve">between the </w:t>
      </w:r>
      <w:r w:rsidR="00E82522" w:rsidRPr="00C90AC9">
        <w:rPr>
          <w:rFonts w:eastAsiaTheme="minorHAnsi"/>
          <w:lang w:eastAsia="en-US"/>
        </w:rPr>
        <w:t>main</w:t>
      </w:r>
      <w:r w:rsidR="0068115A" w:rsidRPr="00C90AC9">
        <w:rPr>
          <w:rFonts w:eastAsiaTheme="minorHAnsi"/>
          <w:lang w:eastAsia="en-US"/>
        </w:rPr>
        <w:t xml:space="preserve"> actors was similar </w:t>
      </w:r>
      <w:r w:rsidR="0001462D" w:rsidRPr="00C90AC9">
        <w:rPr>
          <w:rFonts w:eastAsiaTheme="minorHAnsi"/>
          <w:lang w:eastAsia="en-US"/>
        </w:rPr>
        <w:t xml:space="preserve">in that a more detailed discussion was conducted. There were some key differences </w:t>
      </w:r>
      <w:r w:rsidR="0068115A" w:rsidRPr="00C90AC9">
        <w:rPr>
          <w:rFonts w:eastAsiaTheme="minorHAnsi"/>
          <w:lang w:eastAsia="en-US"/>
        </w:rPr>
        <w:t xml:space="preserve">but there </w:t>
      </w:r>
      <w:r w:rsidR="0001462D" w:rsidRPr="00C90AC9">
        <w:rPr>
          <w:rFonts w:eastAsiaTheme="minorHAnsi"/>
          <w:lang w:eastAsia="en-US"/>
        </w:rPr>
        <w:t xml:space="preserve">were </w:t>
      </w:r>
      <w:r w:rsidR="0068115A" w:rsidRPr="00C90AC9">
        <w:rPr>
          <w:rFonts w:eastAsiaTheme="minorHAnsi"/>
          <w:lang w:eastAsia="en-US"/>
        </w:rPr>
        <w:t xml:space="preserve">some key differences in the content depending on their specific area of expertise and the anticipated knowledge that each </w:t>
      </w:r>
      <w:r w:rsidR="00E82522" w:rsidRPr="00C90AC9">
        <w:rPr>
          <w:rFonts w:eastAsiaTheme="minorHAnsi"/>
          <w:lang w:eastAsia="en-US"/>
        </w:rPr>
        <w:t>main</w:t>
      </w:r>
      <w:r w:rsidR="0068115A" w:rsidRPr="00C90AC9">
        <w:rPr>
          <w:rFonts w:eastAsiaTheme="minorHAnsi"/>
          <w:lang w:eastAsia="en-US"/>
        </w:rPr>
        <w:t xml:space="preserve"> actor has</w:t>
      </w:r>
      <w:r w:rsidR="0001462D" w:rsidRPr="00C90AC9">
        <w:rPr>
          <w:rFonts w:eastAsiaTheme="minorHAnsi"/>
          <w:lang w:eastAsia="en-US"/>
        </w:rPr>
        <w:t xml:space="preserve"> in that field</w:t>
      </w:r>
      <w:r w:rsidR="0068115A" w:rsidRPr="00C90AC9">
        <w:rPr>
          <w:rFonts w:eastAsiaTheme="minorHAnsi"/>
          <w:lang w:eastAsia="en-US"/>
        </w:rPr>
        <w:t>. For example</w:t>
      </w:r>
      <w:r w:rsidR="0001462D" w:rsidRPr="00C90AC9">
        <w:rPr>
          <w:rFonts w:eastAsiaTheme="minorHAnsi"/>
          <w:lang w:eastAsia="en-US"/>
        </w:rPr>
        <w:t>,</w:t>
      </w:r>
      <w:r w:rsidR="0068115A" w:rsidRPr="00C90AC9">
        <w:rPr>
          <w:rFonts w:eastAsiaTheme="minorHAnsi"/>
          <w:lang w:eastAsia="en-US"/>
        </w:rPr>
        <w:t xml:space="preserve"> more time and a greater emphasis </w:t>
      </w:r>
      <w:r w:rsidR="00D57552" w:rsidRPr="00C90AC9">
        <w:rPr>
          <w:rFonts w:eastAsiaTheme="minorHAnsi"/>
          <w:lang w:eastAsia="en-US"/>
        </w:rPr>
        <w:t>were</w:t>
      </w:r>
      <w:r w:rsidR="0068115A" w:rsidRPr="00C90AC9">
        <w:rPr>
          <w:rFonts w:eastAsiaTheme="minorHAnsi"/>
          <w:lang w:eastAsia="en-US"/>
        </w:rPr>
        <w:t xml:space="preserve"> given to discussing technical issues with the academic and more time was devoted to discussing political issues with the politician.</w:t>
      </w:r>
      <w:bookmarkEnd w:id="60"/>
    </w:p>
    <w:p w:rsidR="00A16B8C" w:rsidRPr="00C90AC9" w:rsidRDefault="00A16B8C" w:rsidP="003967B7">
      <w:pPr>
        <w:rPr>
          <w:rFonts w:eastAsiaTheme="minorHAnsi"/>
          <w:lang w:eastAsia="en-US"/>
        </w:rPr>
      </w:pPr>
    </w:p>
    <w:p w:rsidR="00A16B8C" w:rsidRPr="00C90AC9" w:rsidRDefault="000236EC" w:rsidP="00CA6E35">
      <w:pPr>
        <w:pStyle w:val="List"/>
        <w:numPr>
          <w:ilvl w:val="1"/>
          <w:numId w:val="11"/>
        </w:numPr>
        <w:tabs>
          <w:tab w:val="left" w:pos="1276"/>
        </w:tabs>
        <w:ind w:left="0" w:firstLine="0"/>
        <w:rPr>
          <w:rStyle w:val="SubtleEmphasis"/>
          <w:rFonts w:cs="Times New Roman"/>
          <w:iCs/>
          <w:szCs w:val="24"/>
        </w:rPr>
      </w:pPr>
      <w:bookmarkStart w:id="61" w:name="_Toc447173086"/>
      <w:r w:rsidRPr="00C90AC9">
        <w:rPr>
          <w:rStyle w:val="SubtleEmphasis"/>
          <w:rFonts w:cs="Times New Roman"/>
          <w:iCs/>
          <w:szCs w:val="24"/>
        </w:rPr>
        <w:t>Thematic a</w:t>
      </w:r>
      <w:r w:rsidR="00A16B8C" w:rsidRPr="00C90AC9">
        <w:rPr>
          <w:rStyle w:val="SubtleEmphasis"/>
          <w:rFonts w:cs="Times New Roman"/>
          <w:iCs/>
          <w:szCs w:val="24"/>
        </w:rPr>
        <w:t>nalysis</w:t>
      </w:r>
      <w:bookmarkEnd w:id="61"/>
    </w:p>
    <w:p w:rsidR="00A16B8C" w:rsidRPr="00C90AC9" w:rsidRDefault="00A16B8C" w:rsidP="009902C3">
      <w:pPr>
        <w:pStyle w:val="ListContinue"/>
        <w:spacing w:line="360" w:lineRule="auto"/>
        <w:ind w:left="0"/>
        <w:rPr>
          <w:rFonts w:eastAsiaTheme="minorHAnsi"/>
          <w:lang w:eastAsia="en-US"/>
        </w:rPr>
      </w:pPr>
      <w:r w:rsidRPr="00C90AC9">
        <w:rPr>
          <w:rFonts w:eastAsiaTheme="minorHAnsi"/>
          <w:lang w:eastAsia="en-US"/>
        </w:rPr>
        <w:t>The desired outcomes of these studies were:</w:t>
      </w:r>
    </w:p>
    <w:p w:rsidR="00A16B8C" w:rsidRPr="00C90AC9" w:rsidRDefault="00A16B8C" w:rsidP="00CA6E35">
      <w:pPr>
        <w:pStyle w:val="ListBullet2"/>
        <w:numPr>
          <w:ilvl w:val="0"/>
          <w:numId w:val="13"/>
        </w:numPr>
        <w:spacing w:line="300" w:lineRule="auto"/>
        <w:ind w:left="771" w:hanging="357"/>
        <w:rPr>
          <w:rFonts w:eastAsiaTheme="minorHAnsi"/>
          <w:lang w:eastAsia="en-US"/>
        </w:rPr>
      </w:pPr>
      <w:r w:rsidRPr="00C90AC9">
        <w:rPr>
          <w:rFonts w:eastAsiaTheme="minorHAnsi"/>
          <w:lang w:eastAsia="en-US"/>
        </w:rPr>
        <w:t>To gain specialist knowledge about how the technology can be applied to the wider public;</w:t>
      </w:r>
    </w:p>
    <w:p w:rsidR="00A16B8C" w:rsidRPr="00C90AC9" w:rsidRDefault="00A16B8C" w:rsidP="00CA6E35">
      <w:pPr>
        <w:pStyle w:val="ListBullet2"/>
        <w:numPr>
          <w:ilvl w:val="0"/>
          <w:numId w:val="13"/>
        </w:numPr>
        <w:spacing w:line="300" w:lineRule="auto"/>
        <w:ind w:left="771" w:hanging="357"/>
        <w:rPr>
          <w:rFonts w:eastAsiaTheme="minorHAnsi"/>
          <w:lang w:eastAsia="en-US"/>
        </w:rPr>
      </w:pPr>
      <w:r w:rsidRPr="00C90AC9">
        <w:rPr>
          <w:rFonts w:eastAsiaTheme="minorHAnsi"/>
          <w:lang w:eastAsia="en-US"/>
        </w:rPr>
        <w:t xml:space="preserve">To become aware not only of the potential benefits of </w:t>
      </w:r>
      <w:r w:rsidR="006518C0" w:rsidRPr="00C90AC9">
        <w:rPr>
          <w:rFonts w:eastAsiaTheme="minorHAnsi"/>
          <w:lang w:eastAsia="en-US"/>
        </w:rPr>
        <w:t>STPs</w:t>
      </w:r>
      <w:r w:rsidRPr="00C90AC9">
        <w:rPr>
          <w:rFonts w:eastAsiaTheme="minorHAnsi"/>
          <w:lang w:eastAsia="en-US"/>
        </w:rPr>
        <w:t xml:space="preserve"> in Sheffield but also any potential problems that could be encountered in the application of the technology;</w:t>
      </w:r>
      <w:r w:rsidR="002C3D94" w:rsidRPr="00C90AC9">
        <w:rPr>
          <w:rFonts w:eastAsiaTheme="minorHAnsi"/>
          <w:lang w:eastAsia="en-US"/>
        </w:rPr>
        <w:t xml:space="preserve"> and</w:t>
      </w:r>
    </w:p>
    <w:p w:rsidR="00136838" w:rsidRPr="00C90AC9" w:rsidRDefault="00A16B8C" w:rsidP="00CA6E35">
      <w:pPr>
        <w:pStyle w:val="ListBullet2"/>
        <w:numPr>
          <w:ilvl w:val="0"/>
          <w:numId w:val="13"/>
        </w:numPr>
        <w:spacing w:line="300" w:lineRule="auto"/>
        <w:ind w:left="771" w:hanging="357"/>
        <w:rPr>
          <w:rFonts w:eastAsiaTheme="minorHAnsi"/>
          <w:lang w:eastAsia="en-US"/>
        </w:rPr>
      </w:pPr>
      <w:r w:rsidRPr="00C90AC9">
        <w:rPr>
          <w:rFonts w:eastAsiaTheme="minorHAnsi"/>
          <w:lang w:eastAsia="en-US"/>
        </w:rPr>
        <w:t>To appreciate if there are any differences between the first set of interviews in 2012 and the second s</w:t>
      </w:r>
      <w:r w:rsidR="002C3D94" w:rsidRPr="00C90AC9">
        <w:rPr>
          <w:rFonts w:eastAsiaTheme="minorHAnsi"/>
          <w:lang w:eastAsia="en-US"/>
        </w:rPr>
        <w:t>et in 2015.</w:t>
      </w:r>
    </w:p>
    <w:p w:rsidR="005D3791" w:rsidRPr="00C90AC9" w:rsidRDefault="005D3791" w:rsidP="009902C3">
      <w:pPr>
        <w:spacing w:line="360" w:lineRule="auto"/>
        <w:rPr>
          <w:rFonts w:eastAsiaTheme="minorHAnsi"/>
          <w:lang w:eastAsia="en-US"/>
        </w:rPr>
      </w:pPr>
    </w:p>
    <w:p w:rsidR="008D51BC" w:rsidRPr="00C90AC9" w:rsidRDefault="00A16B8C" w:rsidP="008D2795">
      <w:pPr>
        <w:pStyle w:val="BodyText"/>
        <w:spacing w:line="360" w:lineRule="auto"/>
        <w:rPr>
          <w:rFonts w:eastAsiaTheme="minorHAnsi"/>
          <w:lang w:eastAsia="en-US"/>
        </w:rPr>
      </w:pPr>
      <w:r w:rsidRPr="00C90AC9">
        <w:rPr>
          <w:rFonts w:eastAsiaTheme="minorHAnsi"/>
          <w:lang w:eastAsia="en-US"/>
        </w:rPr>
        <w:t>Because of the</w:t>
      </w:r>
      <w:r w:rsidR="00136838" w:rsidRPr="00C90AC9">
        <w:rPr>
          <w:rFonts w:eastAsiaTheme="minorHAnsi"/>
          <w:lang w:eastAsia="en-US"/>
        </w:rPr>
        <w:t xml:space="preserve"> exploratory</w:t>
      </w:r>
      <w:r w:rsidRPr="00C90AC9">
        <w:rPr>
          <w:rFonts w:eastAsiaTheme="minorHAnsi"/>
          <w:lang w:eastAsia="en-US"/>
        </w:rPr>
        <w:t xml:space="preserve"> outcomes </w:t>
      </w:r>
      <w:r w:rsidR="00136838" w:rsidRPr="00C90AC9">
        <w:rPr>
          <w:rFonts w:eastAsiaTheme="minorHAnsi"/>
          <w:lang w:eastAsia="en-US"/>
        </w:rPr>
        <w:t>t</w:t>
      </w:r>
      <w:r w:rsidRPr="00C90AC9">
        <w:rPr>
          <w:rFonts w:eastAsiaTheme="minorHAnsi"/>
          <w:lang w:eastAsia="en-US"/>
        </w:rPr>
        <w:t xml:space="preserve">hematic </w:t>
      </w:r>
      <w:r w:rsidR="00136838" w:rsidRPr="00C90AC9">
        <w:rPr>
          <w:rFonts w:eastAsiaTheme="minorHAnsi"/>
          <w:lang w:eastAsia="en-US"/>
        </w:rPr>
        <w:t>a</w:t>
      </w:r>
      <w:r w:rsidRPr="00C90AC9">
        <w:rPr>
          <w:rFonts w:eastAsiaTheme="minorHAnsi"/>
          <w:lang w:eastAsia="en-US"/>
        </w:rPr>
        <w:t>nalysis</w:t>
      </w:r>
      <w:r w:rsidR="005D3791" w:rsidRPr="00C90AC9">
        <w:rPr>
          <w:rFonts w:eastAsiaTheme="minorHAnsi"/>
          <w:lang w:eastAsia="en-US"/>
        </w:rPr>
        <w:t>,</w:t>
      </w:r>
      <w:r w:rsidRPr="00C90AC9">
        <w:rPr>
          <w:rFonts w:eastAsiaTheme="minorHAnsi"/>
          <w:lang w:eastAsia="en-US"/>
        </w:rPr>
        <w:t xml:space="preserve"> as described by</w:t>
      </w:r>
      <w:r w:rsidR="00C0462B" w:rsidRPr="00C90AC9">
        <w:rPr>
          <w:rFonts w:eastAsiaTheme="minorHAnsi"/>
          <w:lang w:eastAsia="en-US"/>
        </w:rPr>
        <w:t xml:space="preserve"> Guest et al Thematic Analysis</w:t>
      </w:r>
      <w:r w:rsidRPr="00C90AC9">
        <w:rPr>
          <w:rFonts w:eastAsiaTheme="minorHAnsi"/>
          <w:lang w:eastAsia="en-US"/>
        </w:rPr>
        <w:t xml:space="preserve"> was considered the most appropriate method to analyse the resulting transcripts for a number of reasons</w:t>
      </w:r>
      <w:r w:rsidR="00C0462B" w:rsidRPr="00C90AC9">
        <w:rPr>
          <w:rFonts w:eastAsiaTheme="minorHAnsi"/>
          <w:lang w:eastAsia="en-US"/>
        </w:rPr>
        <w:t xml:space="preserve"> </w:t>
      </w:r>
      <w:r w:rsidR="00C0462B" w:rsidRPr="00C90AC9">
        <w:rPr>
          <w:rFonts w:eastAsiaTheme="minorHAnsi"/>
          <w:lang w:eastAsia="en-US"/>
        </w:rPr>
        <w:fldChar w:fldCharType="begin"/>
      </w:r>
      <w:r w:rsidR="008D51BC" w:rsidRPr="00C90AC9">
        <w:rPr>
          <w:rFonts w:eastAsiaTheme="minorHAnsi"/>
          <w:lang w:eastAsia="en-US"/>
        </w:rPr>
        <w:instrText xml:space="preserve"> ADDIN EN.CITE &lt;EndNote&gt;&lt;Cite&gt;&lt;Author&gt;Guest&lt;/Author&gt;&lt;Year&gt;2011&lt;/Year&gt;&lt;RecNum&gt;258&lt;/RecNum&gt;&lt;DisplayText&gt;(Braun &amp;amp; Clarke, 2006; Guest, MacQueen, &amp;amp; Namey, 2011)&lt;/DisplayText&gt;&lt;record&gt;&lt;rec-number&gt;258&lt;/rec-number&gt;&lt;foreign-keys&gt;&lt;key app="EN" db-id="50wxdpzd9vd5r7e9t5b595djrfpttrxw9avp" timestamp="1526033367"&gt;258&lt;/key&gt;&lt;/foreign-keys&gt;&lt;ref-type name="Book"&gt;6&lt;/ref-type&gt;&lt;contributors&gt;&lt;authors&gt;&lt;author&gt;Guest, G.&lt;/author&gt;&lt;author&gt;MacQueen, K.M.&lt;/author&gt;&lt;author&gt;Namey, E.E.&lt;/author&gt;&lt;/authors&gt;&lt;/contributors&gt;&lt;titles&gt;&lt;title&gt;Applied Thematic Analysis&lt;/title&gt;&lt;/titles&gt;&lt;dates&gt;&lt;year&gt;2011&lt;/year&gt;&lt;/dates&gt;&lt;publisher&gt;SAGE Publications&lt;/publisher&gt;&lt;isbn&gt;9781412971676&lt;/isbn&gt;&lt;urls&gt;&lt;related-urls&gt;&lt;url&gt;https://books.google.co.uk/books?id=VuWrexznC7sC&lt;/url&gt;&lt;/related-urls&gt;&lt;/urls&gt;&lt;/record&gt;&lt;/Cite&gt;&lt;Cite&gt;&lt;Author&gt;Braun&lt;/Author&gt;&lt;Year&gt;2006&lt;/Year&gt;&lt;RecNum&gt;260&lt;/RecNum&gt;&lt;record&gt;&lt;rec-number&gt;260&lt;/rec-number&gt;&lt;foreign-keys&gt;&lt;key app="EN" db-id="50wxdpzd9vd5r7e9t5b595djrfpttrxw9avp" timestamp="1526033997"&gt;260&lt;/key&gt;&lt;/foreign-keys&gt;&lt;ref-type name="Journal Article"&gt;17&lt;/ref-type&gt;&lt;contributors&gt;&lt;authors&gt;&lt;author&gt;Braun, Virginia&lt;/author&gt;&lt;author&gt;Clarke, Victoria&lt;/author&gt;&lt;/authors&gt;&lt;/contributors&gt;&lt;titles&gt;&lt;title&gt;Using thematic analysis in psychology&lt;/title&gt;&lt;secondary-title&gt;Qualitative Research in Psychology&lt;/secondary-title&gt;&lt;/titles&gt;&lt;pages&gt;77-101&lt;/pages&gt;&lt;volume&gt;3&lt;/volume&gt;&lt;number&gt;2&lt;/number&gt;&lt;dates&gt;&lt;year&gt;2006&lt;/year&gt;&lt;pub-dates&gt;&lt;date&gt;2006/01/01&lt;/date&gt;&lt;/pub-dates&gt;&lt;/dates&gt;&lt;publisher&gt;Routledge&lt;/publisher&gt;&lt;isbn&gt;1478-0887&lt;/isbn&gt;&lt;urls&gt;&lt;related-urls&gt;&lt;url&gt;https://www.tandfonline.com/doi/abs/10.1191/1478088706qp063oa&lt;/url&gt;&lt;/related-urls&gt;&lt;/urls&gt;&lt;electronic-resource-num&gt;10.1191/1478088706qp063oa&lt;/electronic-resource-num&gt;&lt;/record&gt;&lt;/Cite&gt;&lt;/EndNote&gt;</w:instrText>
      </w:r>
      <w:r w:rsidR="00C0462B" w:rsidRPr="00C90AC9">
        <w:rPr>
          <w:rFonts w:eastAsiaTheme="minorHAnsi"/>
          <w:lang w:eastAsia="en-US"/>
        </w:rPr>
        <w:fldChar w:fldCharType="separate"/>
      </w:r>
      <w:r w:rsidR="008D51BC" w:rsidRPr="00C90AC9">
        <w:rPr>
          <w:rFonts w:eastAsiaTheme="minorHAnsi"/>
          <w:lang w:eastAsia="en-US"/>
        </w:rPr>
        <w:t>(Braun &amp; Clarke, 2006; Guest, MacQueen, &amp; Namey, 2011)</w:t>
      </w:r>
      <w:r w:rsidR="00C0462B" w:rsidRPr="00C90AC9">
        <w:rPr>
          <w:rFonts w:eastAsiaTheme="minorHAnsi"/>
          <w:lang w:eastAsia="en-US"/>
        </w:rPr>
        <w:fldChar w:fldCharType="end"/>
      </w:r>
      <w:r w:rsidRPr="00C90AC9">
        <w:rPr>
          <w:rFonts w:eastAsiaTheme="minorHAnsi"/>
          <w:lang w:eastAsia="en-US"/>
        </w:rPr>
        <w:t>. Firstly</w:t>
      </w:r>
      <w:r w:rsidR="005D3791" w:rsidRPr="00C90AC9">
        <w:rPr>
          <w:rFonts w:eastAsiaTheme="minorHAnsi"/>
          <w:lang w:eastAsia="en-US"/>
        </w:rPr>
        <w:t>,</w:t>
      </w:r>
      <w:r w:rsidRPr="00C90AC9">
        <w:rPr>
          <w:rFonts w:eastAsiaTheme="minorHAnsi"/>
          <w:lang w:eastAsia="en-US"/>
        </w:rPr>
        <w:t xml:space="preserve"> it allows cate</w:t>
      </w:r>
      <w:r w:rsidR="00C0462B" w:rsidRPr="00C90AC9">
        <w:rPr>
          <w:rFonts w:eastAsiaTheme="minorHAnsi"/>
          <w:lang w:eastAsia="en-US"/>
        </w:rPr>
        <w:t>gories to develop from the data</w:t>
      </w:r>
      <w:r w:rsidRPr="00C90AC9">
        <w:rPr>
          <w:rFonts w:eastAsiaTheme="minorHAnsi"/>
          <w:lang w:eastAsia="en-US"/>
        </w:rPr>
        <w:t xml:space="preserve"> the resulting understanding is fully supported by the data </w:t>
      </w:r>
      <w:r w:rsidR="00C0462B" w:rsidRPr="00C90AC9">
        <w:rPr>
          <w:rFonts w:eastAsiaTheme="minorHAnsi"/>
          <w:lang w:eastAsia="en-US"/>
        </w:rPr>
        <w:fldChar w:fldCharType="begin"/>
      </w:r>
      <w:r w:rsidR="008D51BC" w:rsidRPr="00C90AC9">
        <w:rPr>
          <w:rFonts w:eastAsiaTheme="minorHAnsi"/>
          <w:lang w:eastAsia="en-US"/>
        </w:rPr>
        <w:instrText xml:space="preserve"> ADDIN EN.CITE &lt;EndNote&gt;&lt;Cite&gt;&lt;Author&gt;Guest&lt;/Author&gt;&lt;Year&gt;2011&lt;/Year&gt;&lt;RecNum&gt;258&lt;/RecNum&gt;&lt;DisplayText&gt;(Braun &amp;amp; Clarke, 2006; Guest et al., 2011)&lt;/DisplayText&gt;&lt;record&gt;&lt;rec-number&gt;258&lt;/rec-number&gt;&lt;foreign-keys&gt;&lt;key app="EN" db-id="50wxdpzd9vd5r7e9t5b595djrfpttrxw9avp" timestamp="1526033367"&gt;258&lt;/key&gt;&lt;/foreign-keys&gt;&lt;ref-type name="Book"&gt;6&lt;/ref-type&gt;&lt;contributors&gt;&lt;authors&gt;&lt;author&gt;Guest, G.&lt;/author&gt;&lt;author&gt;MacQueen, K.M.&lt;/author&gt;&lt;author&gt;Namey, E.E.&lt;/author&gt;&lt;/authors&gt;&lt;/contributors&gt;&lt;titles&gt;&lt;title&gt;Applied Thematic Analysis&lt;/title&gt;&lt;/titles&gt;&lt;dates&gt;&lt;year&gt;2011&lt;/year&gt;&lt;/dates&gt;&lt;publisher&gt;SAGE Publications&lt;/publisher&gt;&lt;isbn&gt;9781412971676&lt;/isbn&gt;&lt;urls&gt;&lt;related-urls&gt;&lt;url&gt;https://books.google.co.uk/books?id=VuWrexznC7sC&lt;/url&gt;&lt;/related-urls&gt;&lt;/urls&gt;&lt;/record&gt;&lt;/Cite&gt;&lt;Cite&gt;&lt;Author&gt;Braun&lt;/Author&gt;&lt;Year&gt;2006&lt;/Year&gt;&lt;RecNum&gt;260&lt;/RecNum&gt;&lt;record&gt;&lt;rec-number&gt;260&lt;/rec-number&gt;&lt;foreign-keys&gt;&lt;key app="EN" db-id="50wxdpzd9vd5r7e9t5b595djrfpttrxw9avp" timestamp="1526033997"&gt;260&lt;/key&gt;&lt;/foreign-keys&gt;&lt;ref-type name="Journal Article"&gt;17&lt;/ref-type&gt;&lt;contributors&gt;&lt;authors&gt;&lt;author&gt;Braun, Virginia&lt;/author&gt;&lt;author&gt;Clarke, Victoria&lt;/author&gt;&lt;/authors&gt;&lt;/contributors&gt;&lt;titles&gt;&lt;title&gt;Using thematic analysis in psychology&lt;/title&gt;&lt;secondary-title&gt;Qualitative Research in Psychology&lt;/secondary-title&gt;&lt;/titles&gt;&lt;pages&gt;77-101&lt;/pages&gt;&lt;volume&gt;3&lt;/volume&gt;&lt;number&gt;2&lt;/number&gt;&lt;dates&gt;&lt;year&gt;2006&lt;/year&gt;&lt;pub-dates&gt;&lt;date&gt;2006/01/01&lt;/date&gt;&lt;/pub-dates&gt;&lt;/dates&gt;&lt;publisher&gt;Routledge&lt;/publisher&gt;&lt;isbn&gt;1478-0887&lt;/isbn&gt;&lt;urls&gt;&lt;related-urls&gt;&lt;url&gt;https://www.tandfonline.com/doi/abs/10.1191/1478088706qp063oa&lt;/url&gt;&lt;/related-urls&gt;&lt;/urls&gt;&lt;electronic-resource-num&gt;10.1191/1478088706qp063oa&lt;/electronic-resource-num&gt;&lt;/record&gt;&lt;/Cite&gt;&lt;/EndNote&gt;</w:instrText>
      </w:r>
      <w:r w:rsidR="00C0462B" w:rsidRPr="00C90AC9">
        <w:rPr>
          <w:rFonts w:eastAsiaTheme="minorHAnsi"/>
          <w:lang w:eastAsia="en-US"/>
        </w:rPr>
        <w:fldChar w:fldCharType="separate"/>
      </w:r>
      <w:r w:rsidR="008D51BC" w:rsidRPr="00C90AC9">
        <w:rPr>
          <w:rFonts w:eastAsiaTheme="minorHAnsi"/>
          <w:lang w:eastAsia="en-US"/>
        </w:rPr>
        <w:t>(Braun &amp; Clarke, 2006; Guest et al., 2011)</w:t>
      </w:r>
      <w:r w:rsidR="00C0462B" w:rsidRPr="00C90AC9">
        <w:rPr>
          <w:rFonts w:eastAsiaTheme="minorHAnsi"/>
          <w:lang w:eastAsia="en-US"/>
        </w:rPr>
        <w:fldChar w:fldCharType="end"/>
      </w:r>
      <w:r w:rsidR="00C0462B" w:rsidRPr="00C90AC9">
        <w:rPr>
          <w:rFonts w:eastAsiaTheme="minorHAnsi"/>
          <w:lang w:eastAsia="en-US"/>
        </w:rPr>
        <w:t>. T</w:t>
      </w:r>
      <w:r w:rsidRPr="00C90AC9">
        <w:rPr>
          <w:rFonts w:eastAsiaTheme="minorHAnsi"/>
          <w:lang w:eastAsia="en-US"/>
        </w:rPr>
        <w:t xml:space="preserve">hematic </w:t>
      </w:r>
      <w:r w:rsidR="008D51BC" w:rsidRPr="00C90AC9">
        <w:rPr>
          <w:rFonts w:eastAsiaTheme="minorHAnsi"/>
          <w:lang w:eastAsia="en-US"/>
        </w:rPr>
        <w:t>A</w:t>
      </w:r>
      <w:r w:rsidRPr="00C90AC9">
        <w:rPr>
          <w:rFonts w:eastAsiaTheme="minorHAnsi"/>
          <w:lang w:eastAsia="en-US"/>
        </w:rPr>
        <w:t xml:space="preserve">nalysis </w:t>
      </w:r>
      <w:r w:rsidR="00C0462B" w:rsidRPr="00C90AC9">
        <w:rPr>
          <w:rFonts w:eastAsiaTheme="minorHAnsi"/>
          <w:lang w:eastAsia="en-US"/>
        </w:rPr>
        <w:t xml:space="preserve">also </w:t>
      </w:r>
      <w:r w:rsidRPr="00C90AC9">
        <w:rPr>
          <w:rFonts w:eastAsiaTheme="minorHAnsi"/>
          <w:lang w:eastAsia="en-US"/>
        </w:rPr>
        <w:t>benefits from being able to be used to inform future data gathering</w:t>
      </w:r>
      <w:r w:rsidR="008D51BC" w:rsidRPr="00C90AC9">
        <w:rPr>
          <w:rFonts w:eastAsiaTheme="minorHAnsi"/>
          <w:lang w:eastAsia="en-US"/>
        </w:rPr>
        <w:t xml:space="preserve"> which will allow this research to develop in the future</w:t>
      </w:r>
      <w:r w:rsidRPr="00C90AC9">
        <w:rPr>
          <w:rFonts w:eastAsiaTheme="minorHAnsi"/>
          <w:lang w:eastAsia="en-US"/>
        </w:rPr>
        <w:t xml:space="preserve"> </w:t>
      </w:r>
      <w:r w:rsidR="00C0462B" w:rsidRPr="00C90AC9">
        <w:rPr>
          <w:rFonts w:eastAsiaTheme="minorHAnsi"/>
          <w:lang w:eastAsia="en-US"/>
        </w:rPr>
        <w:fldChar w:fldCharType="begin"/>
      </w:r>
      <w:r w:rsidR="008D51BC" w:rsidRPr="00C90AC9">
        <w:rPr>
          <w:rFonts w:eastAsiaTheme="minorHAnsi"/>
          <w:lang w:eastAsia="en-US"/>
        </w:rPr>
        <w:instrText xml:space="preserve"> ADDIN EN.CITE &lt;EndNote&gt;&lt;Cite&gt;&lt;Author&gt;Guest&lt;/Author&gt;&lt;Year&gt;2011&lt;/Year&gt;&lt;RecNum&gt;258&lt;/RecNum&gt;&lt;DisplayText&gt;(Braun &amp;amp; Clarke, 2006; Guest et al., 2011)&lt;/DisplayText&gt;&lt;record&gt;&lt;rec-number&gt;258&lt;/rec-number&gt;&lt;foreign-keys&gt;&lt;key app="EN" db-id="50wxdpzd9vd5r7e9t5b595djrfpttrxw9avp" timestamp="1526033367"&gt;258&lt;/key&gt;&lt;/foreign-keys&gt;&lt;ref-type name="Book"&gt;6&lt;/ref-type&gt;&lt;contributors&gt;&lt;authors&gt;&lt;author&gt;Guest, G.&lt;/author&gt;&lt;author&gt;MacQueen, K.M.&lt;/author&gt;&lt;author&gt;Namey, E.E.&lt;/author&gt;&lt;/authors&gt;&lt;/contributors&gt;&lt;titles&gt;&lt;title&gt;Applied Thematic Analysis&lt;/title&gt;&lt;/titles&gt;&lt;dates&gt;&lt;year&gt;2011&lt;/year&gt;&lt;/dates&gt;&lt;publisher&gt;SAGE Publications&lt;/publisher&gt;&lt;isbn&gt;9781412971676&lt;/isbn&gt;&lt;urls&gt;&lt;related-urls&gt;&lt;url&gt;https://books.google.co.uk/books?id=VuWrexznC7sC&lt;/url&gt;&lt;/related-urls&gt;&lt;/urls&gt;&lt;/record&gt;&lt;/Cite&gt;&lt;Cite&gt;&lt;Author&gt;Braun&lt;/Author&gt;&lt;Year&gt;2006&lt;/Year&gt;&lt;RecNum&gt;260&lt;/RecNum&gt;&lt;record&gt;&lt;rec-number&gt;260&lt;/rec-number&gt;&lt;foreign-keys&gt;&lt;key app="EN" db-id="50wxdpzd9vd5r7e9t5b595djrfpttrxw9avp" timestamp="1526033997"&gt;260&lt;/key&gt;&lt;/foreign-keys&gt;&lt;ref-type name="Journal Article"&gt;17&lt;/ref-type&gt;&lt;contributors&gt;&lt;authors&gt;&lt;author&gt;Braun, Virginia&lt;/author&gt;&lt;author&gt;Clarke, Victoria&lt;/author&gt;&lt;/authors&gt;&lt;/contributors&gt;&lt;titles&gt;&lt;title&gt;Using thematic analysis in psychology&lt;/title&gt;&lt;secondary-title&gt;Qualitative Research in Psychology&lt;/secondary-title&gt;&lt;/titles&gt;&lt;pages&gt;77-101&lt;/pages&gt;&lt;volume&gt;3&lt;/volume&gt;&lt;number&gt;2&lt;/number&gt;&lt;dates&gt;&lt;year&gt;2006&lt;/year&gt;&lt;pub-dates&gt;&lt;date&gt;2006/01/01&lt;/date&gt;&lt;/pub-dates&gt;&lt;/dates&gt;&lt;publisher&gt;Routledge&lt;/publisher&gt;&lt;isbn&gt;1478-0887&lt;/isbn&gt;&lt;urls&gt;&lt;related-urls&gt;&lt;url&gt;https://www.tandfonline.com/doi/abs/10.1191/1478088706qp063oa&lt;/url&gt;&lt;/related-urls&gt;&lt;/urls&gt;&lt;electronic-resource-num&gt;10.1191/1478088706qp063oa&lt;/electronic-resource-num&gt;&lt;/record&gt;&lt;/Cite&gt;&lt;/EndNote&gt;</w:instrText>
      </w:r>
      <w:r w:rsidR="00C0462B" w:rsidRPr="00C90AC9">
        <w:rPr>
          <w:rFonts w:eastAsiaTheme="minorHAnsi"/>
          <w:lang w:eastAsia="en-US"/>
        </w:rPr>
        <w:fldChar w:fldCharType="separate"/>
      </w:r>
      <w:r w:rsidR="008D51BC" w:rsidRPr="00C90AC9">
        <w:rPr>
          <w:rFonts w:eastAsiaTheme="minorHAnsi"/>
          <w:lang w:eastAsia="en-US"/>
        </w:rPr>
        <w:t>(Braun &amp; Clarke, 2006; Guest et al., 2011)</w:t>
      </w:r>
      <w:r w:rsidR="00C0462B" w:rsidRPr="00C90AC9">
        <w:rPr>
          <w:rFonts w:eastAsiaTheme="minorHAnsi"/>
          <w:lang w:eastAsia="en-US"/>
        </w:rPr>
        <w:fldChar w:fldCharType="end"/>
      </w:r>
      <w:r w:rsidR="00C0462B" w:rsidRPr="00C90AC9">
        <w:rPr>
          <w:rFonts w:eastAsiaTheme="minorHAnsi"/>
          <w:lang w:eastAsia="en-US"/>
        </w:rPr>
        <w:t>.</w:t>
      </w:r>
      <w:r w:rsidRPr="00C90AC9">
        <w:rPr>
          <w:rFonts w:eastAsiaTheme="minorHAnsi"/>
          <w:lang w:eastAsia="en-US"/>
        </w:rPr>
        <w:t xml:space="preserve"> </w:t>
      </w:r>
    </w:p>
    <w:p w:rsidR="00A16B8C" w:rsidRPr="00C90AC9" w:rsidRDefault="00A16B8C" w:rsidP="008D2795">
      <w:pPr>
        <w:pStyle w:val="BodyText"/>
        <w:spacing w:line="360" w:lineRule="auto"/>
        <w:rPr>
          <w:rFonts w:eastAsiaTheme="minorHAnsi"/>
          <w:lang w:eastAsia="en-US"/>
        </w:rPr>
      </w:pPr>
      <w:r w:rsidRPr="00C90AC9">
        <w:rPr>
          <w:rFonts w:eastAsiaTheme="minorHAnsi"/>
          <w:lang w:eastAsia="en-US"/>
        </w:rPr>
        <w:t>Analysis of the resulting transcripts was performed in NVivo9 and NVivo10 and a coding manual produced for each year. The transcripts were second coded by an additional researcher and the resulting coding manuals compared with any disagreements being discussed until there was a greater than 70% agreement (Cohens Kappa greater than or equal to 0.5) (</w:t>
      </w:r>
      <w:proofErr w:type="spellStart"/>
      <w:r w:rsidRPr="00C90AC9">
        <w:rPr>
          <w:rFonts w:eastAsiaTheme="minorHAnsi"/>
          <w:lang w:eastAsia="en-US"/>
        </w:rPr>
        <w:t>Kottner</w:t>
      </w:r>
      <w:proofErr w:type="spellEnd"/>
      <w:r w:rsidRPr="00C90AC9">
        <w:rPr>
          <w:rFonts w:eastAsiaTheme="minorHAnsi"/>
          <w:lang w:eastAsia="en-US"/>
        </w:rPr>
        <w:t xml:space="preserve"> &amp; </w:t>
      </w:r>
      <w:proofErr w:type="spellStart"/>
      <w:r w:rsidRPr="00C90AC9">
        <w:rPr>
          <w:rFonts w:eastAsiaTheme="minorHAnsi"/>
          <w:lang w:eastAsia="en-US"/>
        </w:rPr>
        <w:t>Dassen</w:t>
      </w:r>
      <w:proofErr w:type="spellEnd"/>
      <w:r w:rsidRPr="00C90AC9">
        <w:rPr>
          <w:rFonts w:eastAsiaTheme="minorHAnsi"/>
          <w:lang w:eastAsia="en-US"/>
        </w:rPr>
        <w:t>, 2008)</w:t>
      </w:r>
      <w:r w:rsidR="008C170F" w:rsidRPr="00C90AC9">
        <w:rPr>
          <w:rFonts w:eastAsiaTheme="minorHAnsi"/>
          <w:lang w:eastAsia="en-US"/>
        </w:rPr>
        <w:t>.</w:t>
      </w:r>
      <w:r w:rsidRPr="00C90AC9">
        <w:rPr>
          <w:rFonts w:eastAsiaTheme="minorHAnsi"/>
          <w:lang w:eastAsia="en-US"/>
        </w:rPr>
        <w:t xml:space="preserve"> Appendix </w:t>
      </w:r>
      <w:r w:rsidR="008C170F" w:rsidRPr="00C90AC9">
        <w:rPr>
          <w:rFonts w:eastAsiaTheme="minorHAnsi"/>
          <w:lang w:eastAsia="en-US"/>
        </w:rPr>
        <w:t>6.10</w:t>
      </w:r>
      <w:r w:rsidRPr="00C90AC9">
        <w:rPr>
          <w:rFonts w:eastAsiaTheme="minorHAnsi"/>
          <w:lang w:eastAsia="en-US"/>
        </w:rPr>
        <w:t xml:space="preserve"> has a complet</w:t>
      </w:r>
      <w:r w:rsidR="00047A14" w:rsidRPr="00C90AC9">
        <w:rPr>
          <w:rFonts w:eastAsiaTheme="minorHAnsi"/>
          <w:lang w:eastAsia="en-US"/>
        </w:rPr>
        <w:t>e list of all the themes/nodes.</w:t>
      </w:r>
    </w:p>
    <w:p w:rsidR="004970BC" w:rsidRPr="00C90AC9" w:rsidRDefault="00485008" w:rsidP="008D2795">
      <w:pPr>
        <w:pStyle w:val="BodyText"/>
        <w:spacing w:line="360" w:lineRule="auto"/>
        <w:rPr>
          <w:rFonts w:eastAsiaTheme="minorHAnsi"/>
          <w:lang w:eastAsia="en-US"/>
        </w:rPr>
      </w:pPr>
      <w:r w:rsidRPr="00C90AC9">
        <w:rPr>
          <w:rFonts w:eastAsiaTheme="minorHAnsi"/>
          <w:lang w:eastAsia="en-US"/>
        </w:rPr>
        <w:t xml:space="preserve">Discussions between the main researcher and a colleague who performed the second coding of the resulting transcripts ensured that the coding manual with each of the respective codes was </w:t>
      </w:r>
      <w:r w:rsidRPr="00C90AC9">
        <w:rPr>
          <w:rFonts w:eastAsiaTheme="minorHAnsi"/>
          <w:lang w:eastAsia="en-US"/>
        </w:rPr>
        <w:lastRenderedPageBreak/>
        <w:t>understood prior to analysis being conducted on the transcripts. This ensured that the resulting analysis was conducted scientifically and ethically.</w:t>
      </w:r>
    </w:p>
    <w:p w:rsidR="00A16B8C" w:rsidRPr="00C90AC9" w:rsidRDefault="00F171E4" w:rsidP="00CA6E35">
      <w:pPr>
        <w:pStyle w:val="List"/>
        <w:numPr>
          <w:ilvl w:val="1"/>
          <w:numId w:val="11"/>
        </w:numPr>
        <w:ind w:left="709" w:hanging="709"/>
        <w:rPr>
          <w:rStyle w:val="SubtleEmphasis"/>
          <w:rFonts w:cs="Times New Roman"/>
          <w:iCs/>
          <w:szCs w:val="24"/>
        </w:rPr>
      </w:pPr>
      <w:r w:rsidRPr="00C90AC9">
        <w:rPr>
          <w:rStyle w:val="SubtleEmphasis"/>
          <w:rFonts w:cs="Times New Roman"/>
          <w:iCs/>
          <w:szCs w:val="24"/>
        </w:rPr>
        <w:t>Results from</w:t>
      </w:r>
      <w:r w:rsidR="00A16B8C" w:rsidRPr="00C90AC9">
        <w:rPr>
          <w:rStyle w:val="SubtleEmphasis"/>
          <w:rFonts w:cs="Times New Roman"/>
          <w:iCs/>
          <w:szCs w:val="24"/>
        </w:rPr>
        <w:t xml:space="preserve"> semi-structured interviews</w:t>
      </w:r>
      <w:r w:rsidRPr="00C90AC9">
        <w:rPr>
          <w:rStyle w:val="SubtleEmphasis"/>
          <w:rFonts w:cs="Times New Roman"/>
          <w:iCs/>
          <w:szCs w:val="24"/>
        </w:rPr>
        <w:t xml:space="preserve"> in</w:t>
      </w:r>
      <w:r w:rsidR="00A16B8C" w:rsidRPr="00C90AC9">
        <w:rPr>
          <w:rStyle w:val="SubtleEmphasis"/>
          <w:rFonts w:cs="Times New Roman"/>
          <w:iCs/>
          <w:szCs w:val="24"/>
        </w:rPr>
        <w:t xml:space="preserve"> 2012 &amp; 2015</w:t>
      </w:r>
    </w:p>
    <w:p w:rsidR="002A5F18" w:rsidRPr="00C90AC9" w:rsidRDefault="009715C7" w:rsidP="008D2795">
      <w:pPr>
        <w:pStyle w:val="ListContinue"/>
        <w:spacing w:line="360" w:lineRule="auto"/>
        <w:ind w:left="0"/>
        <w:rPr>
          <w:rFonts w:eastAsiaTheme="minorHAnsi"/>
          <w:lang w:eastAsia="en-US"/>
        </w:rPr>
      </w:pPr>
      <w:r w:rsidRPr="00C90AC9">
        <w:rPr>
          <w:rFonts w:eastAsiaTheme="minorHAnsi"/>
          <w:lang w:eastAsia="en-US"/>
        </w:rPr>
        <w:tab/>
      </w:r>
      <w:r w:rsidR="00222106" w:rsidRPr="00C90AC9">
        <w:rPr>
          <w:rFonts w:eastAsiaTheme="minorHAnsi"/>
          <w:lang w:eastAsia="en-US"/>
        </w:rPr>
        <w:t>The results from the semi-structured interviews are fr</w:t>
      </w:r>
      <w:r w:rsidR="00F171E4" w:rsidRPr="00C90AC9">
        <w:rPr>
          <w:rFonts w:eastAsiaTheme="minorHAnsi"/>
          <w:lang w:eastAsia="en-US"/>
        </w:rPr>
        <w:t xml:space="preserve">amed around the TAM and the </w:t>
      </w:r>
      <w:proofErr w:type="spellStart"/>
      <w:r w:rsidR="00F171E4" w:rsidRPr="00C90AC9">
        <w:rPr>
          <w:rFonts w:eastAsiaTheme="minorHAnsi"/>
          <w:lang w:eastAsia="en-US"/>
        </w:rPr>
        <w:t>TAM</w:t>
      </w:r>
      <w:r w:rsidR="00222106" w:rsidRPr="00C90AC9">
        <w:rPr>
          <w:rFonts w:eastAsiaTheme="minorHAnsi"/>
          <w:lang w:eastAsia="en-US"/>
        </w:rPr>
        <w:t>+Trust</w:t>
      </w:r>
      <w:proofErr w:type="spellEnd"/>
      <w:r w:rsidR="00222106" w:rsidRPr="00C90AC9">
        <w:rPr>
          <w:rFonts w:eastAsiaTheme="minorHAnsi"/>
          <w:lang w:eastAsia="en-US"/>
        </w:rPr>
        <w:t xml:space="preserve"> as these models have </w:t>
      </w:r>
      <w:r w:rsidR="002A5F18" w:rsidRPr="00C90AC9">
        <w:rPr>
          <w:rFonts w:eastAsiaTheme="minorHAnsi"/>
          <w:lang w:eastAsia="en-US"/>
        </w:rPr>
        <w:t xml:space="preserve">both longevity and </w:t>
      </w:r>
      <w:r w:rsidR="00555634" w:rsidRPr="00C90AC9">
        <w:rPr>
          <w:rFonts w:eastAsiaTheme="minorHAnsi"/>
          <w:lang w:eastAsia="en-US"/>
        </w:rPr>
        <w:t xml:space="preserve">application to the renewable sector </w:t>
      </w:r>
      <w:r w:rsidRPr="00C90AC9">
        <w:rPr>
          <w:rFonts w:eastAsiaTheme="minorHAnsi"/>
          <w:lang w:eastAsia="en-US"/>
        </w:rPr>
        <w:fldChar w:fldCharType="begin">
          <w:fldData xml:space="preserve">PEVuZE5vdGU+PENpdGU+PEF1dGhvcj5HZWZlbjwvQXV0aG9yPjxZZWFyPjIwMDQ8L1llYXI+PFJl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</w:fldData>
        </w:fldChar>
      </w:r>
      <w:r w:rsidRPr="00070842">
        <w:rPr>
          <w:rFonts w:eastAsiaTheme="minorHAnsi"/>
          <w:lang w:eastAsia="en-US"/>
        </w:rPr>
        <w:instrText xml:space="preserve"> ADDIN EN.CITE </w:instrText>
      </w:r>
      <w:r w:rsidRPr="00070842">
        <w:rPr>
          <w:rFonts w:eastAsiaTheme="minorHAnsi"/>
          <w:lang w:eastAsia="en-US"/>
        </w:rPr>
        <w:fldChar w:fldCharType="begin">
          <w:fldData xml:space="preserve">PEVuZE5vdGU+PENpdGU+PEF1dGhvcj5HZWZlbjwvQXV0aG9yPjxZZWFyPjIwMDQ8L1llYXI+PFJl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</w:fldData>
        </w:fldChar>
      </w:r>
      <w:r w:rsidRPr="00070842">
        <w:rPr>
          <w:rFonts w:eastAsiaTheme="minorHAnsi"/>
          <w:lang w:eastAsia="en-US"/>
        </w:rPr>
        <w:instrText xml:space="preserve"> ADDIN EN.CITE.DATA </w:instrText>
      </w:r>
      <w:r w:rsidRPr="00070842">
        <w:rPr>
          <w:rFonts w:eastAsiaTheme="minorHAnsi"/>
          <w:lang w:eastAsia="en-US"/>
        </w:rPr>
      </w:r>
      <w:r w:rsidRPr="00070842">
        <w:rPr>
          <w:rFonts w:eastAsiaTheme="minorHAnsi"/>
          <w:lang w:eastAsia="en-US"/>
        </w:rPr>
        <w:fldChar w:fldCharType="end"/>
      </w:r>
      <w:r w:rsidRPr="00C90AC9">
        <w:rPr>
          <w:rFonts w:eastAsiaTheme="minorHAnsi"/>
          <w:lang w:eastAsia="en-US"/>
        </w:rPr>
      </w:r>
      <w:r w:rsidRPr="00C90AC9">
        <w:rPr>
          <w:rFonts w:eastAsiaTheme="minorHAnsi"/>
          <w:lang w:eastAsia="en-US"/>
        </w:rPr>
        <w:fldChar w:fldCharType="separate"/>
      </w:r>
      <w:r w:rsidRPr="00C90AC9">
        <w:rPr>
          <w:rFonts w:eastAsiaTheme="minorHAnsi"/>
          <w:lang w:eastAsia="en-US"/>
        </w:rPr>
        <w:t>(Davis, 1989; Elmustapha et al., 2018; Gefen, 2004; Rezaei &amp; Ghofranfarid, 2018; R. Scarpa &amp; K. Willis, 2010)</w:t>
      </w:r>
      <w:r w:rsidRPr="00C90AC9">
        <w:rPr>
          <w:rFonts w:eastAsiaTheme="minorHAnsi"/>
          <w:lang w:eastAsia="en-US"/>
        </w:rPr>
        <w:fldChar w:fldCharType="end"/>
      </w:r>
      <w:r w:rsidRPr="00C90AC9">
        <w:rPr>
          <w:rFonts w:eastAsiaTheme="minorHAnsi"/>
          <w:lang w:eastAsia="en-US"/>
        </w:rPr>
        <w:t xml:space="preserve">. </w:t>
      </w:r>
      <w:r w:rsidR="002A5F18" w:rsidRPr="00C90AC9">
        <w:rPr>
          <w:rFonts w:eastAsiaTheme="minorHAnsi"/>
          <w:lang w:eastAsia="en-US"/>
        </w:rPr>
        <w:t xml:space="preserve">The opinions of the </w:t>
      </w:r>
      <w:r w:rsidR="00E82522" w:rsidRPr="00C90AC9">
        <w:rPr>
          <w:rFonts w:eastAsiaTheme="minorHAnsi"/>
          <w:lang w:eastAsia="en-US"/>
        </w:rPr>
        <w:t>main</w:t>
      </w:r>
      <w:r w:rsidR="002A5F18" w:rsidRPr="00C90AC9">
        <w:rPr>
          <w:rFonts w:eastAsiaTheme="minorHAnsi"/>
          <w:lang w:eastAsia="en-US"/>
        </w:rPr>
        <w:t xml:space="preserve"> actors did not vary</w:t>
      </w:r>
      <w:r w:rsidR="00371470" w:rsidRPr="00C90AC9">
        <w:rPr>
          <w:rFonts w:eastAsiaTheme="minorHAnsi"/>
          <w:lang w:eastAsia="en-US"/>
        </w:rPr>
        <w:t xml:space="preserve"> considerably from 2012 to 2015</w:t>
      </w:r>
      <w:r w:rsidR="002A5F18" w:rsidRPr="00C90AC9">
        <w:rPr>
          <w:rFonts w:eastAsiaTheme="minorHAnsi"/>
          <w:lang w:eastAsia="en-US"/>
        </w:rPr>
        <w:t>. The major difference between the two years was an increased awareness of high domestic energy costs and global issues such as Climate Change were perceived to be of greater concern in 2015 than in 2012. The concerns about Climate Change were discussed as being a local and, national and international concern.</w:t>
      </w:r>
      <w:r w:rsidR="00371470" w:rsidRPr="00C90AC9">
        <w:rPr>
          <w:rFonts w:eastAsiaTheme="minorHAnsi"/>
          <w:lang w:eastAsia="en-US"/>
        </w:rPr>
        <w:t xml:space="preserve"> </w:t>
      </w:r>
      <w:r w:rsidR="002A5F18" w:rsidRPr="00C90AC9">
        <w:rPr>
          <w:rFonts w:eastAsiaTheme="minorHAnsi"/>
          <w:lang w:eastAsia="en-US"/>
        </w:rPr>
        <w:t xml:space="preserve"> </w:t>
      </w:r>
    </w:p>
    <w:p w:rsidR="00371470" w:rsidRPr="00C90AC9" w:rsidRDefault="00371470" w:rsidP="008D2795">
      <w:pPr>
        <w:pStyle w:val="ListContinue"/>
        <w:spacing w:line="360" w:lineRule="auto"/>
        <w:ind w:left="0"/>
        <w:rPr>
          <w:rFonts w:eastAsiaTheme="minorHAnsi"/>
          <w:sz w:val="28"/>
          <w:lang w:eastAsia="en-US"/>
        </w:rPr>
      </w:pPr>
    </w:p>
    <w:p w:rsidR="00222106" w:rsidRPr="00C90AC9" w:rsidRDefault="00222106" w:rsidP="00CA6E35">
      <w:pPr>
        <w:pStyle w:val="ListParagraph"/>
        <w:numPr>
          <w:ilvl w:val="2"/>
          <w:numId w:val="11"/>
        </w:numPr>
        <w:ind w:left="709" w:hanging="709"/>
        <w:rPr>
          <w:rStyle w:val="SubtleEmphasis"/>
          <w:rFonts w:ascii="Times New Roman" w:hAnsi="Times New Roman" w:cs="Times New Roman"/>
          <w:iCs/>
          <w:szCs w:val="24"/>
        </w:rPr>
      </w:pPr>
      <w:r w:rsidRPr="00C90AC9">
        <w:rPr>
          <w:rStyle w:val="SubtleEmphasis"/>
          <w:rFonts w:ascii="Times New Roman" w:hAnsi="Times New Roman" w:cs="Times New Roman"/>
          <w:iCs/>
          <w:szCs w:val="24"/>
        </w:rPr>
        <w:t>Perceived Usefulness</w:t>
      </w:r>
    </w:p>
    <w:p w:rsidR="003A0EF5" w:rsidRPr="00C90AC9" w:rsidRDefault="003A0EF5" w:rsidP="00ED36C8">
      <w:pPr>
        <w:pStyle w:val="ListContinue2"/>
        <w:ind w:left="0"/>
        <w:rPr>
          <w:rFonts w:eastAsiaTheme="minorHAnsi"/>
          <w:lang w:eastAsia="en-US"/>
        </w:rPr>
      </w:pPr>
    </w:p>
    <w:p w:rsidR="008D2795" w:rsidRPr="00C90AC9" w:rsidRDefault="00222106" w:rsidP="008D2795">
      <w:pPr>
        <w:pStyle w:val="ListContinue2"/>
        <w:spacing w:line="360" w:lineRule="auto"/>
        <w:ind w:left="0"/>
        <w:rPr>
          <w:rFonts w:eastAsiaTheme="minorHAnsi"/>
          <w:lang w:eastAsia="en-US"/>
        </w:rPr>
      </w:pPr>
      <w:r w:rsidRPr="00C90AC9">
        <w:rPr>
          <w:rFonts w:eastAsiaTheme="minorHAnsi"/>
          <w:lang w:eastAsia="en-US"/>
        </w:rPr>
        <w:t xml:space="preserve">The </w:t>
      </w:r>
      <w:r w:rsidR="00E82522" w:rsidRPr="00C90AC9">
        <w:rPr>
          <w:rFonts w:eastAsiaTheme="minorHAnsi"/>
          <w:lang w:eastAsia="en-US"/>
        </w:rPr>
        <w:t>main</w:t>
      </w:r>
      <w:r w:rsidRPr="00C90AC9">
        <w:rPr>
          <w:rFonts w:eastAsiaTheme="minorHAnsi"/>
          <w:lang w:eastAsia="en-US"/>
        </w:rPr>
        <w:t xml:space="preserve"> actors were clear that </w:t>
      </w:r>
      <w:r w:rsidR="006518C0" w:rsidRPr="00C90AC9">
        <w:rPr>
          <w:rFonts w:eastAsiaTheme="minorHAnsi"/>
          <w:lang w:eastAsia="en-US"/>
        </w:rPr>
        <w:t>STPs</w:t>
      </w:r>
      <w:r w:rsidRPr="00C90AC9">
        <w:rPr>
          <w:rFonts w:eastAsiaTheme="minorHAnsi"/>
          <w:lang w:eastAsia="en-US"/>
        </w:rPr>
        <w:t xml:space="preserve"> have a benefit in providing not only hot water to homeowners but also reducing domestic energy costs. There was a perception that these benefits could </w:t>
      </w:r>
      <w:r w:rsidR="002A5F18" w:rsidRPr="00C90AC9">
        <w:rPr>
          <w:rFonts w:eastAsiaTheme="minorHAnsi"/>
          <w:lang w:eastAsia="en-US"/>
        </w:rPr>
        <w:t xml:space="preserve">help people who are most likely to suffer from fuel poverty in the UK </w:t>
      </w:r>
      <w:r w:rsidR="00097539" w:rsidRPr="00C90AC9">
        <w:rPr>
          <w:rFonts w:eastAsiaTheme="minorHAnsi"/>
          <w:lang w:eastAsia="en-US"/>
        </w:rPr>
        <w:t xml:space="preserve">and </w:t>
      </w:r>
      <w:r w:rsidR="002A5F18" w:rsidRPr="00C90AC9">
        <w:rPr>
          <w:rFonts w:eastAsiaTheme="minorHAnsi"/>
          <w:lang w:eastAsia="en-US"/>
        </w:rPr>
        <w:t xml:space="preserve">that there should be assistance from the government potentially </w:t>
      </w:r>
      <w:r w:rsidR="00097539" w:rsidRPr="00C90AC9">
        <w:rPr>
          <w:rFonts w:eastAsiaTheme="minorHAnsi"/>
          <w:lang w:eastAsia="en-US"/>
        </w:rPr>
        <w:t xml:space="preserve">in the form of </w:t>
      </w:r>
      <w:r w:rsidR="002A5F18" w:rsidRPr="00C90AC9">
        <w:rPr>
          <w:rFonts w:eastAsiaTheme="minorHAnsi"/>
          <w:lang w:eastAsia="en-US"/>
        </w:rPr>
        <w:t>grants to contribute to the capital costs</w:t>
      </w:r>
      <w:r w:rsidR="00097539" w:rsidRPr="00C90AC9">
        <w:rPr>
          <w:rFonts w:eastAsiaTheme="minorHAnsi"/>
          <w:lang w:eastAsia="en-US"/>
        </w:rPr>
        <w:t xml:space="preserve"> of the </w:t>
      </w:r>
      <w:r w:rsidR="006518C0" w:rsidRPr="00C90AC9">
        <w:rPr>
          <w:rFonts w:eastAsiaTheme="minorHAnsi"/>
          <w:lang w:eastAsia="en-US"/>
        </w:rPr>
        <w:t>STPs</w:t>
      </w:r>
      <w:r w:rsidR="002A5F18" w:rsidRPr="00C90AC9">
        <w:rPr>
          <w:rFonts w:eastAsiaTheme="minorHAnsi"/>
          <w:lang w:eastAsia="en-US"/>
        </w:rPr>
        <w:t xml:space="preserve">. It was commented on that the people STP technology could benefit the most in this manner were the least likely to be attracted to the technology in the first place. </w:t>
      </w:r>
      <w:r w:rsidR="00623D98" w:rsidRPr="00C90AC9">
        <w:rPr>
          <w:rFonts w:eastAsiaTheme="minorHAnsi"/>
          <w:lang w:eastAsia="en-US"/>
        </w:rPr>
        <w:t xml:space="preserve">There </w:t>
      </w:r>
      <w:r w:rsidR="00097539" w:rsidRPr="00C90AC9">
        <w:rPr>
          <w:rFonts w:eastAsiaTheme="minorHAnsi"/>
          <w:lang w:eastAsia="en-US"/>
        </w:rPr>
        <w:t xml:space="preserve">was a general agreement that there isn’t the correct framework in place to support those least capable of adopting STP technology. </w:t>
      </w:r>
    </w:p>
    <w:p w:rsidR="008D2795" w:rsidRPr="00C90AC9" w:rsidRDefault="00097539" w:rsidP="008D2795">
      <w:pPr>
        <w:pStyle w:val="ListContinue2"/>
        <w:spacing w:line="360" w:lineRule="auto"/>
        <w:ind w:left="0"/>
        <w:rPr>
          <w:rFonts w:eastAsiaTheme="minorHAnsi"/>
          <w:b/>
          <w:lang w:eastAsia="en-US"/>
        </w:rPr>
      </w:pPr>
      <w:r w:rsidRPr="00C90AC9">
        <w:rPr>
          <w:rFonts w:eastAsiaTheme="minorHAnsi"/>
          <w:b/>
          <w:lang w:eastAsia="en-US"/>
        </w:rPr>
        <w:t>“I think you need some sort of incentive.  I think the incentives are not necessarily in the right place.”</w:t>
      </w:r>
      <w:r w:rsidRPr="00C90AC9">
        <w:rPr>
          <w:rFonts w:eastAsiaTheme="minorHAnsi"/>
          <w:i/>
          <w:lang w:eastAsia="en-US"/>
        </w:rPr>
        <w:t xml:space="preserve"> </w:t>
      </w:r>
      <w:r w:rsidR="00BF3B73" w:rsidRPr="00C90AC9">
        <w:rPr>
          <w:rFonts w:eastAsiaTheme="minorHAnsi"/>
          <w:b/>
          <w:lang w:eastAsia="en-US"/>
        </w:rPr>
        <w:t>manufacturer</w:t>
      </w:r>
      <w:r w:rsidRPr="00C90AC9">
        <w:rPr>
          <w:rFonts w:eastAsiaTheme="minorHAnsi"/>
          <w:b/>
          <w:lang w:eastAsia="en-US"/>
        </w:rPr>
        <w:t xml:space="preserve"> (2015)</w:t>
      </w:r>
      <w:r w:rsidR="004524CB" w:rsidRPr="00C90AC9">
        <w:rPr>
          <w:rFonts w:eastAsiaTheme="minorHAnsi"/>
          <w:b/>
          <w:lang w:eastAsia="en-US"/>
        </w:rPr>
        <w:t xml:space="preserve">. </w:t>
      </w:r>
    </w:p>
    <w:p w:rsidR="008D2795" w:rsidRPr="00C90AC9" w:rsidRDefault="00485008" w:rsidP="008D2795">
      <w:pPr>
        <w:pStyle w:val="ListContinue2"/>
        <w:spacing w:line="360" w:lineRule="auto"/>
        <w:ind w:left="0"/>
        <w:rPr>
          <w:rFonts w:eastAsiaTheme="minorHAnsi"/>
          <w:b/>
          <w:lang w:eastAsia="en-US"/>
        </w:rPr>
      </w:pPr>
      <w:r w:rsidRPr="00C90AC9">
        <w:rPr>
          <w:rFonts w:eastAsiaTheme="minorHAnsi"/>
          <w:b/>
          <w:lang w:eastAsia="en-US"/>
        </w:rPr>
        <w:t>“Consumers need to have some source of financial incentive, at the moment finding sources of funding is complex and not very helpful” community organiser 2012</w:t>
      </w:r>
    </w:p>
    <w:p w:rsidR="00485008" w:rsidRPr="00C90AC9" w:rsidRDefault="00485008" w:rsidP="008D2795">
      <w:pPr>
        <w:pStyle w:val="ListContinue2"/>
        <w:spacing w:line="360" w:lineRule="auto"/>
        <w:ind w:left="0"/>
        <w:rPr>
          <w:rFonts w:eastAsiaTheme="minorHAnsi"/>
          <w:b/>
          <w:lang w:eastAsia="en-US"/>
        </w:rPr>
      </w:pPr>
      <w:r w:rsidRPr="00C90AC9">
        <w:rPr>
          <w:rFonts w:eastAsiaTheme="minorHAnsi"/>
          <w:b/>
          <w:lang w:eastAsia="en-US"/>
        </w:rPr>
        <w:t xml:space="preserve">“…this technology could really help poorer people but it’s difficult to see where helpful projects like this will come from. It’s a bit different in Scotland.”  </w:t>
      </w:r>
      <w:r w:rsidR="00FF15E5" w:rsidRPr="00C90AC9">
        <w:rPr>
          <w:rFonts w:eastAsiaTheme="minorHAnsi"/>
          <w:b/>
          <w:lang w:eastAsia="en-US"/>
        </w:rPr>
        <w:t>academic</w:t>
      </w:r>
      <w:r w:rsidRPr="00C90AC9">
        <w:rPr>
          <w:rFonts w:eastAsiaTheme="minorHAnsi"/>
          <w:b/>
          <w:lang w:eastAsia="en-US"/>
        </w:rPr>
        <w:t xml:space="preserve"> (20</w:t>
      </w:r>
      <w:r w:rsidR="006947D9" w:rsidRPr="00C90AC9">
        <w:rPr>
          <w:rFonts w:eastAsiaTheme="minorHAnsi"/>
          <w:b/>
          <w:lang w:eastAsia="en-US"/>
        </w:rPr>
        <w:t>15)</w:t>
      </w:r>
    </w:p>
    <w:p w:rsidR="00371470" w:rsidRPr="00C90AC9" w:rsidRDefault="00097539" w:rsidP="008D2795">
      <w:pPr>
        <w:pStyle w:val="ListContinue2"/>
        <w:spacing w:line="360" w:lineRule="auto"/>
        <w:ind w:left="0"/>
        <w:rPr>
          <w:rFonts w:eastAsiaTheme="minorHAnsi"/>
          <w:lang w:eastAsia="en-US"/>
        </w:rPr>
      </w:pPr>
      <w:r w:rsidRPr="00C90AC9">
        <w:rPr>
          <w:rFonts w:eastAsiaTheme="minorHAnsi"/>
          <w:lang w:eastAsia="en-US"/>
        </w:rPr>
        <w:t xml:space="preserve">The lack of support for potential investors was highlighted as a significant fact that consumers were not adopting STP technology as consumers are aware of the risks involved with the technology. That’s not to say that these risks are always real but the </w:t>
      </w:r>
      <w:r w:rsidR="00E82522" w:rsidRPr="00C90AC9">
        <w:rPr>
          <w:rFonts w:eastAsiaTheme="minorHAnsi"/>
          <w:lang w:eastAsia="en-US"/>
        </w:rPr>
        <w:t>main</w:t>
      </w:r>
      <w:r w:rsidRPr="00C90AC9">
        <w:rPr>
          <w:rFonts w:eastAsiaTheme="minorHAnsi"/>
          <w:lang w:eastAsia="en-US"/>
        </w:rPr>
        <w:t xml:space="preserve"> actors were clear that potential consumers were not incentivised enough to adopt the technology, or to even find out </w:t>
      </w:r>
      <w:r w:rsidRPr="00C90AC9">
        <w:rPr>
          <w:rFonts w:eastAsiaTheme="minorHAnsi"/>
          <w:lang w:eastAsia="en-US"/>
        </w:rPr>
        <w:lastRenderedPageBreak/>
        <w:t xml:space="preserve">more about the potential benefits. </w:t>
      </w:r>
      <w:r w:rsidR="00371470" w:rsidRPr="00C90AC9">
        <w:rPr>
          <w:rFonts w:eastAsiaTheme="minorHAnsi"/>
          <w:lang w:eastAsia="en-US"/>
        </w:rPr>
        <w:t xml:space="preserve">One opinion that was expressed multiple times with different main actors over both years was the benefit STP is could be for people with low incomes: </w:t>
      </w:r>
    </w:p>
    <w:p w:rsidR="00FF15E5" w:rsidRPr="00C90AC9" w:rsidRDefault="00FF15E5" w:rsidP="008D2795">
      <w:pPr>
        <w:pStyle w:val="ListContinue2"/>
        <w:spacing w:line="360" w:lineRule="auto"/>
        <w:ind w:left="0"/>
        <w:rPr>
          <w:rFonts w:eastAsiaTheme="minorHAnsi"/>
          <w:b/>
          <w:lang w:eastAsia="en-US"/>
        </w:rPr>
      </w:pPr>
      <w:r w:rsidRPr="00C90AC9">
        <w:rPr>
          <w:rFonts w:eastAsiaTheme="minorHAnsi"/>
          <w:b/>
          <w:lang w:eastAsia="en-US"/>
        </w:rPr>
        <w:t>“…who do you think this could help?”</w:t>
      </w:r>
    </w:p>
    <w:p w:rsidR="00FF15E5" w:rsidRPr="00C90AC9" w:rsidRDefault="00FF15E5" w:rsidP="008D2795">
      <w:pPr>
        <w:pStyle w:val="ListContinue2"/>
        <w:spacing w:line="360" w:lineRule="auto"/>
        <w:ind w:left="0"/>
        <w:rPr>
          <w:rFonts w:eastAsiaTheme="minorHAnsi"/>
          <w:b/>
          <w:lang w:eastAsia="en-US"/>
        </w:rPr>
      </w:pPr>
      <w:r w:rsidRPr="00C90AC9">
        <w:rPr>
          <w:rFonts w:eastAsiaTheme="minorHAnsi"/>
          <w:b/>
          <w:lang w:eastAsia="en-US"/>
        </w:rPr>
        <w:t>“People who are in during the day when it’s hot, families with small children use a lot of hot water would be one” community organiser (2012)</w:t>
      </w:r>
    </w:p>
    <w:p w:rsidR="00FF15E5" w:rsidRPr="00C90AC9" w:rsidRDefault="00371470" w:rsidP="008D2795">
      <w:pPr>
        <w:pStyle w:val="ListContinue2"/>
        <w:spacing w:line="360" w:lineRule="auto"/>
        <w:ind w:left="0"/>
        <w:rPr>
          <w:rFonts w:eastAsiaTheme="minorHAnsi"/>
          <w:b/>
          <w:lang w:eastAsia="en-US"/>
        </w:rPr>
      </w:pPr>
      <w:r w:rsidRPr="00C90AC9">
        <w:rPr>
          <w:rFonts w:eastAsiaTheme="minorHAnsi"/>
          <w:b/>
          <w:lang w:eastAsia="en-US"/>
        </w:rPr>
        <w:t xml:space="preserve">“… it could be very beneficial for people on low </w:t>
      </w:r>
      <w:proofErr w:type="gramStart"/>
      <w:r w:rsidRPr="00C90AC9">
        <w:rPr>
          <w:rFonts w:eastAsiaTheme="minorHAnsi"/>
          <w:b/>
          <w:lang w:eastAsia="en-US"/>
        </w:rPr>
        <w:t>incomes”  “</w:t>
      </w:r>
      <w:proofErr w:type="gramEnd"/>
      <w:r w:rsidRPr="00C90AC9">
        <w:rPr>
          <w:rFonts w:eastAsiaTheme="minorHAnsi"/>
          <w:b/>
          <w:lang w:eastAsia="en-US"/>
        </w:rPr>
        <w:t xml:space="preserve">...this technology should be aimed at building associations that’s where we feel we can make the biggest difference” </w:t>
      </w:r>
      <w:r w:rsidR="00FF15E5" w:rsidRPr="00C90AC9">
        <w:rPr>
          <w:rFonts w:eastAsiaTheme="minorHAnsi"/>
          <w:b/>
          <w:lang w:eastAsia="en-US"/>
        </w:rPr>
        <w:t>academic</w:t>
      </w:r>
      <w:r w:rsidRPr="00C90AC9">
        <w:rPr>
          <w:rFonts w:eastAsiaTheme="minorHAnsi"/>
          <w:b/>
          <w:lang w:eastAsia="en-US"/>
        </w:rPr>
        <w:t xml:space="preserve"> </w:t>
      </w:r>
      <w:r w:rsidR="00E37973" w:rsidRPr="00C90AC9">
        <w:rPr>
          <w:rFonts w:eastAsiaTheme="minorHAnsi"/>
          <w:b/>
          <w:lang w:eastAsia="en-US"/>
        </w:rPr>
        <w:t>(</w:t>
      </w:r>
      <w:r w:rsidRPr="00C90AC9">
        <w:rPr>
          <w:rFonts w:eastAsiaTheme="minorHAnsi"/>
          <w:b/>
          <w:lang w:eastAsia="en-US"/>
        </w:rPr>
        <w:t>2015</w:t>
      </w:r>
      <w:r w:rsidR="00E37973" w:rsidRPr="00C90AC9">
        <w:rPr>
          <w:rFonts w:eastAsiaTheme="minorHAnsi"/>
          <w:b/>
          <w:lang w:eastAsia="en-US"/>
        </w:rPr>
        <w:t>)</w:t>
      </w:r>
    </w:p>
    <w:p w:rsidR="00E37973" w:rsidRPr="00C90AC9" w:rsidRDefault="00FF15E5" w:rsidP="008D2795">
      <w:pPr>
        <w:pStyle w:val="ListContinue2"/>
        <w:spacing w:line="360" w:lineRule="auto"/>
        <w:ind w:left="0"/>
        <w:rPr>
          <w:rFonts w:eastAsiaTheme="minorHAnsi"/>
          <w:lang w:eastAsia="en-US"/>
        </w:rPr>
      </w:pPr>
      <w:r w:rsidRPr="00C90AC9">
        <w:rPr>
          <w:rFonts w:eastAsiaTheme="minorHAnsi"/>
          <w:lang w:eastAsia="en-US"/>
        </w:rPr>
        <w:t xml:space="preserve">A clear </w:t>
      </w:r>
      <w:r w:rsidR="00160E77" w:rsidRPr="00C90AC9">
        <w:rPr>
          <w:rFonts w:eastAsiaTheme="minorHAnsi"/>
          <w:lang w:eastAsia="en-US"/>
        </w:rPr>
        <w:t>conc</w:t>
      </w:r>
      <w:r w:rsidR="00A16B8C" w:rsidRPr="00C90AC9">
        <w:rPr>
          <w:rFonts w:eastAsiaTheme="minorHAnsi"/>
          <w:lang w:eastAsia="en-US"/>
        </w:rPr>
        <w:t xml:space="preserve">lusion from the </w:t>
      </w:r>
      <w:r w:rsidR="00E82522" w:rsidRPr="00C90AC9">
        <w:rPr>
          <w:rFonts w:eastAsiaTheme="minorHAnsi"/>
          <w:lang w:eastAsia="en-US"/>
        </w:rPr>
        <w:t>main</w:t>
      </w:r>
      <w:r w:rsidR="00A16B8C" w:rsidRPr="00C90AC9">
        <w:rPr>
          <w:rFonts w:eastAsiaTheme="minorHAnsi"/>
          <w:lang w:eastAsia="en-US"/>
        </w:rPr>
        <w:t xml:space="preserve"> actors</w:t>
      </w:r>
      <w:r w:rsidR="00160E77" w:rsidRPr="00C90AC9">
        <w:rPr>
          <w:rFonts w:eastAsiaTheme="minorHAnsi"/>
          <w:lang w:eastAsia="en-US"/>
        </w:rPr>
        <w:t xml:space="preserve"> was </w:t>
      </w:r>
      <w:r w:rsidR="00A16B8C" w:rsidRPr="00C90AC9">
        <w:rPr>
          <w:rFonts w:eastAsiaTheme="minorHAnsi"/>
          <w:lang w:eastAsia="en-US"/>
        </w:rPr>
        <w:t xml:space="preserve">that there should be an </w:t>
      </w:r>
      <w:r w:rsidR="00160E77" w:rsidRPr="00C90AC9">
        <w:rPr>
          <w:rFonts w:eastAsiaTheme="minorHAnsi"/>
          <w:lang w:eastAsia="en-US"/>
        </w:rPr>
        <w:t xml:space="preserve">accredited </w:t>
      </w:r>
      <w:r w:rsidR="00A16B8C" w:rsidRPr="00C90AC9">
        <w:rPr>
          <w:rFonts w:eastAsiaTheme="minorHAnsi"/>
          <w:lang w:eastAsia="en-US"/>
        </w:rPr>
        <w:t xml:space="preserve">body overseeing the STP market. </w:t>
      </w:r>
      <w:r w:rsidR="005721D0" w:rsidRPr="00C90AC9">
        <w:rPr>
          <w:rFonts w:eastAsiaTheme="minorHAnsi"/>
          <w:lang w:eastAsia="en-US"/>
        </w:rPr>
        <w:t>An accredited body which is not biased but provides accurate and impartial advice to potential consumers of STPS. It was acknowledged that without an accredited body for forming this function consumers were left confused and ill-informed about the potential benefits of STP’s. The main actors recognised that people will access information from a multitude of sources and not all of the sources will be impartial or accurate which leads to the propagation of information which is partial and is inaccurate.</w:t>
      </w:r>
    </w:p>
    <w:p w:rsidR="00E37973" w:rsidRPr="00C90AC9" w:rsidRDefault="00E37973" w:rsidP="008D2795">
      <w:pPr>
        <w:pStyle w:val="ListContinue2"/>
        <w:spacing w:line="360" w:lineRule="auto"/>
        <w:ind w:left="0"/>
        <w:rPr>
          <w:rFonts w:eastAsiaTheme="minorHAnsi"/>
          <w:b/>
          <w:lang w:eastAsia="en-US"/>
        </w:rPr>
      </w:pPr>
      <w:r w:rsidRPr="00C90AC9">
        <w:rPr>
          <w:rFonts w:eastAsiaTheme="minorHAnsi"/>
          <w:b/>
          <w:lang w:eastAsia="en-US"/>
        </w:rPr>
        <w:t>“I would be very keen to see planning decisions based on the viability [of a project] as well as aesthetic and social considerations. There should be a governmental body that validates and ensures these projects are viable this well as well funded to ensure the success. This should happen</w:t>
      </w:r>
      <w:r w:rsidR="001B59F5" w:rsidRPr="00C90AC9">
        <w:rPr>
          <w:rFonts w:eastAsiaTheme="minorHAnsi"/>
          <w:b/>
          <w:lang w:eastAsia="en-US"/>
        </w:rPr>
        <w:t xml:space="preserve"> in the</w:t>
      </w:r>
      <w:r w:rsidRPr="00C90AC9">
        <w:rPr>
          <w:rFonts w:eastAsiaTheme="minorHAnsi"/>
          <w:b/>
          <w:lang w:eastAsia="en-US"/>
        </w:rPr>
        <w:t xml:space="preserve"> next 5 to 10 years. It will take institutional change</w:t>
      </w:r>
      <w:r w:rsidR="005721D0" w:rsidRPr="00C90AC9">
        <w:rPr>
          <w:rFonts w:eastAsiaTheme="minorHAnsi"/>
          <w:b/>
          <w:lang w:eastAsia="en-US"/>
        </w:rPr>
        <w:t xml:space="preserve"> though” </w:t>
      </w:r>
      <w:r w:rsidR="00FF15E5" w:rsidRPr="00C90AC9">
        <w:rPr>
          <w:rFonts w:eastAsiaTheme="minorHAnsi"/>
          <w:b/>
          <w:lang w:eastAsia="en-US"/>
        </w:rPr>
        <w:t>academic</w:t>
      </w:r>
      <w:r w:rsidR="005721D0" w:rsidRPr="00C90AC9">
        <w:rPr>
          <w:rFonts w:eastAsiaTheme="minorHAnsi"/>
          <w:b/>
          <w:lang w:eastAsia="en-US"/>
        </w:rPr>
        <w:t xml:space="preserve"> (2015)</w:t>
      </w:r>
    </w:p>
    <w:p w:rsidR="00160E77" w:rsidRPr="00C90AC9" w:rsidRDefault="00485008" w:rsidP="008D2795">
      <w:pPr>
        <w:pStyle w:val="ListContinue2"/>
        <w:spacing w:line="360" w:lineRule="auto"/>
        <w:ind w:left="0"/>
        <w:rPr>
          <w:rFonts w:eastAsiaTheme="minorHAnsi"/>
          <w:sz w:val="28"/>
          <w:lang w:eastAsia="en-US"/>
        </w:rPr>
      </w:pPr>
      <w:r w:rsidRPr="00C90AC9">
        <w:rPr>
          <w:rFonts w:eastAsiaTheme="minorHAnsi"/>
          <w:lang w:eastAsia="en-US"/>
        </w:rPr>
        <w:t xml:space="preserve">It was felt by the main actors </w:t>
      </w:r>
      <w:r w:rsidR="005721D0" w:rsidRPr="00C90AC9">
        <w:rPr>
          <w:rFonts w:eastAsiaTheme="minorHAnsi"/>
          <w:lang w:eastAsia="en-US"/>
        </w:rPr>
        <w:t xml:space="preserve">in this study, </w:t>
      </w:r>
      <w:r w:rsidRPr="00C90AC9">
        <w:rPr>
          <w:rFonts w:eastAsiaTheme="minorHAnsi"/>
          <w:lang w:eastAsia="en-US"/>
        </w:rPr>
        <w:t xml:space="preserve">that </w:t>
      </w:r>
      <w:r w:rsidR="005721D0" w:rsidRPr="00C90AC9">
        <w:rPr>
          <w:rFonts w:eastAsiaTheme="minorHAnsi"/>
          <w:lang w:eastAsia="en-US"/>
        </w:rPr>
        <w:t>a reliable source of information has typically been how consumers view community organisers, as community organisers are not invested in the sale</w:t>
      </w:r>
      <w:r w:rsidR="005721D0" w:rsidRPr="00C90AC9">
        <w:rPr>
          <w:rFonts w:eastAsiaTheme="minorHAnsi"/>
          <w:szCs w:val="24"/>
          <w:lang w:eastAsia="en-US"/>
        </w:rPr>
        <w:t xml:space="preserve"> of STP technology (as STP manufacturers are),</w:t>
      </w:r>
      <w:r w:rsidR="00160E77" w:rsidRPr="00C90AC9">
        <w:rPr>
          <w:rFonts w:eastAsiaTheme="minorHAnsi"/>
          <w:szCs w:val="24"/>
          <w:lang w:eastAsia="en-US"/>
        </w:rPr>
        <w:t xml:space="preserve"> </w:t>
      </w:r>
      <w:r w:rsidR="005721D0" w:rsidRPr="00C90AC9">
        <w:rPr>
          <w:rFonts w:eastAsiaTheme="minorHAnsi"/>
          <w:szCs w:val="24"/>
          <w:lang w:eastAsia="en-US"/>
        </w:rPr>
        <w:t xml:space="preserve">are an approachable source of information (where academics are sometimes perceived as not being) and are trusted by the community at large (where politicians are not). </w:t>
      </w:r>
    </w:p>
    <w:p w:rsidR="008D2795" w:rsidRPr="00C90AC9" w:rsidRDefault="008D2795" w:rsidP="008D2795">
      <w:pPr>
        <w:pStyle w:val="ListContinue2"/>
        <w:spacing w:line="360" w:lineRule="auto"/>
        <w:ind w:left="0"/>
        <w:rPr>
          <w:rFonts w:eastAsiaTheme="minorHAnsi"/>
          <w:sz w:val="28"/>
          <w:lang w:eastAsia="en-US"/>
        </w:rPr>
      </w:pPr>
    </w:p>
    <w:p w:rsidR="00053CC2" w:rsidRPr="00C90AC9" w:rsidRDefault="00053CC2" w:rsidP="00CA6E35">
      <w:pPr>
        <w:pStyle w:val="Subtitle"/>
        <w:numPr>
          <w:ilvl w:val="2"/>
          <w:numId w:val="11"/>
        </w:numPr>
        <w:ind w:left="709" w:hanging="709"/>
        <w:rPr>
          <w:rStyle w:val="SubtleEmphasis"/>
          <w:rFonts w:ascii="Times New Roman" w:hAnsi="Times New Roman" w:cs="Times New Roman"/>
          <w:i w:val="0"/>
          <w:iCs w:val="0"/>
        </w:rPr>
      </w:pPr>
      <w:r w:rsidRPr="00C90AC9">
        <w:rPr>
          <w:rStyle w:val="SubtleEmphasis"/>
          <w:rFonts w:ascii="Times New Roman" w:hAnsi="Times New Roman" w:cs="Times New Roman"/>
          <w:i w:val="0"/>
          <w:iCs w:val="0"/>
        </w:rPr>
        <w:t>Perceived Ease of Use</w:t>
      </w:r>
    </w:p>
    <w:p w:rsidR="008D2795" w:rsidRPr="00C90AC9" w:rsidRDefault="00053CC2" w:rsidP="008D2795">
      <w:pPr>
        <w:pStyle w:val="ListContinue2"/>
        <w:spacing w:line="360" w:lineRule="auto"/>
        <w:ind w:left="0"/>
        <w:rPr>
          <w:rFonts w:eastAsiaTheme="minorHAnsi"/>
          <w:b/>
          <w:i/>
          <w:color w:val="000000"/>
          <w:lang w:eastAsia="en-US"/>
        </w:rPr>
      </w:pPr>
      <w:r w:rsidRPr="00C90AC9">
        <w:rPr>
          <w:rFonts w:eastAsiaTheme="minorHAnsi"/>
        </w:rPr>
        <w:t xml:space="preserve">It was perceived that the general public’s understanding of </w:t>
      </w:r>
      <w:r w:rsidR="006518C0" w:rsidRPr="00C90AC9">
        <w:rPr>
          <w:rFonts w:eastAsiaTheme="minorHAnsi"/>
        </w:rPr>
        <w:t>STPs</w:t>
      </w:r>
      <w:r w:rsidRPr="00C90AC9">
        <w:rPr>
          <w:rFonts w:eastAsiaTheme="minorHAnsi"/>
        </w:rPr>
        <w:t xml:space="preserve"> was poor and that social acceptance of </w:t>
      </w:r>
      <w:r w:rsidR="006518C0" w:rsidRPr="00C90AC9">
        <w:rPr>
          <w:rFonts w:eastAsiaTheme="minorHAnsi"/>
        </w:rPr>
        <w:t>STPs</w:t>
      </w:r>
      <w:r w:rsidRPr="00C90AC9">
        <w:rPr>
          <w:rFonts w:eastAsiaTheme="minorHAnsi"/>
        </w:rPr>
        <w:t xml:space="preserve"> was therefore poor too. The </w:t>
      </w:r>
      <w:r w:rsidR="00E82522" w:rsidRPr="00C90AC9">
        <w:rPr>
          <w:rFonts w:eastAsiaTheme="minorHAnsi"/>
        </w:rPr>
        <w:t>main</w:t>
      </w:r>
      <w:r w:rsidRPr="00C90AC9">
        <w:rPr>
          <w:rFonts w:eastAsiaTheme="minorHAnsi"/>
        </w:rPr>
        <w:t xml:space="preserve"> actors also wanted to ensure that they are well informed about the technology and a regulatory body was perceived as a good way of ensuring that they too were aware of the benefits and drawbacks of the technology. This was particularly true of the community organisers and politicians remarked that they had interactions with the general public where they were asked to disseminating accurate and </w:t>
      </w:r>
      <w:r w:rsidRPr="00C90AC9">
        <w:rPr>
          <w:rFonts w:eastAsiaTheme="minorHAnsi"/>
        </w:rPr>
        <w:lastRenderedPageBreak/>
        <w:t xml:space="preserve">unbiased opinions and they wanted to ensure that the information they were sharing was </w:t>
      </w:r>
      <w:r w:rsidR="004524CB" w:rsidRPr="00C90AC9">
        <w:rPr>
          <w:rFonts w:eastAsiaTheme="minorHAnsi"/>
        </w:rPr>
        <w:t xml:space="preserve">valid. </w:t>
      </w:r>
      <w:r w:rsidR="004524CB" w:rsidRPr="00C90AC9">
        <w:rPr>
          <w:rFonts w:eastAsiaTheme="minorHAnsi"/>
          <w:lang w:eastAsia="en-US"/>
        </w:rPr>
        <w:t>Of</w:t>
      </w:r>
      <w:r w:rsidRPr="00C90AC9">
        <w:rPr>
          <w:rFonts w:eastAsiaTheme="minorHAnsi"/>
          <w:lang w:eastAsia="en-US"/>
        </w:rPr>
        <w:t xml:space="preserve"> key interest was the perceived difference in understanding that the </w:t>
      </w:r>
      <w:r w:rsidR="00E82522" w:rsidRPr="00C90AC9">
        <w:rPr>
          <w:rFonts w:eastAsiaTheme="minorHAnsi"/>
          <w:lang w:eastAsia="en-US"/>
        </w:rPr>
        <w:t>main</w:t>
      </w:r>
      <w:r w:rsidRPr="00C90AC9">
        <w:rPr>
          <w:rFonts w:eastAsiaTheme="minorHAnsi"/>
          <w:lang w:eastAsia="en-US"/>
        </w:rPr>
        <w:t xml:space="preserve"> actors felt that had about </w:t>
      </w:r>
      <w:r w:rsidR="006518C0" w:rsidRPr="00C90AC9">
        <w:rPr>
          <w:rFonts w:eastAsiaTheme="minorHAnsi"/>
          <w:lang w:eastAsia="en-US"/>
        </w:rPr>
        <w:t>STPs</w:t>
      </w:r>
      <w:r w:rsidRPr="00C90AC9">
        <w:rPr>
          <w:rFonts w:eastAsiaTheme="minorHAnsi"/>
          <w:lang w:eastAsia="en-US"/>
        </w:rPr>
        <w:t xml:space="preserve"> when compared to the general public. The participants of the semi-structured interviews accepted that they had a deeper and nuanced understanding of solar thermal panels and their potential benefits. Typical comments regarding this issue were:</w:t>
      </w:r>
      <w:r w:rsidRPr="00C90AC9">
        <w:rPr>
          <w:rFonts w:eastAsiaTheme="minorHAnsi"/>
          <w:b/>
          <w:i/>
          <w:color w:val="000000"/>
          <w:lang w:eastAsia="en-US"/>
        </w:rPr>
        <w:t xml:space="preserve"> </w:t>
      </w:r>
    </w:p>
    <w:p w:rsidR="008D2795" w:rsidRPr="00C90AC9" w:rsidRDefault="00053CC2" w:rsidP="008D2795">
      <w:pPr>
        <w:pStyle w:val="ListContinue2"/>
        <w:spacing w:line="360" w:lineRule="auto"/>
        <w:ind w:left="0"/>
        <w:rPr>
          <w:rFonts w:eastAsiaTheme="minorHAnsi"/>
          <w:b/>
          <w:color w:val="000000"/>
          <w:lang w:eastAsia="en-US"/>
        </w:rPr>
      </w:pPr>
      <w:r w:rsidRPr="00C90AC9">
        <w:rPr>
          <w:rFonts w:eastAsiaTheme="minorHAnsi"/>
          <w:b/>
          <w:color w:val="000000"/>
          <w:lang w:eastAsia="en-US"/>
        </w:rPr>
        <w:t>“Quite often people are disappointed with the performance they get from their systems because they’re expecting something earth sha</w:t>
      </w:r>
      <w:r w:rsidR="000B0214" w:rsidRPr="00C90AC9">
        <w:rPr>
          <w:rFonts w:eastAsiaTheme="minorHAnsi"/>
          <w:b/>
          <w:color w:val="000000"/>
          <w:lang w:eastAsia="en-US"/>
        </w:rPr>
        <w:t xml:space="preserve">ttering.” </w:t>
      </w:r>
      <w:r w:rsidR="00FF15E5" w:rsidRPr="00C90AC9">
        <w:rPr>
          <w:rFonts w:eastAsiaTheme="minorHAnsi"/>
          <w:b/>
          <w:color w:val="000000"/>
          <w:lang w:eastAsia="en-US"/>
        </w:rPr>
        <w:t>academic</w:t>
      </w:r>
      <w:r w:rsidRPr="00C90AC9">
        <w:rPr>
          <w:rFonts w:eastAsiaTheme="minorHAnsi"/>
          <w:b/>
          <w:color w:val="000000"/>
          <w:lang w:eastAsia="en-US"/>
        </w:rPr>
        <w:t xml:space="preserve"> </w:t>
      </w:r>
      <w:r w:rsidR="000B0214" w:rsidRPr="00C90AC9">
        <w:rPr>
          <w:rFonts w:eastAsiaTheme="minorHAnsi"/>
          <w:b/>
          <w:color w:val="000000"/>
          <w:lang w:eastAsia="en-US"/>
        </w:rPr>
        <w:t>(</w:t>
      </w:r>
      <w:r w:rsidRPr="00C90AC9">
        <w:rPr>
          <w:rFonts w:eastAsiaTheme="minorHAnsi"/>
          <w:b/>
          <w:color w:val="000000"/>
          <w:lang w:eastAsia="en-US"/>
        </w:rPr>
        <w:t xml:space="preserve">2012) </w:t>
      </w:r>
    </w:p>
    <w:p w:rsidR="00053CC2" w:rsidRPr="00C90AC9" w:rsidRDefault="00053CC2" w:rsidP="008D2795">
      <w:pPr>
        <w:pStyle w:val="ListContinue2"/>
        <w:spacing w:line="360" w:lineRule="auto"/>
        <w:ind w:left="0"/>
        <w:rPr>
          <w:rFonts w:eastAsiaTheme="minorHAnsi"/>
          <w:lang w:eastAsia="en-US"/>
        </w:rPr>
      </w:pPr>
      <w:r w:rsidRPr="00C90AC9">
        <w:rPr>
          <w:rFonts w:eastAsiaTheme="minorHAnsi"/>
          <w:bCs/>
          <w:lang w:eastAsia="en-US"/>
        </w:rPr>
        <w:t xml:space="preserve">A significant reason for this difference in understanding about STP technology was explained by the way in which consumers receive any information about </w:t>
      </w:r>
      <w:r w:rsidR="006518C0" w:rsidRPr="00C90AC9">
        <w:rPr>
          <w:rFonts w:eastAsiaTheme="minorHAnsi"/>
          <w:bCs/>
          <w:lang w:eastAsia="en-US"/>
        </w:rPr>
        <w:t>STPs</w:t>
      </w:r>
      <w:r w:rsidRPr="00C90AC9">
        <w:rPr>
          <w:rFonts w:eastAsiaTheme="minorHAnsi"/>
          <w:bCs/>
          <w:lang w:eastAsia="en-US"/>
        </w:rPr>
        <w:t xml:space="preserve">. It was felt that people in general only receive biased opinions about the capability </w:t>
      </w:r>
      <w:r w:rsidR="006518C0" w:rsidRPr="00C90AC9">
        <w:rPr>
          <w:rFonts w:eastAsiaTheme="minorHAnsi"/>
          <w:bCs/>
          <w:lang w:eastAsia="en-US"/>
        </w:rPr>
        <w:t>STPs</w:t>
      </w:r>
      <w:r w:rsidRPr="00C90AC9">
        <w:rPr>
          <w:rFonts w:eastAsiaTheme="minorHAnsi"/>
          <w:bCs/>
          <w:lang w:eastAsia="en-US"/>
        </w:rPr>
        <w:t xml:space="preserve">. Information was either overly positive or negative (usually from family members) or there was </w:t>
      </w:r>
      <w:r w:rsidR="004524CB" w:rsidRPr="00C90AC9">
        <w:rPr>
          <w:rFonts w:eastAsiaTheme="minorHAnsi"/>
          <w:bCs/>
          <w:lang w:eastAsia="en-US"/>
        </w:rPr>
        <w:t>an</w:t>
      </w:r>
      <w:r w:rsidRPr="00C90AC9">
        <w:rPr>
          <w:rFonts w:eastAsiaTheme="minorHAnsi"/>
          <w:bCs/>
          <w:lang w:eastAsia="en-US"/>
        </w:rPr>
        <w:t xml:space="preserve"> unfavourable misinformation disseminated through the media. The media was discussed as being a significant source of misinformation (due to their lack of impartiality</w:t>
      </w:r>
    </w:p>
    <w:p w:rsidR="008D2795" w:rsidRPr="00C90AC9" w:rsidRDefault="00053CC2" w:rsidP="008D2795">
      <w:pPr>
        <w:pStyle w:val="ListContinue2"/>
        <w:spacing w:line="360" w:lineRule="auto"/>
        <w:ind w:left="0"/>
        <w:rPr>
          <w:rFonts w:eastAsiaTheme="minorHAnsi"/>
        </w:rPr>
      </w:pPr>
      <w:r w:rsidRPr="00C90AC9">
        <w:rPr>
          <w:rFonts w:eastAsiaTheme="minorHAnsi"/>
        </w:rPr>
        <w:t xml:space="preserve">These misconceptions are perpetuated and are not adequately addressed by parties wishing to ensure justifiable information about the STP technology is widely understood by the general public </w:t>
      </w:r>
    </w:p>
    <w:p w:rsidR="008D2795" w:rsidRPr="00C90AC9" w:rsidRDefault="00F0783D" w:rsidP="008D2795">
      <w:pPr>
        <w:pStyle w:val="ListContinue2"/>
        <w:spacing w:line="360" w:lineRule="auto"/>
        <w:ind w:left="0"/>
        <w:rPr>
          <w:rFonts w:eastAsiaTheme="minorHAnsi"/>
          <w:b/>
          <w:lang w:eastAsia="en-US"/>
        </w:rPr>
      </w:pPr>
      <w:r w:rsidRPr="00C90AC9">
        <w:rPr>
          <w:rFonts w:eastAsiaTheme="minorHAnsi"/>
          <w:b/>
        </w:rPr>
        <w:t>“</w:t>
      </w:r>
      <w:r w:rsidR="00053CC2" w:rsidRPr="00C90AC9">
        <w:rPr>
          <w:rFonts w:eastAsiaTheme="minorHAnsi"/>
          <w:b/>
          <w:lang w:eastAsia="en-US"/>
        </w:rPr>
        <w:t>A lot of people come to us with prior misinformation. There’s an awful lot of bad information out there.”</w:t>
      </w:r>
      <w:r w:rsidRPr="00C90AC9">
        <w:rPr>
          <w:rFonts w:eastAsiaTheme="minorHAnsi"/>
          <w:b/>
          <w:i/>
          <w:lang w:eastAsia="en-US"/>
        </w:rPr>
        <w:t xml:space="preserve"> </w:t>
      </w:r>
      <w:r w:rsidR="00BF3B73" w:rsidRPr="00C90AC9">
        <w:rPr>
          <w:rFonts w:eastAsiaTheme="minorHAnsi"/>
          <w:b/>
          <w:lang w:eastAsia="en-US"/>
        </w:rPr>
        <w:t>manufacturer</w:t>
      </w:r>
      <w:r w:rsidR="00053CC2" w:rsidRPr="00C90AC9">
        <w:rPr>
          <w:rFonts w:eastAsiaTheme="minorHAnsi"/>
          <w:b/>
          <w:lang w:eastAsia="en-US"/>
        </w:rPr>
        <w:t xml:space="preserve"> </w:t>
      </w:r>
      <w:r w:rsidR="000B0214" w:rsidRPr="00C90AC9">
        <w:rPr>
          <w:rFonts w:eastAsiaTheme="minorHAnsi"/>
          <w:b/>
          <w:lang w:eastAsia="en-US"/>
        </w:rPr>
        <w:t>(</w:t>
      </w:r>
      <w:r w:rsidR="00053CC2" w:rsidRPr="00C90AC9">
        <w:rPr>
          <w:rFonts w:eastAsiaTheme="minorHAnsi"/>
          <w:b/>
          <w:lang w:eastAsia="en-US"/>
        </w:rPr>
        <w:t>2015)</w:t>
      </w:r>
    </w:p>
    <w:p w:rsidR="008D2795" w:rsidRPr="00C90AC9" w:rsidRDefault="00A16B8C" w:rsidP="008D2795">
      <w:pPr>
        <w:pStyle w:val="ListContinue2"/>
        <w:spacing w:line="360" w:lineRule="auto"/>
        <w:ind w:left="0"/>
        <w:rPr>
          <w:rFonts w:eastAsiaTheme="minorHAnsi"/>
          <w:lang w:eastAsia="en-US"/>
        </w:rPr>
      </w:pPr>
      <w:r w:rsidRPr="00C90AC9">
        <w:rPr>
          <w:rFonts w:eastAsiaTheme="minorHAnsi"/>
          <w:lang w:eastAsia="en-US"/>
        </w:rPr>
        <w:t xml:space="preserve">It was commented on in the 2015 semi-structured interviews that there was a noticeable drop in the government urgency to reduce carbon levels between 2012 and 2015. This was despite international agreements to reduce carbon emissions being more pronounced. The </w:t>
      </w:r>
      <w:r w:rsidR="007513A1" w:rsidRPr="00C90AC9">
        <w:rPr>
          <w:rFonts w:eastAsiaTheme="minorHAnsi"/>
          <w:lang w:eastAsia="en-US"/>
        </w:rPr>
        <w:t xml:space="preserve">fall </w:t>
      </w:r>
      <w:r w:rsidRPr="00C90AC9">
        <w:rPr>
          <w:rFonts w:eastAsiaTheme="minorHAnsi"/>
          <w:lang w:eastAsia="en-US"/>
        </w:rPr>
        <w:t>in UK national carbon emissions was partly blamed on the ailing economy during this period</w:t>
      </w:r>
      <w:r w:rsidR="007513A1" w:rsidRPr="00C90AC9">
        <w:rPr>
          <w:rFonts w:eastAsiaTheme="minorHAnsi"/>
          <w:lang w:eastAsia="en-US"/>
        </w:rPr>
        <w:t xml:space="preserve"> and partly due to an improvement in </w:t>
      </w:r>
      <w:r w:rsidR="0070548A" w:rsidRPr="00C90AC9">
        <w:rPr>
          <w:rFonts w:eastAsiaTheme="minorHAnsi"/>
          <w:lang w:eastAsia="en-US"/>
        </w:rPr>
        <w:t xml:space="preserve">the </w:t>
      </w:r>
      <w:r w:rsidR="007513A1" w:rsidRPr="00C90AC9">
        <w:rPr>
          <w:rFonts w:eastAsiaTheme="minorHAnsi"/>
          <w:lang w:eastAsia="en-US"/>
        </w:rPr>
        <w:t>availability of energy efficient technologies</w:t>
      </w:r>
      <w:r w:rsidRPr="00C90AC9">
        <w:rPr>
          <w:rFonts w:eastAsiaTheme="minorHAnsi"/>
          <w:lang w:eastAsia="en-US"/>
        </w:rPr>
        <w:t xml:space="preserve">. The change in the government’s position was attributed to the government deciding that there are more ‘pressing </w:t>
      </w:r>
      <w:proofErr w:type="gramStart"/>
      <w:r w:rsidRPr="00C90AC9">
        <w:rPr>
          <w:rFonts w:eastAsiaTheme="minorHAnsi"/>
          <w:lang w:eastAsia="en-US"/>
        </w:rPr>
        <w:t>concerns’</w:t>
      </w:r>
      <w:proofErr w:type="gramEnd"/>
      <w:r w:rsidRPr="00C90AC9">
        <w:rPr>
          <w:rFonts w:eastAsiaTheme="minorHAnsi"/>
          <w:lang w:eastAsia="en-US"/>
        </w:rPr>
        <w:t xml:space="preserve">. The changing policy and a lack of a cohesive policy approach to carbon reduction by the government which may include </w:t>
      </w:r>
      <w:r w:rsidR="006518C0" w:rsidRPr="00C90AC9">
        <w:rPr>
          <w:rFonts w:eastAsiaTheme="minorHAnsi"/>
          <w:lang w:eastAsia="en-US"/>
        </w:rPr>
        <w:t>STPs</w:t>
      </w:r>
      <w:r w:rsidRPr="00C90AC9">
        <w:rPr>
          <w:rFonts w:eastAsiaTheme="minorHAnsi"/>
          <w:lang w:eastAsia="en-US"/>
        </w:rPr>
        <w:t xml:space="preserve"> was perceived as being a reason for</w:t>
      </w:r>
      <w:r w:rsidR="007513A1" w:rsidRPr="00C90AC9">
        <w:rPr>
          <w:rFonts w:eastAsiaTheme="minorHAnsi"/>
          <w:lang w:eastAsia="en-US"/>
        </w:rPr>
        <w:t xml:space="preserve"> a lower adoption rate of </w:t>
      </w:r>
      <w:r w:rsidR="006518C0" w:rsidRPr="00C90AC9">
        <w:rPr>
          <w:rFonts w:eastAsiaTheme="minorHAnsi"/>
          <w:lang w:eastAsia="en-US"/>
        </w:rPr>
        <w:t>STPs</w:t>
      </w:r>
      <w:r w:rsidR="008D2795" w:rsidRPr="00C90AC9">
        <w:rPr>
          <w:rFonts w:eastAsiaTheme="minorHAnsi"/>
          <w:lang w:eastAsia="en-US"/>
        </w:rPr>
        <w:t>:</w:t>
      </w:r>
      <w:r w:rsidR="007513A1" w:rsidRPr="00C90AC9">
        <w:rPr>
          <w:rFonts w:eastAsiaTheme="minorHAnsi"/>
          <w:lang w:eastAsia="en-US"/>
        </w:rPr>
        <w:t xml:space="preserve"> </w:t>
      </w:r>
    </w:p>
    <w:p w:rsidR="00A16B8C" w:rsidRPr="00C90AC9" w:rsidRDefault="008D2795" w:rsidP="008D2795">
      <w:pPr>
        <w:pStyle w:val="ListContinue2"/>
        <w:spacing w:line="360" w:lineRule="auto"/>
        <w:ind w:left="0"/>
        <w:rPr>
          <w:rFonts w:eastAsiaTheme="minorHAnsi"/>
          <w:b/>
          <w:lang w:eastAsia="en-US"/>
        </w:rPr>
      </w:pPr>
      <w:r w:rsidRPr="00C90AC9">
        <w:rPr>
          <w:rFonts w:eastAsiaTheme="minorHAnsi"/>
          <w:lang w:eastAsia="en-US"/>
        </w:rPr>
        <w:t>“</w:t>
      </w:r>
      <w:r w:rsidR="007513A1" w:rsidRPr="00C90AC9">
        <w:rPr>
          <w:rFonts w:eastAsiaTheme="minorHAnsi"/>
          <w:b/>
          <w:lang w:eastAsia="en-US"/>
        </w:rPr>
        <w:t>N</w:t>
      </w:r>
      <w:r w:rsidR="00A16B8C" w:rsidRPr="00C90AC9">
        <w:rPr>
          <w:rFonts w:eastAsiaTheme="minorHAnsi"/>
          <w:b/>
          <w:lang w:eastAsia="en-US"/>
        </w:rPr>
        <w:t>ow he’s</w:t>
      </w:r>
      <w:r w:rsidR="00A75368" w:rsidRPr="00C90AC9">
        <w:rPr>
          <w:rFonts w:eastAsiaTheme="minorHAnsi"/>
          <w:b/>
          <w:lang w:eastAsia="en-US"/>
        </w:rPr>
        <w:t xml:space="preserve"> </w:t>
      </w:r>
      <w:r w:rsidR="00C83056" w:rsidRPr="00C90AC9">
        <w:rPr>
          <w:rFonts w:eastAsiaTheme="minorHAnsi"/>
          <w:b/>
          <w:lang w:eastAsia="en-US"/>
        </w:rPr>
        <w:t>(Prime Minister David Cameron)</w:t>
      </w:r>
      <w:r w:rsidR="00A16B8C" w:rsidRPr="00C90AC9">
        <w:rPr>
          <w:rFonts w:eastAsiaTheme="minorHAnsi"/>
          <w:b/>
          <w:lang w:eastAsia="en-US"/>
        </w:rPr>
        <w:t xml:space="preserve"> saying, ‘We’ve got to get rid of the green</w:t>
      </w:r>
      <w:r w:rsidR="00843EB3" w:rsidRPr="00C90AC9">
        <w:rPr>
          <w:rFonts w:eastAsiaTheme="minorHAnsi"/>
          <w:b/>
          <w:lang w:eastAsia="en-US"/>
        </w:rPr>
        <w:t xml:space="preserve"> crap in the dash for growth.’”  </w:t>
      </w:r>
      <w:r w:rsidR="00FF15E5" w:rsidRPr="00C90AC9">
        <w:rPr>
          <w:rFonts w:eastAsiaTheme="minorHAnsi"/>
          <w:b/>
          <w:lang w:eastAsia="en-US"/>
        </w:rPr>
        <w:t>politician</w:t>
      </w:r>
      <w:r w:rsidR="00A16B8C" w:rsidRPr="00C90AC9">
        <w:rPr>
          <w:rFonts w:eastAsiaTheme="minorHAnsi"/>
          <w:b/>
          <w:lang w:eastAsia="en-US"/>
        </w:rPr>
        <w:t xml:space="preserve"> (2015)</w:t>
      </w:r>
    </w:p>
    <w:p w:rsidR="008D2795" w:rsidRPr="00C90AC9" w:rsidRDefault="00FF15E5" w:rsidP="008D2795">
      <w:pPr>
        <w:pStyle w:val="ListContinue2"/>
        <w:spacing w:line="360" w:lineRule="auto"/>
        <w:ind w:left="0"/>
        <w:rPr>
          <w:rFonts w:eastAsiaTheme="minorHAnsi"/>
          <w:b/>
          <w:lang w:eastAsia="en-US"/>
        </w:rPr>
      </w:pPr>
      <w:r w:rsidRPr="00C90AC9">
        <w:rPr>
          <w:rFonts w:eastAsiaTheme="minorHAnsi"/>
          <w:b/>
          <w:lang w:eastAsia="en-US"/>
        </w:rPr>
        <w:t>“things seem to be moving in the right direction</w:t>
      </w:r>
      <w:r w:rsidR="00843EB3" w:rsidRPr="00C90AC9">
        <w:rPr>
          <w:rFonts w:eastAsiaTheme="minorHAnsi"/>
          <w:b/>
          <w:lang w:eastAsia="en-US"/>
        </w:rPr>
        <w:t>, though</w:t>
      </w:r>
      <w:r w:rsidRPr="00C90AC9">
        <w:rPr>
          <w:rFonts w:eastAsiaTheme="minorHAnsi"/>
          <w:b/>
          <w:lang w:eastAsia="en-US"/>
        </w:rPr>
        <w:t xml:space="preserve"> sometimes I get the impression there’s no real focus” </w:t>
      </w:r>
      <w:r w:rsidR="00843EB3" w:rsidRPr="00C90AC9">
        <w:rPr>
          <w:rFonts w:eastAsiaTheme="minorHAnsi"/>
          <w:b/>
          <w:lang w:eastAsia="en-US"/>
        </w:rPr>
        <w:t xml:space="preserve">community organiser (2012) </w:t>
      </w:r>
    </w:p>
    <w:p w:rsidR="008D2795" w:rsidRPr="00C90AC9" w:rsidRDefault="00A16B8C" w:rsidP="008D2795">
      <w:pPr>
        <w:pStyle w:val="ListContinue2"/>
        <w:spacing w:line="360" w:lineRule="auto"/>
        <w:ind w:left="0"/>
        <w:rPr>
          <w:rFonts w:eastAsiaTheme="minorHAnsi"/>
          <w:lang w:eastAsia="en-US"/>
        </w:rPr>
      </w:pPr>
      <w:r w:rsidRPr="00C90AC9">
        <w:rPr>
          <w:rFonts w:eastAsiaTheme="minorHAnsi"/>
          <w:lang w:eastAsia="en-US"/>
        </w:rPr>
        <w:t xml:space="preserve">It was not clear from both the semi-structured interviews </w:t>
      </w:r>
      <w:r w:rsidR="00843EB3" w:rsidRPr="00C90AC9">
        <w:rPr>
          <w:rFonts w:eastAsiaTheme="minorHAnsi"/>
          <w:lang w:eastAsia="en-US"/>
        </w:rPr>
        <w:t xml:space="preserve">conducted </w:t>
      </w:r>
      <w:r w:rsidRPr="00C90AC9">
        <w:rPr>
          <w:rFonts w:eastAsiaTheme="minorHAnsi"/>
          <w:lang w:eastAsia="en-US"/>
        </w:rPr>
        <w:t xml:space="preserve">in 2012 and 2015 that the </w:t>
      </w:r>
      <w:r w:rsidR="00E82522" w:rsidRPr="00C90AC9">
        <w:rPr>
          <w:rFonts w:eastAsiaTheme="minorHAnsi"/>
          <w:lang w:eastAsia="en-US"/>
        </w:rPr>
        <w:t>main</w:t>
      </w:r>
      <w:r w:rsidRPr="00C90AC9">
        <w:rPr>
          <w:rFonts w:eastAsiaTheme="minorHAnsi"/>
          <w:lang w:eastAsia="en-US"/>
        </w:rPr>
        <w:t xml:space="preserve"> actors</w:t>
      </w:r>
      <w:r w:rsidR="00843EB3" w:rsidRPr="00C90AC9">
        <w:rPr>
          <w:rFonts w:eastAsiaTheme="minorHAnsi"/>
          <w:lang w:eastAsia="en-US"/>
        </w:rPr>
        <w:t xml:space="preserve"> didn’t </w:t>
      </w:r>
      <w:r w:rsidRPr="00C90AC9">
        <w:rPr>
          <w:rFonts w:eastAsiaTheme="minorHAnsi"/>
          <w:lang w:eastAsia="en-US"/>
        </w:rPr>
        <w:t>fully</w:t>
      </w:r>
      <w:r w:rsidR="00843EB3" w:rsidRPr="00C90AC9">
        <w:rPr>
          <w:rFonts w:eastAsiaTheme="minorHAnsi"/>
          <w:lang w:eastAsia="en-US"/>
        </w:rPr>
        <w:t xml:space="preserve"> understand </w:t>
      </w:r>
      <w:r w:rsidRPr="00C90AC9">
        <w:rPr>
          <w:rFonts w:eastAsiaTheme="minorHAnsi"/>
          <w:lang w:eastAsia="en-US"/>
        </w:rPr>
        <w:t>the government’s position on both reducing greenhouse gases</w:t>
      </w:r>
      <w:r w:rsidR="0070548A" w:rsidRPr="00C90AC9">
        <w:rPr>
          <w:rFonts w:eastAsiaTheme="minorHAnsi"/>
          <w:lang w:eastAsia="en-US"/>
        </w:rPr>
        <w:t xml:space="preserve"> (GHG)</w:t>
      </w:r>
      <w:r w:rsidRPr="00C90AC9">
        <w:rPr>
          <w:rFonts w:eastAsiaTheme="minorHAnsi"/>
          <w:lang w:eastAsia="en-US"/>
        </w:rPr>
        <w:t xml:space="preserve"> and complying with international agreements.</w:t>
      </w:r>
      <w:r w:rsidR="00843EB3" w:rsidRPr="00C90AC9">
        <w:rPr>
          <w:rFonts w:eastAsiaTheme="minorHAnsi"/>
          <w:lang w:eastAsia="en-US"/>
        </w:rPr>
        <w:t xml:space="preserve"> It </w:t>
      </w:r>
      <w:r w:rsidRPr="00C90AC9">
        <w:rPr>
          <w:rFonts w:eastAsiaTheme="minorHAnsi"/>
          <w:lang w:eastAsia="en-US"/>
        </w:rPr>
        <w:t xml:space="preserve">was perceived that this lack of </w:t>
      </w:r>
      <w:r w:rsidRPr="00C90AC9">
        <w:rPr>
          <w:rFonts w:eastAsiaTheme="minorHAnsi"/>
          <w:lang w:eastAsia="en-US"/>
        </w:rPr>
        <w:lastRenderedPageBreak/>
        <w:t>clarity was leading to poor decisions</w:t>
      </w:r>
      <w:r w:rsidR="00843EB3" w:rsidRPr="00C90AC9">
        <w:rPr>
          <w:rFonts w:eastAsiaTheme="minorHAnsi"/>
          <w:lang w:eastAsia="en-US"/>
        </w:rPr>
        <w:t xml:space="preserve"> being made by consumers </w:t>
      </w:r>
      <w:r w:rsidRPr="00C90AC9">
        <w:rPr>
          <w:rFonts w:eastAsiaTheme="minorHAnsi"/>
          <w:lang w:eastAsia="en-US"/>
        </w:rPr>
        <w:t xml:space="preserve">regarding </w:t>
      </w:r>
      <w:r w:rsidR="00843EB3" w:rsidRPr="00C90AC9">
        <w:rPr>
          <w:rFonts w:eastAsiaTheme="minorHAnsi"/>
          <w:lang w:eastAsia="en-US"/>
        </w:rPr>
        <w:t xml:space="preserve">adoption of </w:t>
      </w:r>
      <w:r w:rsidRPr="00C90AC9">
        <w:rPr>
          <w:rFonts w:eastAsiaTheme="minorHAnsi"/>
          <w:lang w:eastAsia="en-US"/>
        </w:rPr>
        <w:t xml:space="preserve">domestic energy </w:t>
      </w:r>
      <w:r w:rsidR="00843EB3" w:rsidRPr="00C90AC9">
        <w:rPr>
          <w:rFonts w:eastAsiaTheme="minorHAnsi"/>
          <w:lang w:eastAsia="en-US"/>
        </w:rPr>
        <w:t xml:space="preserve">technologies as consumers were unsure of the national situation. This lack of clarity was allowing misinformation to either be generated by manufacturers or by </w:t>
      </w:r>
      <w:proofErr w:type="gramStart"/>
      <w:r w:rsidR="00843EB3" w:rsidRPr="00C90AC9">
        <w:rPr>
          <w:rFonts w:eastAsiaTheme="minorHAnsi"/>
          <w:lang w:eastAsia="en-US"/>
        </w:rPr>
        <w:t>people’s</w:t>
      </w:r>
      <w:proofErr w:type="gramEnd"/>
      <w:r w:rsidR="00843EB3" w:rsidRPr="00C90AC9">
        <w:rPr>
          <w:rFonts w:eastAsiaTheme="minorHAnsi"/>
          <w:lang w:eastAsia="en-US"/>
        </w:rPr>
        <w:t xml:space="preserve"> with a vested interest in spreading inaccurate information.</w:t>
      </w:r>
    </w:p>
    <w:p w:rsidR="00A16B8C" w:rsidRPr="00C90AC9" w:rsidRDefault="007513A1" w:rsidP="008D2795">
      <w:pPr>
        <w:pStyle w:val="ListContinue2"/>
        <w:spacing w:line="360" w:lineRule="auto"/>
        <w:ind w:left="0"/>
        <w:rPr>
          <w:rFonts w:eastAsiaTheme="minorHAnsi"/>
          <w:b/>
          <w:color w:val="000000"/>
          <w:lang w:eastAsia="en-US"/>
        </w:rPr>
      </w:pPr>
      <w:r w:rsidRPr="00C90AC9">
        <w:rPr>
          <w:rFonts w:eastAsiaTheme="minorHAnsi"/>
          <w:b/>
          <w:color w:val="000000"/>
          <w:lang w:eastAsia="en-US"/>
        </w:rPr>
        <w:t>“</w:t>
      </w:r>
      <w:r w:rsidR="00A16B8C" w:rsidRPr="00C90AC9">
        <w:rPr>
          <w:rFonts w:eastAsiaTheme="minorHAnsi"/>
          <w:b/>
          <w:color w:val="000000"/>
          <w:lang w:eastAsia="en-US"/>
        </w:rPr>
        <w:t>I feel at the moment there’s not a coherent message being presented</w:t>
      </w:r>
      <w:r w:rsidR="00E37973" w:rsidRPr="00C90AC9">
        <w:rPr>
          <w:rFonts w:eastAsiaTheme="minorHAnsi"/>
          <w:b/>
          <w:color w:val="000000"/>
          <w:lang w:eastAsia="en-US"/>
        </w:rPr>
        <w:t xml:space="preserve"> [to consumers]</w:t>
      </w:r>
      <w:r w:rsidR="00A16B8C" w:rsidRPr="00C90AC9">
        <w:rPr>
          <w:rFonts w:eastAsiaTheme="minorHAnsi"/>
          <w:b/>
          <w:color w:val="000000"/>
          <w:lang w:eastAsia="en-US"/>
        </w:rPr>
        <w:t>.”</w:t>
      </w:r>
      <w:r w:rsidRPr="00C90AC9">
        <w:rPr>
          <w:rFonts w:eastAsiaTheme="minorHAnsi"/>
          <w:b/>
          <w:color w:val="000000"/>
          <w:lang w:eastAsia="en-US"/>
        </w:rPr>
        <w:t xml:space="preserve"> </w:t>
      </w:r>
      <w:r w:rsidR="00FF15E5" w:rsidRPr="00C90AC9">
        <w:rPr>
          <w:rFonts w:eastAsiaTheme="minorHAnsi"/>
          <w:b/>
          <w:color w:val="000000"/>
          <w:lang w:eastAsia="en-US"/>
        </w:rPr>
        <w:t>academic</w:t>
      </w:r>
      <w:r w:rsidR="00A16B8C" w:rsidRPr="00C90AC9">
        <w:rPr>
          <w:rFonts w:eastAsiaTheme="minorHAnsi"/>
          <w:b/>
          <w:color w:val="000000"/>
          <w:lang w:eastAsia="en-US"/>
        </w:rPr>
        <w:t xml:space="preserve"> (2015)</w:t>
      </w:r>
    </w:p>
    <w:p w:rsidR="00A16B8C" w:rsidRPr="00C90AC9" w:rsidRDefault="00A16B8C" w:rsidP="008D2795">
      <w:pPr>
        <w:pStyle w:val="ListContinue2"/>
        <w:spacing w:line="360" w:lineRule="auto"/>
        <w:ind w:left="0"/>
        <w:rPr>
          <w:rFonts w:eastAsiaTheme="minorHAnsi"/>
          <w:lang w:eastAsia="en-US"/>
        </w:rPr>
      </w:pPr>
      <w:r w:rsidRPr="00C90AC9">
        <w:rPr>
          <w:rFonts w:eastAsiaTheme="minorHAnsi"/>
          <w:lang w:eastAsia="en-US"/>
        </w:rPr>
        <w:t xml:space="preserve">It was perceived that for STP technology to be widely adopted there needs to be government assistance to residents in the UK, possibly in the form of grants to assist with the capital costs associated adopting this technology. The </w:t>
      </w:r>
      <w:r w:rsidR="00E82522" w:rsidRPr="00C90AC9">
        <w:rPr>
          <w:rFonts w:eastAsiaTheme="minorHAnsi"/>
          <w:lang w:eastAsia="en-US"/>
        </w:rPr>
        <w:t>main</w:t>
      </w:r>
      <w:r w:rsidRPr="00C90AC9">
        <w:rPr>
          <w:rFonts w:eastAsiaTheme="minorHAnsi"/>
          <w:lang w:eastAsia="en-US"/>
        </w:rPr>
        <w:t xml:space="preserve"> actors in both </w:t>
      </w:r>
      <w:r w:rsidR="007513A1" w:rsidRPr="00C90AC9">
        <w:rPr>
          <w:rFonts w:eastAsiaTheme="minorHAnsi"/>
          <w:lang w:eastAsia="en-US"/>
        </w:rPr>
        <w:t xml:space="preserve">years </w:t>
      </w:r>
      <w:r w:rsidRPr="00C90AC9">
        <w:rPr>
          <w:rFonts w:eastAsiaTheme="minorHAnsi"/>
          <w:lang w:eastAsia="en-US"/>
        </w:rPr>
        <w:t xml:space="preserve">were unsure about how developed and advanced government </w:t>
      </w:r>
      <w:r w:rsidR="007513A1" w:rsidRPr="00C90AC9">
        <w:rPr>
          <w:rFonts w:eastAsiaTheme="minorHAnsi"/>
          <w:lang w:eastAsia="en-US"/>
        </w:rPr>
        <w:t>led</w:t>
      </w:r>
      <w:r w:rsidRPr="00C90AC9">
        <w:rPr>
          <w:rFonts w:eastAsiaTheme="minorHAnsi"/>
          <w:lang w:eastAsia="en-US"/>
        </w:rPr>
        <w:t xml:space="preserve"> initiatives such as the Green Deal are. This was again leading to misinformation and a lack of trust existing </w:t>
      </w:r>
      <w:r w:rsidR="00053CC2" w:rsidRPr="00C90AC9">
        <w:rPr>
          <w:rFonts w:eastAsiaTheme="minorHAnsi"/>
          <w:lang w:eastAsia="en-US"/>
        </w:rPr>
        <w:t xml:space="preserve">between the </w:t>
      </w:r>
      <w:r w:rsidR="00E82522" w:rsidRPr="00C90AC9">
        <w:rPr>
          <w:rFonts w:eastAsiaTheme="minorHAnsi"/>
          <w:lang w:eastAsia="en-US"/>
        </w:rPr>
        <w:t>main</w:t>
      </w:r>
      <w:r w:rsidR="00053CC2" w:rsidRPr="00C90AC9">
        <w:rPr>
          <w:rFonts w:eastAsiaTheme="minorHAnsi"/>
          <w:lang w:eastAsia="en-US"/>
        </w:rPr>
        <w:t xml:space="preserve"> actors and consumers</w:t>
      </w:r>
      <w:r w:rsidRPr="00C90AC9">
        <w:rPr>
          <w:rFonts w:eastAsiaTheme="minorHAnsi"/>
          <w:lang w:eastAsia="en-US"/>
        </w:rPr>
        <w:t xml:space="preserve">, which was </w:t>
      </w:r>
      <w:r w:rsidR="00053CC2" w:rsidRPr="00C90AC9">
        <w:rPr>
          <w:rFonts w:eastAsiaTheme="minorHAnsi"/>
          <w:lang w:eastAsia="en-US"/>
        </w:rPr>
        <w:t xml:space="preserve">perceived </w:t>
      </w:r>
      <w:r w:rsidRPr="00C90AC9">
        <w:rPr>
          <w:rFonts w:eastAsiaTheme="minorHAnsi"/>
          <w:lang w:eastAsia="en-US"/>
        </w:rPr>
        <w:t xml:space="preserve">hindering widespread adoption of the technology. </w:t>
      </w:r>
    </w:p>
    <w:p w:rsidR="008D2795" w:rsidRPr="00C90AC9" w:rsidRDefault="00A16B8C" w:rsidP="008D2795">
      <w:pPr>
        <w:pStyle w:val="ListContinue2"/>
        <w:spacing w:line="360" w:lineRule="auto"/>
        <w:ind w:left="0"/>
        <w:rPr>
          <w:rFonts w:eastAsiaTheme="minorHAnsi"/>
          <w:b/>
          <w:i/>
          <w:lang w:eastAsia="en-US"/>
        </w:rPr>
      </w:pPr>
      <w:r w:rsidRPr="00C90AC9">
        <w:rPr>
          <w:rFonts w:eastAsiaTheme="minorHAnsi"/>
          <w:lang w:eastAsia="en-US"/>
        </w:rPr>
        <w:t xml:space="preserve">A number of </w:t>
      </w:r>
      <w:r w:rsidR="00E82522" w:rsidRPr="00C90AC9">
        <w:rPr>
          <w:rFonts w:eastAsiaTheme="minorHAnsi"/>
          <w:lang w:eastAsia="en-US"/>
        </w:rPr>
        <w:t>main</w:t>
      </w:r>
      <w:r w:rsidR="00053CC2" w:rsidRPr="00C90AC9">
        <w:rPr>
          <w:rFonts w:eastAsiaTheme="minorHAnsi"/>
          <w:lang w:eastAsia="en-US"/>
        </w:rPr>
        <w:t xml:space="preserve"> the </w:t>
      </w:r>
      <w:r w:rsidRPr="00C90AC9">
        <w:rPr>
          <w:rFonts w:eastAsiaTheme="minorHAnsi"/>
          <w:lang w:eastAsia="en-US"/>
        </w:rPr>
        <w:t xml:space="preserve">actors remarked that potential consumers of </w:t>
      </w:r>
      <w:r w:rsidR="006518C0" w:rsidRPr="00C90AC9">
        <w:rPr>
          <w:rFonts w:eastAsiaTheme="minorHAnsi"/>
          <w:lang w:eastAsia="en-US"/>
        </w:rPr>
        <w:t>STPs</w:t>
      </w:r>
      <w:r w:rsidRPr="00C90AC9">
        <w:rPr>
          <w:rFonts w:eastAsiaTheme="minorHAnsi"/>
          <w:lang w:eastAsia="en-US"/>
        </w:rPr>
        <w:t xml:space="preserve"> could approach them as a source of information when deciding on whether to adopt the technology. As potential sources of information for consumers about STP technology various </w:t>
      </w:r>
      <w:r w:rsidR="00E82522" w:rsidRPr="00C90AC9">
        <w:rPr>
          <w:rFonts w:eastAsiaTheme="minorHAnsi"/>
          <w:lang w:eastAsia="en-US"/>
        </w:rPr>
        <w:t>main</w:t>
      </w:r>
      <w:r w:rsidRPr="00C90AC9">
        <w:rPr>
          <w:rFonts w:eastAsiaTheme="minorHAnsi"/>
          <w:lang w:eastAsia="en-US"/>
        </w:rPr>
        <w:t xml:space="preserve"> actors highlighted some potential problems within their “category” of </w:t>
      </w:r>
      <w:r w:rsidR="00E82522" w:rsidRPr="00C90AC9">
        <w:rPr>
          <w:rFonts w:eastAsiaTheme="minorHAnsi"/>
          <w:lang w:eastAsia="en-US"/>
        </w:rPr>
        <w:t>main</w:t>
      </w:r>
      <w:r w:rsidRPr="00C90AC9">
        <w:rPr>
          <w:rFonts w:eastAsiaTheme="minorHAnsi"/>
          <w:lang w:eastAsia="en-US"/>
        </w:rPr>
        <w:t xml:space="preserve"> actors. Examples of these problems that the </w:t>
      </w:r>
      <w:r w:rsidR="00E82522" w:rsidRPr="00C90AC9">
        <w:rPr>
          <w:rFonts w:eastAsiaTheme="minorHAnsi"/>
          <w:lang w:eastAsia="en-US"/>
        </w:rPr>
        <w:t>main</w:t>
      </w:r>
      <w:r w:rsidRPr="00C90AC9">
        <w:rPr>
          <w:rFonts w:eastAsiaTheme="minorHAnsi"/>
          <w:lang w:eastAsia="en-US"/>
        </w:rPr>
        <w:t xml:space="preserve"> actors saw in their o</w:t>
      </w:r>
      <w:r w:rsidR="00053CC2" w:rsidRPr="00C90AC9">
        <w:rPr>
          <w:rFonts w:eastAsiaTheme="minorHAnsi"/>
          <w:lang w:eastAsia="en-US"/>
        </w:rPr>
        <w:t>wn category of specialist area:</w:t>
      </w:r>
      <w:r w:rsidRPr="00C90AC9">
        <w:rPr>
          <w:rFonts w:eastAsiaTheme="minorHAnsi"/>
          <w:b/>
          <w:i/>
          <w:lang w:eastAsia="en-US"/>
        </w:rPr>
        <w:t xml:space="preserve"> </w:t>
      </w:r>
    </w:p>
    <w:p w:rsidR="008D2795" w:rsidRPr="00C90AC9" w:rsidRDefault="00A16B8C" w:rsidP="008D2795">
      <w:pPr>
        <w:pStyle w:val="ListContinue2"/>
        <w:spacing w:line="360" w:lineRule="auto"/>
        <w:ind w:left="0"/>
        <w:rPr>
          <w:rFonts w:eastAsiaTheme="minorHAnsi"/>
          <w:b/>
          <w:lang w:eastAsia="en-US"/>
        </w:rPr>
      </w:pPr>
      <w:r w:rsidRPr="00C90AC9">
        <w:rPr>
          <w:rFonts w:eastAsiaTheme="minorHAnsi"/>
          <w:b/>
          <w:lang w:eastAsia="en-US"/>
        </w:rPr>
        <w:t>“</w:t>
      </w:r>
      <w:proofErr w:type="gramStart"/>
      <w:r w:rsidRPr="00C90AC9">
        <w:rPr>
          <w:rFonts w:eastAsiaTheme="minorHAnsi"/>
          <w:b/>
          <w:lang w:eastAsia="en-US"/>
        </w:rPr>
        <w:t>Generally</w:t>
      </w:r>
      <w:proofErr w:type="gramEnd"/>
      <w:r w:rsidRPr="00C90AC9">
        <w:rPr>
          <w:rFonts w:eastAsiaTheme="minorHAnsi"/>
          <w:b/>
          <w:lang w:eastAsia="en-US"/>
        </w:rPr>
        <w:t xml:space="preserve"> the real issue is a lack of awareness and understanding of what the technology is and how councillors can have a positive role over it.”</w:t>
      </w:r>
      <w:r w:rsidR="00053CC2" w:rsidRPr="00C90AC9">
        <w:rPr>
          <w:rFonts w:eastAsiaTheme="minorHAnsi"/>
          <w:b/>
          <w:lang w:eastAsia="en-US"/>
        </w:rPr>
        <w:t xml:space="preserve"> </w:t>
      </w:r>
      <w:r w:rsidR="00FF15E5" w:rsidRPr="00C90AC9">
        <w:rPr>
          <w:rFonts w:eastAsiaTheme="minorHAnsi"/>
          <w:b/>
          <w:lang w:eastAsia="en-US"/>
        </w:rPr>
        <w:t>politician</w:t>
      </w:r>
      <w:r w:rsidR="006947D9" w:rsidRPr="00C90AC9">
        <w:rPr>
          <w:rFonts w:eastAsiaTheme="minorHAnsi"/>
          <w:b/>
          <w:lang w:eastAsia="en-US"/>
        </w:rPr>
        <w:t xml:space="preserve"> </w:t>
      </w:r>
      <w:r w:rsidR="0047560E" w:rsidRPr="00C90AC9">
        <w:rPr>
          <w:rFonts w:eastAsiaTheme="minorHAnsi"/>
          <w:b/>
          <w:lang w:eastAsia="en-US"/>
        </w:rPr>
        <w:t>(</w:t>
      </w:r>
      <w:r w:rsidR="006947D9" w:rsidRPr="00C90AC9">
        <w:rPr>
          <w:rFonts w:eastAsiaTheme="minorHAnsi"/>
          <w:b/>
          <w:lang w:eastAsia="en-US"/>
        </w:rPr>
        <w:t>2012)</w:t>
      </w:r>
    </w:p>
    <w:p w:rsidR="00F0783D" w:rsidRPr="00C90AC9" w:rsidRDefault="00A16B8C" w:rsidP="006947D9">
      <w:pPr>
        <w:pStyle w:val="ListContinue2"/>
        <w:spacing w:line="360" w:lineRule="auto"/>
        <w:ind w:left="0"/>
        <w:rPr>
          <w:rFonts w:eastAsiaTheme="majorEastAsia"/>
          <w:lang w:eastAsia="en-US"/>
        </w:rPr>
      </w:pPr>
      <w:r w:rsidRPr="00C90AC9">
        <w:rPr>
          <w:rFonts w:eastAsiaTheme="majorEastAsia"/>
          <w:lang w:eastAsia="en-US"/>
        </w:rPr>
        <w:t>Misinformation about STP technology was seen as not only being a limiting factor in the adoption of the technology and was also perceived as being a significant factor which affects consumer acceptance of the techno</w:t>
      </w:r>
      <w:r w:rsidR="006947D9" w:rsidRPr="00C90AC9">
        <w:rPr>
          <w:rFonts w:eastAsiaTheme="majorEastAsia"/>
          <w:lang w:eastAsia="en-US"/>
        </w:rPr>
        <w:t xml:space="preserve">logy once it has been adopted. </w:t>
      </w:r>
    </w:p>
    <w:p w:rsidR="008D2795" w:rsidRPr="00C90AC9" w:rsidRDefault="00A16B8C" w:rsidP="008D2795">
      <w:pPr>
        <w:pStyle w:val="ListContinue2"/>
        <w:spacing w:line="360" w:lineRule="auto"/>
        <w:ind w:left="0"/>
        <w:rPr>
          <w:rFonts w:eastAsiaTheme="majorEastAsia"/>
          <w:lang w:eastAsia="en-US"/>
        </w:rPr>
      </w:pPr>
      <w:r w:rsidRPr="00C90AC9">
        <w:rPr>
          <w:rFonts w:eastAsiaTheme="majorEastAsia"/>
          <w:lang w:eastAsia="en-US"/>
        </w:rPr>
        <w:t xml:space="preserve">Whilst the </w:t>
      </w:r>
      <w:r w:rsidR="00E82522" w:rsidRPr="00C90AC9">
        <w:rPr>
          <w:rFonts w:eastAsiaTheme="majorEastAsia"/>
          <w:lang w:eastAsia="en-US"/>
        </w:rPr>
        <w:t>main</w:t>
      </w:r>
      <w:r w:rsidRPr="00C90AC9">
        <w:rPr>
          <w:rFonts w:eastAsiaTheme="majorEastAsia"/>
          <w:lang w:eastAsia="en-US"/>
        </w:rPr>
        <w:t xml:space="preserve"> actors within the STP market could see the benefits (PU) of having </w:t>
      </w:r>
      <w:r w:rsidR="006518C0" w:rsidRPr="00C90AC9">
        <w:rPr>
          <w:rFonts w:eastAsiaTheme="majorEastAsia"/>
          <w:lang w:eastAsia="en-US"/>
        </w:rPr>
        <w:t>STPs</w:t>
      </w:r>
      <w:r w:rsidRPr="00C90AC9">
        <w:rPr>
          <w:rFonts w:eastAsiaTheme="majorEastAsia"/>
          <w:lang w:eastAsia="en-US"/>
        </w:rPr>
        <w:t xml:space="preserve"> installed on their own homes only two participants actually had them installed on their property. A reduction in energy costs was the reason offered for having them installed as well as the fact that it is utilising a renewable resource.</w:t>
      </w:r>
    </w:p>
    <w:p w:rsidR="00A16B8C" w:rsidRPr="00C90AC9" w:rsidRDefault="00A16B8C" w:rsidP="008D2795">
      <w:pPr>
        <w:pStyle w:val="BodyText"/>
        <w:spacing w:line="360" w:lineRule="auto"/>
        <w:rPr>
          <w:rFonts w:eastAsiaTheme="minorHAnsi"/>
          <w:b/>
          <w:lang w:eastAsia="en-US"/>
        </w:rPr>
      </w:pPr>
      <w:r w:rsidRPr="00C90AC9">
        <w:rPr>
          <w:rFonts w:eastAsiaTheme="minorHAnsi"/>
          <w:b/>
          <w:lang w:eastAsia="en-US"/>
        </w:rPr>
        <w:t xml:space="preserve">Q; “What have you seen as the </w:t>
      </w:r>
      <w:r w:rsidR="00E82522" w:rsidRPr="00C90AC9">
        <w:rPr>
          <w:rFonts w:eastAsiaTheme="minorHAnsi"/>
          <w:b/>
          <w:lang w:eastAsia="en-US"/>
        </w:rPr>
        <w:t>main</w:t>
      </w:r>
      <w:r w:rsidRPr="00C90AC9">
        <w:rPr>
          <w:rFonts w:eastAsiaTheme="minorHAnsi"/>
          <w:b/>
          <w:lang w:eastAsia="en-US"/>
        </w:rPr>
        <w:t xml:space="preserve"> benefit of having them?”</w:t>
      </w:r>
    </w:p>
    <w:p w:rsidR="00A16B8C" w:rsidRPr="00C90AC9" w:rsidRDefault="00A16B8C" w:rsidP="008D2795">
      <w:pPr>
        <w:pStyle w:val="BodyText"/>
        <w:spacing w:line="360" w:lineRule="auto"/>
        <w:rPr>
          <w:rFonts w:eastAsiaTheme="minorHAnsi"/>
          <w:b/>
          <w:lang w:eastAsia="en-US"/>
        </w:rPr>
      </w:pPr>
      <w:r w:rsidRPr="00C90AC9">
        <w:rPr>
          <w:rFonts w:eastAsiaTheme="minorHAnsi"/>
          <w:b/>
          <w:lang w:eastAsia="en-US"/>
        </w:rPr>
        <w:t xml:space="preserve">A: “Turning the gas boiler off in the summer is the principle one.  We’ve got a display in the kitchen so it’s pretty useful to see how much energy is being produced in an amount of time; it keeps you in touch with the </w:t>
      </w:r>
      <w:r w:rsidR="000450FC" w:rsidRPr="00C90AC9">
        <w:rPr>
          <w:rFonts w:eastAsiaTheme="minorHAnsi"/>
          <w:b/>
          <w:lang w:eastAsia="en-US"/>
        </w:rPr>
        <w:t>sun</w:t>
      </w:r>
      <w:r w:rsidR="00012484" w:rsidRPr="00C90AC9">
        <w:rPr>
          <w:rFonts w:eastAsiaTheme="minorHAnsi"/>
          <w:b/>
          <w:lang w:eastAsia="en-US"/>
        </w:rPr>
        <w:t xml:space="preserve">.”   </w:t>
      </w:r>
      <w:r w:rsidR="00FF15E5" w:rsidRPr="00C90AC9">
        <w:rPr>
          <w:rFonts w:eastAsiaTheme="minorHAnsi"/>
          <w:b/>
          <w:lang w:eastAsia="en-US"/>
        </w:rPr>
        <w:t>academic</w:t>
      </w:r>
      <w:r w:rsidRPr="00C90AC9">
        <w:rPr>
          <w:rFonts w:eastAsiaTheme="minorHAnsi"/>
          <w:b/>
          <w:lang w:eastAsia="en-US"/>
        </w:rPr>
        <w:t xml:space="preserve"> </w:t>
      </w:r>
      <w:r w:rsidR="0047560E" w:rsidRPr="00C90AC9">
        <w:rPr>
          <w:rFonts w:eastAsiaTheme="minorHAnsi"/>
          <w:b/>
          <w:lang w:eastAsia="en-US"/>
        </w:rPr>
        <w:t>(</w:t>
      </w:r>
      <w:r w:rsidRPr="00C90AC9">
        <w:rPr>
          <w:rFonts w:eastAsiaTheme="minorHAnsi"/>
          <w:b/>
          <w:lang w:eastAsia="en-US"/>
        </w:rPr>
        <w:t>2012)</w:t>
      </w:r>
    </w:p>
    <w:p w:rsidR="00A16B8C" w:rsidRPr="00C90AC9" w:rsidRDefault="00A16B8C" w:rsidP="00012484">
      <w:pPr>
        <w:pStyle w:val="BodyText"/>
        <w:spacing w:line="360" w:lineRule="auto"/>
        <w:rPr>
          <w:rFonts w:eastAsiaTheme="majorEastAsia"/>
          <w:lang w:eastAsia="en-US"/>
        </w:rPr>
      </w:pPr>
      <w:r w:rsidRPr="00C90AC9">
        <w:rPr>
          <w:rFonts w:eastAsiaTheme="majorEastAsia"/>
          <w:lang w:eastAsia="en-US"/>
        </w:rPr>
        <w:t xml:space="preserve">The </w:t>
      </w:r>
      <w:r w:rsidR="00E82522" w:rsidRPr="00C90AC9">
        <w:rPr>
          <w:rFonts w:eastAsiaTheme="majorEastAsia"/>
          <w:lang w:eastAsia="en-US"/>
        </w:rPr>
        <w:t>main</w:t>
      </w:r>
      <w:r w:rsidRPr="00C90AC9">
        <w:rPr>
          <w:rFonts w:eastAsiaTheme="majorEastAsia"/>
          <w:lang w:eastAsia="en-US"/>
        </w:rPr>
        <w:t xml:space="preserve"> reason that was given for not adopting </w:t>
      </w:r>
      <w:r w:rsidR="006518C0" w:rsidRPr="00C90AC9">
        <w:rPr>
          <w:rFonts w:eastAsiaTheme="majorEastAsia"/>
          <w:lang w:eastAsia="en-US"/>
        </w:rPr>
        <w:t>STPs</w:t>
      </w:r>
      <w:r w:rsidRPr="00C90AC9">
        <w:rPr>
          <w:rFonts w:eastAsiaTheme="majorEastAsia"/>
          <w:lang w:eastAsia="en-US"/>
        </w:rPr>
        <w:t xml:space="preserve">, even though the utility of </w:t>
      </w:r>
      <w:r w:rsidR="006518C0" w:rsidRPr="00C90AC9">
        <w:rPr>
          <w:rFonts w:eastAsiaTheme="majorEastAsia"/>
          <w:lang w:eastAsia="en-US"/>
        </w:rPr>
        <w:t>STPs</w:t>
      </w:r>
      <w:r w:rsidRPr="00C90AC9">
        <w:rPr>
          <w:rFonts w:eastAsiaTheme="majorEastAsia"/>
          <w:lang w:eastAsia="en-US"/>
        </w:rPr>
        <w:t xml:space="preserve"> was appreciated was the capital costs and the long payback period. It was clear that the </w:t>
      </w:r>
      <w:r w:rsidR="00E82522" w:rsidRPr="00C90AC9">
        <w:rPr>
          <w:rFonts w:eastAsiaTheme="majorEastAsia"/>
          <w:lang w:eastAsia="en-US"/>
        </w:rPr>
        <w:t>main</w:t>
      </w:r>
      <w:r w:rsidRPr="00C90AC9">
        <w:rPr>
          <w:rFonts w:eastAsiaTheme="majorEastAsia"/>
          <w:lang w:eastAsia="en-US"/>
        </w:rPr>
        <w:t xml:space="preserve"> actors had a trade-off made between the Perceived Ease of Use (PEOU) of </w:t>
      </w:r>
      <w:r w:rsidR="006518C0" w:rsidRPr="00C90AC9">
        <w:rPr>
          <w:rFonts w:eastAsiaTheme="majorEastAsia"/>
          <w:lang w:eastAsia="en-US"/>
        </w:rPr>
        <w:t>STPs</w:t>
      </w:r>
      <w:r w:rsidRPr="00C90AC9">
        <w:rPr>
          <w:rFonts w:eastAsiaTheme="majorEastAsia"/>
          <w:lang w:eastAsia="en-US"/>
        </w:rPr>
        <w:t xml:space="preserve"> and the Perceived </w:t>
      </w:r>
      <w:r w:rsidRPr="00C90AC9">
        <w:rPr>
          <w:rFonts w:eastAsiaTheme="majorEastAsia"/>
          <w:lang w:eastAsia="en-US"/>
        </w:rPr>
        <w:lastRenderedPageBreak/>
        <w:t>Usefulness (PU)) of having the technology. The</w:t>
      </w:r>
      <w:r w:rsidR="00505A85" w:rsidRPr="00C90AC9">
        <w:rPr>
          <w:rFonts w:eastAsiaTheme="majorEastAsia"/>
          <w:lang w:eastAsia="en-US"/>
        </w:rPr>
        <w:t>re was a</w:t>
      </w:r>
      <w:r w:rsidRPr="00C90AC9">
        <w:rPr>
          <w:rFonts w:eastAsiaTheme="majorEastAsia"/>
          <w:lang w:eastAsia="en-US"/>
        </w:rPr>
        <w:t xml:space="preserve"> </w:t>
      </w:r>
      <w:r w:rsidR="004524CB" w:rsidRPr="00C90AC9">
        <w:rPr>
          <w:rFonts w:eastAsiaTheme="majorEastAsia"/>
          <w:lang w:eastAsia="en-US"/>
        </w:rPr>
        <w:t xml:space="preserve">perceived </w:t>
      </w:r>
      <w:r w:rsidRPr="00C90AC9">
        <w:rPr>
          <w:rFonts w:eastAsiaTheme="majorEastAsia"/>
          <w:lang w:eastAsia="en-US"/>
        </w:rPr>
        <w:t>lack of a</w:t>
      </w:r>
      <w:r w:rsidR="00505A85" w:rsidRPr="00C90AC9">
        <w:rPr>
          <w:rFonts w:eastAsiaTheme="majorEastAsia"/>
          <w:lang w:eastAsia="en-US"/>
        </w:rPr>
        <w:t xml:space="preserve">n incentive </w:t>
      </w:r>
      <w:r w:rsidRPr="00C90AC9">
        <w:rPr>
          <w:rFonts w:eastAsiaTheme="majorEastAsia"/>
          <w:lang w:eastAsia="en-US"/>
        </w:rPr>
        <w:t xml:space="preserve">similar to the Feed </w:t>
      </w:r>
      <w:proofErr w:type="gramStart"/>
      <w:r w:rsidRPr="00C90AC9">
        <w:rPr>
          <w:rFonts w:eastAsiaTheme="majorEastAsia"/>
          <w:lang w:eastAsia="en-US"/>
        </w:rPr>
        <w:t>In</w:t>
      </w:r>
      <w:proofErr w:type="gramEnd"/>
      <w:r w:rsidRPr="00C90AC9">
        <w:rPr>
          <w:rFonts w:eastAsiaTheme="majorEastAsia"/>
          <w:lang w:eastAsia="en-US"/>
        </w:rPr>
        <w:t xml:space="preserve"> Tariff</w:t>
      </w:r>
      <w:r w:rsidR="004524CB" w:rsidRPr="00C90AC9">
        <w:rPr>
          <w:rFonts w:eastAsiaTheme="majorEastAsia"/>
          <w:lang w:eastAsia="en-US"/>
        </w:rPr>
        <w:t xml:space="preserve"> (FIT)</w:t>
      </w:r>
      <w:r w:rsidR="00505A85" w:rsidRPr="00C90AC9">
        <w:rPr>
          <w:rFonts w:eastAsiaTheme="majorEastAsia"/>
          <w:lang w:eastAsia="en-US"/>
        </w:rPr>
        <w:t xml:space="preserve"> and participants were concerned about the payback period of </w:t>
      </w:r>
      <w:r w:rsidR="006518C0" w:rsidRPr="00C90AC9">
        <w:rPr>
          <w:rFonts w:eastAsiaTheme="majorEastAsia"/>
          <w:lang w:eastAsia="en-US"/>
        </w:rPr>
        <w:t>STPs</w:t>
      </w:r>
      <w:r w:rsidR="00505A85" w:rsidRPr="00C90AC9">
        <w:rPr>
          <w:rFonts w:eastAsiaTheme="majorEastAsia"/>
          <w:lang w:eastAsia="en-US"/>
        </w:rPr>
        <w:t xml:space="preserve"> and the overall utility of the panels</w:t>
      </w:r>
      <w:r w:rsidRPr="00C90AC9">
        <w:rPr>
          <w:rFonts w:eastAsiaTheme="majorEastAsia"/>
          <w:lang w:eastAsia="en-US"/>
        </w:rPr>
        <w:t>. The corresponding Perceived Ease of Use (PEOU) was the significant disruption installing the panels on a property would have on the residents as well as potential problems that may be created in the winter if the pipes used in the STP equipment with water flowing through them froze damaging the equipment.</w:t>
      </w:r>
    </w:p>
    <w:p w:rsidR="00A16B8C" w:rsidRPr="00C90AC9" w:rsidRDefault="00A16B8C" w:rsidP="00012484">
      <w:pPr>
        <w:pStyle w:val="BodyText"/>
        <w:spacing w:line="360" w:lineRule="auto"/>
        <w:rPr>
          <w:rFonts w:eastAsiaTheme="majorEastAsia"/>
          <w:lang w:eastAsia="en-US"/>
        </w:rPr>
      </w:pPr>
      <w:r w:rsidRPr="00C90AC9">
        <w:rPr>
          <w:rFonts w:eastAsiaTheme="majorEastAsia"/>
          <w:lang w:eastAsia="en-US"/>
        </w:rPr>
        <w:t xml:space="preserve">Financial issues were raised a number of times which was interesting for a number of reasons. Firstly, as has been mentioned previously, only two of the </w:t>
      </w:r>
      <w:r w:rsidR="00E82522" w:rsidRPr="00C90AC9">
        <w:rPr>
          <w:rFonts w:eastAsiaTheme="majorEastAsia"/>
          <w:lang w:eastAsia="en-US"/>
        </w:rPr>
        <w:t>main</w:t>
      </w:r>
      <w:r w:rsidRPr="00C90AC9">
        <w:rPr>
          <w:rFonts w:eastAsiaTheme="majorEastAsia"/>
          <w:lang w:eastAsia="en-US"/>
        </w:rPr>
        <w:t xml:space="preserve"> actors have adopted </w:t>
      </w:r>
      <w:r w:rsidR="006518C0" w:rsidRPr="00C90AC9">
        <w:rPr>
          <w:rFonts w:eastAsiaTheme="majorEastAsia"/>
          <w:lang w:eastAsia="en-US"/>
        </w:rPr>
        <w:t>STPs</w:t>
      </w:r>
      <w:r w:rsidRPr="00C90AC9">
        <w:rPr>
          <w:rFonts w:eastAsiaTheme="majorEastAsia"/>
          <w:lang w:eastAsia="en-US"/>
        </w:rPr>
        <w:t xml:space="preserve"> on their home and so any costs and benefits, including any financial benefits, would not be experienced by the </w:t>
      </w:r>
      <w:r w:rsidR="00E82522" w:rsidRPr="00C90AC9">
        <w:rPr>
          <w:rFonts w:eastAsiaTheme="majorEastAsia"/>
          <w:lang w:eastAsia="en-US"/>
        </w:rPr>
        <w:t>main</w:t>
      </w:r>
      <w:r w:rsidRPr="00C90AC9">
        <w:rPr>
          <w:rFonts w:eastAsiaTheme="majorEastAsia"/>
          <w:lang w:eastAsia="en-US"/>
        </w:rPr>
        <w:t xml:space="preserve"> actors directly. They were more likely to hear about the costs (including the financial costs) second hand which should be considered when thinking about the transferability of the data to larger populations. Additionally, it was made clear in a number of the semi-structured interviews that a low financial return was a reason that the participants hadn’t invested in the technology. The </w:t>
      </w:r>
      <w:r w:rsidR="00E82522" w:rsidRPr="00C90AC9">
        <w:rPr>
          <w:rFonts w:eastAsiaTheme="majorEastAsia"/>
          <w:lang w:eastAsia="en-US"/>
        </w:rPr>
        <w:t>main</w:t>
      </w:r>
      <w:r w:rsidRPr="00C90AC9">
        <w:rPr>
          <w:rFonts w:eastAsiaTheme="majorEastAsia"/>
          <w:lang w:eastAsia="en-US"/>
        </w:rPr>
        <w:t xml:space="preserve"> actors had assessed the financial returns against the capital outlay and the low rate of return had stopped them from adopting the technology. This was of particular note as the </w:t>
      </w:r>
      <w:r w:rsidR="00E82522" w:rsidRPr="00C90AC9">
        <w:rPr>
          <w:rFonts w:eastAsiaTheme="majorEastAsia"/>
          <w:lang w:eastAsia="en-US"/>
        </w:rPr>
        <w:t>main</w:t>
      </w:r>
      <w:r w:rsidRPr="00C90AC9">
        <w:rPr>
          <w:rFonts w:eastAsiaTheme="majorEastAsia"/>
          <w:lang w:eastAsia="en-US"/>
        </w:rPr>
        <w:t xml:space="preserve"> actors in the STP market have a deeper understanding of the costs and benefits of adopting </w:t>
      </w:r>
      <w:r w:rsidR="006518C0" w:rsidRPr="00C90AC9">
        <w:rPr>
          <w:rFonts w:eastAsiaTheme="majorEastAsia"/>
          <w:lang w:eastAsia="en-US"/>
        </w:rPr>
        <w:t>STPs</w:t>
      </w:r>
      <w:r w:rsidR="009715C7" w:rsidRPr="00C90AC9">
        <w:rPr>
          <w:rFonts w:eastAsiaTheme="majorEastAsia"/>
          <w:lang w:eastAsia="en-US"/>
        </w:rPr>
        <w:t>:</w:t>
      </w:r>
    </w:p>
    <w:p w:rsidR="00A16B8C" w:rsidRPr="00C90AC9" w:rsidRDefault="00A16B8C" w:rsidP="00B06779">
      <w:pPr>
        <w:pStyle w:val="BodyText"/>
        <w:rPr>
          <w:rFonts w:eastAsiaTheme="minorHAnsi"/>
          <w:b/>
          <w:lang w:eastAsia="en-US"/>
        </w:rPr>
      </w:pPr>
      <w:r w:rsidRPr="00C90AC9">
        <w:rPr>
          <w:rFonts w:eastAsiaTheme="minorHAnsi"/>
          <w:b/>
          <w:lang w:eastAsia="en-US"/>
        </w:rPr>
        <w:t>Q: “You’ve not been inclined to invest?”</w:t>
      </w:r>
    </w:p>
    <w:p w:rsidR="009715C7" w:rsidRPr="00C90AC9" w:rsidRDefault="00A16B8C" w:rsidP="006947D9">
      <w:pPr>
        <w:pStyle w:val="BodyText"/>
        <w:spacing w:line="360" w:lineRule="auto"/>
        <w:rPr>
          <w:rFonts w:eastAsiaTheme="minorHAnsi" w:cs="Times New Roman"/>
          <w:b/>
        </w:rPr>
      </w:pPr>
      <w:r w:rsidRPr="00C90AC9">
        <w:rPr>
          <w:rFonts w:eastAsiaTheme="minorHAnsi"/>
          <w:b/>
          <w:lang w:eastAsia="en-US"/>
        </w:rPr>
        <w:t>A: “No. The solar PV was a much better return. Solar thermal could happen in the future, but it’s not on the horizon at the moment.”</w:t>
      </w:r>
      <w:r w:rsidR="0070678B" w:rsidRPr="00C90AC9">
        <w:rPr>
          <w:rFonts w:eastAsiaTheme="minorHAnsi"/>
          <w:b/>
          <w:lang w:eastAsia="en-US"/>
        </w:rPr>
        <w:tab/>
      </w:r>
      <w:r w:rsidR="00BF3B73" w:rsidRPr="00C90AC9">
        <w:rPr>
          <w:rFonts w:eastAsiaTheme="minorHAnsi" w:cs="Times New Roman"/>
          <w:b/>
        </w:rPr>
        <w:t>manufacturer</w:t>
      </w:r>
      <w:r w:rsidRPr="00C90AC9">
        <w:rPr>
          <w:rFonts w:eastAsiaTheme="minorHAnsi" w:cs="Times New Roman"/>
          <w:b/>
        </w:rPr>
        <w:t xml:space="preserve"> (2012)</w:t>
      </w:r>
    </w:p>
    <w:p w:rsidR="0070678B" w:rsidRPr="00C90AC9" w:rsidRDefault="00AE79DB" w:rsidP="006947D9">
      <w:pPr>
        <w:pStyle w:val="BodyText"/>
        <w:spacing w:line="360" w:lineRule="auto"/>
        <w:rPr>
          <w:rFonts w:eastAsiaTheme="majorEastAsia"/>
          <w:lang w:eastAsia="en-US"/>
        </w:rPr>
      </w:pPr>
      <w:r w:rsidRPr="00C90AC9">
        <w:rPr>
          <w:rFonts w:eastAsiaTheme="majorEastAsia"/>
          <w:lang w:eastAsia="en-US"/>
        </w:rPr>
        <w:t>The</w:t>
      </w:r>
      <w:r w:rsidR="00A16B8C" w:rsidRPr="00C90AC9">
        <w:rPr>
          <w:rFonts w:eastAsiaTheme="majorEastAsia"/>
          <w:lang w:eastAsia="en-US"/>
        </w:rPr>
        <w:t xml:space="preserve"> previous quote and the next quote</w:t>
      </w:r>
      <w:r w:rsidRPr="00C90AC9">
        <w:rPr>
          <w:rFonts w:eastAsiaTheme="majorEastAsia"/>
          <w:lang w:eastAsia="en-US"/>
        </w:rPr>
        <w:t xml:space="preserve"> highlight that </w:t>
      </w:r>
      <w:r w:rsidR="00A16B8C" w:rsidRPr="00C90AC9">
        <w:rPr>
          <w:rFonts w:eastAsiaTheme="majorEastAsia"/>
          <w:lang w:eastAsia="en-US"/>
        </w:rPr>
        <w:t xml:space="preserve">there was a perceived trade-off between solar PV and solar thermal due to the increased rate of return from having the government Feed-In-Tariff (FIT). </w:t>
      </w:r>
      <w:proofErr w:type="gramStart"/>
      <w:r w:rsidR="00A16B8C" w:rsidRPr="00C90AC9">
        <w:rPr>
          <w:rFonts w:eastAsiaTheme="majorEastAsia"/>
          <w:lang w:eastAsia="en-US"/>
        </w:rPr>
        <w:t>So</w:t>
      </w:r>
      <w:proofErr w:type="gramEnd"/>
      <w:r w:rsidR="00A16B8C" w:rsidRPr="00C90AC9">
        <w:rPr>
          <w:rFonts w:eastAsiaTheme="majorEastAsia"/>
          <w:lang w:eastAsia="en-US"/>
        </w:rPr>
        <w:t xml:space="preserve"> whilst the Perceived Usefulness (PU) of having </w:t>
      </w:r>
      <w:r w:rsidR="006518C0" w:rsidRPr="00C90AC9">
        <w:rPr>
          <w:rFonts w:eastAsiaTheme="majorEastAsia"/>
          <w:lang w:eastAsia="en-US"/>
        </w:rPr>
        <w:t>STPs</w:t>
      </w:r>
      <w:r w:rsidR="00A16B8C" w:rsidRPr="00C90AC9">
        <w:rPr>
          <w:rFonts w:eastAsiaTheme="majorEastAsia"/>
          <w:lang w:eastAsia="en-US"/>
        </w:rPr>
        <w:t xml:space="preserve"> installed on domestic properties was recognised by the </w:t>
      </w:r>
      <w:r w:rsidR="00E82522" w:rsidRPr="00C90AC9">
        <w:rPr>
          <w:rFonts w:eastAsiaTheme="majorEastAsia"/>
          <w:lang w:eastAsia="en-US"/>
        </w:rPr>
        <w:t>main</w:t>
      </w:r>
      <w:r w:rsidR="00A16B8C" w:rsidRPr="00C90AC9">
        <w:rPr>
          <w:rFonts w:eastAsiaTheme="majorEastAsia"/>
          <w:lang w:eastAsia="en-US"/>
        </w:rPr>
        <w:t xml:space="preserve"> actors (that the solar collectors would provide hot water to the residents) they still were conscious of the financial cost of either having the panels installed or the poor rate of return due to there not being a government scheme such as the Feed-In-Tariff attributed to solar thermal.</w:t>
      </w:r>
    </w:p>
    <w:p w:rsidR="00A16B8C" w:rsidRPr="00C90AC9" w:rsidRDefault="00052EB6" w:rsidP="008D2795">
      <w:pPr>
        <w:pStyle w:val="BodyText"/>
        <w:spacing w:line="360" w:lineRule="auto"/>
        <w:rPr>
          <w:rFonts w:eastAsiaTheme="minorHAnsi"/>
          <w:b/>
          <w:lang w:eastAsia="en-US"/>
        </w:rPr>
      </w:pPr>
      <w:r w:rsidRPr="00C90AC9">
        <w:rPr>
          <w:rFonts w:eastAsiaTheme="minorHAnsi"/>
          <w:b/>
          <w:lang w:eastAsia="en-US"/>
        </w:rPr>
        <w:t>Q: “Do you have them (</w:t>
      </w:r>
      <w:r w:rsidR="006518C0" w:rsidRPr="00C90AC9">
        <w:rPr>
          <w:rFonts w:eastAsiaTheme="minorHAnsi"/>
          <w:b/>
          <w:lang w:eastAsia="en-US"/>
        </w:rPr>
        <w:t>STPs</w:t>
      </w:r>
      <w:r w:rsidRPr="00C90AC9">
        <w:rPr>
          <w:rFonts w:eastAsiaTheme="minorHAnsi"/>
          <w:b/>
          <w:lang w:eastAsia="en-US"/>
        </w:rPr>
        <w:t>)</w:t>
      </w:r>
      <w:r w:rsidR="00A16B8C" w:rsidRPr="00C90AC9">
        <w:rPr>
          <w:rFonts w:eastAsiaTheme="minorHAnsi"/>
          <w:b/>
          <w:lang w:eastAsia="en-US"/>
        </w:rPr>
        <w:t xml:space="preserve"> installed on your house?”</w:t>
      </w:r>
    </w:p>
    <w:p w:rsidR="0070678B" w:rsidRPr="00C90AC9" w:rsidRDefault="00A16B8C" w:rsidP="008D2795">
      <w:pPr>
        <w:pStyle w:val="BodyText"/>
        <w:spacing w:line="360" w:lineRule="auto"/>
        <w:rPr>
          <w:rFonts w:eastAsiaTheme="minorHAnsi"/>
          <w:b/>
          <w:lang w:eastAsia="en-US"/>
        </w:rPr>
      </w:pPr>
      <w:r w:rsidRPr="00C90AC9">
        <w:rPr>
          <w:rFonts w:eastAsiaTheme="minorHAnsi"/>
          <w:b/>
          <w:lang w:eastAsia="en-US"/>
        </w:rPr>
        <w:t>A</w:t>
      </w:r>
      <w:proofErr w:type="gramStart"/>
      <w:r w:rsidRPr="00C90AC9">
        <w:rPr>
          <w:rFonts w:eastAsiaTheme="minorHAnsi"/>
          <w:b/>
          <w:lang w:eastAsia="en-US"/>
        </w:rPr>
        <w:t>:”Yes</w:t>
      </w:r>
      <w:proofErr w:type="gramEnd"/>
      <w:r w:rsidRPr="00C90AC9">
        <w:rPr>
          <w:rFonts w:eastAsiaTheme="minorHAnsi"/>
          <w:b/>
          <w:lang w:eastAsia="en-US"/>
        </w:rPr>
        <w:t xml:space="preserve">, on the house that we put it on. You have to choose and obviously, there was the financial incentive to go with the </w:t>
      </w:r>
      <w:r w:rsidR="00B96E0B" w:rsidRPr="00C90AC9">
        <w:rPr>
          <w:rFonts w:eastAsiaTheme="minorHAnsi"/>
          <w:b/>
          <w:lang w:eastAsia="en-US"/>
        </w:rPr>
        <w:t>PV</w:t>
      </w:r>
      <w:r w:rsidRPr="00C90AC9">
        <w:rPr>
          <w:rFonts w:eastAsiaTheme="minorHAnsi"/>
          <w:b/>
          <w:lang w:eastAsia="en-US"/>
        </w:rPr>
        <w:t xml:space="preserve">s.  On top of that, again I haven’t looked into it in huge depth, but the amount of plumbing and disruption work for the photothermal is considerable.  If you need to have a new tank, that’s reasonably expensive and then you’ve </w:t>
      </w:r>
      <w:r w:rsidRPr="00C90AC9">
        <w:rPr>
          <w:rFonts w:eastAsiaTheme="minorHAnsi"/>
          <w:b/>
          <w:lang w:eastAsia="en-US"/>
        </w:rPr>
        <w:lastRenderedPageBreak/>
        <w:t>got to run all the pipes.  Then you’ve got to make sure that what you do in the winter isn’t going to freeze up.  You’ve got to make sure you remember to dra</w:t>
      </w:r>
      <w:r w:rsidR="0070678B" w:rsidRPr="00C90AC9">
        <w:rPr>
          <w:rFonts w:eastAsiaTheme="minorHAnsi"/>
          <w:b/>
          <w:lang w:eastAsia="en-US"/>
        </w:rPr>
        <w:t xml:space="preserve">in them all or whatever else. “ </w:t>
      </w:r>
    </w:p>
    <w:p w:rsidR="00A16B8C" w:rsidRPr="00C90AC9" w:rsidRDefault="00FF15E5" w:rsidP="008D2795">
      <w:pPr>
        <w:pStyle w:val="BodyText"/>
        <w:spacing w:line="360" w:lineRule="auto"/>
        <w:rPr>
          <w:rFonts w:eastAsiaTheme="minorHAnsi"/>
          <w:b/>
          <w:lang w:eastAsia="en-US"/>
        </w:rPr>
      </w:pPr>
      <w:r w:rsidRPr="00C90AC9">
        <w:rPr>
          <w:rFonts w:eastAsiaTheme="minorHAnsi" w:cs="Times New Roman"/>
          <w:b/>
        </w:rPr>
        <w:t>academic</w:t>
      </w:r>
      <w:r w:rsidR="00A16B8C" w:rsidRPr="00C90AC9">
        <w:rPr>
          <w:rFonts w:eastAsiaTheme="minorHAnsi" w:cs="Times New Roman"/>
          <w:b/>
        </w:rPr>
        <w:t xml:space="preserve"> (2012)</w:t>
      </w:r>
    </w:p>
    <w:p w:rsidR="00A16B8C" w:rsidRPr="00C90AC9" w:rsidRDefault="00A16B8C" w:rsidP="00012484">
      <w:pPr>
        <w:pStyle w:val="BodyText"/>
        <w:spacing w:line="360" w:lineRule="auto"/>
        <w:rPr>
          <w:rFonts w:eastAsiaTheme="minorHAnsi"/>
          <w:lang w:eastAsia="en-US"/>
        </w:rPr>
      </w:pPr>
      <w:r w:rsidRPr="00C90AC9">
        <w:rPr>
          <w:rFonts w:eastAsiaTheme="minorHAnsi"/>
          <w:lang w:eastAsia="en-US"/>
        </w:rPr>
        <w:t xml:space="preserve">It was perceived by the </w:t>
      </w:r>
      <w:r w:rsidR="00E82522" w:rsidRPr="00C90AC9">
        <w:rPr>
          <w:rFonts w:eastAsiaTheme="minorHAnsi"/>
          <w:lang w:eastAsia="en-US"/>
        </w:rPr>
        <w:t>main</w:t>
      </w:r>
      <w:r w:rsidRPr="00C90AC9">
        <w:rPr>
          <w:rFonts w:eastAsiaTheme="minorHAnsi"/>
          <w:lang w:eastAsia="en-US"/>
        </w:rPr>
        <w:t xml:space="preserve"> actors </w:t>
      </w:r>
      <w:r w:rsidR="00505A85" w:rsidRPr="00C90AC9">
        <w:rPr>
          <w:rFonts w:eastAsiaTheme="minorHAnsi"/>
          <w:lang w:eastAsia="en-US"/>
        </w:rPr>
        <w:t xml:space="preserve">which were interviewed </w:t>
      </w:r>
      <w:r w:rsidRPr="00C90AC9">
        <w:rPr>
          <w:rFonts w:eastAsiaTheme="minorHAnsi"/>
          <w:lang w:eastAsia="en-US"/>
        </w:rPr>
        <w:t xml:space="preserve">that the benefits seen by the solar </w:t>
      </w:r>
      <w:r w:rsidR="00B96E0B" w:rsidRPr="00C90AC9">
        <w:rPr>
          <w:rFonts w:eastAsiaTheme="minorHAnsi"/>
          <w:lang w:eastAsia="en-US"/>
        </w:rPr>
        <w:t>PV</w:t>
      </w:r>
      <w:r w:rsidRPr="00C90AC9">
        <w:rPr>
          <w:rFonts w:eastAsiaTheme="minorHAnsi"/>
          <w:lang w:eastAsia="en-US"/>
        </w:rPr>
        <w:t xml:space="preserve"> industry due to the Feed</w:t>
      </w:r>
      <w:r w:rsidR="00505A85" w:rsidRPr="00C90AC9">
        <w:rPr>
          <w:rFonts w:eastAsiaTheme="minorHAnsi"/>
          <w:lang w:eastAsia="en-US"/>
        </w:rPr>
        <w:t>-</w:t>
      </w:r>
      <w:r w:rsidRPr="00C90AC9">
        <w:rPr>
          <w:rFonts w:eastAsiaTheme="minorHAnsi"/>
          <w:lang w:eastAsia="en-US"/>
        </w:rPr>
        <w:t>In</w:t>
      </w:r>
      <w:r w:rsidR="00505A85" w:rsidRPr="00C90AC9">
        <w:rPr>
          <w:rFonts w:eastAsiaTheme="minorHAnsi"/>
          <w:lang w:eastAsia="en-US"/>
        </w:rPr>
        <w:t>-</w:t>
      </w:r>
      <w:r w:rsidRPr="00C90AC9">
        <w:rPr>
          <w:rFonts w:eastAsiaTheme="minorHAnsi"/>
          <w:lang w:eastAsia="en-US"/>
        </w:rPr>
        <w:t>Tariff (FIT) could be replicated in the STP market with a similar boost to the industry</w:t>
      </w:r>
      <w:r w:rsidR="00505A85" w:rsidRPr="00C90AC9">
        <w:rPr>
          <w:rFonts w:eastAsiaTheme="minorHAnsi"/>
          <w:lang w:eastAsia="en-US"/>
        </w:rPr>
        <w:t>. However,</w:t>
      </w:r>
      <w:r w:rsidRPr="00C90AC9">
        <w:rPr>
          <w:rFonts w:eastAsiaTheme="minorHAnsi"/>
          <w:lang w:eastAsia="en-US"/>
        </w:rPr>
        <w:t xml:space="preserve"> the particulars of </w:t>
      </w:r>
      <w:r w:rsidR="00505A85" w:rsidRPr="00C90AC9">
        <w:rPr>
          <w:rFonts w:eastAsiaTheme="minorHAnsi"/>
          <w:lang w:eastAsia="en-US"/>
        </w:rPr>
        <w:t xml:space="preserve">what </w:t>
      </w:r>
      <w:r w:rsidRPr="00C90AC9">
        <w:rPr>
          <w:rFonts w:eastAsiaTheme="minorHAnsi"/>
          <w:lang w:eastAsia="en-US"/>
        </w:rPr>
        <w:t xml:space="preserve">such a scheme </w:t>
      </w:r>
      <w:r w:rsidR="00505A85" w:rsidRPr="00C90AC9">
        <w:rPr>
          <w:rFonts w:eastAsiaTheme="minorHAnsi"/>
          <w:lang w:eastAsia="en-US"/>
        </w:rPr>
        <w:t xml:space="preserve">would involve </w:t>
      </w:r>
      <w:r w:rsidRPr="00C90AC9">
        <w:rPr>
          <w:rFonts w:eastAsiaTheme="minorHAnsi"/>
          <w:lang w:eastAsia="en-US"/>
        </w:rPr>
        <w:t>w</w:t>
      </w:r>
      <w:r w:rsidR="00505A85" w:rsidRPr="00C90AC9">
        <w:rPr>
          <w:rFonts w:eastAsiaTheme="minorHAnsi"/>
          <w:lang w:eastAsia="en-US"/>
        </w:rPr>
        <w:t>as not ventured by the participants, yet it</w:t>
      </w:r>
      <w:r w:rsidRPr="00C90AC9">
        <w:rPr>
          <w:rFonts w:eastAsiaTheme="minorHAnsi"/>
          <w:lang w:eastAsia="en-US"/>
        </w:rPr>
        <w:t xml:space="preserve"> was highlighted</w:t>
      </w:r>
      <w:r w:rsidR="00505A85" w:rsidRPr="00C90AC9">
        <w:rPr>
          <w:rFonts w:eastAsiaTheme="minorHAnsi"/>
          <w:lang w:eastAsia="en-US"/>
        </w:rPr>
        <w:t xml:space="preserve"> a number of times by the </w:t>
      </w:r>
      <w:r w:rsidR="00E82522" w:rsidRPr="00C90AC9">
        <w:rPr>
          <w:rFonts w:eastAsiaTheme="minorHAnsi"/>
          <w:lang w:eastAsia="en-US"/>
        </w:rPr>
        <w:t>main</w:t>
      </w:r>
      <w:r w:rsidR="00505A85" w:rsidRPr="00C90AC9">
        <w:rPr>
          <w:rFonts w:eastAsiaTheme="minorHAnsi"/>
          <w:lang w:eastAsia="en-US"/>
        </w:rPr>
        <w:t xml:space="preserve"> a</w:t>
      </w:r>
      <w:r w:rsidRPr="00C90AC9">
        <w:rPr>
          <w:rFonts w:eastAsiaTheme="minorHAnsi"/>
          <w:lang w:eastAsia="en-US"/>
        </w:rPr>
        <w:t xml:space="preserve">ctors </w:t>
      </w:r>
      <w:r w:rsidR="00505A85" w:rsidRPr="00C90AC9">
        <w:rPr>
          <w:rFonts w:eastAsiaTheme="minorHAnsi"/>
          <w:lang w:eastAsia="en-US"/>
        </w:rPr>
        <w:t>a</w:t>
      </w:r>
      <w:r w:rsidRPr="00C90AC9">
        <w:rPr>
          <w:rFonts w:eastAsiaTheme="minorHAnsi"/>
          <w:lang w:eastAsia="en-US"/>
        </w:rPr>
        <w:t>cross both years that the application of a governmental scheme such as the FIT would be beneficial to the domestic solar thermal market.</w:t>
      </w:r>
    </w:p>
    <w:p w:rsidR="00A16B8C" w:rsidRPr="00C90AC9" w:rsidRDefault="00A16B8C" w:rsidP="00B06779">
      <w:pPr>
        <w:pStyle w:val="BodyText"/>
        <w:rPr>
          <w:rFonts w:eastAsiaTheme="minorHAnsi"/>
          <w:b/>
          <w:lang w:eastAsia="en-US"/>
        </w:rPr>
      </w:pPr>
      <w:r w:rsidRPr="00C90AC9">
        <w:rPr>
          <w:rFonts w:eastAsiaTheme="minorHAnsi"/>
          <w:b/>
          <w:lang w:eastAsia="en-US"/>
        </w:rPr>
        <w:t xml:space="preserve">A: “You said about how the Feed-In Tariff was a bit </w:t>
      </w:r>
      <w:r w:rsidR="004540B8" w:rsidRPr="00C90AC9">
        <w:rPr>
          <w:rFonts w:eastAsiaTheme="minorHAnsi"/>
          <w:b/>
          <w:lang w:eastAsia="en-US"/>
        </w:rPr>
        <w:t>(</w:t>
      </w:r>
      <w:r w:rsidRPr="00C90AC9">
        <w:rPr>
          <w:rFonts w:eastAsiaTheme="minorHAnsi"/>
          <w:b/>
          <w:lang w:eastAsia="en-US"/>
        </w:rPr>
        <w:t>of an</w:t>
      </w:r>
      <w:r w:rsidR="004540B8" w:rsidRPr="00C90AC9">
        <w:rPr>
          <w:rFonts w:eastAsiaTheme="minorHAnsi"/>
          <w:b/>
          <w:lang w:eastAsia="en-US"/>
        </w:rPr>
        <w:t>)</w:t>
      </w:r>
      <w:r w:rsidRPr="00C90AC9">
        <w:rPr>
          <w:rFonts w:eastAsiaTheme="minorHAnsi"/>
          <w:b/>
          <w:lang w:eastAsia="en-US"/>
        </w:rPr>
        <w:t xml:space="preserve"> incentive because it was investment to go with PV.  Would you like to see something like that with solar thermal?</w:t>
      </w:r>
    </w:p>
    <w:p w:rsidR="0070678B" w:rsidRPr="00C90AC9" w:rsidRDefault="00A16B8C" w:rsidP="00B06779">
      <w:pPr>
        <w:pStyle w:val="BodyText"/>
        <w:rPr>
          <w:rFonts w:eastAsiaTheme="minorHAnsi"/>
          <w:b/>
          <w:lang w:eastAsia="en-US"/>
        </w:rPr>
      </w:pPr>
      <w:r w:rsidRPr="00C90AC9">
        <w:rPr>
          <w:rFonts w:eastAsiaTheme="minorHAnsi"/>
          <w:b/>
          <w:lang w:eastAsia="en-US"/>
        </w:rPr>
        <w:t>Q: “I think you need some sort of incentive.  I think the incentives are not necessarily in the right place.”</w:t>
      </w:r>
      <w:r w:rsidR="00012484" w:rsidRPr="00C90AC9">
        <w:rPr>
          <w:rFonts w:eastAsiaTheme="minorHAnsi"/>
          <w:b/>
          <w:lang w:eastAsia="en-US"/>
        </w:rPr>
        <w:t xml:space="preserve">  </w:t>
      </w:r>
      <w:r w:rsidR="00BF3B73" w:rsidRPr="00C90AC9">
        <w:rPr>
          <w:rFonts w:eastAsiaTheme="minorHAnsi"/>
          <w:b/>
          <w:lang w:eastAsia="en-US"/>
        </w:rPr>
        <w:t>manufacturer</w:t>
      </w:r>
      <w:r w:rsidR="006947D9" w:rsidRPr="00C90AC9">
        <w:rPr>
          <w:rFonts w:eastAsiaTheme="minorHAnsi"/>
          <w:b/>
          <w:lang w:eastAsia="en-US"/>
        </w:rPr>
        <w:t xml:space="preserve"> (2015)</w:t>
      </w:r>
    </w:p>
    <w:p w:rsidR="00A16B8C" w:rsidRPr="00C90AC9" w:rsidRDefault="00A16B8C" w:rsidP="00012484">
      <w:pPr>
        <w:pStyle w:val="BodyText"/>
        <w:spacing w:line="360" w:lineRule="auto"/>
        <w:rPr>
          <w:rFonts w:eastAsiaTheme="minorHAnsi"/>
          <w:lang w:eastAsia="en-US"/>
        </w:rPr>
      </w:pPr>
      <w:r w:rsidRPr="00C90AC9">
        <w:rPr>
          <w:rFonts w:eastAsiaTheme="minorHAnsi"/>
          <w:lang w:eastAsia="en-US"/>
        </w:rPr>
        <w:t xml:space="preserve">There was an absence of detail about how such a scheme could be applied to the STP market but there was a perception that there should be a monetary incentive which could manifest in the form of a system similar to the FIT (which pays homeowners dependent on the size of their installation, or the National Grid buying back surplice electricity). A monetary rebate could be applied after installation of the technology or a government subsidized scheme to reduce investment costs of STP technology. It was commented on that </w:t>
      </w:r>
      <w:r w:rsidR="006518C0" w:rsidRPr="00C90AC9">
        <w:rPr>
          <w:rFonts w:eastAsiaTheme="minorHAnsi"/>
          <w:lang w:eastAsia="en-US"/>
        </w:rPr>
        <w:t>STPs</w:t>
      </w:r>
      <w:r w:rsidRPr="00C90AC9">
        <w:rPr>
          <w:rFonts w:eastAsiaTheme="minorHAnsi"/>
          <w:lang w:eastAsia="en-US"/>
        </w:rPr>
        <w:t xml:space="preserve"> have a higher efficiency than solar </w:t>
      </w:r>
      <w:r w:rsidR="00B96E0B" w:rsidRPr="00C90AC9">
        <w:rPr>
          <w:rFonts w:eastAsiaTheme="minorHAnsi"/>
          <w:lang w:eastAsia="en-US"/>
        </w:rPr>
        <w:t>PV</w:t>
      </w:r>
      <w:r w:rsidRPr="00C90AC9">
        <w:rPr>
          <w:rFonts w:eastAsiaTheme="minorHAnsi"/>
          <w:lang w:eastAsia="en-US"/>
        </w:rPr>
        <w:t xml:space="preserve">s for heating water. It was perceived that the FIT introduced for </w:t>
      </w:r>
      <w:r w:rsidR="00B96E0B" w:rsidRPr="00C90AC9">
        <w:rPr>
          <w:rFonts w:eastAsiaTheme="minorHAnsi"/>
          <w:lang w:eastAsia="en-US"/>
        </w:rPr>
        <w:t>PV</w:t>
      </w:r>
      <w:r w:rsidRPr="00C90AC9">
        <w:rPr>
          <w:rFonts w:eastAsiaTheme="minorHAnsi"/>
          <w:lang w:eastAsia="en-US"/>
        </w:rPr>
        <w:t xml:space="preserve"> technology has led to a greater number of people adopting PV technology over </w:t>
      </w:r>
      <w:r w:rsidR="006518C0" w:rsidRPr="00C90AC9">
        <w:rPr>
          <w:rFonts w:eastAsiaTheme="minorHAnsi"/>
          <w:lang w:eastAsia="en-US"/>
        </w:rPr>
        <w:t>STPs</w:t>
      </w:r>
      <w:r w:rsidRPr="00C90AC9">
        <w:rPr>
          <w:rFonts w:eastAsiaTheme="minorHAnsi"/>
          <w:lang w:eastAsia="en-US"/>
        </w:rPr>
        <w:t>.</w:t>
      </w:r>
    </w:p>
    <w:p w:rsidR="00A16B8C" w:rsidRPr="00C90AC9" w:rsidRDefault="00A16B8C" w:rsidP="00012484">
      <w:pPr>
        <w:pStyle w:val="BodyText"/>
        <w:spacing w:line="360" w:lineRule="auto"/>
        <w:rPr>
          <w:rFonts w:eastAsiaTheme="minorHAnsi"/>
          <w:b/>
          <w:lang w:eastAsia="en-US"/>
        </w:rPr>
      </w:pPr>
      <w:r w:rsidRPr="00C90AC9">
        <w:rPr>
          <w:rFonts w:eastAsiaTheme="minorHAnsi"/>
          <w:b/>
          <w:lang w:eastAsia="en-US"/>
        </w:rPr>
        <w:t>“People seem to think that PV is the way to go because of the FITs but that’s not true really. They’re a lot more expensive and they don’t always generate electricity. Thermal panels will always work though and will always raise the temperature of the water in your tank.”</w:t>
      </w:r>
      <w:r w:rsidR="00012484" w:rsidRPr="00C90AC9">
        <w:rPr>
          <w:rFonts w:eastAsiaTheme="minorHAnsi"/>
          <w:b/>
          <w:lang w:eastAsia="en-US"/>
        </w:rPr>
        <w:t xml:space="preserve">  </w:t>
      </w:r>
      <w:r w:rsidR="00FF15E5" w:rsidRPr="00C90AC9">
        <w:rPr>
          <w:rFonts w:eastAsiaTheme="minorHAnsi"/>
          <w:b/>
          <w:lang w:eastAsia="en-US"/>
        </w:rPr>
        <w:t>academic</w:t>
      </w:r>
      <w:r w:rsidR="006947D9" w:rsidRPr="00C90AC9">
        <w:rPr>
          <w:rFonts w:eastAsiaTheme="minorHAnsi"/>
          <w:b/>
          <w:lang w:eastAsia="en-US"/>
        </w:rPr>
        <w:t xml:space="preserve"> </w:t>
      </w:r>
      <w:r w:rsidR="0047560E" w:rsidRPr="00C90AC9">
        <w:rPr>
          <w:rFonts w:eastAsiaTheme="minorHAnsi"/>
          <w:b/>
          <w:lang w:eastAsia="en-US"/>
        </w:rPr>
        <w:t>(</w:t>
      </w:r>
      <w:r w:rsidR="006947D9" w:rsidRPr="00C90AC9">
        <w:rPr>
          <w:rFonts w:eastAsiaTheme="minorHAnsi"/>
          <w:b/>
          <w:lang w:eastAsia="en-US"/>
        </w:rPr>
        <w:t>2015)</w:t>
      </w:r>
    </w:p>
    <w:p w:rsidR="006947D9" w:rsidRPr="00C90AC9" w:rsidRDefault="006947D9" w:rsidP="00012484">
      <w:pPr>
        <w:pStyle w:val="BodyText"/>
        <w:spacing w:line="360" w:lineRule="auto"/>
        <w:rPr>
          <w:rFonts w:eastAsiaTheme="minorHAnsi"/>
          <w:b/>
          <w:lang w:eastAsia="en-US"/>
        </w:rPr>
      </w:pPr>
    </w:p>
    <w:p w:rsidR="000236EC" w:rsidRPr="00C90AC9" w:rsidRDefault="000236EC" w:rsidP="00012484">
      <w:pPr>
        <w:pStyle w:val="BodyText"/>
        <w:spacing w:line="360" w:lineRule="auto"/>
        <w:rPr>
          <w:rFonts w:eastAsiaTheme="minorHAnsi"/>
          <w:b/>
          <w:lang w:eastAsia="en-US"/>
        </w:rPr>
      </w:pPr>
    </w:p>
    <w:p w:rsidR="003D456F" w:rsidRDefault="003D456F">
      <w:pPr>
        <w:rPr>
          <w:rStyle w:val="SubtleEmphasis"/>
          <w:rFonts w:cs="Times New Roman"/>
          <w:szCs w:val="24"/>
        </w:rPr>
      </w:pPr>
      <w:r>
        <w:rPr>
          <w:rStyle w:val="SubtleEmphasis"/>
          <w:rFonts w:cs="Times New Roman"/>
          <w:szCs w:val="24"/>
        </w:rPr>
        <w:br w:type="page"/>
      </w:r>
    </w:p>
    <w:p w:rsidR="00C807A3" w:rsidRPr="00C90AC9" w:rsidRDefault="000236EC" w:rsidP="00CA6E35">
      <w:pPr>
        <w:pStyle w:val="List2"/>
        <w:numPr>
          <w:ilvl w:val="2"/>
          <w:numId w:val="11"/>
        </w:numPr>
        <w:ind w:left="0" w:firstLine="0"/>
        <w:jc w:val="left"/>
        <w:rPr>
          <w:rStyle w:val="SubtleEmphasis"/>
          <w:rFonts w:cs="Times New Roman"/>
          <w:szCs w:val="24"/>
        </w:rPr>
      </w:pPr>
      <w:r w:rsidRPr="00C90AC9">
        <w:rPr>
          <w:rStyle w:val="SubtleEmphasis"/>
          <w:rFonts w:cs="Times New Roman"/>
          <w:szCs w:val="24"/>
        </w:rPr>
        <w:lastRenderedPageBreak/>
        <w:t>Trust i</w:t>
      </w:r>
      <w:r w:rsidR="00A16B8C" w:rsidRPr="00C90AC9">
        <w:rPr>
          <w:rStyle w:val="SubtleEmphasis"/>
          <w:rFonts w:cs="Times New Roman"/>
          <w:szCs w:val="24"/>
        </w:rPr>
        <w:t>ssues</w:t>
      </w:r>
    </w:p>
    <w:p w:rsidR="0047560E" w:rsidRPr="00C90AC9" w:rsidRDefault="00C807A3" w:rsidP="008D2795">
      <w:pPr>
        <w:pStyle w:val="BodyTextFirstIndent"/>
        <w:spacing w:line="360" w:lineRule="auto"/>
        <w:rPr>
          <w:rFonts w:eastAsiaTheme="minorHAnsi"/>
          <w:lang w:eastAsia="en-US"/>
        </w:rPr>
      </w:pPr>
      <w:r w:rsidRPr="00C90AC9">
        <w:rPr>
          <w:rStyle w:val="SubtleEmphasis"/>
          <w:rFonts w:cs="Times New Roman"/>
          <w:iCs/>
          <w:sz w:val="24"/>
          <w:szCs w:val="24"/>
        </w:rPr>
        <w:t>The issue of</w:t>
      </w:r>
      <w:r w:rsidRPr="00C90AC9">
        <w:rPr>
          <w:rStyle w:val="SubtleEmphasis"/>
          <w:rFonts w:cs="Times New Roman"/>
          <w:sz w:val="24"/>
          <w:szCs w:val="24"/>
        </w:rPr>
        <w:t xml:space="preserve"> </w:t>
      </w:r>
      <w:r w:rsidRPr="00C90AC9">
        <w:rPr>
          <w:rFonts w:eastAsiaTheme="minorHAnsi"/>
          <w:lang w:eastAsia="en-US"/>
        </w:rPr>
        <w:t>t</w:t>
      </w:r>
      <w:r w:rsidR="00A16B8C" w:rsidRPr="00C90AC9">
        <w:rPr>
          <w:rFonts w:eastAsiaTheme="minorHAnsi"/>
          <w:lang w:eastAsia="en-US"/>
        </w:rPr>
        <w:t xml:space="preserve">rust was raised as a </w:t>
      </w:r>
      <w:r w:rsidRPr="00C90AC9">
        <w:rPr>
          <w:rFonts w:eastAsiaTheme="minorHAnsi"/>
          <w:lang w:eastAsia="en-US"/>
        </w:rPr>
        <w:t>primary</w:t>
      </w:r>
      <w:r w:rsidR="00A16B8C" w:rsidRPr="00C90AC9">
        <w:rPr>
          <w:rFonts w:eastAsiaTheme="minorHAnsi"/>
          <w:lang w:eastAsia="en-US"/>
        </w:rPr>
        <w:t xml:space="preserve"> factor which was perceived as influencing consumer’s decisions about adopting </w:t>
      </w:r>
      <w:r w:rsidR="006518C0" w:rsidRPr="00C90AC9">
        <w:rPr>
          <w:rFonts w:eastAsiaTheme="minorHAnsi"/>
          <w:lang w:eastAsia="en-US"/>
        </w:rPr>
        <w:t>STPs</w:t>
      </w:r>
      <w:r w:rsidR="00A16B8C" w:rsidRPr="00C90AC9">
        <w:rPr>
          <w:rFonts w:eastAsiaTheme="minorHAnsi"/>
          <w:lang w:eastAsia="en-US"/>
        </w:rPr>
        <w:t xml:space="preserve">. </w:t>
      </w:r>
      <w:r w:rsidR="0047560E" w:rsidRPr="00C90AC9">
        <w:rPr>
          <w:rFonts w:eastAsiaTheme="minorHAnsi"/>
          <w:lang w:eastAsia="en-US"/>
        </w:rPr>
        <w:t>Participants of the focus groups highlighted the lack of trust they have regarding the information they receive from different sources such as the media, politicians, and manufacturers. The main actors acknowledged that consumers often approach them as a source of verifiable information concerning STP’s, but they also acknowledge that information they do have is not always justifiable and that they are not always aware of the most accurate information which can be trusted.</w:t>
      </w:r>
    </w:p>
    <w:p w:rsidR="00A16B8C" w:rsidRPr="00C90AC9" w:rsidRDefault="00A16B8C" w:rsidP="008D2795">
      <w:pPr>
        <w:pStyle w:val="BodyTextFirstIndent"/>
        <w:spacing w:line="360" w:lineRule="auto"/>
        <w:rPr>
          <w:rFonts w:eastAsiaTheme="majorEastAsia"/>
          <w:bCs/>
          <w:i/>
          <w:spacing w:val="15"/>
        </w:rPr>
      </w:pPr>
      <w:r w:rsidRPr="00C90AC9">
        <w:rPr>
          <w:rFonts w:eastAsiaTheme="minorHAnsi"/>
          <w:lang w:eastAsia="en-US"/>
        </w:rPr>
        <w:t xml:space="preserve">Additional to trust being perceived as influencing consumer perceptions of the technology trust was also perceived as having an effect on mitigating the prevalence of poor information regarding </w:t>
      </w:r>
      <w:r w:rsidR="006518C0" w:rsidRPr="00C90AC9">
        <w:rPr>
          <w:rFonts w:eastAsiaTheme="minorHAnsi"/>
          <w:lang w:eastAsia="en-US"/>
        </w:rPr>
        <w:t>STPs</w:t>
      </w:r>
      <w:r w:rsidRPr="00C90AC9">
        <w:rPr>
          <w:rFonts w:eastAsiaTheme="minorHAnsi"/>
          <w:lang w:eastAsia="en-US"/>
        </w:rPr>
        <w:t>. Poor information and the ability of STP technology to provide sufficient amounts of hot water at a sufficiently high enough temperature all year round was perceived as being a significant reason why consumers might not adopt the technology in the UK. However</w:t>
      </w:r>
      <w:r w:rsidR="00C807A3" w:rsidRPr="00C90AC9">
        <w:rPr>
          <w:rFonts w:eastAsiaTheme="minorHAnsi"/>
          <w:lang w:eastAsia="en-US"/>
        </w:rPr>
        <w:t>,</w:t>
      </w:r>
      <w:r w:rsidRPr="00C90AC9">
        <w:rPr>
          <w:rFonts w:eastAsiaTheme="minorHAnsi"/>
          <w:lang w:eastAsia="en-US"/>
        </w:rPr>
        <w:t xml:space="preserve"> the </w:t>
      </w:r>
      <w:r w:rsidR="00E82522" w:rsidRPr="00C90AC9">
        <w:rPr>
          <w:rFonts w:eastAsiaTheme="minorHAnsi"/>
          <w:lang w:eastAsia="en-US"/>
        </w:rPr>
        <w:t>main</w:t>
      </w:r>
      <w:r w:rsidRPr="00C90AC9">
        <w:rPr>
          <w:rFonts w:eastAsiaTheme="minorHAnsi"/>
          <w:lang w:eastAsia="en-US"/>
        </w:rPr>
        <w:t xml:space="preserve"> actors across both years perceived this as being due to a lower general understanding of the capabilities of </w:t>
      </w:r>
      <w:r w:rsidR="006518C0" w:rsidRPr="00C90AC9">
        <w:rPr>
          <w:rFonts w:eastAsiaTheme="minorHAnsi"/>
          <w:lang w:eastAsia="en-US"/>
        </w:rPr>
        <w:t>STPs</w:t>
      </w:r>
      <w:r w:rsidRPr="00C90AC9">
        <w:rPr>
          <w:rFonts w:eastAsiaTheme="minorHAnsi"/>
          <w:lang w:eastAsia="en-US"/>
        </w:rPr>
        <w:t xml:space="preserve"> which either gave consumers a very low expectation of the technology or vastly inflated anticipations particularly with regard to the technology’s ability to reduce energy costs immediately after installation.</w:t>
      </w:r>
    </w:p>
    <w:p w:rsidR="00A16B8C" w:rsidRPr="00C90AC9" w:rsidRDefault="00A16B8C" w:rsidP="008D2795">
      <w:pPr>
        <w:pStyle w:val="BodyText"/>
        <w:spacing w:line="360" w:lineRule="auto"/>
        <w:rPr>
          <w:rFonts w:eastAsiaTheme="minorHAnsi"/>
          <w:b/>
          <w:lang w:eastAsia="en-US"/>
        </w:rPr>
      </w:pPr>
      <w:r w:rsidRPr="00C90AC9">
        <w:rPr>
          <w:rFonts w:eastAsiaTheme="minorHAnsi"/>
          <w:lang w:eastAsia="en-US"/>
        </w:rPr>
        <w:t xml:space="preserve">The lower understanding that the general public have about STP technology, as perceived by the </w:t>
      </w:r>
      <w:r w:rsidR="00E82522" w:rsidRPr="00C90AC9">
        <w:rPr>
          <w:rFonts w:eastAsiaTheme="minorHAnsi"/>
          <w:lang w:eastAsia="en-US"/>
        </w:rPr>
        <w:t>main</w:t>
      </w:r>
      <w:r w:rsidRPr="00C90AC9">
        <w:rPr>
          <w:rFonts w:eastAsiaTheme="minorHAnsi"/>
          <w:lang w:eastAsia="en-US"/>
        </w:rPr>
        <w:t xml:space="preserve"> actors within the STP market, has not changed significantly in the </w:t>
      </w:r>
      <w:r w:rsidR="00C807A3" w:rsidRPr="00C90AC9">
        <w:rPr>
          <w:rFonts w:eastAsiaTheme="minorHAnsi"/>
          <w:lang w:eastAsia="en-US"/>
        </w:rPr>
        <w:t>three-year</w:t>
      </w:r>
      <w:r w:rsidRPr="00C90AC9">
        <w:rPr>
          <w:rFonts w:eastAsiaTheme="minorHAnsi"/>
          <w:lang w:eastAsia="en-US"/>
        </w:rPr>
        <w:t xml:space="preserve"> gap between the two studies. This would also to suggest that any changes to governmental programs concerning </w:t>
      </w:r>
      <w:r w:rsidR="006518C0" w:rsidRPr="00C90AC9">
        <w:rPr>
          <w:rFonts w:eastAsiaTheme="minorHAnsi"/>
          <w:lang w:eastAsia="en-US"/>
        </w:rPr>
        <w:t>STPs</w:t>
      </w:r>
      <w:r w:rsidRPr="00C90AC9">
        <w:rPr>
          <w:rFonts w:eastAsiaTheme="minorHAnsi"/>
          <w:lang w:eastAsia="en-US"/>
        </w:rPr>
        <w:t xml:space="preserve"> have had a limited impact on the consciousness of the general public. Additionally, the </w:t>
      </w:r>
      <w:r w:rsidR="00E82522" w:rsidRPr="00C90AC9">
        <w:rPr>
          <w:rFonts w:eastAsiaTheme="minorHAnsi"/>
          <w:lang w:eastAsia="en-US"/>
        </w:rPr>
        <w:t>main</w:t>
      </w:r>
      <w:r w:rsidRPr="00C90AC9">
        <w:rPr>
          <w:rFonts w:eastAsiaTheme="minorHAnsi"/>
          <w:lang w:eastAsia="en-US"/>
        </w:rPr>
        <w:t xml:space="preserve"> actors saw this knowledge gap between their understanding of </w:t>
      </w:r>
      <w:r w:rsidR="006518C0" w:rsidRPr="00C90AC9">
        <w:rPr>
          <w:rFonts w:eastAsiaTheme="minorHAnsi"/>
          <w:lang w:eastAsia="en-US"/>
        </w:rPr>
        <w:t>STPs</w:t>
      </w:r>
      <w:r w:rsidRPr="00C90AC9">
        <w:rPr>
          <w:rFonts w:eastAsiaTheme="minorHAnsi"/>
          <w:lang w:eastAsia="en-US"/>
        </w:rPr>
        <w:t xml:space="preserve"> and the general public as being a problem for the STP market in the UK. </w:t>
      </w:r>
      <w:r w:rsidR="00C807A3" w:rsidRPr="00C90AC9">
        <w:rPr>
          <w:rFonts w:eastAsiaTheme="minorHAnsi"/>
          <w:lang w:eastAsia="en-US"/>
        </w:rPr>
        <w:t>However,</w:t>
      </w:r>
      <w:r w:rsidRPr="00C90AC9">
        <w:rPr>
          <w:rFonts w:eastAsiaTheme="minorHAnsi"/>
          <w:lang w:eastAsia="en-US"/>
        </w:rPr>
        <w:t xml:space="preserve"> they also offered potential solutions to bridge the gap. In both 2012 and 2015 the </w:t>
      </w:r>
      <w:r w:rsidR="00FF15E5" w:rsidRPr="00C90AC9">
        <w:rPr>
          <w:rFonts w:eastAsiaTheme="minorHAnsi"/>
          <w:lang w:eastAsia="en-US"/>
        </w:rPr>
        <w:t>academic</w:t>
      </w:r>
      <w:r w:rsidRPr="00C90AC9">
        <w:rPr>
          <w:rFonts w:eastAsiaTheme="minorHAnsi"/>
          <w:lang w:eastAsia="en-US"/>
        </w:rPr>
        <w:t xml:space="preserve">s saw their understanding of the technology in relationship to potential consumers and the wider public. The participants felt that their roles as academics endowed an impartial quality on them that they could use help people make more informed decisions. The participants in this study could see the unique position that this role endowed on them in comparison to other categories of </w:t>
      </w:r>
      <w:r w:rsidR="00E82522" w:rsidRPr="00C90AC9">
        <w:rPr>
          <w:rFonts w:eastAsiaTheme="minorHAnsi"/>
          <w:lang w:eastAsia="en-US"/>
        </w:rPr>
        <w:t>main</w:t>
      </w:r>
      <w:r w:rsidRPr="00C90AC9">
        <w:rPr>
          <w:rFonts w:eastAsiaTheme="minorHAnsi"/>
          <w:lang w:eastAsia="en-US"/>
        </w:rPr>
        <w:t xml:space="preserve"> actors such as politicians or manufactures as they didn’t have a vested interest in marshalling public opinion. In this way the </w:t>
      </w:r>
      <w:r w:rsidR="00FF15E5" w:rsidRPr="00C90AC9">
        <w:rPr>
          <w:rFonts w:eastAsiaTheme="minorHAnsi"/>
          <w:lang w:eastAsia="en-US"/>
        </w:rPr>
        <w:t>academic</w:t>
      </w:r>
      <w:r w:rsidRPr="00C90AC9">
        <w:rPr>
          <w:rFonts w:eastAsiaTheme="minorHAnsi"/>
          <w:lang w:eastAsia="en-US"/>
        </w:rPr>
        <w:t xml:space="preserve">s saw their role as a unique opportunity for them to provide potential adopters of the technology with an independent and neutral opinion on the positives and negatives of the technology. This is captured very well by the following quote: </w:t>
      </w:r>
    </w:p>
    <w:p w:rsidR="00A16B8C" w:rsidRPr="00C90AC9" w:rsidRDefault="00A16B8C" w:rsidP="008D2795">
      <w:pPr>
        <w:pStyle w:val="BodyText"/>
        <w:spacing w:line="360" w:lineRule="auto"/>
        <w:rPr>
          <w:rFonts w:eastAsiaTheme="minorHAnsi"/>
          <w:b/>
          <w:lang w:eastAsia="en-US"/>
        </w:rPr>
      </w:pPr>
      <w:r w:rsidRPr="00C90AC9">
        <w:rPr>
          <w:rFonts w:eastAsiaTheme="minorHAnsi"/>
          <w:b/>
          <w:lang w:eastAsia="en-US"/>
        </w:rPr>
        <w:lastRenderedPageBreak/>
        <w:t>Q: “Do you see academia helping with that viability by checking the viability of an installation in a property?”</w:t>
      </w:r>
    </w:p>
    <w:p w:rsidR="00A16B8C" w:rsidRPr="00C90AC9" w:rsidRDefault="00A16B8C" w:rsidP="008D2795">
      <w:pPr>
        <w:pStyle w:val="BodyText"/>
        <w:spacing w:line="360" w:lineRule="auto"/>
        <w:rPr>
          <w:rFonts w:eastAsiaTheme="minorHAnsi"/>
          <w:b/>
          <w:lang w:eastAsia="en-US"/>
        </w:rPr>
      </w:pPr>
      <w:r w:rsidRPr="00C90AC9">
        <w:rPr>
          <w:rFonts w:eastAsiaTheme="minorHAnsi"/>
          <w:b/>
          <w:lang w:eastAsia="en-US"/>
        </w:rPr>
        <w:t>A: “Academia has got a pretty essential role in that capacity.  We’re the independent governors.  Unlike government and government driven bodies, or commercial driven bodies, we should be able to offer a truly independent and impartial view on things.”</w:t>
      </w:r>
    </w:p>
    <w:p w:rsidR="00A16B8C" w:rsidRPr="00C90AC9" w:rsidRDefault="00A16B8C" w:rsidP="008D2795">
      <w:pPr>
        <w:pStyle w:val="BodyText"/>
        <w:spacing w:line="360" w:lineRule="auto"/>
        <w:rPr>
          <w:rFonts w:eastAsiaTheme="minorHAnsi"/>
          <w:b/>
          <w:lang w:eastAsia="en-US"/>
        </w:rPr>
      </w:pPr>
      <w:r w:rsidRPr="00C90AC9">
        <w:rPr>
          <w:rFonts w:eastAsiaTheme="minorHAnsi"/>
          <w:b/>
          <w:lang w:eastAsia="en-US"/>
        </w:rPr>
        <w:t>(</w:t>
      </w:r>
      <w:r w:rsidR="00FF15E5" w:rsidRPr="00C90AC9">
        <w:rPr>
          <w:rFonts w:eastAsiaTheme="minorHAnsi"/>
          <w:b/>
          <w:lang w:eastAsia="en-US"/>
        </w:rPr>
        <w:t>academic</w:t>
      </w:r>
      <w:r w:rsidRPr="00C90AC9">
        <w:rPr>
          <w:rFonts w:eastAsiaTheme="minorHAnsi"/>
          <w:b/>
          <w:lang w:eastAsia="en-US"/>
        </w:rPr>
        <w:t xml:space="preserve"> 2015)</w:t>
      </w:r>
    </w:p>
    <w:p w:rsidR="00A16B8C" w:rsidRPr="00C90AC9" w:rsidRDefault="00A16B8C" w:rsidP="008D2795">
      <w:pPr>
        <w:pStyle w:val="BodyText"/>
        <w:spacing w:line="360" w:lineRule="auto"/>
        <w:rPr>
          <w:rFonts w:eastAsiaTheme="minorHAnsi"/>
          <w:lang w:eastAsia="en-US"/>
        </w:rPr>
      </w:pPr>
      <w:r w:rsidRPr="00C90AC9">
        <w:rPr>
          <w:rFonts w:eastAsiaTheme="minorHAnsi"/>
          <w:lang w:eastAsia="en-US"/>
        </w:rPr>
        <w:t xml:space="preserve">The flow of information and misinformation about </w:t>
      </w:r>
      <w:r w:rsidR="006518C0" w:rsidRPr="00C90AC9">
        <w:rPr>
          <w:rFonts w:eastAsiaTheme="minorHAnsi"/>
          <w:lang w:eastAsia="en-US"/>
        </w:rPr>
        <w:t>STPs</w:t>
      </w:r>
      <w:r w:rsidRPr="00C90AC9">
        <w:rPr>
          <w:rFonts w:eastAsiaTheme="minorHAnsi"/>
          <w:lang w:eastAsia="en-US"/>
        </w:rPr>
        <w:t xml:space="preserve"> raised a significant and reoccurring theme in the semi-structured interviews as the previous quotes hint at. The issue of trust was raised a number of times by the </w:t>
      </w:r>
      <w:r w:rsidR="00E82522" w:rsidRPr="00C90AC9">
        <w:rPr>
          <w:rFonts w:eastAsiaTheme="minorHAnsi"/>
          <w:lang w:eastAsia="en-US"/>
        </w:rPr>
        <w:t>main</w:t>
      </w:r>
      <w:r w:rsidRPr="00C90AC9">
        <w:rPr>
          <w:rFonts w:eastAsiaTheme="minorHAnsi"/>
          <w:lang w:eastAsia="en-US"/>
        </w:rPr>
        <w:t xml:space="preserve"> actors in various ways as being a significant factor affecting the way in which potential adopters view the technology. As has been said academics viewed their role as being impartial and thus they felt that consumers would have more trust in their opinions of the technology than they would if manufacturers or politicians were giving them their opinions. This is simply because it was felt that manufacturers and politicians would have a vested interest in shaping public opinion whereas academics not only had more technical information about the technology but they would re</w:t>
      </w:r>
      <w:r w:rsidR="00E82522" w:rsidRPr="00C90AC9">
        <w:rPr>
          <w:rFonts w:eastAsiaTheme="minorHAnsi"/>
          <w:lang w:eastAsia="en-US"/>
        </w:rPr>
        <w:t>main</w:t>
      </w:r>
      <w:r w:rsidRPr="00C90AC9">
        <w:rPr>
          <w:rFonts w:eastAsiaTheme="minorHAnsi"/>
          <w:lang w:eastAsia="en-US"/>
        </w:rPr>
        <w:t xml:space="preserve"> impartial. It was acknowledged however, that there is a limit to the extent that trustworthiness would extend to particularly when concerned with an emotive issue such as a renewable technology:</w:t>
      </w:r>
    </w:p>
    <w:p w:rsidR="00A16B8C" w:rsidRPr="00C90AC9" w:rsidRDefault="00A16B8C" w:rsidP="008D2795">
      <w:pPr>
        <w:pStyle w:val="BodyText"/>
        <w:spacing w:line="360" w:lineRule="auto"/>
        <w:rPr>
          <w:rFonts w:eastAsiaTheme="minorHAnsi"/>
          <w:b/>
          <w:lang w:eastAsia="en-US"/>
        </w:rPr>
      </w:pPr>
      <w:r w:rsidRPr="00C90AC9">
        <w:rPr>
          <w:rFonts w:eastAsiaTheme="minorHAnsi"/>
          <w:b/>
          <w:lang w:eastAsia="en-US"/>
        </w:rPr>
        <w:t>Q: “If you were part of a governing body, would you be seen as a paradigm of trustworthiness?”</w:t>
      </w:r>
    </w:p>
    <w:p w:rsidR="00A16B8C" w:rsidRPr="00C90AC9" w:rsidRDefault="00A16B8C" w:rsidP="006947D9">
      <w:pPr>
        <w:pStyle w:val="BodyText"/>
        <w:spacing w:line="360" w:lineRule="auto"/>
        <w:rPr>
          <w:rFonts w:eastAsiaTheme="minorHAnsi"/>
          <w:b/>
        </w:rPr>
      </w:pPr>
      <w:r w:rsidRPr="00C90AC9">
        <w:rPr>
          <w:rFonts w:eastAsiaTheme="minorHAnsi"/>
          <w:b/>
          <w:lang w:eastAsia="en-US"/>
        </w:rPr>
        <w:t>A: “The reality is probably not.  It would depend on the context.  I’ve experienced definite mistrust issues when it comes to discussing stuff with members of the public.  Unfortunately, a lot of renewable technologies become very emotive issues for people.  As a result, people decide they don’t like a technology.  It’s very hard to sway them and have a rational conversation.”</w:t>
      </w:r>
      <w:r w:rsidR="008D2795" w:rsidRPr="00C90AC9">
        <w:rPr>
          <w:rFonts w:eastAsiaTheme="minorHAnsi"/>
          <w:b/>
          <w:lang w:eastAsia="en-US"/>
        </w:rPr>
        <w:t xml:space="preserve"> </w:t>
      </w:r>
      <w:r w:rsidR="00FF15E5" w:rsidRPr="00C90AC9">
        <w:rPr>
          <w:rFonts w:eastAsiaTheme="minorHAnsi"/>
          <w:b/>
        </w:rPr>
        <w:t>academic</w:t>
      </w:r>
      <w:r w:rsidR="006947D9" w:rsidRPr="00C90AC9">
        <w:rPr>
          <w:rFonts w:eastAsiaTheme="minorHAnsi"/>
          <w:b/>
        </w:rPr>
        <w:t xml:space="preserve"> (2015)</w:t>
      </w:r>
    </w:p>
    <w:p w:rsidR="00A16B8C" w:rsidRPr="00C90AC9" w:rsidRDefault="00A16B8C" w:rsidP="008D2795">
      <w:pPr>
        <w:pStyle w:val="BodyText"/>
        <w:spacing w:line="360" w:lineRule="auto"/>
        <w:rPr>
          <w:rFonts w:eastAsiaTheme="minorHAnsi"/>
          <w:lang w:eastAsia="en-US"/>
        </w:rPr>
      </w:pPr>
      <w:r w:rsidRPr="00C90AC9">
        <w:rPr>
          <w:rFonts w:eastAsiaTheme="minorHAnsi"/>
          <w:lang w:eastAsia="en-US"/>
        </w:rPr>
        <w:t xml:space="preserve">Ensuring that sound information about the technology and its potential benefits and limitations was acknowledged a number of times during the semi-structured interviews over both years (2012 and 2015) as the following quotes show. As has been mentioned the </w:t>
      </w:r>
      <w:r w:rsidR="00E82522" w:rsidRPr="00C90AC9">
        <w:rPr>
          <w:rFonts w:eastAsiaTheme="minorHAnsi"/>
          <w:lang w:eastAsia="en-US"/>
        </w:rPr>
        <w:t>main</w:t>
      </w:r>
      <w:r w:rsidRPr="00C90AC9">
        <w:rPr>
          <w:rFonts w:eastAsiaTheme="minorHAnsi"/>
          <w:lang w:eastAsia="en-US"/>
        </w:rPr>
        <w:t xml:space="preserve"> actors over both years felt that the media have a significant impact on the information that the general public have access to and thus have a significant impact on the levels of trust that consumers feel in all areas concerning </w:t>
      </w:r>
      <w:r w:rsidR="006518C0" w:rsidRPr="00C90AC9">
        <w:rPr>
          <w:rFonts w:eastAsiaTheme="minorHAnsi"/>
          <w:lang w:eastAsia="en-US"/>
        </w:rPr>
        <w:t>STPs</w:t>
      </w:r>
      <w:r w:rsidR="006947D9" w:rsidRPr="00C90AC9">
        <w:rPr>
          <w:rFonts w:eastAsiaTheme="minorHAnsi"/>
          <w:lang w:eastAsia="en-US"/>
        </w:rPr>
        <w:t>.</w:t>
      </w:r>
      <w:r w:rsidR="006947D9" w:rsidRPr="00C90AC9">
        <w:rPr>
          <w:rFonts w:eastAsiaTheme="minorHAnsi"/>
          <w:lang w:eastAsia="en-US"/>
        </w:rPr>
        <w:tab/>
      </w:r>
      <w:r w:rsidRPr="00C90AC9">
        <w:rPr>
          <w:rFonts w:eastAsiaTheme="minorHAnsi"/>
          <w:b/>
          <w:lang w:eastAsia="en-US"/>
        </w:rPr>
        <w:br/>
        <w:t>Q: “Can you expand on how you might improve this level of trust between academia and consumers?”</w:t>
      </w:r>
    </w:p>
    <w:p w:rsidR="008D2795" w:rsidRPr="00C90AC9" w:rsidRDefault="00A16B8C" w:rsidP="008D2795">
      <w:pPr>
        <w:pStyle w:val="BodyText"/>
        <w:spacing w:line="360" w:lineRule="auto"/>
        <w:rPr>
          <w:rFonts w:eastAsiaTheme="minorHAnsi"/>
          <w:b/>
        </w:rPr>
      </w:pPr>
      <w:r w:rsidRPr="00C90AC9">
        <w:rPr>
          <w:rFonts w:eastAsiaTheme="minorHAnsi"/>
          <w:b/>
          <w:lang w:eastAsia="en-US"/>
        </w:rPr>
        <w:lastRenderedPageBreak/>
        <w:t xml:space="preserve">A: “This is a very tricky area.  Whereas people within academia and within industry will tend to read quite specialist journals and publications, the majority of information that the public gets is driven through journalism and </w:t>
      </w:r>
      <w:r w:rsidR="00E82522" w:rsidRPr="00C90AC9">
        <w:rPr>
          <w:rFonts w:eastAsiaTheme="minorHAnsi"/>
          <w:b/>
          <w:lang w:eastAsia="en-US"/>
        </w:rPr>
        <w:t>main</w:t>
      </w:r>
      <w:r w:rsidRPr="00C90AC9">
        <w:rPr>
          <w:rFonts w:eastAsiaTheme="minorHAnsi"/>
          <w:b/>
          <w:lang w:eastAsia="en-US"/>
        </w:rPr>
        <w:t>stream media.  That’s where it’s tricky.”</w:t>
      </w:r>
      <w:r w:rsidR="008D2795" w:rsidRPr="00C90AC9">
        <w:rPr>
          <w:rFonts w:eastAsiaTheme="minorHAnsi"/>
          <w:b/>
          <w:lang w:eastAsia="en-US"/>
        </w:rPr>
        <w:t xml:space="preserve"> </w:t>
      </w:r>
      <w:r w:rsidR="00FF15E5" w:rsidRPr="00C90AC9">
        <w:rPr>
          <w:rFonts w:eastAsiaTheme="minorHAnsi"/>
          <w:b/>
        </w:rPr>
        <w:t>academic</w:t>
      </w:r>
      <w:r w:rsidRPr="00C90AC9">
        <w:rPr>
          <w:rFonts w:eastAsiaTheme="minorHAnsi"/>
          <w:b/>
        </w:rPr>
        <w:t xml:space="preserve"> (2012)</w:t>
      </w:r>
    </w:p>
    <w:p w:rsidR="00A16B8C" w:rsidRPr="00C90AC9" w:rsidRDefault="00A16B8C" w:rsidP="008D2795">
      <w:pPr>
        <w:pStyle w:val="BodyText"/>
        <w:spacing w:line="360" w:lineRule="auto"/>
        <w:rPr>
          <w:rFonts w:eastAsiaTheme="minorHAnsi"/>
          <w:lang w:eastAsia="en-US"/>
        </w:rPr>
      </w:pPr>
      <w:r w:rsidRPr="00C90AC9">
        <w:rPr>
          <w:rFonts w:eastAsiaTheme="minorHAnsi"/>
          <w:lang w:eastAsia="en-US"/>
        </w:rPr>
        <w:t xml:space="preserve">To improve the level of trust in the STP market the </w:t>
      </w:r>
      <w:r w:rsidR="00E82522" w:rsidRPr="00C90AC9">
        <w:rPr>
          <w:rFonts w:eastAsiaTheme="minorHAnsi"/>
          <w:lang w:eastAsia="en-US"/>
        </w:rPr>
        <w:t>main</w:t>
      </w:r>
      <w:r w:rsidRPr="00C90AC9">
        <w:rPr>
          <w:rFonts w:eastAsiaTheme="minorHAnsi"/>
          <w:lang w:eastAsia="en-US"/>
        </w:rPr>
        <w:t xml:space="preserve"> actors expressed a desire for academia to have a role as the </w:t>
      </w:r>
      <w:r w:rsidR="00E82522" w:rsidRPr="00C90AC9">
        <w:rPr>
          <w:rFonts w:eastAsiaTheme="minorHAnsi"/>
          <w:lang w:eastAsia="en-US"/>
        </w:rPr>
        <w:t>main</w:t>
      </w:r>
      <w:r w:rsidRPr="00C90AC9">
        <w:rPr>
          <w:rFonts w:eastAsiaTheme="minorHAnsi"/>
          <w:lang w:eastAsia="en-US"/>
        </w:rPr>
        <w:t xml:space="preserve"> axis perceived the public as having an unbiased role and an accurate opinion of the capabilities of </w:t>
      </w:r>
      <w:r w:rsidR="006518C0" w:rsidRPr="00C90AC9">
        <w:rPr>
          <w:rFonts w:eastAsiaTheme="minorHAnsi"/>
          <w:lang w:eastAsia="en-US"/>
        </w:rPr>
        <w:t>STPs</w:t>
      </w:r>
      <w:r w:rsidRPr="00C90AC9">
        <w:rPr>
          <w:rFonts w:eastAsiaTheme="minorHAnsi"/>
          <w:lang w:eastAsia="en-US"/>
        </w:rPr>
        <w:t xml:space="preserve"> in the UK. It was expressed that academia is not sensationalist or corrupted by third parties and so would provide the general public with stoic information about STP technology.</w:t>
      </w:r>
    </w:p>
    <w:p w:rsidR="00A16B8C" w:rsidRPr="00C90AC9" w:rsidRDefault="00A16B8C" w:rsidP="008D2795">
      <w:pPr>
        <w:pStyle w:val="BodyText"/>
        <w:spacing w:line="360" w:lineRule="auto"/>
        <w:rPr>
          <w:rFonts w:eastAsiaTheme="minorHAnsi"/>
          <w:lang w:eastAsia="en-US"/>
        </w:rPr>
      </w:pPr>
      <w:r w:rsidRPr="00C90AC9">
        <w:rPr>
          <w:rFonts w:eastAsiaTheme="minorHAnsi"/>
          <w:lang w:eastAsia="en-US"/>
        </w:rPr>
        <w:t xml:space="preserve">The </w:t>
      </w:r>
      <w:r w:rsidR="00E82522" w:rsidRPr="00C90AC9">
        <w:rPr>
          <w:rFonts w:eastAsiaTheme="minorHAnsi"/>
          <w:lang w:eastAsia="en-US"/>
        </w:rPr>
        <w:t>main</w:t>
      </w:r>
      <w:r w:rsidRPr="00C90AC9">
        <w:rPr>
          <w:rFonts w:eastAsiaTheme="minorHAnsi"/>
          <w:lang w:eastAsia="en-US"/>
        </w:rPr>
        <w:t xml:space="preserve"> actors offered a few reasons why there was poor information on the capability of STP to provide hot enough water to domestic properties. This poor information with expectations of the property (high or low) which did not match up with the performance of the technology resulted in a lack of trust between consumers and the </w:t>
      </w:r>
      <w:r w:rsidR="00E82522" w:rsidRPr="00C90AC9">
        <w:rPr>
          <w:rFonts w:eastAsiaTheme="minorHAnsi"/>
          <w:lang w:eastAsia="en-US"/>
        </w:rPr>
        <w:t>main</w:t>
      </w:r>
      <w:r w:rsidRPr="00C90AC9">
        <w:rPr>
          <w:rFonts w:eastAsiaTheme="minorHAnsi"/>
          <w:lang w:eastAsia="en-US"/>
        </w:rPr>
        <w:t xml:space="preserve"> actor they received the information from.</w:t>
      </w:r>
    </w:p>
    <w:p w:rsidR="00A16B8C" w:rsidRPr="00C90AC9" w:rsidRDefault="00A16B8C" w:rsidP="00064395">
      <w:pPr>
        <w:pStyle w:val="BodyText"/>
        <w:spacing w:line="360" w:lineRule="auto"/>
        <w:rPr>
          <w:rFonts w:eastAsiaTheme="minorHAnsi"/>
          <w:b/>
          <w:lang w:eastAsia="en-US"/>
        </w:rPr>
      </w:pPr>
      <w:r w:rsidRPr="00C90AC9">
        <w:rPr>
          <w:rFonts w:eastAsiaTheme="minorHAnsi"/>
          <w:b/>
          <w:lang w:eastAsia="en-US"/>
        </w:rPr>
        <w:t>Q: “What sort of bad information?”</w:t>
      </w:r>
    </w:p>
    <w:p w:rsidR="00A16B8C" w:rsidRPr="00C90AC9" w:rsidRDefault="00A16B8C" w:rsidP="006947D9">
      <w:pPr>
        <w:pStyle w:val="BodyText"/>
        <w:spacing w:line="360" w:lineRule="auto"/>
        <w:rPr>
          <w:rFonts w:eastAsiaTheme="minorHAnsi"/>
          <w:b/>
          <w:lang w:eastAsia="en-US"/>
        </w:rPr>
      </w:pPr>
      <w:r w:rsidRPr="00C90AC9">
        <w:rPr>
          <w:rFonts w:eastAsiaTheme="minorHAnsi"/>
          <w:b/>
          <w:lang w:eastAsia="en-US"/>
        </w:rPr>
        <w:t>A: “This afternoon we had someone come into us who had been speaking to someone who told them they should be putting solar panels in and also an air force heat pump to heat the water. It’s overkill. There’s too much competition between the technologies for something like that. There’s no heating for the house being provided</w:t>
      </w:r>
      <w:r w:rsidR="006D0184" w:rsidRPr="00C90AC9">
        <w:rPr>
          <w:rFonts w:eastAsiaTheme="minorHAnsi"/>
          <w:b/>
          <w:lang w:eastAsia="en-US"/>
        </w:rPr>
        <w:t xml:space="preserve"> s</w:t>
      </w:r>
      <w:r w:rsidRPr="00C90AC9">
        <w:rPr>
          <w:rFonts w:eastAsiaTheme="minorHAnsi"/>
          <w:b/>
          <w:lang w:eastAsia="en-US"/>
        </w:rPr>
        <w:t>o it raises doubts in the individual’s mind.”</w:t>
      </w:r>
      <w:r w:rsidR="00064395" w:rsidRPr="00C90AC9">
        <w:rPr>
          <w:rFonts w:eastAsiaTheme="minorHAnsi"/>
          <w:b/>
          <w:lang w:eastAsia="en-US"/>
        </w:rPr>
        <w:t xml:space="preserve"> </w:t>
      </w:r>
      <w:r w:rsidR="00BF3B73" w:rsidRPr="00C90AC9">
        <w:rPr>
          <w:rFonts w:eastAsiaTheme="minorHAnsi"/>
          <w:b/>
          <w:lang w:eastAsia="en-US"/>
        </w:rPr>
        <w:t>manufacturer</w:t>
      </w:r>
      <w:r w:rsidR="006947D9" w:rsidRPr="00C90AC9">
        <w:rPr>
          <w:rFonts w:eastAsiaTheme="minorHAnsi"/>
          <w:b/>
          <w:lang w:eastAsia="en-US"/>
        </w:rPr>
        <w:t xml:space="preserve"> (2012)</w:t>
      </w:r>
    </w:p>
    <w:p w:rsidR="00A16B8C" w:rsidRPr="00C90AC9" w:rsidRDefault="00A16B8C" w:rsidP="00064395">
      <w:pPr>
        <w:pStyle w:val="BodyText"/>
        <w:spacing w:line="360" w:lineRule="auto"/>
        <w:rPr>
          <w:rFonts w:eastAsiaTheme="minorHAnsi"/>
          <w:lang w:eastAsia="en-US"/>
        </w:rPr>
      </w:pPr>
      <w:r w:rsidRPr="00C90AC9">
        <w:rPr>
          <w:rFonts w:eastAsiaTheme="minorHAnsi"/>
          <w:lang w:eastAsia="en-US"/>
        </w:rPr>
        <w:t xml:space="preserve">This comment was particularly significant as the </w:t>
      </w:r>
      <w:r w:rsidR="00E82522" w:rsidRPr="00C90AC9">
        <w:rPr>
          <w:rFonts w:eastAsiaTheme="minorHAnsi"/>
          <w:lang w:eastAsia="en-US"/>
        </w:rPr>
        <w:t>main</w:t>
      </w:r>
      <w:r w:rsidRPr="00C90AC9">
        <w:rPr>
          <w:rFonts w:eastAsiaTheme="minorHAnsi"/>
          <w:lang w:eastAsia="en-US"/>
        </w:rPr>
        <w:t xml:space="preserve"> actors could envisage different specialists conversing with each other and improving the flow of information between them and consumers and thus improving the flow of qualified opinions about </w:t>
      </w:r>
      <w:r w:rsidR="006518C0" w:rsidRPr="00C90AC9">
        <w:rPr>
          <w:rFonts w:eastAsiaTheme="minorHAnsi"/>
          <w:lang w:eastAsia="en-US"/>
        </w:rPr>
        <w:t>STPs</w:t>
      </w:r>
      <w:r w:rsidRPr="00C90AC9">
        <w:rPr>
          <w:rFonts w:eastAsiaTheme="minorHAnsi"/>
          <w:lang w:eastAsia="en-US"/>
        </w:rPr>
        <w:t xml:space="preserve">. This would in turn affect the decisions that potential adopters could make regarding </w:t>
      </w:r>
      <w:r w:rsidR="006518C0" w:rsidRPr="00C90AC9">
        <w:rPr>
          <w:rFonts w:eastAsiaTheme="minorHAnsi"/>
          <w:lang w:eastAsia="en-US"/>
        </w:rPr>
        <w:t>STPs</w:t>
      </w:r>
      <w:r w:rsidRPr="00C90AC9">
        <w:rPr>
          <w:rFonts w:eastAsiaTheme="minorHAnsi"/>
          <w:lang w:eastAsia="en-US"/>
        </w:rPr>
        <w:t xml:space="preserve"> as well as improving the quality of information available to policy members thus having an overall benefit on the STP market.</w:t>
      </w:r>
    </w:p>
    <w:p w:rsidR="00A16B8C" w:rsidRPr="00C90AC9" w:rsidRDefault="00A16B8C" w:rsidP="00064395">
      <w:pPr>
        <w:pStyle w:val="BodyText"/>
        <w:spacing w:line="360" w:lineRule="auto"/>
        <w:rPr>
          <w:rFonts w:eastAsiaTheme="minorHAnsi"/>
          <w:lang w:eastAsia="en-US"/>
        </w:rPr>
      </w:pPr>
      <w:r w:rsidRPr="00C90AC9">
        <w:rPr>
          <w:rFonts w:eastAsiaTheme="minorHAnsi"/>
          <w:lang w:eastAsia="en-US"/>
        </w:rPr>
        <w:t xml:space="preserve">To counter the effects of poor information and a lack of trust one suggestion that was offered in various ways by the </w:t>
      </w:r>
      <w:r w:rsidR="00E82522" w:rsidRPr="00C90AC9">
        <w:rPr>
          <w:rFonts w:eastAsiaTheme="minorHAnsi"/>
          <w:lang w:eastAsia="en-US"/>
        </w:rPr>
        <w:t>main</w:t>
      </w:r>
      <w:r w:rsidRPr="00C90AC9">
        <w:rPr>
          <w:rFonts w:eastAsiaTheme="minorHAnsi"/>
          <w:lang w:eastAsia="en-US"/>
        </w:rPr>
        <w:t xml:space="preserve"> actors but all centred around having educational schemes for the different </w:t>
      </w:r>
      <w:r w:rsidR="00E82522" w:rsidRPr="00C90AC9">
        <w:rPr>
          <w:rFonts w:eastAsiaTheme="minorHAnsi"/>
          <w:lang w:eastAsia="en-US"/>
        </w:rPr>
        <w:t>main</w:t>
      </w:r>
      <w:r w:rsidRPr="00C90AC9">
        <w:rPr>
          <w:rFonts w:eastAsiaTheme="minorHAnsi"/>
          <w:lang w:eastAsia="en-US"/>
        </w:rPr>
        <w:t xml:space="preserve"> actors so that if a prospective adopter of the technology approached them to understand their opinion of the technology they would be able to give an informed response.</w:t>
      </w:r>
    </w:p>
    <w:p w:rsidR="00A16B8C" w:rsidRPr="00C90AC9" w:rsidRDefault="00A16B8C" w:rsidP="00064395">
      <w:pPr>
        <w:pStyle w:val="BodyText"/>
        <w:spacing w:line="360" w:lineRule="auto"/>
        <w:rPr>
          <w:rFonts w:eastAsiaTheme="minorHAnsi"/>
          <w:b/>
          <w:lang w:eastAsia="en-US"/>
        </w:rPr>
      </w:pPr>
      <w:r w:rsidRPr="00C90AC9">
        <w:rPr>
          <w:rFonts w:eastAsiaTheme="minorHAnsi"/>
          <w:b/>
          <w:lang w:eastAsia="en-US"/>
        </w:rPr>
        <w:lastRenderedPageBreak/>
        <w:t>Q; “What about the idea of getting good information out and linking up government bodies such as DECC?  Is that a good way to go, councillors linking up with people from places such as DECC, perhaps manufacturers?”</w:t>
      </w:r>
    </w:p>
    <w:p w:rsidR="00A16B8C" w:rsidRPr="00C90AC9" w:rsidRDefault="00A16B8C" w:rsidP="00064395">
      <w:pPr>
        <w:pStyle w:val="BodyText"/>
        <w:spacing w:line="360" w:lineRule="auto"/>
        <w:rPr>
          <w:rFonts w:eastAsiaTheme="minorHAnsi" w:cs="Times New Roman"/>
          <w:b/>
        </w:rPr>
      </w:pPr>
      <w:r w:rsidRPr="00C90AC9">
        <w:rPr>
          <w:rFonts w:eastAsiaTheme="minorHAnsi"/>
          <w:b/>
          <w:lang w:eastAsia="en-US"/>
        </w:rPr>
        <w:t xml:space="preserve">A “There’s almost a role for an accredited </w:t>
      </w:r>
      <w:r w:rsidR="00505A85" w:rsidRPr="00C90AC9">
        <w:rPr>
          <w:rFonts w:eastAsiaTheme="minorHAnsi"/>
          <w:b/>
          <w:lang w:eastAsia="en-US"/>
        </w:rPr>
        <w:t>councillor’s</w:t>
      </w:r>
      <w:r w:rsidRPr="00C90AC9">
        <w:rPr>
          <w:rFonts w:eastAsiaTheme="minorHAnsi"/>
          <w:b/>
          <w:lang w:eastAsia="en-US"/>
        </w:rPr>
        <w:t xml:space="preserve"> energy training course.  There was an idea a few years ago, we called it the Councillors Housing Energy Action Team, or CHEAT for short.  I think there’s definitely a role for that, so councillors can give informed comments.”</w:t>
      </w:r>
      <w:r w:rsidR="00064395" w:rsidRPr="00C90AC9">
        <w:rPr>
          <w:rFonts w:eastAsiaTheme="minorHAnsi"/>
          <w:b/>
          <w:lang w:eastAsia="en-US"/>
        </w:rPr>
        <w:t xml:space="preserve">  </w:t>
      </w:r>
      <w:r w:rsidRPr="00C90AC9">
        <w:rPr>
          <w:rFonts w:eastAsiaTheme="minorHAnsi" w:cs="Times New Roman"/>
          <w:b/>
        </w:rPr>
        <w:t>Politician (2015)</w:t>
      </w:r>
    </w:p>
    <w:p w:rsidR="00A16B8C" w:rsidRPr="00C90AC9" w:rsidRDefault="00A16B8C" w:rsidP="00064395">
      <w:pPr>
        <w:pStyle w:val="BodyText"/>
        <w:spacing w:line="360" w:lineRule="auto"/>
        <w:rPr>
          <w:rFonts w:eastAsiaTheme="majorEastAsia"/>
          <w:lang w:eastAsia="en-US"/>
        </w:rPr>
      </w:pPr>
      <w:r w:rsidRPr="00C90AC9">
        <w:rPr>
          <w:rFonts w:eastAsiaTheme="majorEastAsia"/>
          <w:lang w:eastAsia="en-US"/>
        </w:rPr>
        <w:t xml:space="preserve">A concern which was made clear from both the </w:t>
      </w:r>
      <w:r w:rsidR="00FF15E5" w:rsidRPr="00C90AC9">
        <w:rPr>
          <w:rFonts w:eastAsiaTheme="majorEastAsia"/>
          <w:lang w:eastAsia="en-US"/>
        </w:rPr>
        <w:t>community</w:t>
      </w:r>
      <w:r w:rsidRPr="00C90AC9">
        <w:rPr>
          <w:rFonts w:eastAsiaTheme="majorEastAsia"/>
          <w:lang w:eastAsia="en-US"/>
        </w:rPr>
        <w:t xml:space="preserve"> </w:t>
      </w:r>
      <w:r w:rsidR="00FF15E5" w:rsidRPr="00C90AC9">
        <w:rPr>
          <w:rFonts w:eastAsiaTheme="majorEastAsia"/>
          <w:lang w:eastAsia="en-US"/>
        </w:rPr>
        <w:t>organiser</w:t>
      </w:r>
      <w:r w:rsidRPr="00C90AC9">
        <w:rPr>
          <w:rFonts w:eastAsiaTheme="majorEastAsia"/>
          <w:lang w:eastAsia="en-US"/>
        </w:rPr>
        <w:t xml:space="preserve">s and the </w:t>
      </w:r>
      <w:r w:rsidR="00BF3B73" w:rsidRPr="00C90AC9">
        <w:rPr>
          <w:rFonts w:eastAsiaTheme="majorEastAsia"/>
          <w:lang w:eastAsia="en-US"/>
        </w:rPr>
        <w:t>manufacturer</w:t>
      </w:r>
      <w:r w:rsidRPr="00C90AC9">
        <w:rPr>
          <w:rFonts w:eastAsiaTheme="majorEastAsia"/>
          <w:lang w:eastAsia="en-US"/>
        </w:rPr>
        <w:t xml:space="preserve">s in both years was the recognition that adopters of </w:t>
      </w:r>
      <w:r w:rsidR="006518C0" w:rsidRPr="00C90AC9">
        <w:rPr>
          <w:rFonts w:eastAsiaTheme="majorEastAsia"/>
          <w:lang w:eastAsia="en-US"/>
        </w:rPr>
        <w:t>STPs</w:t>
      </w:r>
      <w:r w:rsidRPr="00C90AC9">
        <w:rPr>
          <w:rFonts w:eastAsiaTheme="majorEastAsia"/>
          <w:lang w:eastAsia="en-US"/>
        </w:rPr>
        <w:t xml:space="preserve"> raised concerns about the method of installation of the technology on their property and who would be doing the installation. Both of these groups of </w:t>
      </w:r>
      <w:r w:rsidR="00E82522" w:rsidRPr="00C90AC9">
        <w:rPr>
          <w:rFonts w:eastAsiaTheme="majorEastAsia"/>
          <w:lang w:eastAsia="en-US"/>
        </w:rPr>
        <w:t>main</w:t>
      </w:r>
      <w:r w:rsidRPr="00C90AC9">
        <w:rPr>
          <w:rFonts w:eastAsiaTheme="majorEastAsia"/>
          <w:lang w:eastAsia="en-US"/>
        </w:rPr>
        <w:t xml:space="preserve"> actors recognised that the Perceived Ease </w:t>
      </w:r>
      <w:r w:rsidR="006D0184" w:rsidRPr="00C90AC9">
        <w:rPr>
          <w:rFonts w:eastAsiaTheme="majorEastAsia"/>
          <w:lang w:eastAsia="en-US"/>
        </w:rPr>
        <w:t>of</w:t>
      </w:r>
      <w:r w:rsidRPr="00C90AC9">
        <w:rPr>
          <w:rFonts w:eastAsiaTheme="majorEastAsia"/>
          <w:lang w:eastAsia="en-US"/>
        </w:rPr>
        <w:t xml:space="preserve"> Use (PEOU) of having </w:t>
      </w:r>
      <w:r w:rsidR="006518C0" w:rsidRPr="00C90AC9">
        <w:rPr>
          <w:rFonts w:eastAsiaTheme="majorEastAsia"/>
          <w:lang w:eastAsia="en-US"/>
        </w:rPr>
        <w:t>STPs</w:t>
      </w:r>
      <w:r w:rsidRPr="00C90AC9">
        <w:rPr>
          <w:rFonts w:eastAsiaTheme="majorEastAsia"/>
          <w:lang w:eastAsia="en-US"/>
        </w:rPr>
        <w:t xml:space="preserve"> installed on their properties was a significant concern for homeowners as the residents would want a regular supply of hot water during the installation process. Indeed</w:t>
      </w:r>
      <w:r w:rsidR="00505A85" w:rsidRPr="00C90AC9">
        <w:rPr>
          <w:rFonts w:eastAsiaTheme="majorEastAsia"/>
          <w:lang w:eastAsia="en-US"/>
        </w:rPr>
        <w:t>,</w:t>
      </w:r>
      <w:r w:rsidRPr="00C90AC9">
        <w:rPr>
          <w:rFonts w:eastAsiaTheme="majorEastAsia"/>
          <w:lang w:eastAsia="en-US"/>
        </w:rPr>
        <w:t xml:space="preserve"> it was a reoccurring theme that people would want a single company to buy and install the panels. This was perceived by the </w:t>
      </w:r>
      <w:r w:rsidR="00E82522" w:rsidRPr="00C90AC9">
        <w:rPr>
          <w:rFonts w:eastAsiaTheme="majorEastAsia"/>
          <w:lang w:eastAsia="en-US"/>
        </w:rPr>
        <w:t>main</w:t>
      </w:r>
      <w:r w:rsidRPr="00C90AC9">
        <w:rPr>
          <w:rFonts w:eastAsiaTheme="majorEastAsia"/>
          <w:lang w:eastAsia="en-US"/>
        </w:rPr>
        <w:t xml:space="preserve"> actors as being due to residents wanting as little disruption to their lives. It was felt that homeowners would not want a number of companies providing various services for each stage of the purchase and installation of the technology and that they would prefer to have a single company provide everything. </w:t>
      </w:r>
    </w:p>
    <w:p w:rsidR="00A16B8C" w:rsidRPr="00C90AC9" w:rsidRDefault="00A16B8C" w:rsidP="00064395">
      <w:pPr>
        <w:pStyle w:val="BodyText"/>
        <w:spacing w:line="360" w:lineRule="auto"/>
        <w:rPr>
          <w:rFonts w:eastAsiaTheme="minorHAnsi"/>
          <w:b/>
          <w:lang w:eastAsia="en-US"/>
        </w:rPr>
      </w:pPr>
      <w:r w:rsidRPr="00C90AC9">
        <w:rPr>
          <w:rFonts w:eastAsiaTheme="minorHAnsi"/>
          <w:b/>
          <w:lang w:eastAsia="en-US"/>
        </w:rPr>
        <w:t xml:space="preserve">Q: “Is that a concern </w:t>
      </w:r>
      <w:r w:rsidR="004540B8" w:rsidRPr="00C90AC9">
        <w:rPr>
          <w:rFonts w:eastAsiaTheme="minorHAnsi"/>
          <w:b/>
          <w:lang w:eastAsia="en-US"/>
        </w:rPr>
        <w:t>(</w:t>
      </w:r>
      <w:r w:rsidRPr="00C90AC9">
        <w:rPr>
          <w:rFonts w:eastAsiaTheme="minorHAnsi"/>
          <w:b/>
          <w:lang w:eastAsia="en-US"/>
        </w:rPr>
        <w:t>having a single manufacturer/installer etc.</w:t>
      </w:r>
      <w:r w:rsidR="004540B8" w:rsidRPr="00C90AC9">
        <w:rPr>
          <w:rFonts w:eastAsiaTheme="minorHAnsi"/>
          <w:b/>
          <w:lang w:eastAsia="en-US"/>
        </w:rPr>
        <w:t>)</w:t>
      </w:r>
      <w:r w:rsidRPr="00C90AC9">
        <w:rPr>
          <w:rFonts w:eastAsiaTheme="minorHAnsi"/>
          <w:b/>
          <w:lang w:eastAsia="en-US"/>
        </w:rPr>
        <w:t xml:space="preserve"> for consumers when they invest in this technology?”</w:t>
      </w:r>
    </w:p>
    <w:p w:rsidR="00A16B8C" w:rsidRPr="00C90AC9" w:rsidRDefault="00064395" w:rsidP="00064395">
      <w:pPr>
        <w:pStyle w:val="BodyText"/>
        <w:spacing w:line="360" w:lineRule="auto"/>
        <w:rPr>
          <w:rFonts w:eastAsiaTheme="minorHAnsi"/>
          <w:b/>
        </w:rPr>
      </w:pPr>
      <w:r w:rsidRPr="00C90AC9">
        <w:rPr>
          <w:rFonts w:eastAsiaTheme="minorHAnsi"/>
          <w:b/>
          <w:lang w:eastAsia="en-US"/>
        </w:rPr>
        <w:t xml:space="preserve">A: </w:t>
      </w:r>
      <w:r w:rsidR="00A16B8C" w:rsidRPr="00C90AC9">
        <w:rPr>
          <w:rFonts w:eastAsiaTheme="minorHAnsi"/>
          <w:b/>
          <w:lang w:eastAsia="en-US"/>
        </w:rPr>
        <w:t xml:space="preserve">“Not so much the </w:t>
      </w:r>
      <w:r w:rsidR="00E82522" w:rsidRPr="00C90AC9">
        <w:rPr>
          <w:rFonts w:eastAsiaTheme="minorHAnsi"/>
          <w:b/>
          <w:lang w:eastAsia="en-US"/>
        </w:rPr>
        <w:t>main</w:t>
      </w:r>
      <w:r w:rsidR="00A16B8C" w:rsidRPr="00C90AC9">
        <w:rPr>
          <w:rFonts w:eastAsiaTheme="minorHAnsi"/>
          <w:b/>
          <w:lang w:eastAsia="en-US"/>
        </w:rPr>
        <w:t>tenance. It tends to be a question that gets asks later. They’re more concerned about integration. They want one party to be responsible for integration. If we’re putting in a heat pump, and there’s under floor going in there, they would rather have one company doing both.”</w:t>
      </w:r>
      <w:r w:rsidRPr="00C90AC9">
        <w:rPr>
          <w:rFonts w:eastAsiaTheme="minorHAnsi"/>
          <w:b/>
          <w:lang w:eastAsia="en-US"/>
        </w:rPr>
        <w:t xml:space="preserve">  </w:t>
      </w:r>
      <w:r w:rsidR="00BF3B73" w:rsidRPr="00C90AC9">
        <w:rPr>
          <w:rFonts w:eastAsiaTheme="minorHAnsi"/>
          <w:b/>
        </w:rPr>
        <w:t>manufacturer</w:t>
      </w:r>
      <w:r w:rsidR="00A16B8C" w:rsidRPr="00C90AC9">
        <w:rPr>
          <w:rFonts w:eastAsiaTheme="minorHAnsi"/>
          <w:b/>
        </w:rPr>
        <w:t xml:space="preserve"> (2012)</w:t>
      </w:r>
    </w:p>
    <w:p w:rsidR="00A16B8C" w:rsidRPr="00C90AC9" w:rsidRDefault="00A16B8C" w:rsidP="00064395">
      <w:pPr>
        <w:pStyle w:val="BodyText"/>
        <w:spacing w:line="360" w:lineRule="auto"/>
        <w:rPr>
          <w:rFonts w:eastAsiaTheme="minorHAnsi"/>
          <w:lang w:eastAsia="en-US"/>
        </w:rPr>
      </w:pPr>
      <w:r w:rsidRPr="00C90AC9">
        <w:rPr>
          <w:rFonts w:eastAsiaTheme="minorHAnsi"/>
          <w:lang w:eastAsia="en-US"/>
        </w:rPr>
        <w:t xml:space="preserve">The installation process was perceived as not being a significant barrier to adoption of STP technology but the performance and the monetary return of the technology was seen as a significant barrier to adoption. The </w:t>
      </w:r>
      <w:r w:rsidR="006518C0" w:rsidRPr="00C90AC9">
        <w:rPr>
          <w:rFonts w:eastAsiaTheme="minorHAnsi"/>
          <w:lang w:eastAsia="en-US"/>
        </w:rPr>
        <w:t>STPs</w:t>
      </w:r>
      <w:r w:rsidRPr="00C90AC9">
        <w:rPr>
          <w:rFonts w:eastAsiaTheme="minorHAnsi"/>
          <w:lang w:eastAsia="en-US"/>
        </w:rPr>
        <w:t xml:space="preserve"> were perceived as having a poor rate of return on investment and this would limit the investment of the technology by consumers. </w:t>
      </w:r>
      <w:r w:rsidR="00505A85" w:rsidRPr="00C90AC9">
        <w:rPr>
          <w:rFonts w:eastAsiaTheme="minorHAnsi"/>
          <w:lang w:eastAsia="en-US"/>
        </w:rPr>
        <w:t>However,</w:t>
      </w:r>
      <w:r w:rsidRPr="00C90AC9">
        <w:rPr>
          <w:rFonts w:eastAsiaTheme="minorHAnsi"/>
          <w:lang w:eastAsia="en-US"/>
        </w:rPr>
        <w:t xml:space="preserve"> with greater financial support and an increased awareness of the technology the slow rate of return was perceived as not being a significant barrier to investment. If consumers understand the capabilities and limitations of the technology prior to investment through clearer information being disseminated by all the </w:t>
      </w:r>
      <w:r w:rsidR="00E82522" w:rsidRPr="00C90AC9">
        <w:rPr>
          <w:rFonts w:eastAsiaTheme="minorHAnsi"/>
          <w:lang w:eastAsia="en-US"/>
        </w:rPr>
        <w:t>main</w:t>
      </w:r>
      <w:r w:rsidRPr="00C90AC9">
        <w:rPr>
          <w:rFonts w:eastAsiaTheme="minorHAnsi"/>
          <w:lang w:eastAsia="en-US"/>
        </w:rPr>
        <w:t xml:space="preserve"> </w:t>
      </w:r>
      <w:r w:rsidR="00E82522" w:rsidRPr="00C90AC9">
        <w:rPr>
          <w:rFonts w:eastAsiaTheme="minorHAnsi"/>
          <w:lang w:eastAsia="en-US"/>
        </w:rPr>
        <w:t>actors</w:t>
      </w:r>
      <w:r w:rsidRPr="00C90AC9">
        <w:rPr>
          <w:rFonts w:eastAsiaTheme="minorHAnsi"/>
          <w:lang w:eastAsia="en-US"/>
        </w:rPr>
        <w:t xml:space="preserve"> (essentially any point of contact consumers may have </w:t>
      </w:r>
      <w:r w:rsidRPr="00C90AC9">
        <w:rPr>
          <w:rFonts w:eastAsiaTheme="minorHAnsi"/>
          <w:lang w:eastAsia="en-US"/>
        </w:rPr>
        <w:lastRenderedPageBreak/>
        <w:t>with persons of involved with STP technology) then the poor rate of return was perceived as not limiting the level of investment by consumers in STP technology.</w:t>
      </w:r>
    </w:p>
    <w:p w:rsidR="00A16B8C" w:rsidRPr="00C90AC9" w:rsidRDefault="00A16B8C" w:rsidP="00064395">
      <w:pPr>
        <w:pStyle w:val="Heading4"/>
        <w:spacing w:line="360" w:lineRule="auto"/>
        <w:rPr>
          <w:rFonts w:eastAsiaTheme="minorHAnsi"/>
          <w:i w:val="0"/>
          <w:color w:val="auto"/>
        </w:rPr>
      </w:pPr>
      <w:r w:rsidRPr="00C90AC9">
        <w:rPr>
          <w:rFonts w:eastAsiaTheme="minorHAnsi"/>
          <w:i w:val="0"/>
          <w:color w:val="auto"/>
        </w:rPr>
        <w:t xml:space="preserve">Q: “What are the </w:t>
      </w:r>
      <w:r w:rsidR="00E82522" w:rsidRPr="00C90AC9">
        <w:rPr>
          <w:rFonts w:eastAsiaTheme="minorHAnsi"/>
          <w:i w:val="0"/>
          <w:color w:val="auto"/>
        </w:rPr>
        <w:t>main</w:t>
      </w:r>
      <w:r w:rsidRPr="00C90AC9">
        <w:rPr>
          <w:rFonts w:eastAsiaTheme="minorHAnsi"/>
          <w:i w:val="0"/>
          <w:color w:val="auto"/>
        </w:rPr>
        <w:t xml:space="preserve"> risks involved when people invest?”</w:t>
      </w:r>
    </w:p>
    <w:p w:rsidR="00A16B8C" w:rsidRPr="00C90AC9" w:rsidRDefault="00A16B8C" w:rsidP="00064395">
      <w:pPr>
        <w:pStyle w:val="BodyText"/>
        <w:spacing w:line="360" w:lineRule="auto"/>
        <w:rPr>
          <w:rFonts w:eastAsiaTheme="minorHAnsi"/>
          <w:b/>
        </w:rPr>
      </w:pPr>
      <w:r w:rsidRPr="00C90AC9">
        <w:rPr>
          <w:rFonts w:eastAsiaTheme="minorHAnsi"/>
          <w:b/>
          <w:lang w:eastAsia="en-US"/>
        </w:rPr>
        <w:t>A: “I think the difficulty is the perceived return. It’s a fairly substantial outlay, and without the renewable heat incentive the benefits are fairly scant.”</w:t>
      </w:r>
      <w:r w:rsidR="00064395" w:rsidRPr="00C90AC9">
        <w:rPr>
          <w:rFonts w:eastAsiaTheme="minorHAnsi"/>
          <w:b/>
          <w:lang w:eastAsia="en-US"/>
        </w:rPr>
        <w:t xml:space="preserve"> </w:t>
      </w:r>
      <w:r w:rsidR="00BF3B73" w:rsidRPr="00C90AC9">
        <w:rPr>
          <w:rFonts w:eastAsiaTheme="minorHAnsi"/>
          <w:b/>
        </w:rPr>
        <w:t>manufacturer</w:t>
      </w:r>
      <w:r w:rsidRPr="00C90AC9">
        <w:rPr>
          <w:rFonts w:eastAsiaTheme="minorHAnsi"/>
          <w:b/>
        </w:rPr>
        <w:t xml:space="preserve"> (2012)</w:t>
      </w:r>
    </w:p>
    <w:p w:rsidR="009902C3" w:rsidRPr="00C90AC9" w:rsidRDefault="00A16B8C" w:rsidP="00064395">
      <w:pPr>
        <w:pStyle w:val="BodyText"/>
        <w:spacing w:line="360" w:lineRule="auto"/>
        <w:rPr>
          <w:rFonts w:eastAsiaTheme="minorHAnsi"/>
          <w:lang w:eastAsia="en-US"/>
        </w:rPr>
      </w:pPr>
      <w:r w:rsidRPr="00C90AC9">
        <w:rPr>
          <w:rFonts w:eastAsiaTheme="minorHAnsi"/>
          <w:lang w:eastAsia="en-US"/>
        </w:rPr>
        <w:t>As well as the above concerns being highlighted as a reason why consumers may not invest in the technology a simple reason was offered as to why some consumers may not be in a position to invest in the technology:</w:t>
      </w:r>
    </w:p>
    <w:p w:rsidR="00A16B8C" w:rsidRPr="00C90AC9" w:rsidRDefault="00A16B8C" w:rsidP="00064395">
      <w:pPr>
        <w:pStyle w:val="BodyText"/>
        <w:spacing w:line="360" w:lineRule="auto"/>
        <w:rPr>
          <w:rFonts w:eastAsiaTheme="minorHAnsi"/>
          <w:b/>
        </w:rPr>
      </w:pPr>
      <w:r w:rsidRPr="00C90AC9">
        <w:rPr>
          <w:rFonts w:eastAsiaTheme="minorHAnsi"/>
          <w:b/>
        </w:rPr>
        <w:t>Q: “What are your reasons for not having solar thermal panels on your home?”</w:t>
      </w:r>
    </w:p>
    <w:p w:rsidR="00A16B8C" w:rsidRPr="00C90AC9" w:rsidRDefault="00A16B8C" w:rsidP="00064395">
      <w:pPr>
        <w:pStyle w:val="BodyText"/>
        <w:spacing w:line="360" w:lineRule="auto"/>
        <w:rPr>
          <w:rFonts w:eastAsiaTheme="minorHAnsi" w:cs="Times New Roman"/>
          <w:b/>
        </w:rPr>
      </w:pPr>
      <w:r w:rsidRPr="00C90AC9">
        <w:rPr>
          <w:rFonts w:eastAsiaTheme="minorHAnsi"/>
          <w:b/>
          <w:lang w:eastAsia="en-US"/>
        </w:rPr>
        <w:t xml:space="preserve">A: “The primary reason is because I’m not a homeowner.  I’m renting.  I don’t have any </w:t>
      </w:r>
      <w:r w:rsidR="006D0184" w:rsidRPr="00C90AC9">
        <w:rPr>
          <w:rFonts w:eastAsiaTheme="minorHAnsi"/>
          <w:b/>
          <w:lang w:eastAsia="en-US"/>
        </w:rPr>
        <w:t>decision-making</w:t>
      </w:r>
      <w:r w:rsidRPr="00C90AC9">
        <w:rPr>
          <w:rFonts w:eastAsiaTheme="minorHAnsi"/>
          <w:b/>
          <w:lang w:eastAsia="en-US"/>
        </w:rPr>
        <w:t xml:space="preserve"> power over my current residence.”</w:t>
      </w:r>
      <w:r w:rsidR="00064395" w:rsidRPr="00C90AC9">
        <w:rPr>
          <w:rFonts w:eastAsiaTheme="minorHAnsi"/>
          <w:b/>
          <w:lang w:eastAsia="en-US"/>
        </w:rPr>
        <w:t xml:space="preserve">  </w:t>
      </w:r>
      <w:r w:rsidR="00FF15E5" w:rsidRPr="00C90AC9">
        <w:rPr>
          <w:rFonts w:eastAsiaTheme="minorHAnsi" w:cs="Times New Roman"/>
          <w:b/>
        </w:rPr>
        <w:t>academic</w:t>
      </w:r>
      <w:r w:rsidRPr="00C90AC9">
        <w:rPr>
          <w:rFonts w:eastAsiaTheme="minorHAnsi" w:cs="Times New Roman"/>
          <w:b/>
        </w:rPr>
        <w:t xml:space="preserve"> (2015)</w:t>
      </w:r>
    </w:p>
    <w:p w:rsidR="00A16B8C" w:rsidRPr="00C90AC9" w:rsidRDefault="00A16B8C" w:rsidP="00064395">
      <w:pPr>
        <w:pStyle w:val="BodyText"/>
        <w:spacing w:line="360" w:lineRule="auto"/>
        <w:rPr>
          <w:rFonts w:eastAsiaTheme="minorHAnsi"/>
          <w:lang w:eastAsia="en-US"/>
        </w:rPr>
      </w:pPr>
      <w:r w:rsidRPr="00C90AC9">
        <w:rPr>
          <w:rFonts w:eastAsiaTheme="minorHAnsi"/>
          <w:lang w:eastAsia="en-US"/>
        </w:rPr>
        <w:t xml:space="preserve">Owning a property and being able to install </w:t>
      </w:r>
      <w:r w:rsidR="006518C0" w:rsidRPr="00C90AC9">
        <w:rPr>
          <w:rFonts w:eastAsiaTheme="minorHAnsi"/>
          <w:lang w:eastAsia="en-US"/>
        </w:rPr>
        <w:t>STPs</w:t>
      </w:r>
      <w:r w:rsidRPr="00C90AC9">
        <w:rPr>
          <w:rFonts w:eastAsiaTheme="minorHAnsi"/>
          <w:lang w:eastAsia="en-US"/>
        </w:rPr>
        <w:t xml:space="preserve"> on a property was perceived as being a significant barrier to investment of STP technology. Residents that are renting a property was perceived as a being a </w:t>
      </w:r>
      <w:r w:rsidR="00E82522" w:rsidRPr="00C90AC9">
        <w:rPr>
          <w:rFonts w:eastAsiaTheme="minorHAnsi"/>
          <w:lang w:eastAsia="en-US"/>
        </w:rPr>
        <w:t>main</w:t>
      </w:r>
      <w:r w:rsidRPr="00C90AC9">
        <w:rPr>
          <w:rFonts w:eastAsiaTheme="minorHAnsi"/>
          <w:lang w:eastAsia="en-US"/>
        </w:rPr>
        <w:t xml:space="preserve"> reason why consumers do not adopt STP technology as they do not have the capability to install a significant technology such as </w:t>
      </w:r>
      <w:r w:rsidR="006518C0" w:rsidRPr="00C90AC9">
        <w:rPr>
          <w:rFonts w:eastAsiaTheme="minorHAnsi"/>
          <w:lang w:eastAsia="en-US"/>
        </w:rPr>
        <w:t>STPs</w:t>
      </w:r>
      <w:r w:rsidRPr="00C90AC9">
        <w:rPr>
          <w:rFonts w:eastAsiaTheme="minorHAnsi"/>
          <w:lang w:eastAsia="en-US"/>
        </w:rPr>
        <w:t xml:space="preserve"> on a property.</w:t>
      </w:r>
    </w:p>
    <w:p w:rsidR="00A16B8C" w:rsidRPr="00C90AC9" w:rsidRDefault="00A16B8C" w:rsidP="00064395">
      <w:pPr>
        <w:pStyle w:val="BodyText"/>
        <w:spacing w:line="360" w:lineRule="auto"/>
        <w:rPr>
          <w:rFonts w:eastAsiaTheme="minorHAnsi"/>
          <w:lang w:eastAsia="en-US"/>
        </w:rPr>
      </w:pPr>
      <w:r w:rsidRPr="00C90AC9">
        <w:rPr>
          <w:rFonts w:eastAsiaTheme="minorHAnsi"/>
          <w:lang w:eastAsia="en-US"/>
        </w:rPr>
        <w:t xml:space="preserve">As well as the above potential concerns that consumers may have with the technology the one </w:t>
      </w:r>
      <w:r w:rsidR="00E82522" w:rsidRPr="00C90AC9">
        <w:rPr>
          <w:rFonts w:eastAsiaTheme="minorHAnsi"/>
          <w:lang w:eastAsia="en-US"/>
        </w:rPr>
        <w:t>main</w:t>
      </w:r>
      <w:r w:rsidRPr="00C90AC9">
        <w:rPr>
          <w:rFonts w:eastAsiaTheme="minorHAnsi"/>
          <w:lang w:eastAsia="en-US"/>
        </w:rPr>
        <w:t xml:space="preserve"> actor who owns </w:t>
      </w:r>
      <w:r w:rsidR="006518C0" w:rsidRPr="00C90AC9">
        <w:rPr>
          <w:rFonts w:eastAsiaTheme="minorHAnsi"/>
          <w:lang w:eastAsia="en-US"/>
        </w:rPr>
        <w:t>STPs</w:t>
      </w:r>
      <w:r w:rsidRPr="00C90AC9">
        <w:rPr>
          <w:rFonts w:eastAsiaTheme="minorHAnsi"/>
          <w:lang w:eastAsia="en-US"/>
        </w:rPr>
        <w:t xml:space="preserve"> offered a benefit to having </w:t>
      </w:r>
      <w:r w:rsidR="006518C0" w:rsidRPr="00C90AC9">
        <w:rPr>
          <w:rFonts w:eastAsiaTheme="minorHAnsi"/>
          <w:lang w:eastAsia="en-US"/>
        </w:rPr>
        <w:t>STPs</w:t>
      </w:r>
      <w:r w:rsidRPr="00C90AC9">
        <w:rPr>
          <w:rFonts w:eastAsiaTheme="minorHAnsi"/>
          <w:lang w:eastAsia="en-US"/>
        </w:rPr>
        <w:t xml:space="preserve"> installed on a domestic property:</w:t>
      </w:r>
    </w:p>
    <w:p w:rsidR="00A16B8C" w:rsidRPr="00C90AC9" w:rsidRDefault="00A16B8C" w:rsidP="00064395">
      <w:pPr>
        <w:pStyle w:val="BodyText"/>
        <w:spacing w:line="360" w:lineRule="auto"/>
        <w:rPr>
          <w:rFonts w:eastAsiaTheme="minorHAnsi"/>
          <w:b/>
          <w:lang w:eastAsia="en-US"/>
        </w:rPr>
      </w:pPr>
      <w:r w:rsidRPr="00C90AC9">
        <w:rPr>
          <w:rFonts w:eastAsiaTheme="minorHAnsi"/>
          <w:b/>
          <w:lang w:eastAsia="en-US"/>
        </w:rPr>
        <w:t xml:space="preserve">Q; “What have you seen as the </w:t>
      </w:r>
      <w:r w:rsidR="00E82522" w:rsidRPr="00C90AC9">
        <w:rPr>
          <w:rFonts w:eastAsiaTheme="minorHAnsi"/>
          <w:b/>
          <w:lang w:eastAsia="en-US"/>
        </w:rPr>
        <w:t>main</w:t>
      </w:r>
      <w:r w:rsidRPr="00C90AC9">
        <w:rPr>
          <w:rFonts w:eastAsiaTheme="minorHAnsi"/>
          <w:b/>
          <w:lang w:eastAsia="en-US"/>
        </w:rPr>
        <w:t xml:space="preserve"> benefit of having them? </w:t>
      </w:r>
      <w:r w:rsidR="00191628" w:rsidRPr="00C90AC9">
        <w:rPr>
          <w:rFonts w:eastAsiaTheme="minorHAnsi"/>
          <w:b/>
          <w:lang w:eastAsia="en-US"/>
        </w:rPr>
        <w:t>[</w:t>
      </w:r>
      <w:r w:rsidRPr="00C90AC9">
        <w:rPr>
          <w:rFonts w:eastAsiaTheme="minorHAnsi"/>
          <w:b/>
          <w:lang w:eastAsia="en-US"/>
        </w:rPr>
        <w:t>Installed at home</w:t>
      </w:r>
      <w:r w:rsidR="00191628" w:rsidRPr="00C90AC9">
        <w:rPr>
          <w:rFonts w:eastAsiaTheme="minorHAnsi"/>
          <w:b/>
          <w:lang w:eastAsia="en-US"/>
        </w:rPr>
        <w:t>]</w:t>
      </w:r>
      <w:r w:rsidRPr="00C90AC9">
        <w:rPr>
          <w:rFonts w:eastAsiaTheme="minorHAnsi"/>
          <w:b/>
          <w:lang w:eastAsia="en-US"/>
        </w:rPr>
        <w:t>”</w:t>
      </w:r>
    </w:p>
    <w:p w:rsidR="00A16B8C" w:rsidRPr="00C90AC9" w:rsidRDefault="00A16B8C" w:rsidP="00064395">
      <w:pPr>
        <w:pStyle w:val="BodyText"/>
        <w:spacing w:line="360" w:lineRule="auto"/>
        <w:rPr>
          <w:rFonts w:eastAsiaTheme="minorHAnsi"/>
          <w:b/>
        </w:rPr>
      </w:pPr>
      <w:r w:rsidRPr="00C90AC9">
        <w:rPr>
          <w:rFonts w:eastAsiaTheme="minorHAnsi"/>
          <w:b/>
          <w:lang w:eastAsia="en-US"/>
        </w:rPr>
        <w:t xml:space="preserve">A: “Turning the gas boiler off in the summer is the principle one.  We’ve got a display in the kitchen so it’s pretty useful to see how much energy is being produced in an amount of time; it keeps you in touch with the </w:t>
      </w:r>
      <w:r w:rsidR="000450FC" w:rsidRPr="00C90AC9">
        <w:rPr>
          <w:rFonts w:eastAsiaTheme="minorHAnsi"/>
          <w:b/>
          <w:lang w:eastAsia="en-US"/>
        </w:rPr>
        <w:t>sun</w:t>
      </w:r>
      <w:r w:rsidRPr="00C90AC9">
        <w:rPr>
          <w:rFonts w:eastAsiaTheme="minorHAnsi"/>
          <w:b/>
          <w:lang w:eastAsia="en-US"/>
        </w:rPr>
        <w:t>.”</w:t>
      </w:r>
      <w:r w:rsidR="00064395" w:rsidRPr="00C90AC9">
        <w:rPr>
          <w:rFonts w:eastAsiaTheme="minorHAnsi"/>
          <w:b/>
          <w:lang w:eastAsia="en-US"/>
        </w:rPr>
        <w:t xml:space="preserve">  </w:t>
      </w:r>
      <w:r w:rsidR="00FF15E5" w:rsidRPr="00C90AC9">
        <w:rPr>
          <w:rFonts w:eastAsiaTheme="minorHAnsi"/>
          <w:b/>
        </w:rPr>
        <w:t>academic</w:t>
      </w:r>
      <w:r w:rsidRPr="00C90AC9">
        <w:rPr>
          <w:rFonts w:eastAsiaTheme="minorHAnsi"/>
          <w:b/>
        </w:rPr>
        <w:t xml:space="preserve"> (2012)</w:t>
      </w:r>
    </w:p>
    <w:p w:rsidR="00A16B8C" w:rsidRPr="00C90AC9" w:rsidRDefault="00A16B8C" w:rsidP="00064395">
      <w:pPr>
        <w:pStyle w:val="BodyText"/>
        <w:spacing w:line="360" w:lineRule="auto"/>
        <w:rPr>
          <w:rFonts w:eastAsiaTheme="minorHAnsi"/>
          <w:lang w:eastAsia="en-US"/>
        </w:rPr>
      </w:pPr>
      <w:r w:rsidRPr="00C90AC9">
        <w:rPr>
          <w:rFonts w:eastAsiaTheme="minorHAnsi"/>
          <w:lang w:eastAsia="en-US"/>
        </w:rPr>
        <w:t xml:space="preserve">There was a perception that the </w:t>
      </w:r>
      <w:r w:rsidR="00E82522" w:rsidRPr="00C90AC9">
        <w:rPr>
          <w:rFonts w:eastAsiaTheme="minorHAnsi"/>
          <w:lang w:eastAsia="en-US"/>
        </w:rPr>
        <w:t>main</w:t>
      </w:r>
      <w:r w:rsidRPr="00C90AC9">
        <w:rPr>
          <w:rFonts w:eastAsiaTheme="minorHAnsi"/>
          <w:lang w:eastAsia="en-US"/>
        </w:rPr>
        <w:t xml:space="preserve"> </w:t>
      </w:r>
      <w:r w:rsidR="00E82522" w:rsidRPr="00C90AC9">
        <w:rPr>
          <w:rFonts w:eastAsiaTheme="minorHAnsi"/>
          <w:lang w:eastAsia="en-US"/>
        </w:rPr>
        <w:t>actors</w:t>
      </w:r>
      <w:r w:rsidRPr="00C90AC9">
        <w:rPr>
          <w:rFonts w:eastAsiaTheme="minorHAnsi"/>
          <w:lang w:eastAsia="en-US"/>
        </w:rPr>
        <w:t xml:space="preserve"> should have more discussion with each other including across professions to ensure that there is a good agreement between them regarding their approach to STP technology and so that they are working towards a similar goal rather than in opposition with each other. This was perceived as being a crucial way in which the </w:t>
      </w:r>
      <w:r w:rsidR="00E82522" w:rsidRPr="00C90AC9">
        <w:rPr>
          <w:rFonts w:eastAsiaTheme="minorHAnsi"/>
          <w:lang w:eastAsia="en-US"/>
        </w:rPr>
        <w:t>main</w:t>
      </w:r>
      <w:r w:rsidRPr="00C90AC9">
        <w:rPr>
          <w:rFonts w:eastAsiaTheme="minorHAnsi"/>
          <w:lang w:eastAsia="en-US"/>
        </w:rPr>
        <w:t xml:space="preserve"> </w:t>
      </w:r>
      <w:r w:rsidR="00E82522" w:rsidRPr="00C90AC9">
        <w:rPr>
          <w:rFonts w:eastAsiaTheme="minorHAnsi"/>
          <w:lang w:eastAsia="en-US"/>
        </w:rPr>
        <w:t>actors</w:t>
      </w:r>
      <w:r w:rsidRPr="00C90AC9">
        <w:rPr>
          <w:rFonts w:eastAsiaTheme="minorHAnsi"/>
          <w:lang w:eastAsia="en-US"/>
        </w:rPr>
        <w:t xml:space="preserve"> could perform their roles, in that, by communicating with other </w:t>
      </w:r>
      <w:r w:rsidR="00E82522" w:rsidRPr="00C90AC9">
        <w:rPr>
          <w:rFonts w:eastAsiaTheme="minorHAnsi"/>
          <w:lang w:eastAsia="en-US"/>
        </w:rPr>
        <w:t>main</w:t>
      </w:r>
      <w:r w:rsidRPr="00C90AC9">
        <w:rPr>
          <w:rFonts w:eastAsiaTheme="minorHAnsi"/>
          <w:lang w:eastAsia="en-US"/>
        </w:rPr>
        <w:t xml:space="preserve"> </w:t>
      </w:r>
      <w:r w:rsidR="00E82522" w:rsidRPr="00C90AC9">
        <w:rPr>
          <w:rFonts w:eastAsiaTheme="minorHAnsi"/>
          <w:lang w:eastAsia="en-US"/>
        </w:rPr>
        <w:t>actors</w:t>
      </w:r>
      <w:r w:rsidRPr="00C90AC9">
        <w:rPr>
          <w:rFonts w:eastAsiaTheme="minorHAnsi"/>
          <w:lang w:eastAsia="en-US"/>
        </w:rPr>
        <w:t xml:space="preserve"> there would be more of a “homogenous” approach to STP technology. </w:t>
      </w:r>
    </w:p>
    <w:p w:rsidR="00A16B8C" w:rsidRPr="00C90AC9" w:rsidRDefault="00A16B8C" w:rsidP="00B06779">
      <w:pPr>
        <w:rPr>
          <w:rFonts w:eastAsiaTheme="minorHAnsi"/>
          <w:lang w:eastAsia="en-US"/>
        </w:rPr>
      </w:pPr>
    </w:p>
    <w:p w:rsidR="00A16B8C" w:rsidRPr="00C90AC9" w:rsidRDefault="00A16B8C" w:rsidP="00B06779">
      <w:pPr>
        <w:rPr>
          <w:rFonts w:eastAsiaTheme="majorEastAsia"/>
          <w:lang w:eastAsia="en-US"/>
        </w:rPr>
      </w:pPr>
      <w:r w:rsidRPr="00C90AC9">
        <w:rPr>
          <w:rFonts w:eastAsiaTheme="minorHAnsi"/>
          <w:lang w:eastAsia="en-US"/>
        </w:rPr>
        <w:br w:type="page"/>
      </w:r>
    </w:p>
    <w:p w:rsidR="00A16B8C" w:rsidRPr="00C90AC9" w:rsidRDefault="00A16B8C" w:rsidP="00CA6E35">
      <w:pPr>
        <w:pStyle w:val="List"/>
        <w:numPr>
          <w:ilvl w:val="1"/>
          <w:numId w:val="11"/>
        </w:numPr>
        <w:ind w:left="0" w:firstLine="0"/>
        <w:rPr>
          <w:rStyle w:val="SubtleEmphasis"/>
          <w:rFonts w:cs="Times New Roman"/>
          <w:iCs/>
          <w:szCs w:val="24"/>
        </w:rPr>
      </w:pPr>
      <w:bookmarkStart w:id="62" w:name="_Toc447173089"/>
      <w:r w:rsidRPr="00C90AC9">
        <w:rPr>
          <w:rStyle w:val="SubtleEmphasis"/>
          <w:rFonts w:cs="Times New Roman"/>
          <w:iCs/>
          <w:szCs w:val="24"/>
        </w:rPr>
        <w:lastRenderedPageBreak/>
        <w:t>Discussion of results from semi-structured interviews in 2012 and 2015</w:t>
      </w:r>
      <w:bookmarkEnd w:id="62"/>
    </w:p>
    <w:p w:rsidR="00A16B8C" w:rsidRPr="00C90AC9" w:rsidRDefault="00A16B8C" w:rsidP="00B06779">
      <w:pPr>
        <w:rPr>
          <w:rFonts w:eastAsiaTheme="minorHAnsi"/>
          <w:lang w:eastAsia="en-US"/>
        </w:rPr>
      </w:pPr>
    </w:p>
    <w:p w:rsidR="00F662C9" w:rsidRPr="00C90AC9" w:rsidRDefault="00A16B8C" w:rsidP="00064395">
      <w:pPr>
        <w:pStyle w:val="ListContinue"/>
        <w:spacing w:line="360" w:lineRule="auto"/>
        <w:ind w:left="0"/>
        <w:rPr>
          <w:rFonts w:eastAsiaTheme="minorHAnsi"/>
          <w:lang w:eastAsia="en-US"/>
        </w:rPr>
      </w:pPr>
      <w:r w:rsidRPr="00C90AC9">
        <w:rPr>
          <w:rFonts w:eastAsiaTheme="minorHAnsi"/>
          <w:lang w:eastAsia="en-US"/>
        </w:rPr>
        <w:t xml:space="preserve">The various limiting factors to </w:t>
      </w:r>
      <w:r w:rsidR="000C5541" w:rsidRPr="00C90AC9">
        <w:rPr>
          <w:rFonts w:eastAsiaTheme="minorHAnsi"/>
          <w:lang w:eastAsia="en-US"/>
        </w:rPr>
        <w:t>the</w:t>
      </w:r>
      <w:r w:rsidRPr="00C90AC9">
        <w:rPr>
          <w:rFonts w:eastAsiaTheme="minorHAnsi"/>
          <w:lang w:eastAsia="en-US"/>
        </w:rPr>
        <w:t xml:space="preserve"> adoption rate of </w:t>
      </w:r>
      <w:r w:rsidR="006518C0" w:rsidRPr="00C90AC9">
        <w:rPr>
          <w:rFonts w:eastAsiaTheme="minorHAnsi"/>
          <w:lang w:eastAsia="en-US"/>
        </w:rPr>
        <w:t>STPs</w:t>
      </w:r>
      <w:r w:rsidR="00E37973" w:rsidRPr="00C90AC9">
        <w:rPr>
          <w:rFonts w:eastAsiaTheme="minorHAnsi"/>
          <w:lang w:eastAsia="en-US"/>
        </w:rPr>
        <w:t xml:space="preserve"> were </w:t>
      </w:r>
      <w:r w:rsidRPr="00C90AC9">
        <w:rPr>
          <w:rFonts w:eastAsiaTheme="minorHAnsi"/>
          <w:lang w:eastAsia="en-US"/>
        </w:rPr>
        <w:t xml:space="preserve">raised by the </w:t>
      </w:r>
      <w:r w:rsidR="00E82522" w:rsidRPr="00C90AC9">
        <w:rPr>
          <w:rFonts w:eastAsiaTheme="minorHAnsi"/>
          <w:lang w:eastAsia="en-US"/>
        </w:rPr>
        <w:t>main</w:t>
      </w:r>
      <w:r w:rsidRPr="00C90AC9">
        <w:rPr>
          <w:rFonts w:eastAsiaTheme="minorHAnsi"/>
          <w:lang w:eastAsia="en-US"/>
        </w:rPr>
        <w:t xml:space="preserve"> </w:t>
      </w:r>
      <w:r w:rsidR="00E82522" w:rsidRPr="00C90AC9">
        <w:rPr>
          <w:rFonts w:eastAsiaTheme="minorHAnsi"/>
          <w:lang w:eastAsia="en-US"/>
        </w:rPr>
        <w:t>actors</w:t>
      </w:r>
      <w:r w:rsidR="00E37973" w:rsidRPr="00C90AC9">
        <w:rPr>
          <w:rFonts w:eastAsiaTheme="minorHAnsi"/>
          <w:lang w:eastAsia="en-US"/>
        </w:rPr>
        <w:t xml:space="preserve"> over both 2012 and 2015</w:t>
      </w:r>
      <w:r w:rsidR="00F662C9" w:rsidRPr="00C90AC9">
        <w:rPr>
          <w:rFonts w:eastAsiaTheme="minorHAnsi"/>
          <w:lang w:eastAsia="en-US"/>
        </w:rPr>
        <w:t xml:space="preserve"> being:</w:t>
      </w:r>
    </w:p>
    <w:p w:rsidR="00F662C9" w:rsidRPr="00C90AC9" w:rsidRDefault="00F662C9" w:rsidP="00CA6E35">
      <w:pPr>
        <w:pStyle w:val="ListContinue"/>
        <w:numPr>
          <w:ilvl w:val="0"/>
          <w:numId w:val="27"/>
        </w:numPr>
        <w:spacing w:line="360" w:lineRule="auto"/>
        <w:rPr>
          <w:rFonts w:eastAsiaTheme="minorHAnsi"/>
          <w:lang w:eastAsia="en-US"/>
        </w:rPr>
      </w:pPr>
      <w:r w:rsidRPr="00C90AC9">
        <w:rPr>
          <w:rFonts w:eastAsiaTheme="minorHAnsi"/>
          <w:lang w:eastAsia="en-US"/>
        </w:rPr>
        <w:t>insufficient funding for consumers of STPS;</w:t>
      </w:r>
    </w:p>
    <w:p w:rsidR="00F662C9" w:rsidRPr="00C90AC9" w:rsidRDefault="00F662C9" w:rsidP="00CA6E35">
      <w:pPr>
        <w:pStyle w:val="ListContinue"/>
        <w:numPr>
          <w:ilvl w:val="0"/>
          <w:numId w:val="27"/>
        </w:numPr>
        <w:spacing w:line="360" w:lineRule="auto"/>
        <w:rPr>
          <w:rFonts w:eastAsiaTheme="minorHAnsi"/>
          <w:lang w:eastAsia="en-US"/>
        </w:rPr>
      </w:pPr>
      <w:r w:rsidRPr="00C90AC9">
        <w:rPr>
          <w:rFonts w:eastAsiaTheme="minorHAnsi"/>
          <w:lang w:eastAsia="en-US"/>
        </w:rPr>
        <w:t>inadequate and inaccurate information provided to customers concerning STP’s;</w:t>
      </w:r>
    </w:p>
    <w:p w:rsidR="00F662C9" w:rsidRPr="00C90AC9" w:rsidRDefault="00F662C9" w:rsidP="00CA6E35">
      <w:pPr>
        <w:pStyle w:val="ListContinue"/>
        <w:numPr>
          <w:ilvl w:val="0"/>
          <w:numId w:val="27"/>
        </w:numPr>
        <w:spacing w:line="360" w:lineRule="auto"/>
        <w:rPr>
          <w:rFonts w:eastAsiaTheme="minorHAnsi"/>
          <w:lang w:eastAsia="en-US"/>
        </w:rPr>
      </w:pPr>
      <w:r w:rsidRPr="00C90AC9">
        <w:rPr>
          <w:rFonts w:eastAsiaTheme="minorHAnsi"/>
          <w:lang w:eastAsia="en-US"/>
        </w:rPr>
        <w:t>an unclear message from local and national government; and</w:t>
      </w:r>
    </w:p>
    <w:p w:rsidR="00F662C9" w:rsidRPr="00C90AC9" w:rsidRDefault="00F662C9" w:rsidP="00CA6E35">
      <w:pPr>
        <w:pStyle w:val="ListContinue"/>
        <w:numPr>
          <w:ilvl w:val="0"/>
          <w:numId w:val="27"/>
        </w:numPr>
        <w:spacing w:line="360" w:lineRule="auto"/>
        <w:rPr>
          <w:rFonts w:eastAsiaTheme="minorHAnsi"/>
          <w:lang w:eastAsia="en-US"/>
        </w:rPr>
      </w:pPr>
      <w:r w:rsidRPr="00C90AC9">
        <w:rPr>
          <w:rFonts w:eastAsiaTheme="minorHAnsi"/>
          <w:lang w:eastAsia="en-US"/>
        </w:rPr>
        <w:t>the lack of a governing body overseeing the STP market.</w:t>
      </w:r>
    </w:p>
    <w:p w:rsidR="00F662C9" w:rsidRPr="00C90AC9" w:rsidRDefault="00F662C9" w:rsidP="00F662C9">
      <w:pPr>
        <w:pStyle w:val="ListContinue"/>
        <w:spacing w:line="360" w:lineRule="auto"/>
        <w:ind w:left="0"/>
        <w:rPr>
          <w:rFonts w:eastAsiaTheme="minorHAnsi"/>
          <w:lang w:eastAsia="en-US"/>
        </w:rPr>
      </w:pPr>
    </w:p>
    <w:p w:rsidR="00A16B8C" w:rsidRPr="00C90AC9" w:rsidRDefault="00F662C9" w:rsidP="00064395">
      <w:pPr>
        <w:pStyle w:val="ListContinue"/>
        <w:spacing w:line="360" w:lineRule="auto"/>
        <w:ind w:left="0"/>
        <w:rPr>
          <w:rFonts w:eastAsiaTheme="minorHAnsi"/>
          <w:lang w:eastAsia="en-US"/>
        </w:rPr>
      </w:pPr>
      <w:r w:rsidRPr="00C90AC9">
        <w:rPr>
          <w:rFonts w:eastAsiaTheme="minorHAnsi"/>
          <w:lang w:eastAsia="en-US"/>
        </w:rPr>
        <w:t>The main actors interviewed in 2012 and 2015 express the deficiency of these four areas as being the main limiting factors why STP is not adopted in higher rates than they are UK. These four factors are</w:t>
      </w:r>
      <w:r w:rsidR="00A16B8C" w:rsidRPr="00C90AC9">
        <w:rPr>
          <w:rFonts w:eastAsiaTheme="minorHAnsi"/>
          <w:lang w:eastAsia="en-US"/>
        </w:rPr>
        <w:t xml:space="preserve"> in broad agreement with the three key limiting factors as described by </w:t>
      </w:r>
      <w:proofErr w:type="spellStart"/>
      <w:r w:rsidR="009D65E9" w:rsidRPr="00C90AC9">
        <w:rPr>
          <w:rFonts w:eastAsiaTheme="minorHAnsi"/>
          <w:lang w:eastAsia="en-US"/>
        </w:rPr>
        <w:t>Juntman</w:t>
      </w:r>
      <w:proofErr w:type="spellEnd"/>
      <w:r w:rsidR="00F103AF" w:rsidRPr="00C90AC9">
        <w:rPr>
          <w:rFonts w:eastAsiaTheme="minorHAnsi"/>
          <w:lang w:eastAsia="en-US"/>
        </w:rPr>
        <w:t xml:space="preserve"> and </w:t>
      </w:r>
      <w:proofErr w:type="spellStart"/>
      <w:r w:rsidR="00F103AF" w:rsidRPr="00C90AC9">
        <w:rPr>
          <w:rFonts w:eastAsiaTheme="minorHAnsi"/>
          <w:lang w:eastAsia="en-US"/>
        </w:rPr>
        <w:t>Hyysalo</w:t>
      </w:r>
      <w:proofErr w:type="spellEnd"/>
      <w:r w:rsidR="009D65E9" w:rsidRPr="00C90AC9">
        <w:rPr>
          <w:rFonts w:eastAsiaTheme="minorHAnsi"/>
          <w:lang w:eastAsia="en-US"/>
        </w:rPr>
        <w:t xml:space="preserve"> 2015,</w:t>
      </w:r>
      <w:r w:rsidR="00A16B8C" w:rsidRPr="00C90AC9">
        <w:rPr>
          <w:rFonts w:eastAsiaTheme="minorHAnsi"/>
          <w:lang w:eastAsia="en-US"/>
        </w:rPr>
        <w:t xml:space="preserve"> namely:</w:t>
      </w:r>
    </w:p>
    <w:p w:rsidR="00A16B8C" w:rsidRPr="00C90AC9" w:rsidRDefault="00A16B8C" w:rsidP="00CA6E35">
      <w:pPr>
        <w:pStyle w:val="ListBullet2"/>
        <w:numPr>
          <w:ilvl w:val="0"/>
          <w:numId w:val="15"/>
        </w:numPr>
        <w:spacing w:line="360" w:lineRule="auto"/>
        <w:rPr>
          <w:rFonts w:eastAsiaTheme="minorHAnsi"/>
          <w:lang w:eastAsia="en-US"/>
        </w:rPr>
      </w:pPr>
      <w:r w:rsidRPr="00C90AC9">
        <w:rPr>
          <w:rFonts w:eastAsiaTheme="minorHAnsi"/>
          <w:lang w:eastAsia="en-US"/>
        </w:rPr>
        <w:t>Technological limitations;</w:t>
      </w:r>
    </w:p>
    <w:p w:rsidR="00A16B8C" w:rsidRPr="00C90AC9" w:rsidRDefault="00A16B8C" w:rsidP="00CA6E35">
      <w:pPr>
        <w:pStyle w:val="ListBullet2"/>
        <w:numPr>
          <w:ilvl w:val="0"/>
          <w:numId w:val="15"/>
        </w:numPr>
        <w:spacing w:line="360" w:lineRule="auto"/>
        <w:rPr>
          <w:rFonts w:eastAsiaTheme="minorHAnsi"/>
          <w:lang w:eastAsia="en-US"/>
        </w:rPr>
      </w:pPr>
      <w:r w:rsidRPr="00C90AC9">
        <w:rPr>
          <w:rFonts w:eastAsiaTheme="minorHAnsi"/>
          <w:lang w:eastAsia="en-US"/>
        </w:rPr>
        <w:t>Limited market demand; and</w:t>
      </w:r>
    </w:p>
    <w:p w:rsidR="00064395" w:rsidRPr="00C90AC9" w:rsidRDefault="00A16B8C" w:rsidP="00CA6E35">
      <w:pPr>
        <w:pStyle w:val="ListBullet2"/>
        <w:numPr>
          <w:ilvl w:val="0"/>
          <w:numId w:val="15"/>
        </w:numPr>
        <w:spacing w:line="360" w:lineRule="auto"/>
        <w:rPr>
          <w:rFonts w:eastAsiaTheme="minorHAnsi"/>
          <w:lang w:eastAsia="en-US"/>
        </w:rPr>
      </w:pPr>
      <w:r w:rsidRPr="00C90AC9">
        <w:rPr>
          <w:rFonts w:eastAsiaTheme="minorHAnsi"/>
          <w:lang w:eastAsia="en-US"/>
        </w:rPr>
        <w:t xml:space="preserve">Challenges in distribution in the community energy context. </w:t>
      </w:r>
    </w:p>
    <w:p w:rsidR="00A16B8C" w:rsidRPr="00C90AC9" w:rsidRDefault="009D65E9" w:rsidP="00F662C9">
      <w:pPr>
        <w:pStyle w:val="ListBullet2"/>
        <w:numPr>
          <w:ilvl w:val="0"/>
          <w:numId w:val="0"/>
        </w:numPr>
        <w:spacing w:line="360" w:lineRule="auto"/>
        <w:ind w:left="720"/>
        <w:jc w:val="right"/>
        <w:rPr>
          <w:rFonts w:eastAsiaTheme="minorHAnsi"/>
          <w:lang w:eastAsia="en-US"/>
        </w:rPr>
      </w:pPr>
      <w:r w:rsidRPr="00C90AC9">
        <w:rPr>
          <w:rFonts w:eastAsiaTheme="minorHAnsi"/>
          <w:lang w:eastAsia="en-US"/>
        </w:rPr>
        <w:fldChar w:fldCharType="begin"/>
      </w:r>
      <w:r w:rsidRPr="00C90AC9">
        <w:rPr>
          <w:rFonts w:eastAsiaTheme="minorHAnsi"/>
          <w:lang w:eastAsia="en-US"/>
        </w:rPr>
        <w:instrText xml:space="preserve"> ADDIN EN.CITE &lt;EndNote&gt;&lt;Cite&gt;&lt;Author&gt;Juntunen&lt;/Author&gt;&lt;Year&gt;2015&lt;/Year&gt;&lt;RecNum&gt;261&lt;/RecNum&gt;&lt;DisplayText&gt;(Juntunen &amp;amp; Hyysalo, 2015)&lt;/DisplayText&gt;&lt;record&gt;&lt;rec-number&gt;261&lt;/rec-number&gt;&lt;foreign-keys&gt;&lt;key app="EN" db-id="50wxdpzd9vd5r7e9t5b595djrfpttrxw9avp" timestamp="1526072490"&gt;261&lt;/key&gt;&lt;/foreign-keys&gt;&lt;ref-type name="Journal Article"&gt;17&lt;/ref-type&gt;&lt;contributors&gt;&lt;authors&gt;&lt;author&gt;Juntunen, Jouni K.&lt;/author&gt;&lt;author&gt;Hyysalo, Sampsa&lt;/author&gt;&lt;/authors&gt;&lt;/contributors&gt;&lt;titles&gt;&lt;title&gt;Renewable micro-generation of heat and electricity—Review on common and missing socio-technical configurations&lt;/title&gt;&lt;secondary-title&gt;Renewable and Sustainable Energy Reviews&lt;/secondary-title&gt;&lt;/titles&gt;&lt;pages&gt;857-870&lt;/pages&gt;&lt;volume&gt;49&lt;/volume&gt;&lt;keywords&gt;&lt;keyword&gt;Renewable energy&lt;/keyword&gt;&lt;keyword&gt;Micro-generation&lt;/keyword&gt;&lt;keyword&gt;Decentralized energy production&lt;/keyword&gt;&lt;keyword&gt;Socio-technical configuration&lt;/keyword&gt;&lt;keyword&gt;Business model&lt;/keyword&gt;&lt;keyword&gt;Community energy&lt;/keyword&gt;&lt;/keywords&gt;&lt;dates&gt;&lt;year&gt;2015&lt;/year&gt;&lt;pub-dates&gt;&lt;date&gt;2015/09/01/&lt;/date&gt;&lt;/pub-dates&gt;&lt;/dates&gt;&lt;isbn&gt;1364-0321&lt;/isbn&gt;&lt;urls&gt;&lt;related-urls&gt;&lt;url&gt;http://www.sciencedirect.com/science/article/pii/S136403211500310X&lt;/url&gt;&lt;/related-urls&gt;&lt;/urls&gt;&lt;electronic-resource-num&gt;https://doi.org/10.1016/j.rser.2015.04.040&lt;/electronic-resource-num&gt;&lt;/record&gt;&lt;/Cite&gt;&lt;/EndNote&gt;</w:instrText>
      </w:r>
      <w:r w:rsidRPr="00C90AC9">
        <w:rPr>
          <w:rFonts w:eastAsiaTheme="minorHAnsi"/>
          <w:lang w:eastAsia="en-US"/>
        </w:rPr>
        <w:fldChar w:fldCharType="separate"/>
      </w:r>
      <w:r w:rsidRPr="00C90AC9">
        <w:rPr>
          <w:rFonts w:eastAsiaTheme="minorHAnsi"/>
          <w:lang w:eastAsia="en-US"/>
        </w:rPr>
        <w:t xml:space="preserve">(Juntunen </w:t>
      </w:r>
      <w:r w:rsidR="004D4B49" w:rsidRPr="00C90AC9">
        <w:rPr>
          <w:rFonts w:eastAsiaTheme="minorHAnsi"/>
          <w:lang w:eastAsia="en-US"/>
        </w:rPr>
        <w:t>and Hyysalo</w:t>
      </w:r>
      <w:r w:rsidRPr="00C90AC9">
        <w:rPr>
          <w:rFonts w:eastAsiaTheme="minorHAnsi"/>
          <w:lang w:eastAsia="en-US"/>
        </w:rPr>
        <w:t>, 2015)</w:t>
      </w:r>
      <w:r w:rsidRPr="00C90AC9">
        <w:rPr>
          <w:rFonts w:eastAsiaTheme="minorHAnsi"/>
          <w:lang w:eastAsia="en-US"/>
        </w:rPr>
        <w:fldChar w:fldCharType="end"/>
      </w:r>
    </w:p>
    <w:p w:rsidR="00A16B8C" w:rsidRPr="00C90AC9" w:rsidRDefault="00A16B8C" w:rsidP="00064395">
      <w:pPr>
        <w:pStyle w:val="BodyText"/>
        <w:spacing w:line="360" w:lineRule="auto"/>
        <w:rPr>
          <w:rFonts w:eastAsiaTheme="minorHAnsi"/>
          <w:lang w:eastAsia="en-US"/>
        </w:rPr>
      </w:pPr>
      <w:r w:rsidRPr="00C90AC9">
        <w:rPr>
          <w:rFonts w:eastAsiaTheme="minorHAnsi"/>
          <w:lang w:eastAsia="en-US"/>
        </w:rPr>
        <w:t>A key method</w:t>
      </w:r>
      <w:r w:rsidR="00F662C9" w:rsidRPr="00C90AC9">
        <w:rPr>
          <w:rFonts w:eastAsiaTheme="minorHAnsi"/>
          <w:lang w:eastAsia="en-US"/>
        </w:rPr>
        <w:t>,</w:t>
      </w:r>
      <w:r w:rsidRPr="00C90AC9">
        <w:rPr>
          <w:rFonts w:eastAsiaTheme="minorHAnsi"/>
          <w:lang w:eastAsia="en-US"/>
        </w:rPr>
        <w:t xml:space="preserve"> to remove these barriers was suggested</w:t>
      </w:r>
      <w:r w:rsidR="00F662C9" w:rsidRPr="00C90AC9">
        <w:rPr>
          <w:rFonts w:eastAsiaTheme="minorHAnsi"/>
          <w:lang w:eastAsia="en-US"/>
        </w:rPr>
        <w:t xml:space="preserve"> by the main actors, was to increase financial support through the increased use of financial support schemes such as the </w:t>
      </w:r>
      <w:r w:rsidR="00191628" w:rsidRPr="00C90AC9">
        <w:rPr>
          <w:rFonts w:eastAsiaTheme="minorHAnsi"/>
          <w:lang w:eastAsia="en-US"/>
        </w:rPr>
        <w:t>F</w:t>
      </w:r>
      <w:r w:rsidR="00F662C9" w:rsidRPr="00C90AC9">
        <w:rPr>
          <w:rFonts w:eastAsiaTheme="minorHAnsi"/>
          <w:lang w:eastAsia="en-US"/>
        </w:rPr>
        <w:t xml:space="preserve">eed </w:t>
      </w:r>
      <w:proofErr w:type="gramStart"/>
      <w:r w:rsidR="00191628" w:rsidRPr="00C90AC9">
        <w:rPr>
          <w:rFonts w:eastAsiaTheme="minorHAnsi"/>
          <w:lang w:eastAsia="en-US"/>
        </w:rPr>
        <w:t>I</w:t>
      </w:r>
      <w:r w:rsidR="00F662C9" w:rsidRPr="00C90AC9">
        <w:rPr>
          <w:rFonts w:eastAsiaTheme="minorHAnsi"/>
          <w:lang w:eastAsia="en-US"/>
        </w:rPr>
        <w:t>n</w:t>
      </w:r>
      <w:proofErr w:type="gramEnd"/>
      <w:r w:rsidR="00F662C9" w:rsidRPr="00C90AC9">
        <w:rPr>
          <w:rFonts w:eastAsiaTheme="minorHAnsi"/>
          <w:lang w:eastAsia="en-US"/>
        </w:rPr>
        <w:t xml:space="preserve"> </w:t>
      </w:r>
      <w:r w:rsidR="00191628" w:rsidRPr="00C90AC9">
        <w:rPr>
          <w:rFonts w:eastAsiaTheme="minorHAnsi"/>
          <w:lang w:eastAsia="en-US"/>
        </w:rPr>
        <w:t>T</w:t>
      </w:r>
      <w:r w:rsidR="00F662C9" w:rsidRPr="00C90AC9">
        <w:rPr>
          <w:rFonts w:eastAsiaTheme="minorHAnsi"/>
          <w:lang w:eastAsia="en-US"/>
        </w:rPr>
        <w:t>ariff which has proved successful in increasing the adoption rate of PV panels in the UK</w:t>
      </w:r>
      <w:r w:rsidR="00191628" w:rsidRPr="00C90AC9">
        <w:rPr>
          <w:rFonts w:eastAsiaTheme="minorHAnsi"/>
          <w:lang w:eastAsia="en-US"/>
        </w:rPr>
        <w:t xml:space="preserve"> b</w:t>
      </w:r>
      <w:r w:rsidR="00F662C9" w:rsidRPr="00C90AC9">
        <w:rPr>
          <w:rFonts w:eastAsiaTheme="minorHAnsi"/>
          <w:lang w:eastAsia="en-US"/>
        </w:rPr>
        <w:t xml:space="preserve">y mitigating </w:t>
      </w:r>
      <w:r w:rsidRPr="00C90AC9">
        <w:rPr>
          <w:rFonts w:eastAsiaTheme="minorHAnsi"/>
          <w:lang w:eastAsia="en-US"/>
        </w:rPr>
        <w:t xml:space="preserve">upfront costs for consumers </w:t>
      </w:r>
      <w:r w:rsidR="00191628" w:rsidRPr="00C90AC9">
        <w:rPr>
          <w:rFonts w:eastAsiaTheme="minorHAnsi"/>
          <w:lang w:eastAsia="en-US"/>
        </w:rPr>
        <w:t>agrees</w:t>
      </w:r>
      <w:r w:rsidRPr="00C90AC9">
        <w:rPr>
          <w:rFonts w:eastAsiaTheme="minorHAnsi"/>
          <w:lang w:eastAsia="en-US"/>
        </w:rPr>
        <w:t xml:space="preserve"> with </w:t>
      </w:r>
      <w:proofErr w:type="spellStart"/>
      <w:r w:rsidRPr="00C90AC9">
        <w:rPr>
          <w:rFonts w:eastAsiaTheme="minorHAnsi"/>
          <w:lang w:eastAsia="en-US"/>
        </w:rPr>
        <w:t>Juntumen</w:t>
      </w:r>
      <w:proofErr w:type="spellEnd"/>
      <w:r w:rsidRPr="00C90AC9">
        <w:rPr>
          <w:rFonts w:eastAsiaTheme="minorHAnsi"/>
          <w:lang w:eastAsia="en-US"/>
        </w:rPr>
        <w:t xml:space="preserve"> and </w:t>
      </w:r>
      <w:proofErr w:type="spellStart"/>
      <w:r w:rsidRPr="00C90AC9">
        <w:rPr>
          <w:rFonts w:eastAsiaTheme="minorHAnsi"/>
          <w:lang w:eastAsia="en-US"/>
        </w:rPr>
        <w:t>Hyysalo</w:t>
      </w:r>
      <w:proofErr w:type="spellEnd"/>
      <w:r w:rsidRPr="00C90AC9">
        <w:rPr>
          <w:rFonts w:eastAsiaTheme="minorHAnsi"/>
          <w:lang w:eastAsia="en-US"/>
        </w:rPr>
        <w:t xml:space="preserve">. They demonstrated the effect of utilising a “service-based” model which boosted the popularity of small-scale renewable energy technology and by doing so increased the adoption of such technology. Such a service-based tool for increasing consumer acceptance of </w:t>
      </w:r>
      <w:r w:rsidR="006518C0" w:rsidRPr="00C90AC9">
        <w:rPr>
          <w:rFonts w:eastAsiaTheme="minorHAnsi"/>
          <w:lang w:eastAsia="en-US"/>
        </w:rPr>
        <w:t>STPs</w:t>
      </w:r>
      <w:r w:rsidRPr="00C90AC9">
        <w:rPr>
          <w:rFonts w:eastAsiaTheme="minorHAnsi"/>
          <w:lang w:eastAsia="en-US"/>
        </w:rPr>
        <w:t xml:space="preserve"> was supported by the findings from the semi-structured interviews in this current study.</w:t>
      </w:r>
    </w:p>
    <w:p w:rsidR="00A16B8C" w:rsidRPr="00C90AC9" w:rsidRDefault="00A16B8C" w:rsidP="00064395">
      <w:pPr>
        <w:pStyle w:val="BodyText"/>
        <w:spacing w:line="360" w:lineRule="auto"/>
        <w:rPr>
          <w:rFonts w:eastAsiaTheme="minorHAnsi"/>
          <w:lang w:eastAsia="en-US"/>
        </w:rPr>
      </w:pPr>
      <w:r w:rsidRPr="00C90AC9">
        <w:rPr>
          <w:rFonts w:eastAsiaTheme="minorHAnsi"/>
          <w:lang w:eastAsia="en-US"/>
        </w:rPr>
        <w:t xml:space="preserve">The findings of this study have found that the </w:t>
      </w:r>
      <w:r w:rsidR="00E82522" w:rsidRPr="00C90AC9">
        <w:rPr>
          <w:rFonts w:eastAsiaTheme="minorHAnsi"/>
          <w:lang w:eastAsia="en-US"/>
        </w:rPr>
        <w:t>main</w:t>
      </w:r>
      <w:r w:rsidRPr="00C90AC9">
        <w:rPr>
          <w:rFonts w:eastAsiaTheme="minorHAnsi"/>
          <w:lang w:eastAsia="en-US"/>
        </w:rPr>
        <w:t xml:space="preserve"> actors within the STP market perceive STP technology as having a direct benefit to residents of the UK, particularly elderly and residents of social housing as they are in their houses during the day when there is hot water being generated</w:t>
      </w:r>
      <w:r w:rsidR="008E008E" w:rsidRPr="00C90AC9">
        <w:rPr>
          <w:rFonts w:eastAsiaTheme="minorHAnsi"/>
          <w:lang w:eastAsia="en-US"/>
        </w:rPr>
        <w:t xml:space="preserve"> by the STP. Additionally, the </w:t>
      </w:r>
      <w:r w:rsidR="00E82522" w:rsidRPr="00C90AC9">
        <w:rPr>
          <w:rFonts w:eastAsiaTheme="minorHAnsi"/>
          <w:lang w:eastAsia="en-US"/>
        </w:rPr>
        <w:t>main</w:t>
      </w:r>
      <w:r w:rsidR="008E008E" w:rsidRPr="00C90AC9">
        <w:rPr>
          <w:rFonts w:eastAsiaTheme="minorHAnsi"/>
          <w:lang w:eastAsia="en-US"/>
        </w:rPr>
        <w:t xml:space="preserve"> a</w:t>
      </w:r>
      <w:r w:rsidRPr="00C90AC9">
        <w:rPr>
          <w:rFonts w:eastAsiaTheme="minorHAnsi"/>
          <w:lang w:eastAsia="en-US"/>
        </w:rPr>
        <w:t xml:space="preserve">ctors perceived this demographic of users as being more </w:t>
      </w:r>
      <w:r w:rsidR="008E008E" w:rsidRPr="00C90AC9">
        <w:rPr>
          <w:rFonts w:eastAsiaTheme="minorHAnsi"/>
          <w:lang w:eastAsia="en-US"/>
        </w:rPr>
        <w:t>capable of</w:t>
      </w:r>
      <w:r w:rsidRPr="00C90AC9">
        <w:rPr>
          <w:rFonts w:eastAsiaTheme="minorHAnsi"/>
          <w:lang w:eastAsia="en-US"/>
        </w:rPr>
        <w:t xml:space="preserve"> adjust</w:t>
      </w:r>
      <w:r w:rsidR="008E008E" w:rsidRPr="00C90AC9">
        <w:rPr>
          <w:rFonts w:eastAsiaTheme="minorHAnsi"/>
          <w:lang w:eastAsia="en-US"/>
        </w:rPr>
        <w:t>ing</w:t>
      </w:r>
      <w:r w:rsidRPr="00C90AC9">
        <w:rPr>
          <w:rFonts w:eastAsiaTheme="minorHAnsi"/>
          <w:lang w:eastAsia="en-US"/>
        </w:rPr>
        <w:t xml:space="preserve"> their lifestyle to suit the supply of hot water. This disparity between when hot water is generated throughout the day and when the homeowner is available to utilize the hot was perceived as being solved by targeting retired and residents of social housing as they were perceived as being home during the day.</w:t>
      </w:r>
    </w:p>
    <w:p w:rsidR="00A16B8C" w:rsidRPr="00C90AC9" w:rsidRDefault="00A16B8C" w:rsidP="00064395">
      <w:pPr>
        <w:pStyle w:val="BodyText"/>
        <w:spacing w:line="360" w:lineRule="auto"/>
        <w:rPr>
          <w:rFonts w:eastAsiaTheme="minorHAnsi"/>
          <w:lang w:eastAsia="en-US"/>
        </w:rPr>
      </w:pPr>
      <w:r w:rsidRPr="00C90AC9">
        <w:rPr>
          <w:rFonts w:eastAsiaTheme="minorHAnsi"/>
          <w:lang w:eastAsia="en-US"/>
        </w:rPr>
        <w:lastRenderedPageBreak/>
        <w:t xml:space="preserve">The </w:t>
      </w:r>
      <w:r w:rsidR="00E82522" w:rsidRPr="00C90AC9">
        <w:rPr>
          <w:rFonts w:eastAsiaTheme="minorHAnsi"/>
          <w:lang w:eastAsia="en-US"/>
        </w:rPr>
        <w:t>main</w:t>
      </w:r>
      <w:r w:rsidRPr="00C90AC9">
        <w:rPr>
          <w:rFonts w:eastAsiaTheme="minorHAnsi"/>
          <w:lang w:eastAsia="en-US"/>
        </w:rPr>
        <w:t xml:space="preserve"> actors in this study perceive STP technology as appealing to a niche market initially but that a majority of the UK housing stock could benefit from utilising this technology to varying degrees. It was perceived that the diffusion of this technology will take time in a similar period that </w:t>
      </w:r>
      <w:r w:rsidR="00400878" w:rsidRPr="00C90AC9">
        <w:rPr>
          <w:rFonts w:eastAsiaTheme="minorHAnsi"/>
          <w:lang w:eastAsia="en-US"/>
        </w:rPr>
        <w:fldChar w:fldCharType="begin"/>
      </w:r>
      <w:r w:rsidR="00400878" w:rsidRPr="00C90AC9">
        <w:rPr>
          <w:rFonts w:eastAsiaTheme="minorHAnsi"/>
          <w:lang w:eastAsia="en-US"/>
        </w:rPr>
        <w:instrText xml:space="preserve"> ADDIN EN.CITE &lt;EndNote&gt;&lt;Cite&gt;&lt;Author&gt;Levinthal&lt;/Author&gt;&lt;Year&gt;1998&lt;/Year&gt;&lt;RecNum&gt;269&lt;/RecNum&gt;&lt;DisplayText&gt;(Levinthal, 1998)&lt;/DisplayText&gt;&lt;record&gt;&lt;rec-number&gt;269&lt;/rec-number&gt;&lt;foreign-keys&gt;&lt;key app="EN" db-id="50wxdpzd9vd5r7e9t5b595djrfpttrxw9avp" timestamp="1526109407"&gt;269&lt;/key&gt;&lt;/foreign-keys&gt;&lt;ref-type name="Journal Article"&gt;17&lt;/ref-type&gt;&lt;contributors&gt;&lt;authors&gt;&lt;author&gt;Levinthal, Daniel A.&lt;/author&gt;&lt;/authors&gt;&lt;/contributors&gt;&lt;titles&gt;&lt;title&gt;The Slow Pace of Rapid Technological Change: Gradualism and Punctuation in Technological Change&lt;/title&gt;&lt;secondary-title&gt;Industrial and Corporate Change&lt;/secondary-title&gt;&lt;/titles&gt;&lt;pages&gt;217-247&lt;/pages&gt;&lt;volume&gt;7&lt;/volume&gt;&lt;number&gt;2&lt;/number&gt;&lt;dates&gt;&lt;year&gt;1998&lt;/year&gt;&lt;/dates&gt;&lt;isbn&gt;0960-6491&lt;/isbn&gt;&lt;urls&gt;&lt;related-urls&gt;&lt;url&gt;http://dx.doi.org/10.1093/icc/7.2.217&lt;/url&gt;&lt;/related-urls&gt;&lt;/urls&gt;&lt;electronic-resource-num&gt;10.1093/icc/7.2.217&lt;/electronic-resource-num&gt;&lt;/record&gt;&lt;/Cite&gt;&lt;/EndNote&gt;</w:instrText>
      </w:r>
      <w:r w:rsidR="00400878" w:rsidRPr="00C90AC9">
        <w:rPr>
          <w:rFonts w:eastAsiaTheme="minorHAnsi"/>
          <w:lang w:eastAsia="en-US"/>
        </w:rPr>
        <w:fldChar w:fldCharType="separate"/>
      </w:r>
      <w:r w:rsidR="00400878" w:rsidRPr="00C90AC9">
        <w:rPr>
          <w:rFonts w:eastAsiaTheme="minorHAnsi"/>
          <w:lang w:eastAsia="en-US"/>
        </w:rPr>
        <w:t>(Levinthal, 1998)</w:t>
      </w:r>
      <w:r w:rsidR="00400878" w:rsidRPr="00C90AC9">
        <w:rPr>
          <w:rFonts w:eastAsiaTheme="minorHAnsi"/>
          <w:lang w:eastAsia="en-US"/>
        </w:rPr>
        <w:fldChar w:fldCharType="end"/>
      </w:r>
      <w:r w:rsidRPr="00C90AC9">
        <w:rPr>
          <w:rFonts w:eastAsiaTheme="minorHAnsi"/>
          <w:lang w:eastAsia="en-US"/>
        </w:rPr>
        <w:t xml:space="preserve"> and</w:t>
      </w:r>
      <w:r w:rsidR="00400878" w:rsidRPr="00C90AC9">
        <w:rPr>
          <w:rFonts w:eastAsiaTheme="minorHAnsi"/>
          <w:lang w:eastAsia="en-US"/>
        </w:rPr>
        <w:t xml:space="preserve"> </w:t>
      </w:r>
      <w:r w:rsidR="00400878" w:rsidRPr="00C90AC9">
        <w:rPr>
          <w:rFonts w:eastAsiaTheme="minorHAnsi"/>
          <w:lang w:eastAsia="en-US"/>
        </w:rPr>
        <w:fldChar w:fldCharType="begin"/>
      </w:r>
      <w:r w:rsidR="00400878" w:rsidRPr="00C90AC9">
        <w:rPr>
          <w:rFonts w:eastAsiaTheme="minorHAnsi"/>
          <w:lang w:eastAsia="en-US"/>
        </w:rPr>
        <w:instrText xml:space="preserve"> ADDIN EN.CITE &lt;EndNote&gt;&lt;Cite&gt;&lt;Author&gt;Ruggiero&lt;/Author&gt;&lt;Year&gt;2015&lt;/Year&gt;&lt;RecNum&gt;270&lt;/RecNum&gt;&lt;DisplayText&gt;(Ruggiero, Varho, &amp;amp; Rikkonen, 2015)&lt;/DisplayText&gt;&lt;record&gt;&lt;rec-number&gt;270&lt;/rec-number&gt;&lt;foreign-keys&gt;&lt;key app="EN" db-id="50wxdpzd9vd5r7e9t5b595djrfpttrxw9avp" timestamp="1526109556"&gt;270&lt;/key&gt;&lt;/foreign-keys&gt;&lt;ref-type name="Journal Article"&gt;17&lt;/ref-type&gt;&lt;contributors&gt;&lt;authors&gt;&lt;author&gt;Ruggiero, Salvatore&lt;/author&gt;&lt;author&gt;Varho, Vilja&lt;/author&gt;&lt;author&gt;Rikkonen, Pasi&lt;/author&gt;&lt;/authors&gt;&lt;/contributors&gt;&lt;titles&gt;&lt;title&gt;Transition to distributed energy generation in Finland: Prospects and barriers&lt;/title&gt;&lt;secondary-title&gt;Energy Policy&lt;/secondary-title&gt;&lt;/titles&gt;&lt;pages&gt;433-443&lt;/pages&gt;&lt;volume&gt;86&lt;/volume&gt;&lt;keywords&gt;&lt;keyword&gt;Distributed energy&lt;/keyword&gt;&lt;keyword&gt;Energy transition&lt;/keyword&gt;&lt;keyword&gt;Renewable energy&lt;/keyword&gt;&lt;keyword&gt;Future images&lt;/keyword&gt;&lt;/keywords&gt;&lt;dates&gt;&lt;year&gt;2015&lt;/year&gt;&lt;pub-dates&gt;&lt;date&gt;2015/11/01/&lt;/date&gt;&lt;/pub-dates&gt;&lt;/dates&gt;&lt;isbn&gt;0301-4215&lt;/isbn&gt;&lt;urls&gt;&lt;related-urls&gt;&lt;url&gt;http://www.sciencedirect.com/science/article/pii/S0301421515300355&lt;/url&gt;&lt;/related-urls&gt;&lt;/urls&gt;&lt;electronic-resource-num&gt;https://doi.org/10.1016/j.enpol.2015.07.024&lt;/electronic-resource-num&gt;&lt;/record&gt;&lt;/Cite&gt;&lt;/EndNote&gt;</w:instrText>
      </w:r>
      <w:r w:rsidR="00400878" w:rsidRPr="00C90AC9">
        <w:rPr>
          <w:rFonts w:eastAsiaTheme="minorHAnsi"/>
          <w:lang w:eastAsia="en-US"/>
        </w:rPr>
        <w:fldChar w:fldCharType="separate"/>
      </w:r>
      <w:r w:rsidR="00400878" w:rsidRPr="00C90AC9">
        <w:rPr>
          <w:rFonts w:eastAsiaTheme="minorHAnsi"/>
          <w:lang w:eastAsia="en-US"/>
        </w:rPr>
        <w:t>(Ruggiero, Varho,</w:t>
      </w:r>
      <w:r w:rsidR="006D0184" w:rsidRPr="00C90AC9">
        <w:rPr>
          <w:rFonts w:eastAsiaTheme="minorHAnsi"/>
          <w:lang w:eastAsia="en-US"/>
        </w:rPr>
        <w:t xml:space="preserve"> and</w:t>
      </w:r>
      <w:r w:rsidR="00400878" w:rsidRPr="00C90AC9">
        <w:rPr>
          <w:rFonts w:eastAsiaTheme="minorHAnsi"/>
          <w:lang w:eastAsia="en-US"/>
        </w:rPr>
        <w:t xml:space="preserve"> Rikkonen, 2015)</w:t>
      </w:r>
      <w:r w:rsidR="00400878" w:rsidRPr="00C90AC9">
        <w:rPr>
          <w:rFonts w:eastAsiaTheme="minorHAnsi"/>
          <w:lang w:eastAsia="en-US"/>
        </w:rPr>
        <w:fldChar w:fldCharType="end"/>
      </w:r>
      <w:r w:rsidRPr="00C90AC9">
        <w:rPr>
          <w:rFonts w:eastAsiaTheme="minorHAnsi"/>
          <w:lang w:eastAsia="en-US"/>
        </w:rPr>
        <w:t xml:space="preserve"> suggested and could be promoted through a clear governmental program </w:t>
      </w:r>
      <w:r w:rsidR="006D0184" w:rsidRPr="00C90AC9">
        <w:rPr>
          <w:rFonts w:eastAsiaTheme="minorHAnsi"/>
          <w:lang w:eastAsia="en-US"/>
        </w:rPr>
        <w:t>with</w:t>
      </w:r>
      <w:r w:rsidRPr="00C90AC9">
        <w:rPr>
          <w:rFonts w:eastAsiaTheme="minorHAnsi"/>
          <w:lang w:eastAsia="en-US"/>
        </w:rPr>
        <w:t xml:space="preserve"> monetary incentives for residents. </w:t>
      </w:r>
    </w:p>
    <w:p w:rsidR="00A16B8C" w:rsidRPr="00C90AC9" w:rsidRDefault="00A16B8C" w:rsidP="00400878">
      <w:pPr>
        <w:pStyle w:val="BodyText"/>
        <w:spacing w:line="360" w:lineRule="auto"/>
        <w:rPr>
          <w:rFonts w:eastAsiaTheme="minorHAnsi"/>
          <w:lang w:eastAsia="en-US"/>
        </w:rPr>
      </w:pPr>
      <w:r w:rsidRPr="00C90AC9">
        <w:rPr>
          <w:rFonts w:eastAsiaTheme="minorHAnsi"/>
          <w:lang w:eastAsia="en-US"/>
        </w:rPr>
        <w:t xml:space="preserve">The </w:t>
      </w:r>
      <w:r w:rsidR="00E82522" w:rsidRPr="00C90AC9">
        <w:rPr>
          <w:rFonts w:eastAsiaTheme="minorHAnsi"/>
          <w:lang w:eastAsia="en-US"/>
        </w:rPr>
        <w:t>main</w:t>
      </w:r>
      <w:r w:rsidRPr="00C90AC9">
        <w:rPr>
          <w:rFonts w:eastAsiaTheme="minorHAnsi"/>
          <w:lang w:eastAsia="en-US"/>
        </w:rPr>
        <w:t xml:space="preserve"> actors interviewed for this study perceived that they had an important role to play in the diffusion of this technology, similar to the findings as presented by</w:t>
      </w:r>
      <w:r w:rsidR="00400878" w:rsidRPr="00C90AC9">
        <w:rPr>
          <w:rFonts w:eastAsiaTheme="minorHAnsi"/>
          <w:lang w:eastAsia="en-US"/>
        </w:rPr>
        <w:t xml:space="preserve"> </w:t>
      </w:r>
      <w:r w:rsidR="006D0184" w:rsidRPr="00C90AC9">
        <w:rPr>
          <w:rFonts w:eastAsiaTheme="minorHAnsi"/>
          <w:lang w:eastAsia="en-US"/>
        </w:rPr>
        <w:t xml:space="preserve">Ruggiero, </w:t>
      </w:r>
      <w:proofErr w:type="spellStart"/>
      <w:r w:rsidR="006D0184" w:rsidRPr="00C90AC9">
        <w:rPr>
          <w:rFonts w:eastAsiaTheme="minorHAnsi"/>
          <w:lang w:eastAsia="en-US"/>
        </w:rPr>
        <w:t>Onkila</w:t>
      </w:r>
      <w:proofErr w:type="spellEnd"/>
      <w:r w:rsidR="006D0184" w:rsidRPr="00C90AC9">
        <w:rPr>
          <w:rFonts w:eastAsiaTheme="minorHAnsi"/>
          <w:lang w:eastAsia="en-US"/>
        </w:rPr>
        <w:t xml:space="preserve"> and </w:t>
      </w:r>
      <w:proofErr w:type="spellStart"/>
      <w:r w:rsidR="006D0184" w:rsidRPr="00C90AC9">
        <w:rPr>
          <w:rFonts w:eastAsiaTheme="minorHAnsi"/>
          <w:lang w:eastAsia="en-US"/>
        </w:rPr>
        <w:t>Kuittinen</w:t>
      </w:r>
      <w:proofErr w:type="spellEnd"/>
      <w:r w:rsidR="006D0184" w:rsidRPr="00C90AC9">
        <w:rPr>
          <w:rFonts w:eastAsiaTheme="minorHAnsi"/>
          <w:lang w:eastAsia="en-US"/>
        </w:rPr>
        <w:t xml:space="preserve"> in </w:t>
      </w:r>
      <w:r w:rsidR="00400878" w:rsidRPr="00C90AC9">
        <w:rPr>
          <w:rFonts w:eastAsiaTheme="minorHAnsi"/>
          <w:lang w:eastAsia="en-US"/>
        </w:rPr>
        <w:t xml:space="preserve">2014 </w:t>
      </w:r>
      <w:r w:rsidR="00400878" w:rsidRPr="00C90AC9">
        <w:rPr>
          <w:rFonts w:eastAsiaTheme="minorHAnsi"/>
          <w:lang w:eastAsia="en-US"/>
        </w:rPr>
        <w:fldChar w:fldCharType="begin"/>
      </w:r>
      <w:r w:rsidR="00400878" w:rsidRPr="00C90AC9">
        <w:rPr>
          <w:rFonts w:eastAsiaTheme="minorHAnsi"/>
          <w:lang w:eastAsia="en-US"/>
        </w:rPr>
        <w:instrText xml:space="preserve"> ADDIN EN.CITE &lt;EndNote&gt;&lt;Cite&gt;&lt;Author&gt;Ruggiero&lt;/Author&gt;&lt;Year&gt;2014&lt;/Year&gt;&lt;RecNum&gt;259&lt;/RecNum&gt;&lt;DisplayText&gt;(Ruggiero, Onkila, &amp;amp; Kuittinen, 2014)&lt;/DisplayText&gt;&lt;record&gt;&lt;rec-number&gt;259&lt;/rec-number&gt;&lt;foreign-keys&gt;&lt;key app="EN" db-id="50wxdpzd9vd5r7e9t5b595djrfpttrxw9avp" timestamp="1526033774"&gt;259&lt;/key&gt;&lt;/foreign-keys&gt;&lt;ref-type name="Journal Article"&gt;17&lt;/ref-type&gt;&lt;contributors&gt;&lt;authors&gt;&lt;author&gt;Ruggiero, Salvatore&lt;/author&gt;&lt;author&gt;Onkila, Tiina&lt;/author&gt;&lt;author&gt;Kuittinen, Ville&lt;/author&gt;&lt;/authors&gt;&lt;/contributors&gt;&lt;titles&gt;&lt;title&gt;Realizing the social acceptance of community renewable energy: A process-outcome analysis of stakeholder influence&lt;/title&gt;&lt;secondary-title&gt;Energy Research &amp;amp; Social Science&lt;/secondary-title&gt;&lt;/titles&gt;&lt;pages&gt;53-63&lt;/pages&gt;&lt;volume&gt;4&lt;/volume&gt;&lt;keywords&gt;&lt;keyword&gt;Community renewable energy&lt;/keyword&gt;&lt;keyword&gt;Stakeholder influence&lt;/keyword&gt;&lt;keyword&gt;Process and outcome&lt;/keyword&gt;&lt;/keywords&gt;&lt;dates&gt;&lt;year&gt;2014&lt;/year&gt;&lt;pub-dates&gt;&lt;date&gt;2014/12/01/&lt;/date&gt;&lt;/pub-dates&gt;&lt;/dates&gt;&lt;isbn&gt;2214-6296&lt;/isbn&gt;&lt;urls&gt;&lt;related-urls&gt;&lt;url&gt;http://www.sciencedirect.com/science/article/pii/S2214629614001108&lt;/url&gt;&lt;/related-urls&gt;&lt;/urls&gt;&lt;electronic-resource-num&gt;https://doi.org/10.1016/j.erss.2014.09.001&lt;/electronic-resource-num&gt;&lt;/record&gt;&lt;/Cite&gt;&lt;/EndNote&gt;</w:instrText>
      </w:r>
      <w:r w:rsidR="00400878" w:rsidRPr="00C90AC9">
        <w:rPr>
          <w:rFonts w:eastAsiaTheme="minorHAnsi"/>
          <w:lang w:eastAsia="en-US"/>
        </w:rPr>
        <w:fldChar w:fldCharType="separate"/>
      </w:r>
      <w:r w:rsidR="00400878" w:rsidRPr="00C90AC9">
        <w:rPr>
          <w:rFonts w:eastAsiaTheme="minorHAnsi"/>
          <w:lang w:eastAsia="en-US"/>
        </w:rPr>
        <w:t>(Ruggiero, Onkila &amp; Kuittinen, 2014)</w:t>
      </w:r>
      <w:r w:rsidR="00400878" w:rsidRPr="00C90AC9">
        <w:rPr>
          <w:rFonts w:eastAsiaTheme="minorHAnsi"/>
          <w:lang w:eastAsia="en-US"/>
        </w:rPr>
        <w:fldChar w:fldCharType="end"/>
      </w:r>
      <w:r w:rsidR="00400878" w:rsidRPr="00C90AC9">
        <w:rPr>
          <w:rFonts w:eastAsiaTheme="minorHAnsi"/>
          <w:lang w:eastAsia="en-US"/>
        </w:rPr>
        <w:t>.</w:t>
      </w:r>
      <w:r w:rsidRPr="00C90AC9">
        <w:rPr>
          <w:rFonts w:eastAsiaTheme="minorHAnsi"/>
          <w:lang w:eastAsia="en-US"/>
        </w:rPr>
        <w:t xml:space="preserve"> Primarily this was to disseminate justifiable information about the potential benefits drawbacks to adopters before residents had STP systems installed on their domestic properties. Ensuring that residents had verifiable and realistic information about the capabilities of STP systems on properties before they make an investment was seen as a key role that the </w:t>
      </w:r>
      <w:r w:rsidR="00E82522" w:rsidRPr="00C90AC9">
        <w:rPr>
          <w:rFonts w:eastAsiaTheme="minorHAnsi"/>
          <w:lang w:eastAsia="en-US"/>
        </w:rPr>
        <w:t>main</w:t>
      </w:r>
      <w:r w:rsidRPr="00C90AC9">
        <w:rPr>
          <w:rFonts w:eastAsiaTheme="minorHAnsi"/>
          <w:lang w:eastAsia="en-US"/>
        </w:rPr>
        <w:t xml:space="preserve"> stakeholders could perform. This could be done either directly through their interactions with potential adopters or by providing an accreditation for the STP industry, so that STP technology as well as installers of the panels have a level that is endorsed by the entire industry. The </w:t>
      </w:r>
      <w:r w:rsidR="00E82522" w:rsidRPr="00C90AC9">
        <w:rPr>
          <w:rFonts w:eastAsiaTheme="minorHAnsi"/>
          <w:lang w:eastAsia="en-US"/>
        </w:rPr>
        <w:t>main</w:t>
      </w:r>
      <w:r w:rsidRPr="00C90AC9">
        <w:rPr>
          <w:rFonts w:eastAsiaTheme="minorHAnsi"/>
          <w:lang w:eastAsia="en-US"/>
        </w:rPr>
        <w:t xml:space="preserve"> actors perceived that this role has the capacity to both promote the technology as well as hinder its diffusion. In agreement with the findings as presented by </w:t>
      </w:r>
      <w:r w:rsidR="00400878" w:rsidRPr="00C90AC9">
        <w:rPr>
          <w:rFonts w:eastAsiaTheme="minorHAnsi"/>
          <w:lang w:eastAsia="en-US"/>
        </w:rPr>
        <w:fldChar w:fldCharType="begin"/>
      </w:r>
      <w:r w:rsidR="00400878" w:rsidRPr="00C90AC9">
        <w:rPr>
          <w:rFonts w:eastAsiaTheme="minorHAnsi"/>
          <w:lang w:eastAsia="en-US"/>
        </w:rPr>
        <w:instrText xml:space="preserve"> ADDIN EN.CITE &lt;EndNote&gt;&lt;Cite&gt;&lt;Author&gt;Ruggiero&lt;/Author&gt;&lt;Year&gt;2014&lt;/Year&gt;&lt;RecNum&gt;259&lt;/RecNum&gt;&lt;DisplayText&gt;(Ruggiero et al., 2014)&lt;/DisplayText&gt;&lt;record&gt;&lt;rec-number&gt;259&lt;/rec-number&gt;&lt;foreign-keys&gt;&lt;key app="EN" db-id="50wxdpzd9vd5r7e9t5b595djrfpttrxw9avp" timestamp="1526033774"&gt;259&lt;/key&gt;&lt;/foreign-keys&gt;&lt;ref-type name="Journal Article"&gt;17&lt;/ref-type&gt;&lt;contributors&gt;&lt;authors&gt;&lt;author&gt;Ruggiero, Salvatore&lt;/author&gt;&lt;author&gt;Onkila, Tiina&lt;/author&gt;&lt;author&gt;Kuittinen, Ville&lt;/author&gt;&lt;/authors&gt;&lt;/contributors&gt;&lt;titles&gt;&lt;title&gt;Realizing the social acceptance of community renewable energy: A process-outcome analysis of stakeholder influence&lt;/title&gt;&lt;secondary-title&gt;Energy Research &amp;amp; Social Science&lt;/secondary-title&gt;&lt;/titles&gt;&lt;pages&gt;53-63&lt;/pages&gt;&lt;volume&gt;4&lt;/volume&gt;&lt;keywords&gt;&lt;keyword&gt;Community renewable energy&lt;/keyword&gt;&lt;keyword&gt;Stakeholder influence&lt;/keyword&gt;&lt;keyword&gt;Process and outcome&lt;/keyword&gt;&lt;/keywords&gt;&lt;dates&gt;&lt;year&gt;2014&lt;/year&gt;&lt;pub-dates&gt;&lt;date&gt;2014/12/01/&lt;/date&gt;&lt;/pub-dates&gt;&lt;/dates&gt;&lt;isbn&gt;2214-6296&lt;/isbn&gt;&lt;urls&gt;&lt;related-urls&gt;&lt;url&gt;http://www.sciencedirect.com/science/article/pii/S2214629614001108&lt;/url&gt;&lt;/related-urls&gt;&lt;/urls&gt;&lt;electronic-resource-num&gt;https://doi.org/10.1016/j.erss.2014.09.001&lt;/electronic-resource-num&gt;&lt;/record&gt;&lt;/Cite&gt;&lt;/EndNote&gt;</w:instrText>
      </w:r>
      <w:r w:rsidR="00400878" w:rsidRPr="00C90AC9">
        <w:rPr>
          <w:rFonts w:eastAsiaTheme="minorHAnsi"/>
          <w:lang w:eastAsia="en-US"/>
        </w:rPr>
        <w:fldChar w:fldCharType="separate"/>
      </w:r>
      <w:r w:rsidR="00400878" w:rsidRPr="00C90AC9">
        <w:rPr>
          <w:rFonts w:eastAsiaTheme="minorHAnsi"/>
          <w:lang w:eastAsia="en-US"/>
        </w:rPr>
        <w:t>(</w:t>
      </w:r>
      <w:r w:rsidR="006D0184" w:rsidRPr="00C90AC9">
        <w:rPr>
          <w:rFonts w:eastAsiaTheme="minorHAnsi"/>
          <w:lang w:eastAsia="en-US"/>
        </w:rPr>
        <w:t xml:space="preserve">Ruggiero, Onkila, &amp; Kuittinen </w:t>
      </w:r>
      <w:r w:rsidR="00400878" w:rsidRPr="00C90AC9">
        <w:rPr>
          <w:rFonts w:eastAsiaTheme="minorHAnsi"/>
          <w:lang w:eastAsia="en-US"/>
        </w:rPr>
        <w:t>2014)</w:t>
      </w:r>
      <w:r w:rsidR="00400878" w:rsidRPr="00C90AC9">
        <w:rPr>
          <w:rFonts w:eastAsiaTheme="minorHAnsi"/>
          <w:lang w:eastAsia="en-US"/>
        </w:rPr>
        <w:fldChar w:fldCharType="end"/>
      </w:r>
      <w:r w:rsidR="00400878" w:rsidRPr="00C90AC9">
        <w:rPr>
          <w:rFonts w:eastAsiaTheme="minorHAnsi"/>
          <w:lang w:eastAsia="en-US"/>
        </w:rPr>
        <w:t xml:space="preserve">. </w:t>
      </w:r>
      <w:r w:rsidRPr="00C90AC9">
        <w:rPr>
          <w:rFonts w:eastAsiaTheme="minorHAnsi"/>
          <w:lang w:eastAsia="en-US"/>
        </w:rPr>
        <w:t xml:space="preserve">The </w:t>
      </w:r>
      <w:r w:rsidR="00E82522" w:rsidRPr="00C90AC9">
        <w:rPr>
          <w:rFonts w:eastAsiaTheme="minorHAnsi"/>
          <w:lang w:eastAsia="en-US"/>
        </w:rPr>
        <w:t>main</w:t>
      </w:r>
      <w:r w:rsidRPr="00C90AC9">
        <w:rPr>
          <w:rFonts w:eastAsiaTheme="minorHAnsi"/>
          <w:lang w:eastAsia="en-US"/>
        </w:rPr>
        <w:t xml:space="preserve"> actors in this study recognised that individually they </w:t>
      </w:r>
      <w:r w:rsidR="000C5541" w:rsidRPr="00C90AC9">
        <w:rPr>
          <w:rFonts w:eastAsiaTheme="minorHAnsi"/>
          <w:lang w:eastAsia="en-US"/>
        </w:rPr>
        <w:t xml:space="preserve">themselves </w:t>
      </w:r>
      <w:r w:rsidRPr="00C90AC9">
        <w:rPr>
          <w:rFonts w:eastAsiaTheme="minorHAnsi"/>
          <w:lang w:eastAsia="en-US"/>
        </w:rPr>
        <w:t>could be better informed about the capabilities of</w:t>
      </w:r>
      <w:r w:rsidR="000C5541" w:rsidRPr="00C90AC9">
        <w:rPr>
          <w:rFonts w:eastAsiaTheme="minorHAnsi"/>
          <w:lang w:eastAsia="en-US"/>
        </w:rPr>
        <w:t xml:space="preserve"> STP </w:t>
      </w:r>
      <w:r w:rsidRPr="00C90AC9">
        <w:rPr>
          <w:rFonts w:eastAsiaTheme="minorHAnsi"/>
          <w:lang w:eastAsia="en-US"/>
        </w:rPr>
        <w:t>technology so that when they are</w:t>
      </w:r>
      <w:r w:rsidR="000C5541" w:rsidRPr="00C90AC9">
        <w:rPr>
          <w:rFonts w:eastAsiaTheme="minorHAnsi"/>
          <w:lang w:eastAsia="en-US"/>
        </w:rPr>
        <w:t xml:space="preserve"> sharing this </w:t>
      </w:r>
      <w:r w:rsidRPr="00C90AC9">
        <w:rPr>
          <w:rFonts w:eastAsiaTheme="minorHAnsi"/>
          <w:lang w:eastAsia="en-US"/>
        </w:rPr>
        <w:t>information</w:t>
      </w:r>
      <w:r w:rsidR="000C5541" w:rsidRPr="00C90AC9">
        <w:rPr>
          <w:rFonts w:eastAsiaTheme="minorHAnsi"/>
          <w:lang w:eastAsia="en-US"/>
        </w:rPr>
        <w:t xml:space="preserve"> with </w:t>
      </w:r>
      <w:r w:rsidRPr="00C90AC9">
        <w:rPr>
          <w:rFonts w:eastAsiaTheme="minorHAnsi"/>
          <w:lang w:eastAsia="en-US"/>
        </w:rPr>
        <w:t xml:space="preserve">the public they share </w:t>
      </w:r>
      <w:r w:rsidR="000C5541" w:rsidRPr="00C90AC9">
        <w:rPr>
          <w:rFonts w:eastAsiaTheme="minorHAnsi"/>
          <w:lang w:eastAsia="en-US"/>
        </w:rPr>
        <w:t>information which is accurate and impartial</w:t>
      </w:r>
      <w:r w:rsidRPr="00C90AC9">
        <w:rPr>
          <w:rFonts w:eastAsiaTheme="minorHAnsi"/>
          <w:lang w:eastAsia="en-US"/>
        </w:rPr>
        <w:t>.</w:t>
      </w:r>
    </w:p>
    <w:p w:rsidR="00A16B8C" w:rsidRPr="00C90AC9" w:rsidRDefault="00A16B8C" w:rsidP="00400878">
      <w:pPr>
        <w:pStyle w:val="BodyText"/>
        <w:spacing w:line="360" w:lineRule="auto"/>
        <w:rPr>
          <w:rFonts w:eastAsiaTheme="minorHAnsi"/>
          <w:lang w:eastAsia="en-US"/>
        </w:rPr>
      </w:pPr>
      <w:r w:rsidRPr="00C90AC9">
        <w:rPr>
          <w:rFonts w:eastAsiaTheme="minorHAnsi"/>
          <w:lang w:eastAsia="en-US"/>
        </w:rPr>
        <w:t>Thi</w:t>
      </w:r>
      <w:r w:rsidR="00400878" w:rsidRPr="00C90AC9">
        <w:rPr>
          <w:rFonts w:eastAsiaTheme="minorHAnsi"/>
          <w:lang w:eastAsia="en-US"/>
        </w:rPr>
        <w:t xml:space="preserve">s finding is in agreement with </w:t>
      </w:r>
      <w:r w:rsidR="00400878" w:rsidRPr="00C90AC9">
        <w:rPr>
          <w:rFonts w:eastAsiaTheme="minorHAnsi"/>
          <w:lang w:eastAsia="en-US"/>
        </w:rPr>
        <w:fldChar w:fldCharType="begin"/>
      </w:r>
      <w:r w:rsidR="00400878" w:rsidRPr="00C90AC9">
        <w:rPr>
          <w:rFonts w:eastAsiaTheme="minorHAnsi"/>
          <w:lang w:eastAsia="en-US"/>
        </w:rPr>
        <w:instrText xml:space="preserve"> ADDIN EN.CITE &lt;EndNote&gt;&lt;Cite&gt;&lt;Author&gt;Simcock&lt;/Author&gt;&lt;Year&gt;2014&lt;/Year&gt;&lt;RecNum&gt;271&lt;/RecNum&gt;&lt;DisplayText&gt;(Simcock et al., 2014)&lt;/DisplayText&gt;&lt;record&gt;&lt;rec-number&gt;271&lt;/rec-number&gt;&lt;foreign-keys&gt;&lt;key app="EN" db-id="50wxdpzd9vd5r7e9t5b595djrfpttrxw9avp" timestamp="1526109739"&gt;271&lt;/key&gt;&lt;/foreign-keys&gt;&lt;ref-type name="Journal Article"&gt;17&lt;/ref-type&gt;&lt;contributors&gt;&lt;authors&gt;&lt;author&gt;Simcock, Neil&lt;/author&gt;&lt;author&gt;MacGregor, Sherilyn&lt;/author&gt;&lt;author&gt;Catney, Philip&lt;/author&gt;&lt;author&gt;Dobson, Andrew&lt;/author&gt;&lt;author&gt;Ormerod, Mark&lt;/author&gt;&lt;author&gt;Robinson, Zoe&lt;/author&gt;&lt;author&gt;Ross, Simon&lt;/author&gt;&lt;author&gt;Royston, Sarah&lt;/author&gt;&lt;author&gt;Marie Hall, Sarah&lt;/author&gt;&lt;/authors&gt;&lt;/contributors&gt;&lt;titles&gt;&lt;title&gt;Factors influencing perceptions of domestic energy information: Content, source and process&lt;/title&gt;&lt;secondary-title&gt;Energy Policy&lt;/secondary-title&gt;&lt;/titles&gt;&lt;pages&gt;455-464&lt;/pages&gt;&lt;volume&gt;65&lt;/volume&gt;&lt;keywords&gt;&lt;keyword&gt;Domestic energy&lt;/keyword&gt;&lt;keyword&gt;Community&lt;/keyword&gt;&lt;keyword&gt;Energy consumption&lt;/keyword&gt;&lt;/keywords&gt;&lt;dates&gt;&lt;year&gt;2014&lt;/year&gt;&lt;pub-dates&gt;&lt;date&gt;2014/02/01/&lt;/date&gt;&lt;/pub-dates&gt;&lt;/dates&gt;&lt;isbn&gt;0301-4215&lt;/isbn&gt;&lt;urls&gt;&lt;related-urls&gt;&lt;url&gt;http://www.sciencedirect.com/science/article/pii/S0301421513010604&lt;/url&gt;&lt;/related-urls&gt;&lt;/urls&gt;&lt;electronic-resource-num&gt;https://doi.org/10.1016/j.enpol.2013.10.038&lt;/electronic-resource-num&gt;&lt;/record&gt;&lt;/Cite&gt;&lt;/EndNote&gt;</w:instrText>
      </w:r>
      <w:r w:rsidR="00400878" w:rsidRPr="00C90AC9">
        <w:rPr>
          <w:rFonts w:eastAsiaTheme="minorHAnsi"/>
          <w:lang w:eastAsia="en-US"/>
        </w:rPr>
        <w:fldChar w:fldCharType="separate"/>
      </w:r>
      <w:r w:rsidR="00400878" w:rsidRPr="00C90AC9">
        <w:rPr>
          <w:rFonts w:eastAsiaTheme="minorHAnsi"/>
          <w:lang w:eastAsia="en-US"/>
        </w:rPr>
        <w:t>(Simcock et al., 2014)</w:t>
      </w:r>
      <w:r w:rsidR="00400878" w:rsidRPr="00C90AC9">
        <w:rPr>
          <w:rFonts w:eastAsiaTheme="minorHAnsi"/>
          <w:lang w:eastAsia="en-US"/>
        </w:rPr>
        <w:fldChar w:fldCharType="end"/>
      </w:r>
      <w:r w:rsidR="00400878" w:rsidRPr="00C90AC9">
        <w:rPr>
          <w:rFonts w:eastAsiaTheme="minorHAnsi"/>
          <w:lang w:eastAsia="en-US"/>
        </w:rPr>
        <w:t xml:space="preserve"> </w:t>
      </w:r>
      <w:r w:rsidRPr="00C90AC9">
        <w:rPr>
          <w:rFonts w:eastAsiaTheme="minorHAnsi"/>
          <w:lang w:eastAsia="en-US"/>
        </w:rPr>
        <w:t>who illustrated how consumers interact with information about a domestic ener</w:t>
      </w:r>
      <w:r w:rsidR="00400878" w:rsidRPr="00C90AC9">
        <w:rPr>
          <w:rFonts w:eastAsiaTheme="minorHAnsi"/>
          <w:lang w:eastAsia="en-US"/>
        </w:rPr>
        <w:t>gy technology. The study by Simc</w:t>
      </w:r>
      <w:r w:rsidRPr="00C90AC9">
        <w:rPr>
          <w:rFonts w:eastAsiaTheme="minorHAnsi"/>
          <w:lang w:eastAsia="en-US"/>
        </w:rPr>
        <w:t xml:space="preserve">ock et al highlighted various factors which impact on householder perceptions about domestic energy information and illustrated the various ways in which </w:t>
      </w:r>
      <w:r w:rsidR="00191628" w:rsidRPr="00C90AC9">
        <w:rPr>
          <w:rFonts w:eastAsiaTheme="minorHAnsi"/>
          <w:lang w:eastAsia="en-US"/>
        </w:rPr>
        <w:t>householders’</w:t>
      </w:r>
      <w:r w:rsidRPr="00C90AC9">
        <w:rPr>
          <w:rFonts w:eastAsiaTheme="minorHAnsi"/>
          <w:lang w:eastAsia="en-US"/>
        </w:rPr>
        <w:t xml:space="preserve"> access and use energy information in an interactive manner to form their perceptions about a particular technology. They argue that it is not a </w:t>
      </w:r>
      <w:r w:rsidR="00091094" w:rsidRPr="00C90AC9">
        <w:rPr>
          <w:rFonts w:eastAsiaTheme="minorHAnsi"/>
          <w:lang w:eastAsia="en-US"/>
        </w:rPr>
        <w:t>one-way</w:t>
      </w:r>
      <w:r w:rsidRPr="00C90AC9">
        <w:rPr>
          <w:rFonts w:eastAsiaTheme="minorHAnsi"/>
          <w:lang w:eastAsia="en-US"/>
        </w:rPr>
        <w:t xml:space="preserve"> dialogue and that the flow of information should happen in a </w:t>
      </w:r>
      <w:r w:rsidR="00091094" w:rsidRPr="00C90AC9">
        <w:rPr>
          <w:rFonts w:eastAsiaTheme="minorHAnsi"/>
          <w:lang w:eastAsia="en-US"/>
        </w:rPr>
        <w:t>two-way</w:t>
      </w:r>
      <w:r w:rsidRPr="00C90AC9">
        <w:rPr>
          <w:rFonts w:eastAsiaTheme="minorHAnsi"/>
          <w:lang w:eastAsia="en-US"/>
        </w:rPr>
        <w:t xml:space="preserve"> manner. By ensuring that the flow of information happened in this manner householders in their study perceived the information as being more useful as it was more tailored and contextualized to their specific situation. The </w:t>
      </w:r>
      <w:r w:rsidR="00E82522" w:rsidRPr="00C90AC9">
        <w:rPr>
          <w:rFonts w:eastAsiaTheme="minorHAnsi"/>
          <w:lang w:eastAsia="en-US"/>
        </w:rPr>
        <w:t>main</w:t>
      </w:r>
      <w:r w:rsidRPr="00C90AC9">
        <w:rPr>
          <w:rFonts w:eastAsiaTheme="minorHAnsi"/>
          <w:lang w:eastAsia="en-US"/>
        </w:rPr>
        <w:t xml:space="preserve"> </w:t>
      </w:r>
      <w:r w:rsidR="00E82522" w:rsidRPr="00C90AC9">
        <w:rPr>
          <w:rFonts w:eastAsiaTheme="minorHAnsi"/>
          <w:lang w:eastAsia="en-US"/>
        </w:rPr>
        <w:t>actors</w:t>
      </w:r>
      <w:r w:rsidRPr="00C90AC9">
        <w:rPr>
          <w:rFonts w:eastAsiaTheme="minorHAnsi"/>
          <w:lang w:eastAsia="en-US"/>
        </w:rPr>
        <w:t xml:space="preserve"> in this study highlighted the need for contextualised information to be made available not both householders but also other </w:t>
      </w:r>
      <w:r w:rsidR="00E82522" w:rsidRPr="00C90AC9">
        <w:rPr>
          <w:rFonts w:eastAsiaTheme="minorHAnsi"/>
          <w:lang w:eastAsia="en-US"/>
        </w:rPr>
        <w:t>main</w:t>
      </w:r>
      <w:r w:rsidRPr="00C90AC9">
        <w:rPr>
          <w:rFonts w:eastAsiaTheme="minorHAnsi"/>
          <w:lang w:eastAsia="en-US"/>
        </w:rPr>
        <w:t xml:space="preserve"> </w:t>
      </w:r>
      <w:r w:rsidR="00E82522" w:rsidRPr="00C90AC9">
        <w:rPr>
          <w:rFonts w:eastAsiaTheme="minorHAnsi"/>
          <w:lang w:eastAsia="en-US"/>
        </w:rPr>
        <w:t>actors</w:t>
      </w:r>
      <w:r w:rsidRPr="00C90AC9">
        <w:rPr>
          <w:rFonts w:eastAsiaTheme="minorHAnsi"/>
          <w:lang w:eastAsia="en-US"/>
        </w:rPr>
        <w:t xml:space="preserve"> in the STP market. By having a clearer and deeper understanding of the capabilities of STP technology the </w:t>
      </w:r>
      <w:r w:rsidR="00E82522" w:rsidRPr="00C90AC9">
        <w:rPr>
          <w:rFonts w:eastAsiaTheme="minorHAnsi"/>
          <w:lang w:eastAsia="en-US"/>
        </w:rPr>
        <w:t>main</w:t>
      </w:r>
      <w:r w:rsidRPr="00C90AC9">
        <w:rPr>
          <w:rFonts w:eastAsiaTheme="minorHAnsi"/>
          <w:lang w:eastAsia="en-US"/>
        </w:rPr>
        <w:t xml:space="preserve"> </w:t>
      </w:r>
      <w:r w:rsidR="00E82522" w:rsidRPr="00C90AC9">
        <w:rPr>
          <w:rFonts w:eastAsiaTheme="minorHAnsi"/>
          <w:lang w:eastAsia="en-US"/>
        </w:rPr>
        <w:t>actors</w:t>
      </w:r>
      <w:r w:rsidRPr="00C90AC9">
        <w:rPr>
          <w:rFonts w:eastAsiaTheme="minorHAnsi"/>
          <w:lang w:eastAsia="en-US"/>
        </w:rPr>
        <w:t xml:space="preserve"> in this study described the benefit to consumers in having more contextualised information and information that was </w:t>
      </w:r>
      <w:r w:rsidR="000C5541" w:rsidRPr="00C90AC9">
        <w:rPr>
          <w:rFonts w:eastAsiaTheme="minorHAnsi"/>
          <w:lang w:eastAsia="en-US"/>
        </w:rPr>
        <w:t>specific to their needs</w:t>
      </w:r>
      <w:r w:rsidRPr="00C90AC9">
        <w:rPr>
          <w:rFonts w:eastAsiaTheme="minorHAnsi"/>
          <w:lang w:eastAsia="en-US"/>
        </w:rPr>
        <w:t xml:space="preserve">. </w:t>
      </w:r>
    </w:p>
    <w:p w:rsidR="00A16B8C" w:rsidRPr="00C90AC9" w:rsidRDefault="00A16B8C" w:rsidP="002D5276">
      <w:pPr>
        <w:pStyle w:val="BodyText"/>
        <w:spacing w:line="360" w:lineRule="auto"/>
        <w:rPr>
          <w:rFonts w:eastAsiaTheme="minorHAnsi"/>
          <w:lang w:eastAsia="en-US"/>
        </w:rPr>
      </w:pPr>
      <w:r w:rsidRPr="00C90AC9">
        <w:rPr>
          <w:rFonts w:eastAsiaTheme="minorHAnsi"/>
          <w:lang w:eastAsia="en-US"/>
        </w:rPr>
        <w:lastRenderedPageBreak/>
        <w:t xml:space="preserve">The results from this study showed that there has been a change in perception by the </w:t>
      </w:r>
      <w:r w:rsidR="00E82522" w:rsidRPr="00C90AC9">
        <w:rPr>
          <w:rFonts w:eastAsiaTheme="minorHAnsi"/>
          <w:lang w:eastAsia="en-US"/>
        </w:rPr>
        <w:t>main</w:t>
      </w:r>
      <w:r w:rsidRPr="00C90AC9">
        <w:rPr>
          <w:rFonts w:eastAsiaTheme="minorHAnsi"/>
          <w:lang w:eastAsia="en-US"/>
        </w:rPr>
        <w:t xml:space="preserve"> actors in the STP market that the combined pressures of internationally binding targets to reduce GHG emissions and residents individual desire to reduce energy costs are compelling more people to adopt this technology in 2015 than in 2015. The increased interest in </w:t>
      </w:r>
      <w:r w:rsidR="006518C0" w:rsidRPr="00C90AC9">
        <w:rPr>
          <w:rFonts w:eastAsiaTheme="minorHAnsi"/>
          <w:lang w:eastAsia="en-US"/>
        </w:rPr>
        <w:t>STPs</w:t>
      </w:r>
      <w:r w:rsidRPr="00C90AC9">
        <w:rPr>
          <w:rFonts w:eastAsiaTheme="minorHAnsi"/>
          <w:lang w:eastAsia="en-US"/>
        </w:rPr>
        <w:t xml:space="preserve"> over the three years due to financial reasons was seen as a potential policy driver to increased adoption of this technology. The introduction of a policy tool similar to the Feed </w:t>
      </w:r>
      <w:r w:rsidR="0070548A" w:rsidRPr="00C90AC9">
        <w:rPr>
          <w:rFonts w:eastAsiaTheme="minorHAnsi"/>
          <w:lang w:eastAsia="en-US"/>
        </w:rPr>
        <w:t>i</w:t>
      </w:r>
      <w:r w:rsidRPr="00C90AC9">
        <w:rPr>
          <w:rFonts w:eastAsiaTheme="minorHAnsi"/>
          <w:i/>
          <w:lang w:eastAsia="en-US"/>
        </w:rPr>
        <w:t xml:space="preserve">n </w:t>
      </w:r>
      <w:r w:rsidRPr="00C90AC9">
        <w:rPr>
          <w:rFonts w:eastAsiaTheme="minorHAnsi"/>
          <w:lang w:eastAsia="en-US"/>
        </w:rPr>
        <w:t>Tariff as</w:t>
      </w:r>
      <w:r w:rsidRPr="00C90AC9">
        <w:rPr>
          <w:rFonts w:eastAsiaTheme="minorHAnsi"/>
          <w:i/>
          <w:lang w:eastAsia="en-US"/>
        </w:rPr>
        <w:t xml:space="preserve"> </w:t>
      </w:r>
      <w:r w:rsidRPr="00C90AC9">
        <w:rPr>
          <w:rFonts w:eastAsiaTheme="minorHAnsi"/>
          <w:lang w:eastAsia="en-US"/>
        </w:rPr>
        <w:t xml:space="preserve">was introduced in the UK for domestic electricity generation was seen as a strong tool that could be employed by the government. </w:t>
      </w:r>
    </w:p>
    <w:p w:rsidR="00A16B8C" w:rsidRPr="00C90AC9" w:rsidRDefault="00A16B8C" w:rsidP="002D5276">
      <w:pPr>
        <w:pStyle w:val="BodyText"/>
        <w:spacing w:line="360" w:lineRule="auto"/>
        <w:rPr>
          <w:rFonts w:eastAsiaTheme="minorHAnsi"/>
          <w:lang w:eastAsia="en-US"/>
        </w:rPr>
      </w:pPr>
      <w:r w:rsidRPr="00C90AC9">
        <w:rPr>
          <w:rFonts w:eastAsiaTheme="minorHAnsi"/>
          <w:lang w:eastAsia="en-US"/>
        </w:rPr>
        <w:t xml:space="preserve">The need for a more homogenous approach to this technology is comparable to the findings of </w:t>
      </w:r>
      <w:r w:rsidR="001931FC" w:rsidRPr="00C90AC9">
        <w:rPr>
          <w:rFonts w:eastAsiaTheme="minorHAnsi"/>
          <w:lang w:eastAsia="en-US"/>
        </w:rPr>
        <w:t xml:space="preserve">A. </w:t>
      </w:r>
      <w:proofErr w:type="spellStart"/>
      <w:r w:rsidR="001931FC" w:rsidRPr="00C90AC9">
        <w:rPr>
          <w:rFonts w:eastAsiaTheme="minorHAnsi"/>
          <w:lang w:eastAsia="en-US"/>
        </w:rPr>
        <w:t>Faiers</w:t>
      </w:r>
      <w:proofErr w:type="spellEnd"/>
      <w:r w:rsidR="001931FC" w:rsidRPr="00C90AC9">
        <w:rPr>
          <w:rFonts w:eastAsiaTheme="minorHAnsi"/>
          <w:lang w:eastAsia="en-US"/>
        </w:rPr>
        <w:t xml:space="preserve">, C. </w:t>
      </w:r>
      <w:proofErr w:type="spellStart"/>
      <w:r w:rsidR="001931FC" w:rsidRPr="00C90AC9">
        <w:rPr>
          <w:rFonts w:eastAsiaTheme="minorHAnsi"/>
          <w:lang w:eastAsia="en-US"/>
        </w:rPr>
        <w:t>Neame</w:t>
      </w:r>
      <w:proofErr w:type="spellEnd"/>
      <w:r w:rsidR="001931FC" w:rsidRPr="00C90AC9">
        <w:rPr>
          <w:rFonts w:eastAsiaTheme="minorHAnsi"/>
          <w:lang w:eastAsia="en-US"/>
        </w:rPr>
        <w:t xml:space="preserve">, &amp; Cook in </w:t>
      </w:r>
      <w:r w:rsidR="002D5276" w:rsidRPr="00C90AC9">
        <w:rPr>
          <w:rFonts w:eastAsiaTheme="minorHAnsi"/>
          <w:lang w:eastAsia="en-US"/>
        </w:rPr>
        <w:t xml:space="preserve">2007 </w:t>
      </w:r>
      <w:r w:rsidR="002D5276" w:rsidRPr="00C90AC9">
        <w:rPr>
          <w:rFonts w:eastAsiaTheme="minorHAnsi"/>
          <w:lang w:eastAsia="en-US"/>
        </w:rPr>
        <w:fldChar w:fldCharType="begin"/>
      </w:r>
      <w:r w:rsidR="002D5276" w:rsidRPr="00C90AC9">
        <w:rPr>
          <w:rFonts w:eastAsiaTheme="minorHAnsi"/>
          <w:lang w:eastAsia="en-US"/>
        </w:rPr>
        <w:instrText xml:space="preserve"> ADDIN EN.CITE &lt;EndNote&gt;&lt;Cite&gt;&lt;Author&gt;Faiers&lt;/Author&gt;&lt;Year&gt;2007&lt;/Year&gt;&lt;RecNum&gt;272&lt;/RecNum&gt;&lt;DisplayText&gt;(Faiers, Neame, &amp;amp; Cook, 2007)&lt;/DisplayText&gt;&lt;record&gt;&lt;rec-number&gt;272&lt;/rec-number&gt;&lt;foreign-keys&gt;&lt;key app="EN" db-id="50wxdpzd9vd5r7e9t5b595djrfpttrxw9avp" timestamp="1526109998"&gt;272&lt;/key&gt;&lt;/foreign-keys&gt;&lt;ref-type name="Journal Article"&gt;17&lt;/ref-type&gt;&lt;contributors&gt;&lt;authors&gt;&lt;author&gt;Faiers, Adam&lt;/author&gt;&lt;author&gt;Neame, Charles&lt;/author&gt;&lt;author&gt;Cook, Matt&lt;/author&gt;&lt;/authors&gt;&lt;/contributors&gt;&lt;titles&gt;&lt;title&gt;The adoption of domestic solar-power systems: Do consumers assess product attributes in a stepwise process?&lt;/title&gt;&lt;secondary-title&gt;Energy Policy&lt;/secondary-title&gt;&lt;/titles&gt;&lt;pages&gt;3418-3423&lt;/pages&gt;&lt;volume&gt;35&lt;/volume&gt;&lt;number&gt;6&lt;/number&gt;&lt;keywords&gt;&lt;keyword&gt;Innovation adoption&lt;/keyword&gt;&lt;keyword&gt;Innovation attributes&lt;/keyword&gt;&lt;keyword&gt;Consumer profiles&lt;/keyword&gt;&lt;/keywords&gt;&lt;dates&gt;&lt;year&gt;2007&lt;/year&gt;&lt;pub-dates&gt;&lt;date&gt;2007/06/01/&lt;/date&gt;&lt;/pub-dates&gt;&lt;/dates&gt;&lt;isbn&gt;0301-4215&lt;/isbn&gt;&lt;urls&gt;&lt;related-urls&gt;&lt;url&gt;http://www.sciencedirect.com/science/article/pii/S0301421506004198&lt;/url&gt;&lt;/related-urls&gt;&lt;/urls&gt;&lt;electronic-resource-num&gt;https://doi.org/10.1016/j.enpol.2006.10.029&lt;/electronic-resource-num&gt;&lt;/record&gt;&lt;/Cite&gt;&lt;/EndNote&gt;</w:instrText>
      </w:r>
      <w:r w:rsidR="002D5276" w:rsidRPr="00C90AC9">
        <w:rPr>
          <w:rFonts w:eastAsiaTheme="minorHAnsi"/>
          <w:lang w:eastAsia="en-US"/>
        </w:rPr>
        <w:fldChar w:fldCharType="separate"/>
      </w:r>
      <w:r w:rsidR="002D5276" w:rsidRPr="00C90AC9">
        <w:rPr>
          <w:rFonts w:eastAsiaTheme="minorHAnsi"/>
          <w:lang w:eastAsia="en-US"/>
        </w:rPr>
        <w:t>(</w:t>
      </w:r>
      <w:r w:rsidR="00432861" w:rsidRPr="00C90AC9">
        <w:rPr>
          <w:rFonts w:eastAsiaTheme="minorHAnsi"/>
          <w:lang w:eastAsia="en-US"/>
        </w:rPr>
        <w:t xml:space="preserve">A. </w:t>
      </w:r>
      <w:r w:rsidR="0038131A" w:rsidRPr="00C90AC9">
        <w:rPr>
          <w:rFonts w:eastAsiaTheme="minorHAnsi"/>
          <w:lang w:eastAsia="en-US"/>
        </w:rPr>
        <w:t>Faiers</w:t>
      </w:r>
      <w:r w:rsidR="002D5276" w:rsidRPr="00C90AC9">
        <w:rPr>
          <w:rFonts w:eastAsiaTheme="minorHAnsi"/>
          <w:lang w:eastAsia="en-US"/>
        </w:rPr>
        <w:t xml:space="preserve">, </w:t>
      </w:r>
      <w:r w:rsidR="00432861" w:rsidRPr="00C90AC9">
        <w:rPr>
          <w:rFonts w:eastAsiaTheme="minorHAnsi"/>
          <w:lang w:eastAsia="en-US"/>
        </w:rPr>
        <w:t xml:space="preserve">C. </w:t>
      </w:r>
      <w:r w:rsidR="0038131A" w:rsidRPr="00C90AC9">
        <w:rPr>
          <w:rFonts w:eastAsiaTheme="minorHAnsi"/>
          <w:lang w:eastAsia="en-US"/>
        </w:rPr>
        <w:t>Neame,</w:t>
      </w:r>
      <w:r w:rsidR="002D5276" w:rsidRPr="00C90AC9">
        <w:rPr>
          <w:rFonts w:eastAsiaTheme="minorHAnsi"/>
          <w:lang w:eastAsia="en-US"/>
        </w:rPr>
        <w:t xml:space="preserve"> &amp; Cook, 2007)</w:t>
      </w:r>
      <w:r w:rsidR="002D5276" w:rsidRPr="00C90AC9">
        <w:rPr>
          <w:rFonts w:eastAsiaTheme="minorHAnsi"/>
          <w:lang w:eastAsia="en-US"/>
        </w:rPr>
        <w:fldChar w:fldCharType="end"/>
      </w:r>
      <w:r w:rsidR="002D5276" w:rsidRPr="00C90AC9">
        <w:rPr>
          <w:rFonts w:eastAsiaTheme="minorHAnsi"/>
          <w:lang w:eastAsia="en-US"/>
        </w:rPr>
        <w:t>.</w:t>
      </w:r>
      <w:r w:rsidRPr="00C90AC9">
        <w:rPr>
          <w:rFonts w:eastAsiaTheme="minorHAnsi"/>
          <w:lang w:eastAsia="en-US"/>
        </w:rPr>
        <w:t xml:space="preserve"> They determined that, in the solar power industry, manufacturers and suppliers should work closely together to ensure that there is a greater agreement about the operational, economic and operational aspects of PV technology. This study with the </w:t>
      </w:r>
      <w:r w:rsidR="00E82522" w:rsidRPr="00C90AC9">
        <w:rPr>
          <w:rFonts w:eastAsiaTheme="minorHAnsi"/>
          <w:lang w:eastAsia="en-US"/>
        </w:rPr>
        <w:t>main</w:t>
      </w:r>
      <w:r w:rsidRPr="00C90AC9">
        <w:rPr>
          <w:rFonts w:eastAsiaTheme="minorHAnsi"/>
          <w:lang w:eastAsia="en-US"/>
        </w:rPr>
        <w:t xml:space="preserve"> </w:t>
      </w:r>
      <w:r w:rsidR="00E82522" w:rsidRPr="00C90AC9">
        <w:rPr>
          <w:rFonts w:eastAsiaTheme="minorHAnsi"/>
          <w:lang w:eastAsia="en-US"/>
        </w:rPr>
        <w:t>actors</w:t>
      </w:r>
      <w:r w:rsidRPr="00C90AC9">
        <w:rPr>
          <w:rFonts w:eastAsiaTheme="minorHAnsi"/>
          <w:lang w:eastAsia="en-US"/>
        </w:rPr>
        <w:t xml:space="preserve"> within the STP industry found similar results with a perception that this greater integration would improve the trust that consumers perceive with th</w:t>
      </w:r>
      <w:r w:rsidR="00091094" w:rsidRPr="00C90AC9">
        <w:rPr>
          <w:rFonts w:eastAsiaTheme="minorHAnsi"/>
          <w:lang w:eastAsia="en-US"/>
        </w:rPr>
        <w:t xml:space="preserve">e technology and its potential </w:t>
      </w:r>
      <w:r w:rsidRPr="00C90AC9">
        <w:rPr>
          <w:rFonts w:eastAsiaTheme="minorHAnsi"/>
          <w:lang w:eastAsia="en-US"/>
        </w:rPr>
        <w:t>benefits.</w:t>
      </w:r>
    </w:p>
    <w:p w:rsidR="00A16B8C" w:rsidRPr="00C90AC9" w:rsidRDefault="00A16B8C" w:rsidP="002D5276">
      <w:pPr>
        <w:pStyle w:val="BodyText"/>
        <w:spacing w:line="360" w:lineRule="auto"/>
        <w:rPr>
          <w:rFonts w:eastAsiaTheme="minorHAnsi"/>
          <w:lang w:eastAsia="en-US"/>
        </w:rPr>
      </w:pPr>
      <w:r w:rsidRPr="00C90AC9">
        <w:rPr>
          <w:rFonts w:eastAsiaTheme="minorHAnsi"/>
          <w:lang w:eastAsia="en-US"/>
        </w:rPr>
        <w:t>A clearer</w:t>
      </w:r>
      <w:r w:rsidR="000C5541" w:rsidRPr="00C90AC9">
        <w:rPr>
          <w:rFonts w:eastAsiaTheme="minorHAnsi"/>
          <w:lang w:eastAsia="en-US"/>
        </w:rPr>
        <w:t xml:space="preserve"> direction </w:t>
      </w:r>
      <w:r w:rsidRPr="00C90AC9">
        <w:rPr>
          <w:rFonts w:eastAsiaTheme="minorHAnsi"/>
          <w:lang w:eastAsia="en-US"/>
        </w:rPr>
        <w:t xml:space="preserve">from the </w:t>
      </w:r>
      <w:r w:rsidR="000C5541" w:rsidRPr="00C90AC9">
        <w:rPr>
          <w:rFonts w:eastAsiaTheme="minorHAnsi"/>
          <w:lang w:eastAsia="en-US"/>
        </w:rPr>
        <w:t xml:space="preserve">government through the use of supporting government policies and schemes </w:t>
      </w:r>
      <w:r w:rsidRPr="00C90AC9">
        <w:rPr>
          <w:rFonts w:eastAsiaTheme="minorHAnsi"/>
          <w:lang w:eastAsia="en-US"/>
        </w:rPr>
        <w:t>is suggested for</w:t>
      </w:r>
      <w:r w:rsidR="000C5541" w:rsidRPr="00C90AC9">
        <w:rPr>
          <w:rFonts w:eastAsiaTheme="minorHAnsi"/>
          <w:lang w:eastAsia="en-US"/>
        </w:rPr>
        <w:t xml:space="preserve"> STP’s to improve the UK </w:t>
      </w:r>
      <w:r w:rsidRPr="00C90AC9">
        <w:rPr>
          <w:rFonts w:eastAsiaTheme="minorHAnsi"/>
          <w:lang w:eastAsia="en-US"/>
        </w:rPr>
        <w:t xml:space="preserve">adoption rates. A scheme which is similar to the FIT is proposed as being a method to improve consumer adoption. This is a finding which was found by </w:t>
      </w:r>
      <w:proofErr w:type="spellStart"/>
      <w:r w:rsidR="009902C3" w:rsidRPr="00C90AC9">
        <w:rPr>
          <w:rFonts w:eastAsiaTheme="minorHAnsi"/>
          <w:lang w:eastAsia="en-US"/>
        </w:rPr>
        <w:t>Juntumen</w:t>
      </w:r>
      <w:proofErr w:type="spellEnd"/>
      <w:r w:rsidR="009902C3" w:rsidRPr="00C90AC9">
        <w:rPr>
          <w:rFonts w:eastAsiaTheme="minorHAnsi"/>
          <w:lang w:eastAsia="en-US"/>
        </w:rPr>
        <w:t xml:space="preserve"> </w:t>
      </w:r>
      <w:r w:rsidR="00EA1AB9" w:rsidRPr="00C90AC9">
        <w:rPr>
          <w:rFonts w:eastAsiaTheme="minorHAnsi"/>
          <w:lang w:eastAsia="en-US"/>
        </w:rPr>
        <w:t xml:space="preserve">in </w:t>
      </w:r>
      <w:r w:rsidR="009902C3" w:rsidRPr="00C90AC9">
        <w:rPr>
          <w:rFonts w:eastAsiaTheme="minorHAnsi"/>
          <w:lang w:eastAsia="en-US"/>
        </w:rPr>
        <w:t>2015</w:t>
      </w:r>
      <w:r w:rsidRPr="00C90AC9">
        <w:rPr>
          <w:rFonts w:eastAsiaTheme="minorHAnsi"/>
          <w:lang w:eastAsia="en-US"/>
        </w:rPr>
        <w:t xml:space="preserve"> and whilst </w:t>
      </w:r>
      <w:r w:rsidR="009902C3" w:rsidRPr="00C90AC9">
        <w:rPr>
          <w:rFonts w:eastAsiaTheme="minorHAnsi"/>
          <w:lang w:eastAsia="en-US"/>
        </w:rPr>
        <w:t>the author</w:t>
      </w:r>
      <w:r w:rsidRPr="00C90AC9">
        <w:rPr>
          <w:rFonts w:eastAsiaTheme="minorHAnsi"/>
          <w:lang w:eastAsia="en-US"/>
        </w:rPr>
        <w:t xml:space="preserve"> accept</w:t>
      </w:r>
      <w:r w:rsidR="009902C3" w:rsidRPr="00C90AC9">
        <w:rPr>
          <w:rFonts w:eastAsiaTheme="minorHAnsi"/>
          <w:lang w:eastAsia="en-US"/>
        </w:rPr>
        <w:t>s</w:t>
      </w:r>
      <w:r w:rsidRPr="00C90AC9">
        <w:rPr>
          <w:rFonts w:eastAsiaTheme="minorHAnsi"/>
          <w:lang w:eastAsia="en-US"/>
        </w:rPr>
        <w:t xml:space="preserve"> that such a policy as applied to the STP market is the exception rather than the rule (such</w:t>
      </w:r>
      <w:r w:rsidR="009902C3" w:rsidRPr="00C90AC9">
        <w:rPr>
          <w:rFonts w:eastAsiaTheme="minorHAnsi"/>
          <w:lang w:eastAsia="en-US"/>
        </w:rPr>
        <w:t xml:space="preserve"> a scheme is employed in Spain) </w:t>
      </w:r>
      <w:r w:rsidR="009902C3" w:rsidRPr="00C90AC9">
        <w:rPr>
          <w:rFonts w:eastAsiaTheme="minorHAnsi"/>
          <w:lang w:eastAsia="en-US"/>
        </w:rPr>
        <w:fldChar w:fldCharType="begin"/>
      </w:r>
      <w:r w:rsidR="009902C3" w:rsidRPr="00C90AC9">
        <w:rPr>
          <w:rFonts w:eastAsiaTheme="minorHAnsi"/>
          <w:lang w:eastAsia="en-US"/>
        </w:rPr>
        <w:instrText xml:space="preserve"> ADDIN EN.CITE &lt;EndNote&gt;&lt;Cite&gt;&lt;Author&gt;Juntunen&lt;/Author&gt;&lt;Year&gt;2015&lt;/Year&gt;&lt;RecNum&gt;261&lt;/RecNum&gt;&lt;DisplayText&gt;(Juntunen &amp;amp; Hyysalo, 2015)&lt;/DisplayText&gt;&lt;record&gt;&lt;rec-number&gt;261&lt;/rec-number&gt;&lt;foreign-keys&gt;&lt;key app="EN" db-id="50wxdpzd9vd5r7e9t5b595djrfpttrxw9avp" timestamp="1526072490"&gt;261&lt;/key&gt;&lt;/foreign-keys&gt;&lt;ref-type name="Journal Article"&gt;17&lt;/ref-type&gt;&lt;contributors&gt;&lt;authors&gt;&lt;author&gt;Juntunen, Jouni K.&lt;/author&gt;&lt;author&gt;Hyysalo, Sampsa&lt;/author&gt;&lt;/authors&gt;&lt;/contributors&gt;&lt;titles&gt;&lt;title&gt;Renewable micro-generation of heat and electricity—Review on common and missing socio-technical configurations&lt;/title&gt;&lt;secondary-title&gt;Renewable and Sustainable Energy Reviews&lt;/secondary-title&gt;&lt;/titles&gt;&lt;pages&gt;857-870&lt;/pages&gt;&lt;volume&gt;49&lt;/volume&gt;&lt;keywords&gt;&lt;keyword&gt;Renewable energy&lt;/keyword&gt;&lt;keyword&gt;Micro-generation&lt;/keyword&gt;&lt;keyword&gt;Decentralized energy production&lt;/keyword&gt;&lt;keyword&gt;Socio-technical configuration&lt;/keyword&gt;&lt;keyword&gt;Business model&lt;/keyword&gt;&lt;keyword&gt;Community energy&lt;/keyword&gt;&lt;/keywords&gt;&lt;dates&gt;&lt;year&gt;2015&lt;/year&gt;&lt;pub-dates&gt;&lt;date&gt;2015/09/01/&lt;/date&gt;&lt;/pub-dates&gt;&lt;/dates&gt;&lt;isbn&gt;1364-0321&lt;/isbn&gt;&lt;urls&gt;&lt;related-urls&gt;&lt;url&gt;http://www.sciencedirect.com/science/article/pii/S136403211500310X&lt;/url&gt;&lt;/related-urls&gt;&lt;/urls&gt;&lt;electronic-resource-num&gt;https://doi.org/10.1016/j.rser.2015.04.040&lt;/electronic-resource-num&gt;&lt;/record&gt;&lt;/Cite&gt;&lt;/EndNote&gt;</w:instrText>
      </w:r>
      <w:r w:rsidR="009902C3" w:rsidRPr="00C90AC9">
        <w:rPr>
          <w:rFonts w:eastAsiaTheme="minorHAnsi"/>
          <w:lang w:eastAsia="en-US"/>
        </w:rPr>
        <w:fldChar w:fldCharType="separate"/>
      </w:r>
      <w:r w:rsidR="009902C3" w:rsidRPr="00C90AC9">
        <w:rPr>
          <w:rFonts w:eastAsiaTheme="minorHAnsi"/>
          <w:lang w:eastAsia="en-US"/>
        </w:rPr>
        <w:t xml:space="preserve">(Juntunen </w:t>
      </w:r>
      <w:r w:rsidR="004D4B49" w:rsidRPr="00C90AC9">
        <w:rPr>
          <w:rFonts w:eastAsiaTheme="minorHAnsi"/>
          <w:lang w:eastAsia="en-US"/>
        </w:rPr>
        <w:t>and Hyysalo</w:t>
      </w:r>
      <w:r w:rsidR="009902C3" w:rsidRPr="00C90AC9">
        <w:rPr>
          <w:rFonts w:eastAsiaTheme="minorHAnsi"/>
          <w:lang w:eastAsia="en-US"/>
        </w:rPr>
        <w:t>, 2015)</w:t>
      </w:r>
      <w:r w:rsidR="009902C3" w:rsidRPr="00C90AC9">
        <w:rPr>
          <w:rFonts w:eastAsiaTheme="minorHAnsi"/>
          <w:lang w:eastAsia="en-US"/>
        </w:rPr>
        <w:fldChar w:fldCharType="end"/>
      </w:r>
      <w:r w:rsidRPr="00C90AC9">
        <w:rPr>
          <w:rFonts w:eastAsiaTheme="minorHAnsi"/>
          <w:lang w:eastAsia="en-US"/>
        </w:rPr>
        <w:t xml:space="preserve"> </w:t>
      </w:r>
      <w:r w:rsidR="009902C3" w:rsidRPr="00C90AC9">
        <w:rPr>
          <w:rFonts w:eastAsiaTheme="minorHAnsi"/>
          <w:lang w:eastAsia="en-US"/>
        </w:rPr>
        <w:t>the author</w:t>
      </w:r>
      <w:r w:rsidRPr="00C90AC9">
        <w:rPr>
          <w:rFonts w:eastAsiaTheme="minorHAnsi"/>
          <w:lang w:eastAsia="en-US"/>
        </w:rPr>
        <w:t xml:space="preserve"> acknowledge</w:t>
      </w:r>
      <w:r w:rsidR="009902C3" w:rsidRPr="00C90AC9">
        <w:rPr>
          <w:rFonts w:eastAsiaTheme="minorHAnsi"/>
          <w:lang w:eastAsia="en-US"/>
        </w:rPr>
        <w:t>s</w:t>
      </w:r>
      <w:r w:rsidRPr="00C90AC9">
        <w:rPr>
          <w:rFonts w:eastAsiaTheme="minorHAnsi"/>
          <w:lang w:eastAsia="en-US"/>
        </w:rPr>
        <w:t xml:space="preserve"> that a similar policy could be employed to support the solar thermal market. This is particularly true when such technology is not widely adopted and is in the “early market phase” </w:t>
      </w:r>
      <w:r w:rsidR="009902C3" w:rsidRPr="00C90AC9">
        <w:rPr>
          <w:rFonts w:eastAsiaTheme="minorHAnsi"/>
          <w:lang w:eastAsia="en-US"/>
        </w:rPr>
        <w:fldChar w:fldCharType="begin"/>
      </w:r>
      <w:r w:rsidR="009902C3" w:rsidRPr="00C90AC9">
        <w:rPr>
          <w:rFonts w:eastAsiaTheme="minorHAnsi"/>
          <w:lang w:eastAsia="en-US"/>
        </w:rPr>
        <w:instrText xml:space="preserve"> ADDIN EN.CITE &lt;EndNote&gt;&lt;Cite&gt;&lt;Author&gt;Juntunen&lt;/Author&gt;&lt;Year&gt;2015&lt;/Year&gt;&lt;RecNum&gt;261&lt;/RecNum&gt;&lt;DisplayText&gt;(Juntunen &amp;amp; Hyysalo, 2015)&lt;/DisplayText&gt;&lt;record&gt;&lt;rec-number&gt;261&lt;/rec-number&gt;&lt;foreign-keys&gt;&lt;key app="EN" db-id="50wxdpzd9vd5r7e9t5b595djrfpttrxw9avp" timestamp="1526072490"&gt;261&lt;/key&gt;&lt;/foreign-keys&gt;&lt;ref-type name="Journal Article"&gt;17&lt;/ref-type&gt;&lt;contributors&gt;&lt;authors&gt;&lt;author&gt;Juntunen, Jouni K.&lt;/author&gt;&lt;author&gt;Hyysalo, Sampsa&lt;/author&gt;&lt;/authors&gt;&lt;/contributors&gt;&lt;titles&gt;&lt;title&gt;Renewable micro-generation of heat and electricity—Review on common and missing socio-technical configurations&lt;/title&gt;&lt;secondary-title&gt;Renewable and Sustainable Energy Reviews&lt;/secondary-title&gt;&lt;/titles&gt;&lt;pages&gt;857-870&lt;/pages&gt;&lt;volume&gt;49&lt;/volume&gt;&lt;keywords&gt;&lt;keyword&gt;Renewable energy&lt;/keyword&gt;&lt;keyword&gt;Micro-generation&lt;/keyword&gt;&lt;keyword&gt;Decentralized energy production&lt;/keyword&gt;&lt;keyword&gt;Socio-technical configuration&lt;/keyword&gt;&lt;keyword&gt;Business model&lt;/keyword&gt;&lt;keyword&gt;Community energy&lt;/keyword&gt;&lt;/keywords&gt;&lt;dates&gt;&lt;year&gt;2015&lt;/year&gt;&lt;pub-dates&gt;&lt;date&gt;2015/09/01/&lt;/date&gt;&lt;/pub-dates&gt;&lt;/dates&gt;&lt;isbn&gt;1364-0321&lt;/isbn&gt;&lt;urls&gt;&lt;related-urls&gt;&lt;url&gt;http://www.sciencedirect.com/science/article/pii/S136403211500310X&lt;/url&gt;&lt;/related-urls&gt;&lt;/urls&gt;&lt;electronic-resource-num&gt;https://doi.org/10.1016/j.rser.2015.04.040&lt;/electronic-resource-num&gt;&lt;/record&gt;&lt;/Cite&gt;&lt;/EndNote&gt;</w:instrText>
      </w:r>
      <w:r w:rsidR="009902C3" w:rsidRPr="00C90AC9">
        <w:rPr>
          <w:rFonts w:eastAsiaTheme="minorHAnsi"/>
          <w:lang w:eastAsia="en-US"/>
        </w:rPr>
        <w:fldChar w:fldCharType="separate"/>
      </w:r>
      <w:r w:rsidR="009902C3" w:rsidRPr="00C90AC9">
        <w:rPr>
          <w:rFonts w:eastAsiaTheme="minorHAnsi"/>
          <w:lang w:eastAsia="en-US"/>
        </w:rPr>
        <w:t xml:space="preserve">(Juntunen </w:t>
      </w:r>
      <w:r w:rsidR="004D4B49" w:rsidRPr="00C90AC9">
        <w:rPr>
          <w:rFonts w:eastAsiaTheme="minorHAnsi"/>
          <w:lang w:eastAsia="en-US"/>
        </w:rPr>
        <w:t>and Hyysalo</w:t>
      </w:r>
      <w:r w:rsidR="009902C3" w:rsidRPr="00C90AC9">
        <w:rPr>
          <w:rFonts w:eastAsiaTheme="minorHAnsi"/>
          <w:lang w:eastAsia="en-US"/>
        </w:rPr>
        <w:t>, 2015)</w:t>
      </w:r>
      <w:r w:rsidR="009902C3" w:rsidRPr="00C90AC9">
        <w:rPr>
          <w:rFonts w:eastAsiaTheme="minorHAnsi"/>
          <w:lang w:eastAsia="en-US"/>
        </w:rPr>
        <w:fldChar w:fldCharType="end"/>
      </w:r>
      <w:r w:rsidR="009902C3" w:rsidRPr="00C90AC9">
        <w:rPr>
          <w:rFonts w:eastAsiaTheme="minorHAnsi"/>
          <w:lang w:eastAsia="en-US"/>
        </w:rPr>
        <w:t>.</w:t>
      </w:r>
      <w:r w:rsidRPr="00C90AC9">
        <w:rPr>
          <w:rFonts w:eastAsiaTheme="minorHAnsi"/>
          <w:lang w:eastAsia="en-US"/>
        </w:rPr>
        <w:t xml:space="preserve"> </w:t>
      </w:r>
    </w:p>
    <w:p w:rsidR="002D5276" w:rsidRPr="00C90AC9" w:rsidRDefault="00A16B8C" w:rsidP="00B275B3">
      <w:pPr>
        <w:pStyle w:val="BodyText"/>
        <w:spacing w:line="360" w:lineRule="auto"/>
        <w:rPr>
          <w:rStyle w:val="SubtleEmphasis"/>
          <w:rFonts w:cs="Times New Roman"/>
          <w:iCs/>
          <w:szCs w:val="24"/>
        </w:rPr>
      </w:pPr>
      <w:r w:rsidRPr="00C90AC9">
        <w:rPr>
          <w:rFonts w:eastAsiaTheme="minorHAnsi"/>
          <w:lang w:eastAsia="en-US"/>
        </w:rPr>
        <w:t xml:space="preserve">The perceived increased interest in adoption of STP technology, due to a desire to reduce domestic energy costs and a desire to reduce carbon emissions, is not reflected however in the </w:t>
      </w:r>
      <w:r w:rsidR="00E82522" w:rsidRPr="00C90AC9">
        <w:rPr>
          <w:rFonts w:eastAsiaTheme="minorHAnsi"/>
          <w:lang w:eastAsia="en-US"/>
        </w:rPr>
        <w:t>main</w:t>
      </w:r>
      <w:r w:rsidRPr="00C90AC9">
        <w:rPr>
          <w:rFonts w:eastAsiaTheme="minorHAnsi"/>
          <w:lang w:eastAsia="en-US"/>
        </w:rPr>
        <w:t xml:space="preserve"> actor’s personal </w:t>
      </w:r>
      <w:r w:rsidR="00DD3066" w:rsidRPr="00C90AC9">
        <w:rPr>
          <w:rFonts w:eastAsiaTheme="minorHAnsi"/>
          <w:lang w:eastAsia="en-US"/>
        </w:rPr>
        <w:t xml:space="preserve">STP </w:t>
      </w:r>
      <w:r w:rsidRPr="00C90AC9">
        <w:rPr>
          <w:rFonts w:eastAsiaTheme="minorHAnsi"/>
          <w:lang w:eastAsia="en-US"/>
        </w:rPr>
        <w:t xml:space="preserve">adoption behaviour. The low adoption rate amongst the </w:t>
      </w:r>
      <w:r w:rsidR="00E82522" w:rsidRPr="00C90AC9">
        <w:rPr>
          <w:rFonts w:eastAsiaTheme="minorHAnsi"/>
          <w:lang w:eastAsia="en-US"/>
        </w:rPr>
        <w:t>main</w:t>
      </w:r>
      <w:r w:rsidRPr="00C90AC9">
        <w:rPr>
          <w:rFonts w:eastAsiaTheme="minorHAnsi"/>
          <w:lang w:eastAsia="en-US"/>
        </w:rPr>
        <w:t xml:space="preserve"> </w:t>
      </w:r>
      <w:r w:rsidR="00E82522" w:rsidRPr="00C90AC9">
        <w:rPr>
          <w:rFonts w:eastAsiaTheme="minorHAnsi"/>
          <w:lang w:eastAsia="en-US"/>
        </w:rPr>
        <w:t>actors</w:t>
      </w:r>
      <w:r w:rsidRPr="00C90AC9">
        <w:rPr>
          <w:rFonts w:eastAsiaTheme="minorHAnsi"/>
          <w:lang w:eastAsia="en-US"/>
        </w:rPr>
        <w:t xml:space="preserve"> in </w:t>
      </w:r>
      <w:r w:rsidR="00DD3066" w:rsidRPr="00C90AC9">
        <w:rPr>
          <w:rFonts w:eastAsiaTheme="minorHAnsi"/>
          <w:lang w:eastAsia="en-US"/>
        </w:rPr>
        <w:t xml:space="preserve">this study in 2012 and 2015 </w:t>
      </w:r>
      <w:r w:rsidR="00191628" w:rsidRPr="00C90AC9">
        <w:rPr>
          <w:rFonts w:eastAsiaTheme="minorHAnsi"/>
          <w:lang w:eastAsia="en-US"/>
        </w:rPr>
        <w:t>reflect</w:t>
      </w:r>
      <w:r w:rsidRPr="00C90AC9">
        <w:rPr>
          <w:rFonts w:eastAsiaTheme="minorHAnsi"/>
          <w:lang w:eastAsia="en-US"/>
        </w:rPr>
        <w:t xml:space="preserve"> the adoption rate of STP technology in the wider public in the UK. This is suggestive that the </w:t>
      </w:r>
      <w:r w:rsidR="00E82522" w:rsidRPr="00C90AC9">
        <w:rPr>
          <w:rFonts w:eastAsiaTheme="minorHAnsi"/>
          <w:lang w:eastAsia="en-US"/>
        </w:rPr>
        <w:t>main</w:t>
      </w:r>
      <w:r w:rsidRPr="00C90AC9">
        <w:rPr>
          <w:rFonts w:eastAsiaTheme="minorHAnsi"/>
          <w:lang w:eastAsia="en-US"/>
        </w:rPr>
        <w:t xml:space="preserve"> </w:t>
      </w:r>
      <w:r w:rsidR="00E82522" w:rsidRPr="00C90AC9">
        <w:rPr>
          <w:rFonts w:eastAsiaTheme="minorHAnsi"/>
          <w:lang w:eastAsia="en-US"/>
        </w:rPr>
        <w:t>actors</w:t>
      </w:r>
      <w:r w:rsidRPr="00C90AC9">
        <w:rPr>
          <w:rFonts w:eastAsiaTheme="minorHAnsi"/>
          <w:lang w:eastAsia="en-US"/>
        </w:rPr>
        <w:t>, whilst having a better understanding of STP technology</w:t>
      </w:r>
      <w:r w:rsidR="00DD3066" w:rsidRPr="00C90AC9">
        <w:rPr>
          <w:rFonts w:eastAsiaTheme="minorHAnsi"/>
          <w:lang w:eastAsia="en-US"/>
        </w:rPr>
        <w:t>, this alone is not sufficient to</w:t>
      </w:r>
      <w:r w:rsidR="00B275B3" w:rsidRPr="00C90AC9">
        <w:rPr>
          <w:rFonts w:eastAsiaTheme="minorHAnsi"/>
          <w:lang w:eastAsia="en-US"/>
        </w:rPr>
        <w:t xml:space="preserve"> encourage people to adopt STPs</w:t>
      </w:r>
      <w:r w:rsidRPr="00C90AC9">
        <w:rPr>
          <w:rFonts w:eastAsiaTheme="minorHAnsi"/>
          <w:lang w:eastAsia="en-US"/>
        </w:rPr>
        <w:t xml:space="preserve">. </w:t>
      </w:r>
      <w:r w:rsidR="00191628" w:rsidRPr="00C90AC9">
        <w:rPr>
          <w:rFonts w:eastAsiaTheme="minorHAnsi"/>
          <w:lang w:eastAsia="en-US"/>
        </w:rPr>
        <w:t>Therefore,</w:t>
      </w:r>
      <w:r w:rsidR="000C5541" w:rsidRPr="00C90AC9">
        <w:rPr>
          <w:rFonts w:eastAsiaTheme="minorHAnsi"/>
          <w:lang w:eastAsia="en-US"/>
        </w:rPr>
        <w:t xml:space="preserve"> it can be concluded that</w:t>
      </w:r>
      <w:r w:rsidRPr="00C90AC9">
        <w:rPr>
          <w:rFonts w:eastAsiaTheme="minorHAnsi"/>
          <w:lang w:eastAsia="en-US"/>
        </w:rPr>
        <w:t xml:space="preserve"> </w:t>
      </w:r>
      <w:r w:rsidR="000C5541" w:rsidRPr="00C90AC9">
        <w:rPr>
          <w:rFonts w:eastAsiaTheme="minorHAnsi"/>
          <w:lang w:eastAsia="en-US"/>
        </w:rPr>
        <w:t>there are other factors which impact on consumers decision whether or not to invest in STP’s</w:t>
      </w:r>
      <w:r w:rsidR="00B275B3" w:rsidRPr="00C90AC9">
        <w:rPr>
          <w:rFonts w:eastAsiaTheme="minorHAnsi"/>
          <w:lang w:eastAsia="en-US"/>
        </w:rPr>
        <w:t xml:space="preserve"> or not</w:t>
      </w:r>
      <w:r w:rsidRPr="00C90AC9">
        <w:rPr>
          <w:rFonts w:eastAsiaTheme="minorHAnsi"/>
          <w:lang w:eastAsia="en-US"/>
        </w:rPr>
        <w:t>.</w:t>
      </w:r>
      <w:r w:rsidR="000C5541" w:rsidRPr="00C90AC9">
        <w:rPr>
          <w:rFonts w:eastAsiaTheme="minorHAnsi"/>
          <w:lang w:eastAsia="en-US"/>
        </w:rPr>
        <w:t xml:space="preserve"> </w:t>
      </w:r>
      <w:r w:rsidR="002D5276" w:rsidRPr="00C90AC9">
        <w:rPr>
          <w:rStyle w:val="SubtleEmphasis"/>
          <w:rFonts w:cs="Times New Roman"/>
          <w:iCs/>
          <w:szCs w:val="24"/>
        </w:rPr>
        <w:br w:type="page"/>
      </w:r>
    </w:p>
    <w:p w:rsidR="00A16B8C" w:rsidRPr="00C90AC9" w:rsidRDefault="00A16B8C" w:rsidP="00CA6E35">
      <w:pPr>
        <w:pStyle w:val="List"/>
        <w:numPr>
          <w:ilvl w:val="1"/>
          <w:numId w:val="11"/>
        </w:numPr>
        <w:rPr>
          <w:rStyle w:val="SubtleEmphasis"/>
          <w:rFonts w:cs="Times New Roman"/>
          <w:iCs/>
          <w:szCs w:val="24"/>
        </w:rPr>
      </w:pPr>
      <w:r w:rsidRPr="00C90AC9">
        <w:rPr>
          <w:rStyle w:val="SubtleEmphasis"/>
          <w:rFonts w:cs="Times New Roman"/>
          <w:iCs/>
          <w:szCs w:val="24"/>
        </w:rPr>
        <w:lastRenderedPageBreak/>
        <w:t>Conclusions of semi-structured interviews 2012 &amp; 2015</w:t>
      </w:r>
    </w:p>
    <w:p w:rsidR="000C5541" w:rsidRPr="00C90AC9" w:rsidRDefault="002D5276" w:rsidP="009902C3">
      <w:pPr>
        <w:pStyle w:val="ListContinue"/>
        <w:spacing w:line="360" w:lineRule="auto"/>
        <w:ind w:left="0"/>
        <w:rPr>
          <w:rFonts w:eastAsiaTheme="minorHAnsi"/>
          <w:lang w:eastAsia="en-US"/>
        </w:rPr>
      </w:pPr>
      <w:r w:rsidRPr="00C90AC9">
        <w:rPr>
          <w:rFonts w:eastAsiaTheme="minorHAnsi"/>
          <w:lang w:eastAsia="en-US"/>
        </w:rPr>
        <w:tab/>
      </w:r>
      <w:r w:rsidR="00A16B8C" w:rsidRPr="00C90AC9">
        <w:rPr>
          <w:rFonts w:eastAsiaTheme="minorHAnsi"/>
          <w:lang w:eastAsia="en-US"/>
        </w:rPr>
        <w:t>Semi-structured intervie</w:t>
      </w:r>
      <w:r w:rsidR="00E82522" w:rsidRPr="00C90AC9">
        <w:rPr>
          <w:rFonts w:eastAsiaTheme="minorHAnsi"/>
          <w:lang w:eastAsia="en-US"/>
        </w:rPr>
        <w:t>ws with main</w:t>
      </w:r>
      <w:r w:rsidR="00A16B8C" w:rsidRPr="00C90AC9">
        <w:rPr>
          <w:rFonts w:eastAsiaTheme="minorHAnsi"/>
          <w:lang w:eastAsia="en-US"/>
        </w:rPr>
        <w:t xml:space="preserve"> </w:t>
      </w:r>
      <w:r w:rsidR="00E82522" w:rsidRPr="00C90AC9">
        <w:rPr>
          <w:rFonts w:eastAsiaTheme="minorHAnsi"/>
          <w:lang w:eastAsia="en-US"/>
        </w:rPr>
        <w:t>a</w:t>
      </w:r>
      <w:r w:rsidR="00A16B8C" w:rsidRPr="00C90AC9">
        <w:rPr>
          <w:rFonts w:eastAsiaTheme="minorHAnsi"/>
          <w:lang w:eastAsia="en-US"/>
        </w:rPr>
        <w:t>ctors within the STP market were conducted</w:t>
      </w:r>
      <w:r w:rsidR="00B275B3" w:rsidRPr="00C90AC9">
        <w:rPr>
          <w:rFonts w:eastAsiaTheme="minorHAnsi"/>
          <w:lang w:eastAsia="en-US"/>
        </w:rPr>
        <w:t xml:space="preserve"> in 2012 and 2015</w:t>
      </w:r>
      <w:r w:rsidR="00A16B8C" w:rsidRPr="00C90AC9">
        <w:rPr>
          <w:rFonts w:eastAsiaTheme="minorHAnsi"/>
          <w:lang w:eastAsia="en-US"/>
        </w:rPr>
        <w:t xml:space="preserve"> to establish their opinions of this </w:t>
      </w:r>
      <w:r w:rsidR="00B275B3" w:rsidRPr="00C90AC9">
        <w:rPr>
          <w:rFonts w:eastAsiaTheme="minorHAnsi"/>
          <w:lang w:eastAsia="en-US"/>
        </w:rPr>
        <w:t xml:space="preserve">renewable </w:t>
      </w:r>
      <w:r w:rsidR="00A16B8C" w:rsidRPr="00C90AC9">
        <w:rPr>
          <w:rFonts w:eastAsiaTheme="minorHAnsi"/>
          <w:lang w:eastAsia="en-US"/>
        </w:rPr>
        <w:t xml:space="preserve">technology and some </w:t>
      </w:r>
      <w:r w:rsidR="00B275B3" w:rsidRPr="00C90AC9">
        <w:rPr>
          <w:rFonts w:eastAsiaTheme="minorHAnsi"/>
          <w:lang w:eastAsia="en-US"/>
        </w:rPr>
        <w:t xml:space="preserve">its </w:t>
      </w:r>
      <w:r w:rsidR="00A16B8C" w:rsidRPr="00C90AC9">
        <w:rPr>
          <w:rFonts w:eastAsiaTheme="minorHAnsi"/>
          <w:lang w:eastAsia="en-US"/>
        </w:rPr>
        <w:t xml:space="preserve">surrounding issues. These semi-structured interviews were conducted with four different groups of </w:t>
      </w:r>
      <w:r w:rsidR="00E82522" w:rsidRPr="00C90AC9">
        <w:rPr>
          <w:rFonts w:eastAsiaTheme="minorHAnsi"/>
          <w:lang w:eastAsia="en-US"/>
        </w:rPr>
        <w:t>main</w:t>
      </w:r>
      <w:r w:rsidR="00A16B8C" w:rsidRPr="00C90AC9">
        <w:rPr>
          <w:rFonts w:eastAsiaTheme="minorHAnsi"/>
          <w:lang w:eastAsia="en-US"/>
        </w:rPr>
        <w:t xml:space="preserve"> </w:t>
      </w:r>
      <w:r w:rsidR="00191628" w:rsidRPr="00C90AC9">
        <w:rPr>
          <w:rFonts w:eastAsiaTheme="minorHAnsi"/>
          <w:lang w:eastAsia="en-US"/>
        </w:rPr>
        <w:t>actors</w:t>
      </w:r>
      <w:r w:rsidR="00A16B8C" w:rsidRPr="00C90AC9">
        <w:rPr>
          <w:rFonts w:eastAsiaTheme="minorHAnsi"/>
          <w:lang w:eastAsia="en-US"/>
        </w:rPr>
        <w:t xml:space="preserve"> (</w:t>
      </w:r>
      <w:r w:rsidR="000C5541" w:rsidRPr="00C90AC9">
        <w:rPr>
          <w:rFonts w:eastAsiaTheme="minorHAnsi"/>
          <w:lang w:eastAsia="en-US"/>
        </w:rPr>
        <w:t>a</w:t>
      </w:r>
      <w:r w:rsidR="00A16B8C" w:rsidRPr="00C90AC9">
        <w:rPr>
          <w:rFonts w:eastAsiaTheme="minorHAnsi"/>
          <w:lang w:eastAsia="en-US"/>
        </w:rPr>
        <w:t xml:space="preserve">cademic; </w:t>
      </w:r>
      <w:r w:rsidR="000C5541" w:rsidRPr="00C90AC9">
        <w:rPr>
          <w:rFonts w:eastAsiaTheme="minorHAnsi"/>
          <w:lang w:eastAsia="en-US"/>
        </w:rPr>
        <w:t>co</w:t>
      </w:r>
      <w:r w:rsidR="00A16B8C" w:rsidRPr="00C90AC9">
        <w:rPr>
          <w:rFonts w:eastAsiaTheme="minorHAnsi"/>
          <w:lang w:eastAsia="en-US"/>
        </w:rPr>
        <w:t xml:space="preserve">mmunity </w:t>
      </w:r>
      <w:r w:rsidR="000C5541" w:rsidRPr="00C90AC9">
        <w:rPr>
          <w:rFonts w:eastAsiaTheme="minorHAnsi"/>
          <w:lang w:eastAsia="en-US"/>
        </w:rPr>
        <w:t>o</w:t>
      </w:r>
      <w:r w:rsidR="00A16B8C" w:rsidRPr="00C90AC9">
        <w:rPr>
          <w:rFonts w:eastAsiaTheme="minorHAnsi"/>
          <w:lang w:eastAsia="en-US"/>
        </w:rPr>
        <w:t xml:space="preserve">rganiser; </w:t>
      </w:r>
      <w:r w:rsidR="000C5541" w:rsidRPr="00C90AC9">
        <w:rPr>
          <w:rFonts w:eastAsiaTheme="minorHAnsi"/>
          <w:lang w:eastAsia="en-US"/>
        </w:rPr>
        <w:t>ma</w:t>
      </w:r>
      <w:r w:rsidR="00A16B8C" w:rsidRPr="00C90AC9">
        <w:rPr>
          <w:rFonts w:eastAsiaTheme="minorHAnsi"/>
          <w:lang w:eastAsia="en-US"/>
        </w:rPr>
        <w:t xml:space="preserve">nufacturer; and </w:t>
      </w:r>
      <w:r w:rsidR="000C5541" w:rsidRPr="00C90AC9">
        <w:rPr>
          <w:rFonts w:eastAsiaTheme="minorHAnsi"/>
          <w:lang w:eastAsia="en-US"/>
        </w:rPr>
        <w:t>politician</w:t>
      </w:r>
      <w:r w:rsidR="00A16B8C" w:rsidRPr="00C90AC9">
        <w:rPr>
          <w:rFonts w:eastAsiaTheme="minorHAnsi"/>
          <w:lang w:eastAsia="en-US"/>
        </w:rPr>
        <w:t xml:space="preserve">) in 2012 and 2015. There was no significant difference </w:t>
      </w:r>
      <w:r w:rsidR="00B275B3" w:rsidRPr="00C90AC9">
        <w:rPr>
          <w:rFonts w:eastAsiaTheme="minorHAnsi"/>
          <w:lang w:eastAsia="en-US"/>
        </w:rPr>
        <w:t xml:space="preserve">in the substance of </w:t>
      </w:r>
      <w:r w:rsidR="00A16B8C" w:rsidRPr="00C90AC9">
        <w:rPr>
          <w:rFonts w:eastAsiaTheme="minorHAnsi"/>
          <w:lang w:eastAsia="en-US"/>
        </w:rPr>
        <w:t>the</w:t>
      </w:r>
      <w:r w:rsidR="000C5541" w:rsidRPr="00C90AC9">
        <w:rPr>
          <w:rFonts w:eastAsiaTheme="minorHAnsi"/>
          <w:lang w:eastAsia="en-US"/>
        </w:rPr>
        <w:t xml:space="preserve"> responses </w:t>
      </w:r>
      <w:r w:rsidR="00A16B8C" w:rsidRPr="00C90AC9">
        <w:rPr>
          <w:rFonts w:eastAsiaTheme="minorHAnsi"/>
          <w:lang w:eastAsia="en-US"/>
        </w:rPr>
        <w:t xml:space="preserve">obtained in </w:t>
      </w:r>
      <w:r w:rsidR="000C5541" w:rsidRPr="00C90AC9">
        <w:rPr>
          <w:rFonts w:eastAsiaTheme="minorHAnsi"/>
          <w:lang w:eastAsia="en-US"/>
        </w:rPr>
        <w:t xml:space="preserve">the semi-structured interviews in </w:t>
      </w:r>
      <w:r w:rsidR="00A16B8C" w:rsidRPr="00C90AC9">
        <w:rPr>
          <w:rFonts w:eastAsiaTheme="minorHAnsi"/>
          <w:lang w:eastAsia="en-US"/>
        </w:rPr>
        <w:t>2012 &amp; 2015 which suggests that there have</w:t>
      </w:r>
      <w:r w:rsidR="000C5541" w:rsidRPr="00C90AC9">
        <w:rPr>
          <w:rFonts w:eastAsiaTheme="minorHAnsi"/>
          <w:lang w:eastAsia="en-US"/>
        </w:rPr>
        <w:t xml:space="preserve"> not been significant changes to the market over that time period. The main actors expressed a stagnation of policies designed to catalyse the UK STP market</w:t>
      </w:r>
      <w:r w:rsidR="009B480D" w:rsidRPr="00C90AC9">
        <w:rPr>
          <w:rFonts w:eastAsiaTheme="minorHAnsi"/>
          <w:lang w:eastAsia="en-US"/>
        </w:rPr>
        <w:t xml:space="preserve"> particularly in regards to new build homes and homes for low-income families.</w:t>
      </w:r>
    </w:p>
    <w:p w:rsidR="000C5541" w:rsidRPr="00C90AC9" w:rsidRDefault="000C5541" w:rsidP="009902C3">
      <w:pPr>
        <w:pStyle w:val="ListContinue"/>
        <w:spacing w:line="360" w:lineRule="auto"/>
        <w:ind w:left="0"/>
        <w:rPr>
          <w:rFonts w:eastAsiaTheme="minorHAnsi"/>
          <w:lang w:eastAsia="en-US"/>
        </w:rPr>
      </w:pPr>
    </w:p>
    <w:p w:rsidR="00A16B8C" w:rsidRPr="00C90AC9" w:rsidRDefault="00A16B8C" w:rsidP="009902C3">
      <w:pPr>
        <w:pStyle w:val="ListContinue"/>
        <w:spacing w:line="360" w:lineRule="auto"/>
        <w:ind w:left="0"/>
        <w:rPr>
          <w:rFonts w:eastAsiaTheme="majorEastAsia"/>
          <w:bCs/>
          <w:lang w:eastAsia="en-US"/>
        </w:rPr>
      </w:pPr>
      <w:r w:rsidRPr="00C90AC9">
        <w:rPr>
          <w:rFonts w:eastAsiaTheme="minorHAnsi"/>
          <w:lang w:eastAsia="en-US"/>
        </w:rPr>
        <w:t xml:space="preserve">A significant finding was that the </w:t>
      </w:r>
      <w:r w:rsidR="00E82522" w:rsidRPr="00C90AC9">
        <w:rPr>
          <w:rFonts w:eastAsiaTheme="minorHAnsi"/>
          <w:lang w:eastAsia="en-US"/>
        </w:rPr>
        <w:t>main</w:t>
      </w:r>
      <w:r w:rsidRPr="00C90AC9">
        <w:rPr>
          <w:rFonts w:eastAsiaTheme="minorHAnsi"/>
          <w:lang w:eastAsia="en-US"/>
        </w:rPr>
        <w:t xml:space="preserve"> </w:t>
      </w:r>
      <w:r w:rsidR="00E82522" w:rsidRPr="00C90AC9">
        <w:rPr>
          <w:rFonts w:eastAsiaTheme="minorHAnsi"/>
          <w:lang w:eastAsia="en-US"/>
        </w:rPr>
        <w:t>actors</w:t>
      </w:r>
      <w:r w:rsidRPr="00C90AC9">
        <w:rPr>
          <w:rFonts w:eastAsiaTheme="minorHAnsi"/>
          <w:lang w:eastAsia="en-US"/>
        </w:rPr>
        <w:t xml:space="preserve"> perceived a significant difference between their understanding of the technology and its </w:t>
      </w:r>
      <w:r w:rsidR="00B275B3" w:rsidRPr="00C90AC9">
        <w:rPr>
          <w:rFonts w:eastAsiaTheme="minorHAnsi"/>
          <w:lang w:eastAsia="en-US"/>
        </w:rPr>
        <w:t xml:space="preserve">capabilities </w:t>
      </w:r>
      <w:r w:rsidRPr="00C90AC9">
        <w:rPr>
          <w:rFonts w:eastAsiaTheme="minorHAnsi"/>
          <w:lang w:eastAsia="en-US"/>
        </w:rPr>
        <w:t>and the general understanding the general public have of the technology. It was perceived that this was due to misinformation being propagated by companies (due to a desire to over</w:t>
      </w:r>
      <w:r w:rsidR="00432861" w:rsidRPr="00C90AC9">
        <w:rPr>
          <w:rFonts w:eastAsiaTheme="minorHAnsi"/>
          <w:lang w:eastAsia="en-US"/>
        </w:rPr>
        <w:t>-</w:t>
      </w:r>
      <w:r w:rsidRPr="00C90AC9">
        <w:rPr>
          <w:rFonts w:eastAsiaTheme="minorHAnsi"/>
          <w:lang w:eastAsia="en-US"/>
        </w:rPr>
        <w:t>sell the technology) as well as the media who downplay the effectiveness of the technology. Ways in which this effect could be mitigated were suggested</w:t>
      </w:r>
      <w:r w:rsidR="00B275B3" w:rsidRPr="00C90AC9">
        <w:rPr>
          <w:rFonts w:eastAsiaTheme="minorHAnsi"/>
          <w:lang w:eastAsia="en-US"/>
        </w:rPr>
        <w:t xml:space="preserve"> by the participants,</w:t>
      </w:r>
      <w:r w:rsidRPr="00C90AC9">
        <w:rPr>
          <w:rFonts w:eastAsiaTheme="minorHAnsi"/>
          <w:lang w:eastAsia="en-US"/>
        </w:rPr>
        <w:t xml:space="preserve"> by improving the quality of the information that potential adopters receive about the technology. </w:t>
      </w:r>
      <w:r w:rsidR="00B275B3" w:rsidRPr="00C90AC9">
        <w:rPr>
          <w:rFonts w:eastAsiaTheme="minorHAnsi"/>
          <w:lang w:eastAsia="en-US"/>
        </w:rPr>
        <w:t xml:space="preserve">Two key </w:t>
      </w:r>
      <w:r w:rsidRPr="00C90AC9">
        <w:rPr>
          <w:rFonts w:eastAsiaTheme="minorHAnsi"/>
          <w:lang w:eastAsia="en-US"/>
        </w:rPr>
        <w:t>methods to achieve this were suggested</w:t>
      </w:r>
      <w:r w:rsidR="00B275B3" w:rsidRPr="00C90AC9">
        <w:rPr>
          <w:rFonts w:eastAsiaTheme="minorHAnsi"/>
          <w:lang w:eastAsia="en-US"/>
        </w:rPr>
        <w:t>:</w:t>
      </w:r>
      <w:r w:rsidRPr="00C90AC9">
        <w:rPr>
          <w:rFonts w:eastAsiaTheme="minorHAnsi"/>
          <w:lang w:eastAsia="en-US"/>
        </w:rPr>
        <w:t xml:space="preserve"> having an impartial and accredited standards body </w:t>
      </w:r>
      <w:r w:rsidR="00B275B3" w:rsidRPr="00C90AC9">
        <w:rPr>
          <w:rFonts w:eastAsiaTheme="minorHAnsi"/>
          <w:lang w:eastAsia="en-US"/>
        </w:rPr>
        <w:t>(</w:t>
      </w:r>
      <w:r w:rsidRPr="00C90AC9">
        <w:rPr>
          <w:rFonts w:eastAsiaTheme="minorHAnsi"/>
          <w:lang w:eastAsia="en-US"/>
        </w:rPr>
        <w:t>which would oversee the endorsement of quality manufacturers and installers</w:t>
      </w:r>
      <w:r w:rsidR="00B275B3" w:rsidRPr="00C90AC9">
        <w:rPr>
          <w:rFonts w:eastAsiaTheme="minorHAnsi"/>
          <w:lang w:eastAsia="en-US"/>
        </w:rPr>
        <w:t xml:space="preserve">); and the increased involvement of academia. Academia was suggested by the participants of the semi-structured interviews as being a neutral body who the general public trust to provide impartial and accurate information </w:t>
      </w:r>
      <w:r w:rsidRPr="00C90AC9">
        <w:rPr>
          <w:rFonts w:eastAsiaTheme="minorHAnsi"/>
          <w:lang w:eastAsia="en-US"/>
        </w:rPr>
        <w:t xml:space="preserve">about the effectiveness of the technology </w:t>
      </w:r>
      <w:r w:rsidR="00B275B3" w:rsidRPr="00C90AC9">
        <w:rPr>
          <w:rFonts w:eastAsiaTheme="minorHAnsi"/>
          <w:lang w:eastAsia="en-US"/>
        </w:rPr>
        <w:t>for specific homes.</w:t>
      </w:r>
      <w:r w:rsidR="009C1816" w:rsidRPr="00C90AC9">
        <w:rPr>
          <w:rFonts w:eastAsiaTheme="minorHAnsi"/>
          <w:lang w:eastAsia="en-US"/>
        </w:rPr>
        <w:t xml:space="preserve"> Participants commented on the “trustworthiness” of academics when providing them with information about domestic products and that they anticipated information coming from academics concerning STPs to be equally reliant. </w:t>
      </w:r>
    </w:p>
    <w:p w:rsidR="00E27154" w:rsidRPr="00C90AC9" w:rsidRDefault="00E27154" w:rsidP="002D5276">
      <w:pPr>
        <w:pStyle w:val="ListContinue"/>
        <w:spacing w:line="360" w:lineRule="auto"/>
        <w:ind w:left="0"/>
        <w:rPr>
          <w:rFonts w:eastAsiaTheme="minorHAnsi"/>
          <w:lang w:eastAsia="en-US"/>
        </w:rPr>
      </w:pPr>
    </w:p>
    <w:p w:rsidR="00A16B8C" w:rsidRPr="00C90AC9" w:rsidRDefault="00B275B3" w:rsidP="002D5276">
      <w:pPr>
        <w:pStyle w:val="ListContinue"/>
        <w:spacing w:line="360" w:lineRule="auto"/>
        <w:ind w:left="0"/>
        <w:rPr>
          <w:rFonts w:eastAsiaTheme="minorHAnsi"/>
          <w:lang w:eastAsia="en-US"/>
        </w:rPr>
      </w:pPr>
      <w:r w:rsidRPr="00C90AC9">
        <w:rPr>
          <w:rFonts w:eastAsiaTheme="minorHAnsi"/>
          <w:lang w:eastAsia="en-US"/>
        </w:rPr>
        <w:t xml:space="preserve">The participants in </w:t>
      </w:r>
      <w:r w:rsidR="009C1816" w:rsidRPr="00C90AC9">
        <w:rPr>
          <w:rFonts w:eastAsiaTheme="minorHAnsi"/>
          <w:lang w:eastAsia="en-US"/>
        </w:rPr>
        <w:t xml:space="preserve">both </w:t>
      </w:r>
      <w:r w:rsidR="00E27154" w:rsidRPr="00C90AC9">
        <w:rPr>
          <w:rFonts w:eastAsiaTheme="minorHAnsi"/>
          <w:lang w:eastAsia="en-US"/>
        </w:rPr>
        <w:t>2012 and 2015 considered</w:t>
      </w:r>
      <w:r w:rsidRPr="00C90AC9">
        <w:rPr>
          <w:rFonts w:eastAsiaTheme="minorHAnsi"/>
          <w:lang w:eastAsia="en-US"/>
        </w:rPr>
        <w:t xml:space="preserve"> STPs</w:t>
      </w:r>
      <w:r w:rsidR="00E27154" w:rsidRPr="00C90AC9">
        <w:rPr>
          <w:rFonts w:eastAsiaTheme="minorHAnsi"/>
          <w:lang w:eastAsia="en-US"/>
        </w:rPr>
        <w:t xml:space="preserve"> as being able to provide</w:t>
      </w:r>
      <w:r w:rsidR="00A16B8C" w:rsidRPr="00C90AC9">
        <w:rPr>
          <w:rFonts w:eastAsiaTheme="minorHAnsi"/>
          <w:lang w:eastAsia="en-US"/>
        </w:rPr>
        <w:t xml:space="preserve"> utility to residents</w:t>
      </w:r>
      <w:r w:rsidR="001931FC" w:rsidRPr="00C90AC9">
        <w:rPr>
          <w:rFonts w:eastAsiaTheme="minorHAnsi"/>
          <w:lang w:eastAsia="en-US"/>
        </w:rPr>
        <w:t xml:space="preserve"> by providing them with hot water</w:t>
      </w:r>
      <w:r w:rsidR="00E27154" w:rsidRPr="00C90AC9">
        <w:rPr>
          <w:rFonts w:eastAsiaTheme="minorHAnsi"/>
          <w:lang w:eastAsia="en-US"/>
        </w:rPr>
        <w:t>, particularly residents</w:t>
      </w:r>
      <w:r w:rsidR="00A16B8C" w:rsidRPr="00C90AC9">
        <w:rPr>
          <w:rFonts w:eastAsiaTheme="minorHAnsi"/>
          <w:lang w:eastAsia="en-US"/>
        </w:rPr>
        <w:t xml:space="preserve"> who are at home for periods during the day </w:t>
      </w:r>
      <w:r w:rsidR="00E27154" w:rsidRPr="00C90AC9">
        <w:rPr>
          <w:rFonts w:eastAsiaTheme="minorHAnsi"/>
          <w:lang w:eastAsia="en-US"/>
        </w:rPr>
        <w:t>when the sun is highest in the sky (over midday). The participants suggested that the elderly or unemployed who are at home during these periods they would be the most to benefit from STP technology. The demographics which would benefit most in this regard was suggested</w:t>
      </w:r>
      <w:r w:rsidR="00A16B8C" w:rsidRPr="00C90AC9">
        <w:rPr>
          <w:rFonts w:eastAsiaTheme="minorHAnsi"/>
          <w:lang w:eastAsia="en-US"/>
        </w:rPr>
        <w:t xml:space="preserve">: the over 70’s; those with young children; or people living in disability housing. Due to the availability of hot water through the middle of the day when people are often not in </w:t>
      </w:r>
      <w:r w:rsidR="00A16B8C" w:rsidRPr="00C90AC9">
        <w:rPr>
          <w:rFonts w:eastAsiaTheme="minorHAnsi"/>
          <w:lang w:eastAsia="en-US"/>
        </w:rPr>
        <w:lastRenderedPageBreak/>
        <w:t>the house these two demographic groups were seen as being better suited to the natural availability of hot water.</w:t>
      </w:r>
    </w:p>
    <w:p w:rsidR="00E27154" w:rsidRPr="00C90AC9" w:rsidRDefault="00E27154" w:rsidP="002D5276">
      <w:pPr>
        <w:pStyle w:val="ListContinue"/>
        <w:spacing w:line="360" w:lineRule="auto"/>
        <w:ind w:left="0"/>
        <w:rPr>
          <w:rFonts w:eastAsiaTheme="minorHAnsi"/>
          <w:lang w:eastAsia="en-US"/>
        </w:rPr>
      </w:pPr>
      <w:r w:rsidRPr="00C90AC9">
        <w:rPr>
          <w:rFonts w:eastAsiaTheme="minorHAnsi"/>
          <w:lang w:eastAsia="en-US"/>
        </w:rPr>
        <w:t xml:space="preserve">It was recognised by the participants that these two groups of </w:t>
      </w:r>
      <w:r w:rsidR="00191628" w:rsidRPr="00C90AC9">
        <w:rPr>
          <w:rFonts w:eastAsiaTheme="minorHAnsi"/>
          <w:lang w:eastAsia="en-US"/>
        </w:rPr>
        <w:t>people</w:t>
      </w:r>
      <w:r w:rsidRPr="00C90AC9">
        <w:rPr>
          <w:rFonts w:eastAsiaTheme="minorHAnsi"/>
          <w:lang w:eastAsia="en-US"/>
        </w:rPr>
        <w:t xml:space="preserve"> were unlikely to possess the available funds needed to invest in STP technology. </w:t>
      </w:r>
      <w:r w:rsidR="00191628" w:rsidRPr="00C90AC9">
        <w:rPr>
          <w:rFonts w:eastAsiaTheme="minorHAnsi"/>
          <w:lang w:eastAsia="en-US"/>
        </w:rPr>
        <w:t>Therefore,</w:t>
      </w:r>
      <w:r w:rsidRPr="00C90AC9">
        <w:rPr>
          <w:rFonts w:eastAsiaTheme="minorHAnsi"/>
          <w:lang w:eastAsia="en-US"/>
        </w:rPr>
        <w:t xml:space="preserve"> it was suggested by the participants that government support through financial means was needed to bypass this impediment.</w:t>
      </w:r>
    </w:p>
    <w:p w:rsidR="00A16B8C" w:rsidRPr="00C90AC9" w:rsidRDefault="00A16B8C" w:rsidP="002D5276">
      <w:pPr>
        <w:pStyle w:val="ListContinue"/>
        <w:spacing w:line="360" w:lineRule="auto"/>
        <w:ind w:left="0"/>
        <w:rPr>
          <w:rFonts w:eastAsiaTheme="minorHAnsi"/>
          <w:lang w:eastAsia="en-US"/>
        </w:rPr>
      </w:pPr>
      <w:r w:rsidRPr="00C90AC9">
        <w:rPr>
          <w:rFonts w:eastAsiaTheme="minorHAnsi"/>
          <w:lang w:eastAsia="en-US"/>
        </w:rPr>
        <w:t xml:space="preserve">There were a number of reasons offered as to why trust impacts people’s decisions about whether to invest in </w:t>
      </w:r>
      <w:r w:rsidR="006518C0" w:rsidRPr="00C90AC9">
        <w:rPr>
          <w:rFonts w:eastAsiaTheme="minorHAnsi"/>
          <w:lang w:eastAsia="en-US"/>
        </w:rPr>
        <w:t>STPs</w:t>
      </w:r>
      <w:r w:rsidRPr="00C90AC9">
        <w:rPr>
          <w:rFonts w:eastAsiaTheme="minorHAnsi"/>
          <w:lang w:eastAsia="en-US"/>
        </w:rPr>
        <w:t xml:space="preserve"> which was either due to: manufacturers overselling the capability of </w:t>
      </w:r>
      <w:r w:rsidR="006518C0" w:rsidRPr="00C90AC9">
        <w:rPr>
          <w:rFonts w:eastAsiaTheme="minorHAnsi"/>
          <w:lang w:eastAsia="en-US"/>
        </w:rPr>
        <w:t>STPs</w:t>
      </w:r>
      <w:r w:rsidRPr="00C90AC9">
        <w:rPr>
          <w:rFonts w:eastAsiaTheme="minorHAnsi"/>
          <w:lang w:eastAsia="en-US"/>
        </w:rPr>
        <w:t xml:space="preserve">; the media downplaying the capability of </w:t>
      </w:r>
      <w:r w:rsidR="006518C0" w:rsidRPr="00C90AC9">
        <w:rPr>
          <w:rFonts w:eastAsiaTheme="minorHAnsi"/>
          <w:lang w:eastAsia="en-US"/>
        </w:rPr>
        <w:t>STPs</w:t>
      </w:r>
      <w:r w:rsidRPr="00C90AC9">
        <w:rPr>
          <w:rFonts w:eastAsiaTheme="minorHAnsi"/>
          <w:lang w:eastAsia="en-US"/>
        </w:rPr>
        <w:t xml:space="preserve">; or friends and families simply providing misinformation about the ability of </w:t>
      </w:r>
      <w:r w:rsidR="006518C0" w:rsidRPr="00C90AC9">
        <w:rPr>
          <w:rFonts w:eastAsiaTheme="minorHAnsi"/>
          <w:lang w:eastAsia="en-US"/>
        </w:rPr>
        <w:t>STPs</w:t>
      </w:r>
      <w:r w:rsidRPr="00C90AC9">
        <w:rPr>
          <w:rFonts w:eastAsiaTheme="minorHAnsi"/>
          <w:lang w:eastAsia="en-US"/>
        </w:rPr>
        <w:t xml:space="preserve"> to pr</w:t>
      </w:r>
      <w:r w:rsidR="008E008E" w:rsidRPr="00C90AC9">
        <w:rPr>
          <w:rFonts w:eastAsiaTheme="minorHAnsi"/>
          <w:lang w:eastAsia="en-US"/>
        </w:rPr>
        <w:t>ovide sufficient hot water for the needs of a</w:t>
      </w:r>
      <w:r w:rsidRPr="00C90AC9">
        <w:rPr>
          <w:rFonts w:eastAsiaTheme="minorHAnsi"/>
          <w:lang w:eastAsia="en-US"/>
        </w:rPr>
        <w:t xml:space="preserve"> household</w:t>
      </w:r>
      <w:r w:rsidR="00FC38E5" w:rsidRPr="00C90AC9">
        <w:rPr>
          <w:rFonts w:eastAsiaTheme="minorHAnsi"/>
          <w:lang w:eastAsia="en-US"/>
        </w:rPr>
        <w:t xml:space="preserve"> </w:t>
      </w:r>
      <w:r w:rsidR="009902C3" w:rsidRPr="00C90AC9">
        <w:rPr>
          <w:rFonts w:eastAsiaTheme="minorHAnsi"/>
          <w:lang w:eastAsia="en-US"/>
        </w:rPr>
        <w:fldChar w:fldCharType="begin"/>
      </w:r>
      <w:r w:rsidR="009902C3" w:rsidRPr="00C90AC9">
        <w:rPr>
          <w:rFonts w:eastAsiaTheme="minorHAnsi"/>
          <w:lang w:eastAsia="en-US"/>
        </w:rPr>
        <w:instrText xml:space="preserve"> ADDIN EN.CITE &lt;EndNote&gt;&lt;Cite&gt;&lt;Author&gt;Juntunen&lt;/Author&gt;&lt;Year&gt;2015&lt;/Year&gt;&lt;RecNum&gt;261&lt;/RecNum&gt;&lt;DisplayText&gt;(Juntunen &amp;amp; Hyysalo, 2015)&lt;/DisplayText&gt;&lt;record&gt;&lt;rec-number&gt;261&lt;/rec-number&gt;&lt;foreign-keys&gt;&lt;key app="EN" db-id="50wxdpzd9vd5r7e9t5b595djrfpttrxw9avp" timestamp="1526072490"&gt;261&lt;/key&gt;&lt;/foreign-keys&gt;&lt;ref-type name="Journal Article"&gt;17&lt;/ref-type&gt;&lt;contributors&gt;&lt;authors&gt;&lt;author&gt;Juntunen, Jouni K.&lt;/author&gt;&lt;author&gt;Hyysalo, Sampsa&lt;/author&gt;&lt;/authors&gt;&lt;/contributors&gt;&lt;titles&gt;&lt;title&gt;Renewable micro-generation of heat and electricity—Review on common and missing socio-technical configurations&lt;/title&gt;&lt;secondary-title&gt;Renewable and Sustainable Energy Reviews&lt;/secondary-title&gt;&lt;/titles&gt;&lt;pages&gt;857-870&lt;/pages&gt;&lt;volume&gt;49&lt;/volume&gt;&lt;keywords&gt;&lt;keyword&gt;Renewable energy&lt;/keyword&gt;&lt;keyword&gt;Micro-generation&lt;/keyword&gt;&lt;keyword&gt;Decentralized energy production&lt;/keyword&gt;&lt;keyword&gt;Socio-technical configuration&lt;/keyword&gt;&lt;keyword&gt;Business model&lt;/keyword&gt;&lt;keyword&gt;Community energy&lt;/keyword&gt;&lt;/keywords&gt;&lt;dates&gt;&lt;year&gt;2015&lt;/year&gt;&lt;pub-dates&gt;&lt;date&gt;2015/09/01/&lt;/date&gt;&lt;/pub-dates&gt;&lt;/dates&gt;&lt;isbn&gt;1364-0321&lt;/isbn&gt;&lt;urls&gt;&lt;related-urls&gt;&lt;url&gt;http://www.sciencedirect.com/science/article/pii/S136403211500310X&lt;/url&gt;&lt;/related-urls&gt;&lt;/urls&gt;&lt;electronic-resource-num&gt;https://doi.org/10.1016/j.rser.2015.04.040&lt;/electronic-resource-num&gt;&lt;/record&gt;&lt;/Cite&gt;&lt;/EndNote&gt;</w:instrText>
      </w:r>
      <w:r w:rsidR="009902C3" w:rsidRPr="00C90AC9">
        <w:rPr>
          <w:rFonts w:eastAsiaTheme="minorHAnsi"/>
          <w:lang w:eastAsia="en-US"/>
        </w:rPr>
        <w:fldChar w:fldCharType="separate"/>
      </w:r>
      <w:r w:rsidR="009902C3" w:rsidRPr="00C90AC9">
        <w:rPr>
          <w:rFonts w:eastAsiaTheme="minorHAnsi"/>
          <w:lang w:eastAsia="en-US"/>
        </w:rPr>
        <w:t xml:space="preserve">(Juntunen </w:t>
      </w:r>
      <w:r w:rsidR="004D4B49" w:rsidRPr="00C90AC9">
        <w:rPr>
          <w:rFonts w:eastAsiaTheme="minorHAnsi"/>
          <w:lang w:eastAsia="en-US"/>
        </w:rPr>
        <w:t>and Hyysalo</w:t>
      </w:r>
      <w:r w:rsidR="009902C3" w:rsidRPr="00C90AC9">
        <w:rPr>
          <w:rFonts w:eastAsiaTheme="minorHAnsi"/>
          <w:lang w:eastAsia="en-US"/>
        </w:rPr>
        <w:t>, 2015)</w:t>
      </w:r>
      <w:r w:rsidR="009902C3" w:rsidRPr="00C90AC9">
        <w:rPr>
          <w:rFonts w:eastAsiaTheme="minorHAnsi"/>
          <w:lang w:eastAsia="en-US"/>
        </w:rPr>
        <w:fldChar w:fldCharType="end"/>
      </w:r>
      <w:r w:rsidRPr="00C90AC9">
        <w:rPr>
          <w:rFonts w:eastAsiaTheme="minorHAnsi"/>
          <w:lang w:eastAsia="en-US"/>
        </w:rPr>
        <w:t xml:space="preserve">. It was </w:t>
      </w:r>
      <w:r w:rsidR="008E008E" w:rsidRPr="00C90AC9">
        <w:rPr>
          <w:rFonts w:eastAsiaTheme="minorHAnsi"/>
          <w:lang w:eastAsia="en-US"/>
        </w:rPr>
        <w:t>perceived</w:t>
      </w:r>
      <w:r w:rsidRPr="00C90AC9">
        <w:rPr>
          <w:rFonts w:eastAsiaTheme="minorHAnsi"/>
          <w:lang w:eastAsia="en-US"/>
        </w:rPr>
        <w:t xml:space="preserve"> that the lack of trust that potential adopters of the technology have in the information they are receiving concerning </w:t>
      </w:r>
      <w:r w:rsidR="006518C0" w:rsidRPr="00C90AC9">
        <w:rPr>
          <w:rFonts w:eastAsiaTheme="minorHAnsi"/>
          <w:lang w:eastAsia="en-US"/>
        </w:rPr>
        <w:t>STPs</w:t>
      </w:r>
      <w:r w:rsidRPr="00C90AC9">
        <w:rPr>
          <w:rFonts w:eastAsiaTheme="minorHAnsi"/>
          <w:lang w:eastAsia="en-US"/>
        </w:rPr>
        <w:t xml:space="preserve"> will lead them to make poor decisions about the suitability of them adopting the technology. </w:t>
      </w:r>
    </w:p>
    <w:p w:rsidR="00A16B8C" w:rsidRPr="00C90AC9" w:rsidRDefault="00A16B8C" w:rsidP="00AC2BB5">
      <w:pPr>
        <w:pStyle w:val="ListContinue"/>
        <w:spacing w:line="360" w:lineRule="auto"/>
        <w:ind w:left="0"/>
        <w:rPr>
          <w:rFonts w:eastAsiaTheme="minorHAnsi"/>
          <w:lang w:eastAsia="en-US"/>
        </w:rPr>
      </w:pPr>
      <w:r w:rsidRPr="00C90AC9">
        <w:rPr>
          <w:rFonts w:eastAsiaTheme="minorHAnsi"/>
          <w:lang w:eastAsia="en-US"/>
        </w:rPr>
        <w:t>The issue of money was</w:t>
      </w:r>
      <w:r w:rsidR="00EA5B20" w:rsidRPr="00C90AC9">
        <w:rPr>
          <w:rFonts w:eastAsiaTheme="minorHAnsi"/>
          <w:lang w:eastAsia="en-US"/>
        </w:rPr>
        <w:t xml:space="preserve"> raised </w:t>
      </w:r>
      <w:r w:rsidRPr="00C90AC9">
        <w:rPr>
          <w:rFonts w:eastAsiaTheme="minorHAnsi"/>
          <w:lang w:eastAsia="en-US"/>
        </w:rPr>
        <w:t>a number of times</w:t>
      </w:r>
      <w:r w:rsidR="00EA5B20" w:rsidRPr="00C90AC9">
        <w:rPr>
          <w:rFonts w:eastAsiaTheme="minorHAnsi"/>
          <w:lang w:eastAsia="en-US"/>
        </w:rPr>
        <w:t xml:space="preserve"> in the semi-structured interviews with </w:t>
      </w:r>
      <w:r w:rsidRPr="00C90AC9">
        <w:rPr>
          <w:rFonts w:eastAsiaTheme="minorHAnsi"/>
          <w:lang w:eastAsia="en-US"/>
        </w:rPr>
        <w:t xml:space="preserve">the </w:t>
      </w:r>
      <w:proofErr w:type="spellStart"/>
      <w:r w:rsidRPr="00C90AC9">
        <w:rPr>
          <w:rFonts w:eastAsiaTheme="minorHAnsi"/>
          <w:lang w:eastAsia="en-US"/>
        </w:rPr>
        <w:t>the</w:t>
      </w:r>
      <w:proofErr w:type="spellEnd"/>
      <w:r w:rsidRPr="00C90AC9">
        <w:rPr>
          <w:rFonts w:eastAsiaTheme="minorHAnsi"/>
          <w:lang w:eastAsia="en-US"/>
        </w:rPr>
        <w:t xml:space="preserve"> </w:t>
      </w:r>
      <w:r w:rsidR="00E82522" w:rsidRPr="00C90AC9">
        <w:rPr>
          <w:rFonts w:eastAsiaTheme="minorHAnsi"/>
          <w:lang w:eastAsia="en-US"/>
        </w:rPr>
        <w:t>main</w:t>
      </w:r>
      <w:r w:rsidRPr="00C90AC9">
        <w:rPr>
          <w:rFonts w:eastAsiaTheme="minorHAnsi"/>
          <w:lang w:eastAsia="en-US"/>
        </w:rPr>
        <w:t xml:space="preserve"> actors</w:t>
      </w:r>
      <w:r w:rsidR="00EA5B20" w:rsidRPr="00C90AC9">
        <w:rPr>
          <w:rFonts w:eastAsiaTheme="minorHAnsi"/>
          <w:lang w:eastAsia="en-US"/>
        </w:rPr>
        <w:t xml:space="preserve"> viewing </w:t>
      </w:r>
      <w:r w:rsidRPr="00C90AC9">
        <w:rPr>
          <w:rFonts w:eastAsiaTheme="minorHAnsi"/>
          <w:lang w:eastAsia="en-US"/>
        </w:rPr>
        <w:t xml:space="preserve">the financial cost of investing in </w:t>
      </w:r>
      <w:r w:rsidR="006518C0" w:rsidRPr="00C90AC9">
        <w:rPr>
          <w:rFonts w:eastAsiaTheme="minorHAnsi"/>
          <w:lang w:eastAsia="en-US"/>
        </w:rPr>
        <w:t>STPs</w:t>
      </w:r>
      <w:r w:rsidRPr="00C90AC9">
        <w:rPr>
          <w:rFonts w:eastAsiaTheme="minorHAnsi"/>
          <w:lang w:eastAsia="en-US"/>
        </w:rPr>
        <w:t xml:space="preserve"> as being</w:t>
      </w:r>
      <w:r w:rsidR="00EA5B20" w:rsidRPr="00C90AC9">
        <w:rPr>
          <w:rFonts w:eastAsiaTheme="minorHAnsi"/>
          <w:lang w:eastAsia="en-US"/>
        </w:rPr>
        <w:t xml:space="preserve"> the most </w:t>
      </w:r>
      <w:r w:rsidRPr="00C90AC9">
        <w:rPr>
          <w:rFonts w:eastAsiaTheme="minorHAnsi"/>
          <w:lang w:eastAsia="en-US"/>
        </w:rPr>
        <w:t>significant barrier to adoption of the technology. This was framed</w:t>
      </w:r>
      <w:r w:rsidR="00EA5B20" w:rsidRPr="00C90AC9">
        <w:rPr>
          <w:rFonts w:eastAsiaTheme="minorHAnsi"/>
          <w:lang w:eastAsia="en-US"/>
        </w:rPr>
        <w:t xml:space="preserve"> as </w:t>
      </w:r>
      <w:r w:rsidRPr="00C90AC9">
        <w:rPr>
          <w:rFonts w:eastAsiaTheme="minorHAnsi"/>
          <w:lang w:eastAsia="en-US"/>
        </w:rPr>
        <w:t>being</w:t>
      </w:r>
      <w:r w:rsidR="00EA5B20" w:rsidRPr="00C90AC9">
        <w:rPr>
          <w:rFonts w:eastAsiaTheme="minorHAnsi"/>
          <w:lang w:eastAsia="en-US"/>
        </w:rPr>
        <w:t xml:space="preserve"> the most significant impediment </w:t>
      </w:r>
      <w:r w:rsidRPr="00C90AC9">
        <w:rPr>
          <w:rFonts w:eastAsiaTheme="minorHAnsi"/>
          <w:lang w:eastAsia="en-US"/>
        </w:rPr>
        <w:t>to the general public</w:t>
      </w:r>
      <w:r w:rsidR="00EA5B20" w:rsidRPr="00C90AC9">
        <w:rPr>
          <w:rFonts w:eastAsiaTheme="minorHAnsi"/>
          <w:lang w:eastAsia="en-US"/>
        </w:rPr>
        <w:t xml:space="preserve"> adopting in greater numbers than is currently adopting at present.</w:t>
      </w:r>
      <w:r w:rsidRPr="00C90AC9">
        <w:rPr>
          <w:rFonts w:eastAsiaTheme="minorHAnsi"/>
          <w:lang w:eastAsia="en-US"/>
        </w:rPr>
        <w:t xml:space="preserve"> Money issues arose during discussions about the dissatisfaction adopters had with the technology when their expectations were not met, particularly when their expectations were</w:t>
      </w:r>
      <w:r w:rsidR="00EA5B20" w:rsidRPr="00C90AC9">
        <w:rPr>
          <w:rFonts w:eastAsiaTheme="minorHAnsi"/>
          <w:lang w:eastAsia="en-US"/>
        </w:rPr>
        <w:t xml:space="preserve"> not met. The main actors across both years felt that there was low rate of return of investment in STPs and that this low rate of return was unlikely to change significantly in the coming years due to future technological advances being limited. Participants of the studies in 2012 and 2015 recognised that simply the financial return was not the only reason why consumers would adopt </w:t>
      </w:r>
      <w:r w:rsidR="00AC2BB5" w:rsidRPr="00C90AC9">
        <w:rPr>
          <w:rFonts w:eastAsiaTheme="minorHAnsi"/>
          <w:lang w:eastAsia="en-US"/>
        </w:rPr>
        <w:t xml:space="preserve">STPs </w:t>
      </w:r>
      <w:r w:rsidR="00EA5B20" w:rsidRPr="00C90AC9">
        <w:rPr>
          <w:rFonts w:eastAsiaTheme="minorHAnsi"/>
          <w:lang w:eastAsia="en-US"/>
        </w:rPr>
        <w:t xml:space="preserve">and that for a significant proportion of adopters there are additional reasons why people might adopt, particularly consumers who want to </w:t>
      </w:r>
      <w:r w:rsidR="00AC2BB5" w:rsidRPr="00C90AC9">
        <w:rPr>
          <w:rFonts w:eastAsiaTheme="minorHAnsi"/>
          <w:lang w:eastAsia="en-US"/>
        </w:rPr>
        <w:t>improve their “Green credentials”.</w:t>
      </w:r>
      <w:r w:rsidRPr="00C90AC9">
        <w:rPr>
          <w:rFonts w:eastAsiaTheme="minorHAnsi"/>
          <w:lang w:eastAsia="en-US"/>
        </w:rPr>
        <w:br w:type="page"/>
      </w:r>
    </w:p>
    <w:p w:rsidR="00F51D86" w:rsidRPr="00C90AC9" w:rsidRDefault="00F51D86" w:rsidP="00CA6E35">
      <w:pPr>
        <w:pStyle w:val="Heading11"/>
        <w:numPr>
          <w:ilvl w:val="0"/>
          <w:numId w:val="11"/>
        </w:numPr>
        <w:rPr>
          <w:sz w:val="72"/>
        </w:rPr>
      </w:pPr>
      <w:bookmarkStart w:id="63" w:name="_Toc447173090"/>
      <w:r w:rsidRPr="00C90AC9">
        <w:rPr>
          <w:sz w:val="72"/>
        </w:rPr>
        <w:lastRenderedPageBreak/>
        <w:t>Chapter 5</w:t>
      </w:r>
    </w:p>
    <w:p w:rsidR="00F51D86" w:rsidRPr="00C90AC9" w:rsidRDefault="00F51D86" w:rsidP="00F51D86">
      <w:pPr>
        <w:pStyle w:val="Subtitle"/>
        <w:numPr>
          <w:ilvl w:val="0"/>
          <w:numId w:val="0"/>
        </w:numPr>
        <w:ind w:left="1146"/>
        <w:jc w:val="center"/>
        <w:rPr>
          <w:rStyle w:val="SubtleEmphasis"/>
          <w:rFonts w:ascii="Times New Roman" w:hAnsi="Times New Roman" w:cs="Times New Roman"/>
          <w:i w:val="0"/>
          <w:sz w:val="24"/>
        </w:rPr>
      </w:pPr>
      <w:r w:rsidRPr="00C90AC9">
        <w:rPr>
          <w:rStyle w:val="SubtleEmphasis"/>
          <w:rFonts w:ascii="Times New Roman" w:hAnsi="Times New Roman" w:cs="Times New Roman"/>
          <w:i w:val="0"/>
          <w:sz w:val="24"/>
        </w:rPr>
        <w:t>Focus groups in 2012 and 2015</w:t>
      </w:r>
    </w:p>
    <w:p w:rsidR="00F51D86" w:rsidRPr="00C90AC9" w:rsidRDefault="00853BAF" w:rsidP="00F51D86">
      <w:pPr>
        <w:pStyle w:val="ListParagraph"/>
      </w:pPr>
      <w:r w:rsidRPr="00C90AC9">
        <w:rPr>
          <w:noProof/>
          <w:lang w:eastAsia="en-GB"/>
        </w:rPr>
        <mc:AlternateContent>
          <mc:Choice Requires="wps">
            <w:drawing>
              <wp:anchor distT="0" distB="0" distL="114300" distR="114300" simplePos="0" relativeHeight="251951104" behindDoc="0" locked="0" layoutInCell="1" allowOverlap="1" wp14:anchorId="0758E31B" wp14:editId="780D2EA3">
                <wp:simplePos x="0" y="0"/>
                <wp:positionH relativeFrom="margin">
                  <wp:posOffset>-76200</wp:posOffset>
                </wp:positionH>
                <wp:positionV relativeFrom="paragraph">
                  <wp:posOffset>99060</wp:posOffset>
                </wp:positionV>
                <wp:extent cx="5886450" cy="790575"/>
                <wp:effectExtent l="0" t="0" r="19050" b="28575"/>
                <wp:wrapNone/>
                <wp:docPr id="493" name="Rectangle 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6450" cy="790575"/>
                        </a:xfrm>
                        <a:prstGeom prst="rect">
                          <a:avLst/>
                        </a:prstGeom>
                        <a:solidFill>
                          <a:srgbClr val="4F81BD">
                            <a:alpha val="20000"/>
                          </a:srgbClr>
                        </a:solidFill>
                        <a:ln w="127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FA2F0" id="Rectangle 493" o:spid="_x0000_s1026" style="position:absolute;margin-left:-6pt;margin-top:7.8pt;width:463.5pt;height:62.25pt;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" fillcolor="#4f81bd" strokecolor="#4f81bd" strokeweight="1pt">
                <v:fill opacity="13107f"/>
                <v:path arrowok="t"/>
                <w10:wrap anchorx="margin"/>
              </v:rect>
            </w:pict>
          </mc:Fallback>
        </mc:AlternateContent>
      </w:r>
    </w:p>
    <w:p w:rsidR="00F51D86" w:rsidRPr="00C90AC9" w:rsidRDefault="00F51D86" w:rsidP="00853BAF">
      <w:pPr>
        <w:pStyle w:val="BodyText"/>
        <w:jc w:val="center"/>
        <w:rPr>
          <w:rFonts w:eastAsiaTheme="minorHAnsi"/>
          <w:lang w:eastAsia="en-US"/>
        </w:rPr>
      </w:pPr>
      <w:r w:rsidRPr="00C90AC9">
        <w:rPr>
          <w:rFonts w:eastAsiaTheme="minorHAnsi"/>
          <w:lang w:eastAsia="en-US"/>
        </w:rPr>
        <w:t>This chapter describes the focus groups which were held in 2012 and 2015 with members of the public as to better understand consumer opinions of STPS.</w:t>
      </w:r>
    </w:p>
    <w:p w:rsidR="00F51D86" w:rsidRPr="00C90AC9" w:rsidRDefault="00F51D86" w:rsidP="00F51D86">
      <w:pPr>
        <w:pStyle w:val="BodyText"/>
        <w:ind w:left="720"/>
        <w:rPr>
          <w:rFonts w:eastAsiaTheme="minorHAnsi"/>
          <w:lang w:eastAsia="en-US"/>
        </w:rPr>
      </w:pPr>
    </w:p>
    <w:p w:rsidR="00F51D86" w:rsidRPr="00C90AC9" w:rsidRDefault="00F51D86" w:rsidP="006474B4">
      <w:pPr>
        <w:pStyle w:val="BodyText"/>
        <w:ind w:firstLine="720"/>
        <w:rPr>
          <w:rFonts w:eastAsiaTheme="minorHAnsi"/>
          <w:lang w:eastAsia="en-US"/>
        </w:rPr>
      </w:pPr>
    </w:p>
    <w:p w:rsidR="00D57552" w:rsidRPr="00C90AC9" w:rsidRDefault="006474B4" w:rsidP="00CA6E35">
      <w:pPr>
        <w:pStyle w:val="ListContinue"/>
        <w:numPr>
          <w:ilvl w:val="1"/>
          <w:numId w:val="28"/>
        </w:numPr>
        <w:rPr>
          <w:rFonts w:eastAsiaTheme="minorHAnsi"/>
          <w:sz w:val="28"/>
          <w:lang w:eastAsia="en-US"/>
        </w:rPr>
      </w:pPr>
      <w:r w:rsidRPr="00C90AC9">
        <w:rPr>
          <w:rFonts w:eastAsiaTheme="minorHAnsi"/>
          <w:sz w:val="28"/>
          <w:lang w:eastAsia="en-US"/>
        </w:rPr>
        <w:t>Introduction</w:t>
      </w:r>
      <w:r w:rsidR="00D57552" w:rsidRPr="00C90AC9">
        <w:rPr>
          <w:rFonts w:eastAsiaTheme="minorHAnsi"/>
          <w:sz w:val="28"/>
          <w:lang w:eastAsia="en-US"/>
        </w:rPr>
        <w:t>, the use of focus groups</w:t>
      </w:r>
    </w:p>
    <w:p w:rsidR="00D57552" w:rsidRPr="00C90AC9" w:rsidRDefault="00D57552" w:rsidP="00D57552">
      <w:pPr>
        <w:pStyle w:val="ListContinue"/>
        <w:rPr>
          <w:rFonts w:eastAsiaTheme="minorHAnsi"/>
          <w:sz w:val="28"/>
          <w:lang w:eastAsia="en-US"/>
        </w:rPr>
      </w:pPr>
    </w:p>
    <w:p w:rsidR="006474B4" w:rsidRPr="00C90AC9" w:rsidRDefault="00D57552" w:rsidP="00012484">
      <w:pPr>
        <w:pStyle w:val="ListContinue"/>
        <w:spacing w:line="360" w:lineRule="auto"/>
        <w:ind w:left="0" w:firstLine="284"/>
        <w:rPr>
          <w:rStyle w:val="SubtleEmphasis"/>
          <w:rFonts w:eastAsiaTheme="minorHAnsi"/>
          <w:sz w:val="24"/>
          <w:lang w:eastAsia="en-US"/>
        </w:rPr>
      </w:pPr>
      <w:r w:rsidRPr="00C90AC9">
        <w:rPr>
          <w:rFonts w:eastAsiaTheme="minorHAnsi"/>
          <w:lang w:eastAsia="en-US"/>
        </w:rPr>
        <w:t xml:space="preserve">The use </w:t>
      </w:r>
      <w:r w:rsidR="000055F6" w:rsidRPr="00C90AC9">
        <w:rPr>
          <w:rFonts w:eastAsiaTheme="minorHAnsi"/>
          <w:lang w:eastAsia="en-US"/>
        </w:rPr>
        <w:t>of focus groups to best determine the opinions of the general public has been employed extensively within the renewable sector in the UK and beyond, particularly as this is a burgeoning sector and by accessing a larger range of opinions not only will more people be heard, but there is the opportunity for new and unexpected opinions to be expressed</w:t>
      </w:r>
      <w:r w:rsidR="00191628" w:rsidRPr="00C90AC9">
        <w:rPr>
          <w:rFonts w:eastAsiaTheme="minorHAnsi"/>
          <w:lang w:eastAsia="en-US"/>
        </w:rPr>
        <w:t xml:space="preserve"> </w:t>
      </w:r>
      <w:r w:rsidR="00E549EC" w:rsidRPr="00C90AC9">
        <w:rPr>
          <w:rFonts w:eastAsiaTheme="minorHAnsi"/>
          <w:lang w:eastAsia="en-US"/>
        </w:rPr>
        <w:fldChar w:fldCharType="begin">
          <w:fldData xml:space="preserve">PEVuZE5vdGU+PENpdGU+PEF1dGhvcj5TdGlna2E8L0F1dGhvcj48WWVhcj4yMDE0PC9ZZWFyPjxS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</w:fldData>
        </w:fldChar>
      </w:r>
      <w:r w:rsidR="00E549EC" w:rsidRPr="00C90AC9">
        <w:rPr>
          <w:rFonts w:eastAsiaTheme="minorHAnsi"/>
          <w:lang w:eastAsia="en-US"/>
        </w:rPr>
        <w:instrText xml:space="preserve"> ADDIN EN.CITE </w:instrText>
      </w:r>
      <w:r w:rsidR="00E549EC" w:rsidRPr="00C90AC9">
        <w:rPr>
          <w:rFonts w:eastAsiaTheme="minorHAnsi"/>
          <w:lang w:eastAsia="en-US"/>
        </w:rPr>
        <w:fldChar w:fldCharType="begin">
          <w:fldData xml:space="preserve">PEVuZE5vdGU+PENpdGU+PEF1dGhvcj5TdGlna2E8L0F1dGhvcj48WWVhcj4yMDE0PC9ZZWFyPjxS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</w:fldData>
        </w:fldChar>
      </w:r>
      <w:r w:rsidR="00E549EC" w:rsidRPr="00C90AC9">
        <w:rPr>
          <w:rFonts w:eastAsiaTheme="minorHAnsi"/>
          <w:lang w:eastAsia="en-US"/>
        </w:rPr>
        <w:instrText xml:space="preserve"> ADDIN EN.CITE.DATA </w:instrText>
      </w:r>
      <w:r w:rsidR="00E549EC" w:rsidRPr="00C90AC9">
        <w:rPr>
          <w:rFonts w:eastAsiaTheme="minorHAnsi"/>
          <w:lang w:eastAsia="en-US"/>
        </w:rPr>
      </w:r>
      <w:r w:rsidR="00E549EC" w:rsidRPr="00C90AC9">
        <w:rPr>
          <w:rFonts w:eastAsiaTheme="minorHAnsi"/>
          <w:lang w:eastAsia="en-US"/>
        </w:rPr>
        <w:fldChar w:fldCharType="end"/>
      </w:r>
      <w:r w:rsidR="00E549EC" w:rsidRPr="00C90AC9">
        <w:rPr>
          <w:rFonts w:eastAsiaTheme="minorHAnsi"/>
          <w:lang w:eastAsia="en-US"/>
        </w:rPr>
      </w:r>
      <w:r w:rsidR="00E549EC" w:rsidRPr="00C90AC9">
        <w:rPr>
          <w:rFonts w:eastAsiaTheme="minorHAnsi"/>
          <w:lang w:eastAsia="en-US"/>
        </w:rPr>
        <w:fldChar w:fldCharType="separate"/>
      </w:r>
      <w:r w:rsidR="00E549EC" w:rsidRPr="00C90AC9">
        <w:rPr>
          <w:rFonts w:eastAsiaTheme="minorHAnsi"/>
          <w:lang w:eastAsia="en-US"/>
        </w:rPr>
        <w:t>(</w:t>
      </w:r>
      <w:r w:rsidR="00432861" w:rsidRPr="00C90AC9">
        <w:rPr>
          <w:rFonts w:eastAsiaTheme="minorHAnsi"/>
          <w:lang w:eastAsia="en-US"/>
        </w:rPr>
        <w:t xml:space="preserve">A. </w:t>
      </w:r>
      <w:r w:rsidR="0038131A" w:rsidRPr="00C90AC9">
        <w:rPr>
          <w:rFonts w:eastAsiaTheme="minorHAnsi"/>
          <w:lang w:eastAsia="en-US"/>
        </w:rPr>
        <w:t>Faiers</w:t>
      </w:r>
      <w:r w:rsidR="00BA7307" w:rsidRPr="00C90AC9">
        <w:rPr>
          <w:rFonts w:eastAsiaTheme="minorHAnsi"/>
          <w:lang w:eastAsia="en-US"/>
        </w:rPr>
        <w:t xml:space="preserve"> </w:t>
      </w:r>
      <w:r w:rsidR="00E549EC" w:rsidRPr="00C90AC9">
        <w:rPr>
          <w:rFonts w:eastAsiaTheme="minorHAnsi"/>
          <w:lang w:eastAsia="en-US"/>
        </w:rPr>
        <w:t xml:space="preserve">&amp; </w:t>
      </w:r>
      <w:r w:rsidR="00432861" w:rsidRPr="00C90AC9">
        <w:rPr>
          <w:rFonts w:eastAsiaTheme="minorHAnsi"/>
          <w:lang w:eastAsia="en-US"/>
        </w:rPr>
        <w:t xml:space="preserve">C. </w:t>
      </w:r>
      <w:r w:rsidR="0038131A" w:rsidRPr="00C90AC9">
        <w:rPr>
          <w:rFonts w:eastAsiaTheme="minorHAnsi"/>
          <w:lang w:eastAsia="en-US"/>
        </w:rPr>
        <w:t>Neame,</w:t>
      </w:r>
      <w:r w:rsidR="00E549EC" w:rsidRPr="00C90AC9">
        <w:rPr>
          <w:rFonts w:eastAsiaTheme="minorHAnsi"/>
          <w:lang w:eastAsia="en-US"/>
        </w:rPr>
        <w:t xml:space="preserve"> 2006; Kaldellis, 2005; Lienhoop, 2018; Rezaei &amp; Ghofranfarid, 2018; Stigka et al., 2014; Wüstenhagen et al., 2007)</w:t>
      </w:r>
      <w:r w:rsidR="00E549EC" w:rsidRPr="00C90AC9">
        <w:rPr>
          <w:rFonts w:eastAsiaTheme="minorHAnsi"/>
          <w:lang w:eastAsia="en-US"/>
        </w:rPr>
        <w:fldChar w:fldCharType="end"/>
      </w:r>
      <w:r w:rsidR="000055F6" w:rsidRPr="00C90AC9">
        <w:rPr>
          <w:rFonts w:eastAsiaTheme="minorHAnsi"/>
          <w:lang w:eastAsia="en-US"/>
        </w:rPr>
        <w:t>. Thus</w:t>
      </w:r>
      <w:r w:rsidR="004A476A" w:rsidRPr="00C90AC9">
        <w:rPr>
          <w:rFonts w:eastAsiaTheme="minorHAnsi"/>
          <w:lang w:eastAsia="en-US"/>
        </w:rPr>
        <w:t xml:space="preserve">, </w:t>
      </w:r>
      <w:r w:rsidR="00E549EC" w:rsidRPr="00C90AC9">
        <w:rPr>
          <w:rFonts w:eastAsiaTheme="minorHAnsi"/>
          <w:lang w:eastAsia="en-US"/>
        </w:rPr>
        <w:t xml:space="preserve">new </w:t>
      </w:r>
      <w:r w:rsidR="000055F6" w:rsidRPr="00C90AC9">
        <w:rPr>
          <w:rFonts w:eastAsiaTheme="minorHAnsi"/>
          <w:lang w:eastAsia="en-US"/>
        </w:rPr>
        <w:t>avenues of research can be discovered using this</w:t>
      </w:r>
      <w:r w:rsidR="004A476A" w:rsidRPr="00C90AC9">
        <w:rPr>
          <w:rFonts w:eastAsiaTheme="minorHAnsi"/>
          <w:lang w:eastAsia="en-US"/>
        </w:rPr>
        <w:t xml:space="preserve"> research method. </w:t>
      </w:r>
      <w:r w:rsidR="00E549EC" w:rsidRPr="00C90AC9">
        <w:rPr>
          <w:rFonts w:eastAsiaTheme="minorHAnsi"/>
          <w:lang w:eastAsia="en-US"/>
        </w:rPr>
        <w:t>For th</w:t>
      </w:r>
      <w:r w:rsidR="004A476A" w:rsidRPr="00C90AC9">
        <w:rPr>
          <w:rFonts w:eastAsiaTheme="minorHAnsi"/>
          <w:lang w:eastAsia="en-US"/>
        </w:rPr>
        <w:t>ese reasons</w:t>
      </w:r>
      <w:r w:rsidR="00E549EC" w:rsidRPr="00C90AC9">
        <w:rPr>
          <w:rFonts w:eastAsiaTheme="minorHAnsi"/>
          <w:lang w:eastAsia="en-US"/>
        </w:rPr>
        <w:t>, the use of focus groups was</w:t>
      </w:r>
      <w:r w:rsidR="004A476A" w:rsidRPr="00C90AC9">
        <w:rPr>
          <w:rFonts w:eastAsiaTheme="minorHAnsi"/>
          <w:lang w:eastAsia="en-US"/>
        </w:rPr>
        <w:t xml:space="preserve"> employed in both years 2012 and 2015.</w:t>
      </w:r>
    </w:p>
    <w:p w:rsidR="00A16B8C" w:rsidRPr="00C90AC9" w:rsidRDefault="000236EC" w:rsidP="00CA6E35">
      <w:pPr>
        <w:pStyle w:val="List"/>
        <w:numPr>
          <w:ilvl w:val="1"/>
          <w:numId w:val="28"/>
        </w:numPr>
        <w:rPr>
          <w:rStyle w:val="SubtleEmphasis"/>
          <w:rFonts w:cs="Times New Roman"/>
          <w:iCs/>
          <w:sz w:val="24"/>
          <w:szCs w:val="24"/>
        </w:rPr>
      </w:pPr>
      <w:r w:rsidRPr="00C90AC9">
        <w:rPr>
          <w:rStyle w:val="SubtleEmphasis"/>
          <w:rFonts w:cs="Times New Roman"/>
          <w:iCs/>
          <w:szCs w:val="24"/>
        </w:rPr>
        <w:t>Focus g</w:t>
      </w:r>
      <w:r w:rsidR="00A16B8C" w:rsidRPr="00C90AC9">
        <w:rPr>
          <w:rStyle w:val="SubtleEmphasis"/>
          <w:rFonts w:cs="Times New Roman"/>
          <w:iCs/>
          <w:szCs w:val="24"/>
        </w:rPr>
        <w:t>roups in 2012 &amp; 2015</w:t>
      </w:r>
      <w:bookmarkEnd w:id="63"/>
    </w:p>
    <w:p w:rsidR="00A16B8C" w:rsidRPr="00C90AC9" w:rsidRDefault="006474B4" w:rsidP="00012484">
      <w:pPr>
        <w:pStyle w:val="ListContinue"/>
        <w:spacing w:line="360" w:lineRule="auto"/>
        <w:ind w:left="0"/>
        <w:rPr>
          <w:rFonts w:eastAsiaTheme="minorHAnsi"/>
          <w:lang w:eastAsia="en-US"/>
        </w:rPr>
      </w:pPr>
      <w:r w:rsidRPr="00C90AC9">
        <w:rPr>
          <w:rFonts w:eastAsiaTheme="minorHAnsi"/>
          <w:lang w:eastAsia="en-US"/>
        </w:rPr>
        <w:tab/>
      </w:r>
      <w:r w:rsidR="00170E5C" w:rsidRPr="00C90AC9">
        <w:rPr>
          <w:rFonts w:eastAsiaTheme="minorHAnsi"/>
          <w:lang w:eastAsia="en-US"/>
        </w:rPr>
        <w:t xml:space="preserve">To better understand consumer motivations and potential barriers to adoption of </w:t>
      </w:r>
      <w:r w:rsidR="00EA4A27" w:rsidRPr="00C90AC9">
        <w:rPr>
          <w:rFonts w:eastAsiaTheme="minorHAnsi"/>
          <w:lang w:eastAsia="en-US"/>
        </w:rPr>
        <w:t>STPs</w:t>
      </w:r>
      <w:r w:rsidR="00170E5C" w:rsidRPr="00C90AC9">
        <w:rPr>
          <w:rFonts w:eastAsiaTheme="minorHAnsi"/>
          <w:lang w:eastAsia="en-US"/>
        </w:rPr>
        <w:t xml:space="preserve"> focus groups were conducted</w:t>
      </w:r>
      <w:r w:rsidR="002D3890" w:rsidRPr="00C90AC9">
        <w:rPr>
          <w:rFonts w:eastAsiaTheme="minorHAnsi"/>
          <w:lang w:eastAsia="en-US"/>
        </w:rPr>
        <w:t xml:space="preserve"> as has been used in previous research (see </w:t>
      </w:r>
      <w:r w:rsidR="002D3890" w:rsidRPr="00C90AC9">
        <w:rPr>
          <w:rFonts w:eastAsiaTheme="minorHAnsi"/>
          <w:lang w:eastAsia="en-US"/>
        </w:rPr>
        <w:fldChar w:fldCharType="begin">
          <w:fldData xml:space="preserve">PEVuZE5vdGU+PENpdGU+PEF1dGhvcj5MaWVuaG9vcDwvQXV0aG9yPjxZZWFyPjIwMTg8L1llYXI+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</w:fldData>
        </w:fldChar>
      </w:r>
      <w:r w:rsidR="002D3890" w:rsidRPr="00C90AC9">
        <w:rPr>
          <w:rFonts w:eastAsiaTheme="minorHAnsi"/>
          <w:lang w:eastAsia="en-US"/>
        </w:rPr>
        <w:instrText xml:space="preserve"> ADDIN EN.CITE </w:instrText>
      </w:r>
      <w:r w:rsidR="002D3890" w:rsidRPr="00C90AC9">
        <w:rPr>
          <w:rFonts w:eastAsiaTheme="minorHAnsi"/>
          <w:lang w:eastAsia="en-US"/>
        </w:rPr>
        <w:fldChar w:fldCharType="begin">
          <w:fldData xml:space="preserve">PEVuZE5vdGU+PENpdGU+PEF1dGhvcj5MaWVuaG9vcDwvQXV0aG9yPjxZZWFyPjIwMTg8L1llYXI+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</w:fldData>
        </w:fldChar>
      </w:r>
      <w:r w:rsidR="002D3890" w:rsidRPr="00C90AC9">
        <w:rPr>
          <w:rFonts w:eastAsiaTheme="minorHAnsi"/>
          <w:lang w:eastAsia="en-US"/>
        </w:rPr>
        <w:instrText xml:space="preserve"> ADDIN EN.CITE.DATA </w:instrText>
      </w:r>
      <w:r w:rsidR="002D3890" w:rsidRPr="00C90AC9">
        <w:rPr>
          <w:rFonts w:eastAsiaTheme="minorHAnsi"/>
          <w:lang w:eastAsia="en-US"/>
        </w:rPr>
      </w:r>
      <w:r w:rsidR="002D3890" w:rsidRPr="00C90AC9">
        <w:rPr>
          <w:rFonts w:eastAsiaTheme="minorHAnsi"/>
          <w:lang w:eastAsia="en-US"/>
        </w:rPr>
        <w:fldChar w:fldCharType="end"/>
      </w:r>
      <w:r w:rsidR="002D3890" w:rsidRPr="00C90AC9">
        <w:rPr>
          <w:rFonts w:eastAsiaTheme="minorHAnsi"/>
          <w:lang w:eastAsia="en-US"/>
        </w:rPr>
      </w:r>
      <w:r w:rsidR="002D3890" w:rsidRPr="00C90AC9">
        <w:rPr>
          <w:rFonts w:eastAsiaTheme="minorHAnsi"/>
          <w:lang w:eastAsia="en-US"/>
        </w:rPr>
        <w:fldChar w:fldCharType="separate"/>
      </w:r>
      <w:r w:rsidR="002D3890" w:rsidRPr="00C90AC9">
        <w:rPr>
          <w:rFonts w:eastAsiaTheme="minorHAnsi"/>
          <w:lang w:eastAsia="en-US"/>
        </w:rPr>
        <w:t>(</w:t>
      </w:r>
      <w:r w:rsidR="00432861" w:rsidRPr="00C90AC9">
        <w:rPr>
          <w:rFonts w:eastAsiaTheme="minorHAnsi"/>
          <w:lang w:eastAsia="en-US"/>
        </w:rPr>
        <w:t>S. R. Allen</w:t>
      </w:r>
      <w:r w:rsidR="002D3890" w:rsidRPr="00C90AC9">
        <w:rPr>
          <w:rFonts w:eastAsiaTheme="minorHAnsi"/>
          <w:lang w:eastAsia="en-US"/>
        </w:rPr>
        <w:t xml:space="preserve"> et al., 2008; </w:t>
      </w:r>
      <w:r w:rsidR="00432861" w:rsidRPr="00C90AC9">
        <w:rPr>
          <w:rFonts w:eastAsiaTheme="minorHAnsi"/>
          <w:lang w:eastAsia="en-US"/>
        </w:rPr>
        <w:t xml:space="preserve">A. </w:t>
      </w:r>
      <w:r w:rsidR="0038131A" w:rsidRPr="00C90AC9">
        <w:rPr>
          <w:rFonts w:eastAsiaTheme="minorHAnsi"/>
          <w:lang w:eastAsia="en-US"/>
        </w:rPr>
        <w:t>Faiers</w:t>
      </w:r>
      <w:r w:rsidR="00BA7307" w:rsidRPr="00C90AC9">
        <w:rPr>
          <w:rFonts w:eastAsiaTheme="minorHAnsi"/>
          <w:lang w:eastAsia="en-US"/>
        </w:rPr>
        <w:t xml:space="preserve"> </w:t>
      </w:r>
      <w:r w:rsidR="002D3890" w:rsidRPr="00C90AC9">
        <w:rPr>
          <w:rFonts w:eastAsiaTheme="minorHAnsi"/>
          <w:lang w:eastAsia="en-US"/>
        </w:rPr>
        <w:t xml:space="preserve">&amp; </w:t>
      </w:r>
      <w:r w:rsidR="00432861" w:rsidRPr="00C90AC9">
        <w:rPr>
          <w:rFonts w:eastAsiaTheme="minorHAnsi"/>
          <w:lang w:eastAsia="en-US"/>
        </w:rPr>
        <w:t xml:space="preserve">C. </w:t>
      </w:r>
      <w:r w:rsidR="0038131A" w:rsidRPr="00C90AC9">
        <w:rPr>
          <w:rFonts w:eastAsiaTheme="minorHAnsi"/>
          <w:lang w:eastAsia="en-US"/>
        </w:rPr>
        <w:t>Neame,</w:t>
      </w:r>
      <w:r w:rsidR="002D3890" w:rsidRPr="00C90AC9">
        <w:rPr>
          <w:rFonts w:eastAsiaTheme="minorHAnsi"/>
          <w:lang w:eastAsia="en-US"/>
        </w:rPr>
        <w:t xml:space="preserve"> 2006; </w:t>
      </w:r>
      <w:r w:rsidR="00432861" w:rsidRPr="00C90AC9">
        <w:rPr>
          <w:rFonts w:eastAsiaTheme="minorHAnsi"/>
          <w:lang w:eastAsia="en-US"/>
        </w:rPr>
        <w:t xml:space="preserve">A. </w:t>
      </w:r>
      <w:r w:rsidR="0038131A" w:rsidRPr="00C90AC9">
        <w:rPr>
          <w:rFonts w:eastAsiaTheme="minorHAnsi"/>
          <w:lang w:eastAsia="en-US"/>
        </w:rPr>
        <w:t>Faiers</w:t>
      </w:r>
      <w:r w:rsidR="002D3890" w:rsidRPr="00C90AC9">
        <w:rPr>
          <w:rFonts w:eastAsiaTheme="minorHAnsi"/>
          <w:lang w:eastAsia="en-US"/>
        </w:rPr>
        <w:t xml:space="preserve"> et al., 2007; Lachapelle &amp; Rabe, 2012; Lienhoop, 2018)</w:t>
      </w:r>
      <w:r w:rsidR="002D3890" w:rsidRPr="00C90AC9">
        <w:rPr>
          <w:rFonts w:eastAsiaTheme="minorHAnsi"/>
          <w:lang w:eastAsia="en-US"/>
        </w:rPr>
        <w:fldChar w:fldCharType="end"/>
      </w:r>
      <w:r w:rsidR="00432861" w:rsidRPr="00C90AC9">
        <w:rPr>
          <w:rFonts w:eastAsiaTheme="minorHAnsi"/>
          <w:lang w:eastAsia="en-US"/>
        </w:rPr>
        <w:t>)</w:t>
      </w:r>
      <w:r w:rsidR="00170E5C" w:rsidRPr="00C90AC9">
        <w:rPr>
          <w:rFonts w:eastAsiaTheme="minorHAnsi"/>
          <w:lang w:eastAsia="en-US"/>
        </w:rPr>
        <w:t>.</w:t>
      </w:r>
      <w:r w:rsidR="00EA4A27" w:rsidRPr="00C90AC9">
        <w:rPr>
          <w:rFonts w:eastAsiaTheme="minorHAnsi"/>
          <w:lang w:eastAsia="en-US"/>
        </w:rPr>
        <w:t xml:space="preserve"> </w:t>
      </w:r>
      <w:r w:rsidR="00A16B8C" w:rsidRPr="00C90AC9">
        <w:rPr>
          <w:rFonts w:eastAsiaTheme="minorHAnsi"/>
          <w:lang w:eastAsia="en-US"/>
        </w:rPr>
        <w:t xml:space="preserve">A summary of the findings </w:t>
      </w:r>
      <w:r w:rsidR="00091094" w:rsidRPr="00C90AC9">
        <w:rPr>
          <w:rFonts w:eastAsiaTheme="minorHAnsi"/>
          <w:lang w:eastAsia="en-US"/>
        </w:rPr>
        <w:t>is</w:t>
      </w:r>
      <w:r w:rsidR="00A16B8C" w:rsidRPr="00C90AC9">
        <w:rPr>
          <w:rFonts w:eastAsiaTheme="minorHAnsi"/>
          <w:lang w:eastAsia="en-US"/>
        </w:rPr>
        <w:t xml:space="preserve"> given at the end of the results section for each year before the conclusions and discussion.</w:t>
      </w:r>
    </w:p>
    <w:p w:rsidR="00A16B8C" w:rsidRPr="00C90AC9" w:rsidRDefault="00A16B8C" w:rsidP="00117EA4">
      <w:pPr>
        <w:pStyle w:val="ListContinue"/>
        <w:ind w:left="0"/>
        <w:rPr>
          <w:rFonts w:eastAsiaTheme="minorHAnsi"/>
          <w:lang w:eastAsia="en-US"/>
        </w:rPr>
      </w:pPr>
      <w:r w:rsidRPr="00C90AC9">
        <w:rPr>
          <w:rFonts w:eastAsiaTheme="minorHAnsi"/>
          <w:lang w:eastAsia="en-US"/>
        </w:rPr>
        <w:t xml:space="preserve">The three different types of consumer identified for this research who were invited to participate in </w:t>
      </w:r>
      <w:r w:rsidR="00117EA4" w:rsidRPr="00C90AC9">
        <w:rPr>
          <w:rFonts w:eastAsiaTheme="minorHAnsi"/>
          <w:lang w:eastAsia="en-US"/>
        </w:rPr>
        <w:t xml:space="preserve">the </w:t>
      </w:r>
      <w:r w:rsidRPr="00C90AC9">
        <w:rPr>
          <w:rFonts w:eastAsiaTheme="minorHAnsi"/>
          <w:lang w:eastAsia="en-US"/>
        </w:rPr>
        <w:t>focus groups were:</w:t>
      </w:r>
    </w:p>
    <w:p w:rsidR="00A16B8C" w:rsidRPr="00C90AC9" w:rsidRDefault="00A16B8C" w:rsidP="00CA6E35">
      <w:pPr>
        <w:pStyle w:val="List2"/>
        <w:numPr>
          <w:ilvl w:val="0"/>
          <w:numId w:val="14"/>
        </w:numPr>
        <w:rPr>
          <w:rFonts w:eastAsiaTheme="minorHAnsi"/>
          <w:lang w:eastAsia="en-US"/>
        </w:rPr>
      </w:pPr>
      <w:r w:rsidRPr="00C90AC9">
        <w:rPr>
          <w:rFonts w:eastAsiaTheme="minorHAnsi"/>
          <w:lang w:eastAsia="en-US"/>
        </w:rPr>
        <w:t xml:space="preserve">Those that have </w:t>
      </w:r>
      <w:r w:rsidR="006518C0" w:rsidRPr="00C90AC9">
        <w:rPr>
          <w:rFonts w:eastAsiaTheme="minorHAnsi"/>
          <w:lang w:eastAsia="en-US"/>
        </w:rPr>
        <w:t>STPs</w:t>
      </w:r>
      <w:r w:rsidRPr="00C90AC9">
        <w:rPr>
          <w:rFonts w:eastAsiaTheme="minorHAnsi"/>
          <w:lang w:eastAsia="en-US"/>
        </w:rPr>
        <w:t>;</w:t>
      </w:r>
    </w:p>
    <w:p w:rsidR="00A16B8C" w:rsidRPr="00C90AC9" w:rsidRDefault="00A16B8C" w:rsidP="00CA6E35">
      <w:pPr>
        <w:pStyle w:val="List2"/>
        <w:numPr>
          <w:ilvl w:val="0"/>
          <w:numId w:val="14"/>
        </w:numPr>
        <w:rPr>
          <w:rFonts w:eastAsiaTheme="minorHAnsi"/>
          <w:lang w:eastAsia="en-US"/>
        </w:rPr>
      </w:pPr>
      <w:r w:rsidRPr="00C90AC9">
        <w:rPr>
          <w:rFonts w:eastAsiaTheme="minorHAnsi"/>
          <w:lang w:eastAsia="en-US"/>
        </w:rPr>
        <w:t xml:space="preserve">Those that do not have </w:t>
      </w:r>
      <w:r w:rsidR="006518C0" w:rsidRPr="00C90AC9">
        <w:rPr>
          <w:rFonts w:eastAsiaTheme="minorHAnsi"/>
          <w:lang w:eastAsia="en-US"/>
        </w:rPr>
        <w:t>STPs</w:t>
      </w:r>
      <w:r w:rsidRPr="00C90AC9">
        <w:rPr>
          <w:rFonts w:eastAsiaTheme="minorHAnsi"/>
          <w:lang w:eastAsia="en-US"/>
        </w:rPr>
        <w:t xml:space="preserve"> but are considering adopting them; and</w:t>
      </w:r>
    </w:p>
    <w:p w:rsidR="00A16B8C" w:rsidRPr="00C90AC9" w:rsidRDefault="00A16B8C" w:rsidP="00CA6E35">
      <w:pPr>
        <w:pStyle w:val="List2"/>
        <w:numPr>
          <w:ilvl w:val="0"/>
          <w:numId w:val="14"/>
        </w:numPr>
        <w:rPr>
          <w:rFonts w:eastAsiaTheme="minorHAnsi"/>
          <w:lang w:eastAsia="en-US"/>
        </w:rPr>
      </w:pPr>
      <w:r w:rsidRPr="00C90AC9">
        <w:rPr>
          <w:rFonts w:eastAsiaTheme="minorHAnsi"/>
          <w:lang w:eastAsia="en-US"/>
        </w:rPr>
        <w:t xml:space="preserve">Those that do not have </w:t>
      </w:r>
      <w:r w:rsidR="006518C0" w:rsidRPr="00C90AC9">
        <w:rPr>
          <w:rFonts w:eastAsiaTheme="minorHAnsi"/>
          <w:lang w:eastAsia="en-US"/>
        </w:rPr>
        <w:t>STPs</w:t>
      </w:r>
      <w:r w:rsidRPr="00C90AC9">
        <w:rPr>
          <w:rFonts w:eastAsiaTheme="minorHAnsi"/>
          <w:lang w:eastAsia="en-US"/>
        </w:rPr>
        <w:t xml:space="preserve"> and have never considered adopting them.</w:t>
      </w:r>
    </w:p>
    <w:p w:rsidR="00A16B8C" w:rsidRPr="00C90AC9" w:rsidRDefault="00A16B8C" w:rsidP="00012484">
      <w:pPr>
        <w:pStyle w:val="BodyText"/>
        <w:spacing w:line="360" w:lineRule="auto"/>
        <w:rPr>
          <w:rFonts w:eastAsiaTheme="minorHAnsi"/>
          <w:lang w:eastAsia="en-US"/>
        </w:rPr>
      </w:pPr>
      <w:r w:rsidRPr="00C90AC9">
        <w:rPr>
          <w:rFonts w:eastAsiaTheme="minorHAnsi"/>
          <w:lang w:eastAsia="en-US"/>
        </w:rPr>
        <w:br/>
      </w:r>
      <w:r w:rsidR="00117EA4" w:rsidRPr="00C90AC9">
        <w:rPr>
          <w:rFonts w:eastAsiaTheme="minorHAnsi"/>
          <w:lang w:eastAsia="en-US"/>
        </w:rPr>
        <w:t xml:space="preserve">An </w:t>
      </w:r>
      <w:r w:rsidRPr="00C90AC9">
        <w:rPr>
          <w:rFonts w:eastAsiaTheme="minorHAnsi"/>
          <w:lang w:eastAsia="en-US"/>
        </w:rPr>
        <w:t>online questionnaire</w:t>
      </w:r>
      <w:r w:rsidR="00E549EC" w:rsidRPr="00C90AC9">
        <w:rPr>
          <w:rFonts w:eastAsiaTheme="minorHAnsi"/>
          <w:lang w:eastAsia="en-US"/>
        </w:rPr>
        <w:t xml:space="preserve"> with a list of potential participants held at the University of Sheffield</w:t>
      </w:r>
      <w:r w:rsidR="002D3890" w:rsidRPr="00C90AC9">
        <w:rPr>
          <w:rFonts w:eastAsiaTheme="minorHAnsi"/>
          <w:lang w:eastAsia="en-US"/>
        </w:rPr>
        <w:t xml:space="preserve"> was</w:t>
      </w:r>
      <w:r w:rsidR="00E549EC" w:rsidRPr="00C90AC9">
        <w:rPr>
          <w:rFonts w:eastAsiaTheme="minorHAnsi"/>
          <w:lang w:eastAsia="en-US"/>
        </w:rPr>
        <w:t xml:space="preserve"> used prior to the focus groups and</w:t>
      </w:r>
      <w:r w:rsidR="002D3890" w:rsidRPr="00C90AC9">
        <w:rPr>
          <w:rFonts w:eastAsiaTheme="minorHAnsi"/>
          <w:lang w:eastAsia="en-US"/>
        </w:rPr>
        <w:t xml:space="preserve"> determined which specific focus group</w:t>
      </w:r>
      <w:r w:rsidRPr="00C90AC9">
        <w:rPr>
          <w:rFonts w:eastAsiaTheme="minorHAnsi"/>
          <w:lang w:eastAsia="en-US"/>
        </w:rPr>
        <w:t xml:space="preserve"> each participant would be assigned to.</w:t>
      </w:r>
      <w:r w:rsidR="00117EA4" w:rsidRPr="00C90AC9">
        <w:rPr>
          <w:rFonts w:eastAsiaTheme="minorHAnsi"/>
          <w:lang w:eastAsia="en-US"/>
        </w:rPr>
        <w:t xml:space="preserve"> These groups were chosen</w:t>
      </w:r>
      <w:r w:rsidR="00C06780" w:rsidRPr="00C90AC9">
        <w:rPr>
          <w:rFonts w:eastAsiaTheme="minorHAnsi"/>
          <w:lang w:eastAsia="en-US"/>
        </w:rPr>
        <w:t xml:space="preserve"> so that</w:t>
      </w:r>
      <w:r w:rsidR="005D6EA9" w:rsidRPr="00C90AC9">
        <w:rPr>
          <w:rFonts w:eastAsiaTheme="minorHAnsi"/>
          <w:lang w:eastAsia="en-US"/>
        </w:rPr>
        <w:t xml:space="preserve"> in the focus groups there would be</w:t>
      </w:r>
      <w:r w:rsidR="00C06780" w:rsidRPr="00C90AC9">
        <w:rPr>
          <w:rFonts w:eastAsiaTheme="minorHAnsi"/>
          <w:lang w:eastAsia="en-US"/>
        </w:rPr>
        <w:t xml:space="preserve"> something common to all of the participants.</w:t>
      </w:r>
      <w:r w:rsidR="00622205" w:rsidRPr="00C90AC9">
        <w:rPr>
          <w:rFonts w:eastAsiaTheme="minorHAnsi"/>
          <w:lang w:eastAsia="en-US"/>
        </w:rPr>
        <w:t xml:space="preserve"> Whilst in each focus group there was a good mix </w:t>
      </w:r>
      <w:r w:rsidR="00622205" w:rsidRPr="00C90AC9">
        <w:rPr>
          <w:rFonts w:eastAsiaTheme="minorHAnsi"/>
          <w:lang w:eastAsia="en-US"/>
        </w:rPr>
        <w:lastRenderedPageBreak/>
        <w:t xml:space="preserve">of individuals </w:t>
      </w:r>
      <w:r w:rsidR="00E549EC" w:rsidRPr="00C90AC9">
        <w:rPr>
          <w:rFonts w:eastAsiaTheme="minorHAnsi"/>
          <w:lang w:eastAsia="en-US"/>
        </w:rPr>
        <w:t xml:space="preserve">it </w:t>
      </w:r>
      <w:r w:rsidR="00622205" w:rsidRPr="00C90AC9">
        <w:rPr>
          <w:rFonts w:eastAsiaTheme="minorHAnsi"/>
          <w:lang w:eastAsia="en-US"/>
        </w:rPr>
        <w:t>is important to note that there was a difference in the demographics noticed for the groups that comprise those that do own STPs. The participants in these focus groups were generally retired</w:t>
      </w:r>
      <w:r w:rsidR="00582C85" w:rsidRPr="00C90AC9">
        <w:rPr>
          <w:rFonts w:eastAsiaTheme="minorHAnsi"/>
          <w:lang w:eastAsia="en-US"/>
        </w:rPr>
        <w:t>,</w:t>
      </w:r>
      <w:r w:rsidR="00622205" w:rsidRPr="00C90AC9">
        <w:rPr>
          <w:rFonts w:eastAsiaTheme="minorHAnsi"/>
          <w:lang w:eastAsia="en-US"/>
        </w:rPr>
        <w:t xml:space="preserve"> being over the age of 60</w:t>
      </w:r>
      <w:r w:rsidR="00582C85" w:rsidRPr="00C90AC9">
        <w:rPr>
          <w:rFonts w:eastAsiaTheme="minorHAnsi"/>
          <w:lang w:eastAsia="en-US"/>
        </w:rPr>
        <w:t xml:space="preserve">, or they were international students who had STP’s connected to their </w:t>
      </w:r>
      <w:r w:rsidR="00E549EC" w:rsidRPr="00C90AC9">
        <w:rPr>
          <w:rFonts w:eastAsiaTheme="minorHAnsi"/>
          <w:lang w:eastAsia="en-US"/>
        </w:rPr>
        <w:t>houses in their home countries</w:t>
      </w:r>
      <w:r w:rsidR="00582C85" w:rsidRPr="00C90AC9">
        <w:rPr>
          <w:rFonts w:eastAsiaTheme="minorHAnsi"/>
          <w:lang w:eastAsia="en-US"/>
        </w:rPr>
        <w:t>. The participants who were retired described themselves as having installed STP’s because they had available money to do so and wanted to be more environmentally active.</w:t>
      </w:r>
      <w:r w:rsidR="00E549EC" w:rsidRPr="00C90AC9">
        <w:rPr>
          <w:rFonts w:eastAsiaTheme="minorHAnsi"/>
          <w:lang w:eastAsia="en-US"/>
        </w:rPr>
        <w:t xml:space="preserve"> Two factors which typified the responses of all the focus groups held.</w:t>
      </w:r>
    </w:p>
    <w:p w:rsidR="00622205" w:rsidRPr="00C90AC9" w:rsidRDefault="00622205" w:rsidP="00B06779">
      <w:pPr>
        <w:pStyle w:val="BodyText"/>
        <w:rPr>
          <w:rFonts w:eastAsiaTheme="minorHAnsi"/>
          <w:lang w:eastAsia="en-US"/>
        </w:rPr>
      </w:pPr>
    </w:p>
    <w:p w:rsidR="00622205" w:rsidRPr="00C90AC9" w:rsidRDefault="00622205" w:rsidP="00CA6E35">
      <w:pPr>
        <w:pStyle w:val="ListParagraph"/>
        <w:numPr>
          <w:ilvl w:val="2"/>
          <w:numId w:val="28"/>
        </w:numPr>
        <w:ind w:left="1134" w:hanging="1134"/>
        <w:rPr>
          <w:rStyle w:val="SubtleEmphasis"/>
          <w:rFonts w:ascii="Times New Roman" w:hAnsi="Times New Roman" w:cs="Times New Roman"/>
          <w:iCs/>
          <w:szCs w:val="24"/>
        </w:rPr>
      </w:pPr>
      <w:bookmarkStart w:id="64" w:name="_Toc447173091"/>
      <w:r w:rsidRPr="00C90AC9">
        <w:rPr>
          <w:rStyle w:val="SubtleEmphasis"/>
          <w:rFonts w:ascii="Times New Roman" w:hAnsi="Times New Roman" w:cs="Times New Roman"/>
          <w:iCs/>
          <w:szCs w:val="24"/>
        </w:rPr>
        <w:t>Demographics of the focus groups, 2012</w:t>
      </w:r>
      <w:bookmarkEnd w:id="64"/>
    </w:p>
    <w:p w:rsidR="00177972" w:rsidRPr="00C90AC9" w:rsidRDefault="00622205" w:rsidP="00012484">
      <w:pPr>
        <w:pStyle w:val="ListContinue"/>
        <w:spacing w:line="360" w:lineRule="auto"/>
        <w:ind w:left="0"/>
        <w:rPr>
          <w:rFonts w:eastAsiaTheme="minorHAnsi"/>
          <w:lang w:eastAsia="en-US"/>
        </w:rPr>
      </w:pPr>
      <w:r w:rsidRPr="00C90AC9">
        <w:rPr>
          <w:rFonts w:eastAsiaTheme="minorHAnsi"/>
          <w:lang w:eastAsia="en-US"/>
        </w:rPr>
        <w:tab/>
      </w:r>
      <w:r w:rsidR="0048060D" w:rsidRPr="00C90AC9">
        <w:rPr>
          <w:rFonts w:eastAsiaTheme="minorHAnsi"/>
          <w:lang w:eastAsia="en-US"/>
        </w:rPr>
        <w:t>Prior to the focus groups a schedule was prepared in advance which can be found in Appendix 7.10</w:t>
      </w:r>
      <w:r w:rsidR="00177972" w:rsidRPr="00C90AC9">
        <w:rPr>
          <w:rFonts w:eastAsiaTheme="minorHAnsi"/>
          <w:lang w:eastAsia="en-US"/>
        </w:rPr>
        <w:t xml:space="preserve"> which roughly followed the schedules of </w:t>
      </w:r>
      <w:proofErr w:type="spellStart"/>
      <w:r w:rsidR="00177972" w:rsidRPr="00C90AC9">
        <w:rPr>
          <w:rFonts w:eastAsiaTheme="minorHAnsi"/>
          <w:lang w:eastAsia="en-US"/>
        </w:rPr>
        <w:t>Kaldellis</w:t>
      </w:r>
      <w:proofErr w:type="spellEnd"/>
      <w:r w:rsidR="00177972" w:rsidRPr="00C90AC9">
        <w:rPr>
          <w:rFonts w:eastAsiaTheme="minorHAnsi"/>
          <w:lang w:eastAsia="en-US"/>
        </w:rPr>
        <w:t xml:space="preserve"> 2005, </w:t>
      </w:r>
      <w:r w:rsidR="00432861" w:rsidRPr="00C90AC9">
        <w:rPr>
          <w:rFonts w:eastAsiaTheme="minorHAnsi"/>
          <w:lang w:eastAsia="en-US"/>
        </w:rPr>
        <w:t xml:space="preserve">A. </w:t>
      </w:r>
      <w:proofErr w:type="spellStart"/>
      <w:r w:rsidR="0038131A" w:rsidRPr="00C90AC9">
        <w:rPr>
          <w:rFonts w:eastAsiaTheme="minorHAnsi"/>
          <w:lang w:eastAsia="en-US"/>
        </w:rPr>
        <w:t>Faiers</w:t>
      </w:r>
      <w:proofErr w:type="spellEnd"/>
      <w:r w:rsidR="00177972" w:rsidRPr="00C90AC9">
        <w:rPr>
          <w:rFonts w:eastAsiaTheme="minorHAnsi"/>
          <w:lang w:eastAsia="en-US"/>
        </w:rPr>
        <w:t xml:space="preserve"> 2006, </w:t>
      </w:r>
      <w:r w:rsidR="00432861" w:rsidRPr="00C90AC9">
        <w:rPr>
          <w:rFonts w:eastAsiaTheme="minorHAnsi"/>
          <w:lang w:eastAsia="en-US"/>
        </w:rPr>
        <w:t xml:space="preserve">A. </w:t>
      </w:r>
      <w:proofErr w:type="spellStart"/>
      <w:r w:rsidR="0038131A" w:rsidRPr="00C90AC9">
        <w:rPr>
          <w:rFonts w:eastAsiaTheme="minorHAnsi"/>
          <w:lang w:eastAsia="en-US"/>
        </w:rPr>
        <w:t>Faiers</w:t>
      </w:r>
      <w:proofErr w:type="spellEnd"/>
      <w:r w:rsidR="00177972" w:rsidRPr="00C90AC9">
        <w:rPr>
          <w:rFonts w:eastAsiaTheme="minorHAnsi"/>
          <w:lang w:eastAsia="en-US"/>
        </w:rPr>
        <w:t xml:space="preserve"> 2007, Scarpa 2010 and </w:t>
      </w:r>
      <w:proofErr w:type="spellStart"/>
      <w:r w:rsidR="00177972" w:rsidRPr="00C90AC9">
        <w:rPr>
          <w:rFonts w:eastAsiaTheme="minorHAnsi"/>
          <w:lang w:eastAsia="en-US"/>
        </w:rPr>
        <w:t>Lachapelle</w:t>
      </w:r>
      <w:proofErr w:type="spellEnd"/>
      <w:r w:rsidR="00177972" w:rsidRPr="00C90AC9">
        <w:rPr>
          <w:rFonts w:eastAsiaTheme="minorHAnsi"/>
          <w:lang w:eastAsia="en-US"/>
        </w:rPr>
        <w:t xml:space="preserve"> 2012 </w:t>
      </w:r>
      <w:r w:rsidR="00337B41" w:rsidRPr="00C90AC9">
        <w:rPr>
          <w:rFonts w:eastAsiaTheme="minorHAnsi"/>
          <w:lang w:eastAsia="en-US"/>
        </w:rPr>
        <w:fldChar w:fldCharType="begin"/>
      </w:r>
      <w:r w:rsidR="00337B41" w:rsidRPr="00C90AC9">
        <w:rPr>
          <w:rFonts w:eastAsiaTheme="minorHAnsi"/>
          <w:lang w:eastAsia="en-US"/>
        </w:rPr>
        <w:instrText xml:space="preserve"> ADDIN EN.CITE &lt;EndNote&gt;&lt;Cite&gt;&lt;Author&gt;Scarpa&lt;/Author&gt;&lt;Year&gt;2010&lt;/Year&gt;&lt;RecNum&gt;210&lt;/RecNum&gt;&lt;DisplayText&gt;(Riccardo Scarpa &amp;amp; Ken Willis, 2010)&lt;/DisplayText&gt;&lt;record&gt;&lt;rec-number&gt;210&lt;/rec-number&gt;&lt;foreign-keys&gt;&lt;key app="EN" db-id="50wxdpzd9vd5r7e9t5b595djrfpttrxw9avp" timestamp="1525464733"&gt;210&lt;/key&gt;&lt;/foreign-keys&gt;&lt;ref-type name="Journal Article"&gt;17&lt;/ref-type&gt;&lt;contributors&gt;&lt;authors&gt;&lt;author&gt;Scarpa, Riccardo&lt;/author&gt;&lt;author&gt;Willis, Ken&lt;/author&gt;&lt;/authors&gt;&lt;/contributors&gt;&lt;titles&gt;&lt;title&gt;Willingness-to-pay for renewable energy: Primary and discretionary choice of British households&amp;apos; for micro-generation technologies&lt;/title&gt;&lt;secondary-title&gt;Energy Economics&lt;/secondary-title&gt;&lt;/titles&gt;&lt;pages&gt;129-136&lt;/pages&gt;&lt;volume&gt;32&lt;/volume&gt;&lt;number&gt;1&lt;/number&gt;&lt;keywords&gt;&lt;keyword&gt;Renewable energy&lt;/keyword&gt;&lt;keyword&gt;Micro-generation&lt;/keyword&gt;&lt;keyword&gt;Choice modelling&lt;/keyword&gt;&lt;keyword&gt;Mixed logit&lt;/keyword&gt;&lt;/keywords&gt;&lt;dates&gt;&lt;year&gt;2010&lt;/year&gt;&lt;pub-dates&gt;&lt;date&gt;2010/01/01/&lt;/date&gt;&lt;/pub-dates&gt;&lt;/dates&gt;&lt;isbn&gt;0140-9883&lt;/isbn&gt;&lt;urls&gt;&lt;related-urls&gt;&lt;url&gt;http://www.sciencedirect.com/science/article/pii/S0140988309001030&lt;/url&gt;&lt;/related-urls&gt;&lt;/urls&gt;&lt;electronic-resource-num&gt;https://doi.org/10.1016/j.eneco.2009.06.004&lt;/electronic-resource-num&gt;&lt;/record&gt;&lt;/Cite&gt;&lt;/EndNote&gt;</w:instrText>
      </w:r>
      <w:r w:rsidR="00337B41" w:rsidRPr="00C90AC9">
        <w:rPr>
          <w:rFonts w:eastAsiaTheme="minorHAnsi"/>
          <w:lang w:eastAsia="en-US"/>
        </w:rPr>
        <w:fldChar w:fldCharType="separate"/>
      </w:r>
      <w:r w:rsidR="00337B41" w:rsidRPr="00C90AC9">
        <w:rPr>
          <w:rFonts w:eastAsiaTheme="minorHAnsi"/>
          <w:lang w:eastAsia="en-US"/>
        </w:rPr>
        <w:t>(Riccardo Scarpa &amp; Ken Willis, 2010)</w:t>
      </w:r>
      <w:r w:rsidR="00337B41" w:rsidRPr="00C90AC9">
        <w:rPr>
          <w:rFonts w:eastAsiaTheme="minorHAnsi"/>
          <w:lang w:eastAsia="en-US"/>
        </w:rPr>
        <w:fldChar w:fldCharType="end"/>
      </w:r>
      <w:r w:rsidR="00177972" w:rsidRPr="00C90AC9">
        <w:rPr>
          <w:rFonts w:eastAsiaTheme="minorHAnsi"/>
          <w:lang w:eastAsia="en-US"/>
        </w:rPr>
        <w:t xml:space="preserve"> </w:t>
      </w:r>
      <w:r w:rsidR="00337B41" w:rsidRPr="00C90AC9">
        <w:rPr>
          <w:rFonts w:eastAsiaTheme="minorHAnsi"/>
          <w:lang w:eastAsia="en-US"/>
        </w:rPr>
        <w:fldChar w:fldCharType="begin">
          <w:fldData xml:space="preserve">PEVuZE5vdGU+PENpdGU+PEF1dGhvcj5GYWllcnM8L0F1dGhvcj48WWVhcj4yMDA2PC9ZZWFyPjxS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</w:fldData>
        </w:fldChar>
      </w:r>
      <w:r w:rsidR="00337B41" w:rsidRPr="00C90AC9">
        <w:rPr>
          <w:rFonts w:eastAsiaTheme="minorHAnsi"/>
          <w:lang w:eastAsia="en-US"/>
        </w:rPr>
        <w:instrText xml:space="preserve"> ADDIN EN.CITE </w:instrText>
      </w:r>
      <w:r w:rsidR="00337B41" w:rsidRPr="00C90AC9">
        <w:rPr>
          <w:rFonts w:eastAsiaTheme="minorHAnsi"/>
          <w:lang w:eastAsia="en-US"/>
        </w:rPr>
        <w:fldChar w:fldCharType="begin">
          <w:fldData xml:space="preserve">PEVuZE5vdGU+PENpdGU+PEF1dGhvcj5GYWllcnM8L0F1dGhvcj48WWVhcj4yMDA2PC9ZZWFyPjxS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</w:fldData>
        </w:fldChar>
      </w:r>
      <w:r w:rsidR="00337B41" w:rsidRPr="00C90AC9">
        <w:rPr>
          <w:rFonts w:eastAsiaTheme="minorHAnsi"/>
          <w:lang w:eastAsia="en-US"/>
        </w:rPr>
        <w:instrText xml:space="preserve"> ADDIN EN.CITE.DATA </w:instrText>
      </w:r>
      <w:r w:rsidR="00337B41" w:rsidRPr="00C90AC9">
        <w:rPr>
          <w:rFonts w:eastAsiaTheme="minorHAnsi"/>
          <w:lang w:eastAsia="en-US"/>
        </w:rPr>
      </w:r>
      <w:r w:rsidR="00337B41" w:rsidRPr="00C90AC9">
        <w:rPr>
          <w:rFonts w:eastAsiaTheme="minorHAnsi"/>
          <w:lang w:eastAsia="en-US"/>
        </w:rPr>
        <w:fldChar w:fldCharType="end"/>
      </w:r>
      <w:r w:rsidR="00337B41" w:rsidRPr="00C90AC9">
        <w:rPr>
          <w:rFonts w:eastAsiaTheme="minorHAnsi"/>
          <w:lang w:eastAsia="en-US"/>
        </w:rPr>
      </w:r>
      <w:r w:rsidR="00337B41" w:rsidRPr="00C90AC9">
        <w:rPr>
          <w:rFonts w:eastAsiaTheme="minorHAnsi"/>
          <w:lang w:eastAsia="en-US"/>
        </w:rPr>
        <w:fldChar w:fldCharType="separate"/>
      </w:r>
      <w:r w:rsidR="00337B41" w:rsidRPr="00C90AC9">
        <w:rPr>
          <w:rFonts w:eastAsiaTheme="minorHAnsi"/>
          <w:lang w:eastAsia="en-US"/>
        </w:rPr>
        <w:t>(</w:t>
      </w:r>
      <w:r w:rsidR="00432861" w:rsidRPr="00C90AC9">
        <w:rPr>
          <w:rFonts w:eastAsiaTheme="minorHAnsi"/>
          <w:lang w:eastAsia="en-US"/>
        </w:rPr>
        <w:t xml:space="preserve">A. </w:t>
      </w:r>
      <w:r w:rsidR="0038131A" w:rsidRPr="00C90AC9">
        <w:rPr>
          <w:rFonts w:eastAsiaTheme="minorHAnsi"/>
          <w:lang w:eastAsia="en-US"/>
        </w:rPr>
        <w:t>Faiers</w:t>
      </w:r>
      <w:r w:rsidR="00BA7307" w:rsidRPr="00C90AC9">
        <w:rPr>
          <w:rFonts w:eastAsiaTheme="minorHAnsi"/>
          <w:lang w:eastAsia="en-US"/>
        </w:rPr>
        <w:t xml:space="preserve"> </w:t>
      </w:r>
      <w:r w:rsidR="00337B41" w:rsidRPr="00C90AC9">
        <w:rPr>
          <w:rFonts w:eastAsiaTheme="minorHAnsi"/>
          <w:lang w:eastAsia="en-US"/>
        </w:rPr>
        <w:t xml:space="preserve">&amp; </w:t>
      </w:r>
      <w:r w:rsidR="00432861" w:rsidRPr="00C90AC9">
        <w:rPr>
          <w:rFonts w:eastAsiaTheme="minorHAnsi"/>
          <w:lang w:eastAsia="en-US"/>
        </w:rPr>
        <w:t xml:space="preserve">C. </w:t>
      </w:r>
      <w:r w:rsidR="0038131A" w:rsidRPr="00C90AC9">
        <w:rPr>
          <w:rFonts w:eastAsiaTheme="minorHAnsi"/>
          <w:lang w:eastAsia="en-US"/>
        </w:rPr>
        <w:t>Neame,</w:t>
      </w:r>
      <w:r w:rsidR="00337B41" w:rsidRPr="00C90AC9">
        <w:rPr>
          <w:rFonts w:eastAsiaTheme="minorHAnsi"/>
          <w:lang w:eastAsia="en-US"/>
        </w:rPr>
        <w:t xml:space="preserve"> 2006; </w:t>
      </w:r>
      <w:r w:rsidR="00432861" w:rsidRPr="00C90AC9">
        <w:rPr>
          <w:rFonts w:eastAsiaTheme="minorHAnsi"/>
          <w:lang w:eastAsia="en-US"/>
        </w:rPr>
        <w:t xml:space="preserve">A. </w:t>
      </w:r>
      <w:r w:rsidR="0038131A" w:rsidRPr="00C90AC9">
        <w:rPr>
          <w:rFonts w:eastAsiaTheme="minorHAnsi"/>
          <w:lang w:eastAsia="en-US"/>
        </w:rPr>
        <w:t>Faiers</w:t>
      </w:r>
      <w:r w:rsidR="00337B41" w:rsidRPr="00C90AC9">
        <w:rPr>
          <w:rFonts w:eastAsiaTheme="minorHAnsi"/>
          <w:lang w:eastAsia="en-US"/>
        </w:rPr>
        <w:t xml:space="preserve"> et al., 2007; Lachapelle &amp; Rabe, 2012)</w:t>
      </w:r>
      <w:r w:rsidR="00337B41" w:rsidRPr="00C90AC9">
        <w:rPr>
          <w:rFonts w:eastAsiaTheme="minorHAnsi"/>
          <w:lang w:eastAsia="en-US"/>
        </w:rPr>
        <w:fldChar w:fldCharType="end"/>
      </w:r>
      <w:r w:rsidR="00337B41" w:rsidRPr="00C90AC9">
        <w:rPr>
          <w:rFonts w:eastAsiaTheme="minorHAnsi"/>
          <w:lang w:eastAsia="en-US"/>
        </w:rPr>
        <w:t xml:space="preserve">. </w:t>
      </w:r>
    </w:p>
    <w:p w:rsidR="00622205" w:rsidRPr="00C90AC9" w:rsidRDefault="00582C85" w:rsidP="00012484">
      <w:pPr>
        <w:pStyle w:val="ListContinue"/>
        <w:spacing w:line="360" w:lineRule="auto"/>
        <w:ind w:left="0"/>
        <w:rPr>
          <w:rFonts w:eastAsiaTheme="minorHAnsi"/>
          <w:lang w:eastAsia="en-US"/>
        </w:rPr>
      </w:pPr>
      <w:r w:rsidRPr="00C90AC9">
        <w:rPr>
          <w:rFonts w:eastAsiaTheme="minorHAnsi"/>
          <w:lang w:eastAsia="en-US"/>
        </w:rPr>
        <w:t xml:space="preserve">In </w:t>
      </w:r>
      <w:r w:rsidR="00622205" w:rsidRPr="00C90AC9">
        <w:rPr>
          <w:rFonts w:eastAsiaTheme="minorHAnsi"/>
          <w:lang w:eastAsia="en-US"/>
        </w:rPr>
        <w:t xml:space="preserve">Table 5.1. </w:t>
      </w:r>
      <w:r w:rsidRPr="00C90AC9">
        <w:rPr>
          <w:rFonts w:eastAsiaTheme="minorHAnsi"/>
          <w:lang w:eastAsia="en-US"/>
        </w:rPr>
        <w:t xml:space="preserve">is </w:t>
      </w:r>
      <w:r w:rsidR="00622205" w:rsidRPr="00C90AC9">
        <w:rPr>
          <w:rFonts w:eastAsiaTheme="minorHAnsi"/>
          <w:lang w:eastAsia="en-US"/>
        </w:rPr>
        <w:t xml:space="preserve">an overview of the demographics of the participants involved in the focus groups held in </w:t>
      </w:r>
      <w:proofErr w:type="gramStart"/>
      <w:r w:rsidR="00622205" w:rsidRPr="00C90AC9">
        <w:rPr>
          <w:rFonts w:eastAsiaTheme="minorHAnsi"/>
          <w:lang w:eastAsia="en-US"/>
        </w:rPr>
        <w:t>2012.</w:t>
      </w:r>
      <w:proofErr w:type="gramEnd"/>
      <w:r w:rsidR="00622205" w:rsidRPr="00C90AC9">
        <w:rPr>
          <w:rFonts w:eastAsiaTheme="minorHAnsi"/>
          <w:lang w:eastAsia="en-US"/>
        </w:rPr>
        <w:t xml:space="preserve"> Five focus groups were</w:t>
      </w:r>
      <w:r w:rsidR="00383245" w:rsidRPr="00C90AC9">
        <w:rPr>
          <w:rFonts w:eastAsiaTheme="minorHAnsi"/>
          <w:lang w:eastAsia="en-US"/>
        </w:rPr>
        <w:t xml:space="preserve"> held in 2012 with a total of 25</w:t>
      </w:r>
      <w:r w:rsidR="00622205" w:rsidRPr="00C90AC9">
        <w:rPr>
          <w:rFonts w:eastAsiaTheme="minorHAnsi"/>
          <w:lang w:eastAsia="en-US"/>
        </w:rPr>
        <w:t xml:space="preserve"> participants involve</w:t>
      </w:r>
      <w:r w:rsidR="00383245" w:rsidRPr="00C90AC9">
        <w:rPr>
          <w:rFonts w:eastAsiaTheme="minorHAnsi"/>
          <w:lang w:eastAsia="en-US"/>
        </w:rPr>
        <w:t>d. Ages ranged from 21-66 with 9</w:t>
      </w:r>
      <w:r w:rsidR="00622205" w:rsidRPr="00C90AC9">
        <w:rPr>
          <w:rFonts w:eastAsiaTheme="minorHAnsi"/>
          <w:lang w:eastAsia="en-US"/>
        </w:rPr>
        <w:t>F and 16M. Different professions included managers, students, two unemployed participants and a stay at home parent.</w:t>
      </w:r>
    </w:p>
    <w:p w:rsidR="00622205" w:rsidRPr="00C90AC9" w:rsidRDefault="00622205" w:rsidP="00622205">
      <w:pPr>
        <w:pStyle w:val="Heading1"/>
        <w:numPr>
          <w:ilvl w:val="0"/>
          <w:numId w:val="0"/>
        </w:numPr>
        <w:rPr>
          <w:rFonts w:eastAsiaTheme="minorHAnsi"/>
          <w:sz w:val="24"/>
          <w:lang w:eastAsia="en-US"/>
        </w:rPr>
      </w:pPr>
      <w:r w:rsidRPr="00C90AC9">
        <w:rPr>
          <w:rFonts w:eastAsiaTheme="minorHAnsi"/>
          <w:sz w:val="24"/>
          <w:lang w:eastAsia="en-US"/>
        </w:rPr>
        <w:t>Table 5.1. The demographics for each focus group in 2012</w:t>
      </w:r>
    </w:p>
    <w:tbl>
      <w:tblPr>
        <w:tblStyle w:val="TableGrid4"/>
        <w:tblpPr w:leftFromText="180" w:rightFromText="180" w:vertAnchor="text" w:horzAnchor="margin" w:tblpXSpec="center" w:tblpY="163"/>
        <w:tblW w:w="8897" w:type="dxa"/>
        <w:jc w:val="center"/>
        <w:tblLayout w:type="fixed"/>
        <w:tblLook w:val="04A0" w:firstRow="1" w:lastRow="0" w:firstColumn="1" w:lastColumn="0" w:noHBand="0" w:noVBand="1"/>
      </w:tblPr>
      <w:tblGrid>
        <w:gridCol w:w="2093"/>
        <w:gridCol w:w="2410"/>
        <w:gridCol w:w="2126"/>
        <w:gridCol w:w="2268"/>
      </w:tblGrid>
      <w:tr w:rsidR="009E646F" w:rsidRPr="00C90AC9" w:rsidTr="00383245">
        <w:trPr>
          <w:trHeight w:val="1536"/>
          <w:jc w:val="center"/>
        </w:trPr>
        <w:tc>
          <w:tcPr>
            <w:tcW w:w="2093" w:type="dxa"/>
            <w:tcBorders>
              <w:top w:val="nil"/>
              <w:left w:val="nil"/>
              <w:bottom w:val="double" w:sz="4" w:space="0" w:color="auto"/>
              <w:right w:val="double" w:sz="4" w:space="0" w:color="auto"/>
            </w:tcBorders>
          </w:tcPr>
          <w:p w:rsidR="00622205" w:rsidRPr="00C90AC9" w:rsidRDefault="00622205" w:rsidP="00984852">
            <w:pPr>
              <w:rPr>
                <w:rFonts w:eastAsiaTheme="minorHAnsi"/>
                <w:lang w:eastAsia="en-US"/>
              </w:rPr>
            </w:pPr>
          </w:p>
        </w:tc>
        <w:tc>
          <w:tcPr>
            <w:tcW w:w="2410" w:type="dxa"/>
            <w:tcBorders>
              <w:top w:val="double" w:sz="4" w:space="0" w:color="auto"/>
              <w:left w:val="double" w:sz="4" w:space="0" w:color="auto"/>
              <w:bottom w:val="double" w:sz="4" w:space="0" w:color="auto"/>
              <w:right w:val="double" w:sz="4" w:space="0" w:color="auto"/>
            </w:tcBorders>
            <w:vAlign w:val="center"/>
          </w:tcPr>
          <w:p w:rsidR="00622205" w:rsidRPr="00C90AC9" w:rsidRDefault="00622205" w:rsidP="00622205">
            <w:pPr>
              <w:jc w:val="center"/>
              <w:rPr>
                <w:rFonts w:eastAsiaTheme="minorHAnsi"/>
                <w:lang w:eastAsia="en-US"/>
              </w:rPr>
            </w:pPr>
            <w:r w:rsidRPr="00C90AC9">
              <w:rPr>
                <w:rFonts w:eastAsiaTheme="minorHAnsi"/>
                <w:lang w:eastAsia="en-US"/>
              </w:rPr>
              <w:t>Participants that do not have STPs on their homes and have never considered adopting STPs</w:t>
            </w:r>
          </w:p>
        </w:tc>
        <w:tc>
          <w:tcPr>
            <w:tcW w:w="2126" w:type="dxa"/>
            <w:tcBorders>
              <w:top w:val="double" w:sz="4" w:space="0" w:color="auto"/>
              <w:left w:val="double" w:sz="4" w:space="0" w:color="auto"/>
              <w:bottom w:val="double" w:sz="4" w:space="0" w:color="auto"/>
              <w:right w:val="double" w:sz="4" w:space="0" w:color="auto"/>
            </w:tcBorders>
            <w:vAlign w:val="center"/>
          </w:tcPr>
          <w:p w:rsidR="00622205" w:rsidRPr="00C90AC9" w:rsidRDefault="00622205" w:rsidP="009E646F">
            <w:pPr>
              <w:jc w:val="center"/>
              <w:rPr>
                <w:rFonts w:eastAsiaTheme="minorHAnsi"/>
                <w:lang w:eastAsia="en-US"/>
              </w:rPr>
            </w:pPr>
            <w:r w:rsidRPr="00C90AC9">
              <w:rPr>
                <w:rFonts w:eastAsiaTheme="minorHAnsi"/>
                <w:lang w:eastAsia="en-US"/>
              </w:rPr>
              <w:t>Participants that do not have STPs</w:t>
            </w:r>
            <w:r w:rsidR="009E646F" w:rsidRPr="00C90AC9">
              <w:rPr>
                <w:rFonts w:eastAsiaTheme="minorHAnsi"/>
                <w:lang w:eastAsia="en-US"/>
              </w:rPr>
              <w:t xml:space="preserve"> </w:t>
            </w:r>
            <w:r w:rsidRPr="00C90AC9">
              <w:rPr>
                <w:rFonts w:eastAsiaTheme="minorHAnsi"/>
                <w:lang w:eastAsia="en-US"/>
              </w:rPr>
              <w:t>but have considered adopting STPs</w:t>
            </w:r>
          </w:p>
        </w:tc>
        <w:tc>
          <w:tcPr>
            <w:tcW w:w="2268" w:type="dxa"/>
            <w:tcBorders>
              <w:top w:val="double" w:sz="4" w:space="0" w:color="auto"/>
              <w:left w:val="double" w:sz="4" w:space="0" w:color="auto"/>
              <w:bottom w:val="double" w:sz="4" w:space="0" w:color="auto"/>
              <w:right w:val="double" w:sz="4" w:space="0" w:color="auto"/>
            </w:tcBorders>
            <w:vAlign w:val="center"/>
          </w:tcPr>
          <w:p w:rsidR="00622205" w:rsidRPr="00C90AC9" w:rsidRDefault="00622205" w:rsidP="009E646F">
            <w:pPr>
              <w:jc w:val="center"/>
              <w:rPr>
                <w:rFonts w:eastAsiaTheme="minorHAnsi"/>
                <w:lang w:eastAsia="en-US"/>
              </w:rPr>
            </w:pPr>
            <w:r w:rsidRPr="00C90AC9">
              <w:rPr>
                <w:rFonts w:eastAsiaTheme="minorHAnsi"/>
                <w:lang w:eastAsia="en-US"/>
              </w:rPr>
              <w:t xml:space="preserve">Participants </w:t>
            </w:r>
            <w:r w:rsidR="009E646F" w:rsidRPr="00C90AC9">
              <w:rPr>
                <w:rFonts w:eastAsiaTheme="minorHAnsi"/>
                <w:lang w:eastAsia="en-US"/>
              </w:rPr>
              <w:t>who</w:t>
            </w:r>
            <w:r w:rsidRPr="00C90AC9">
              <w:rPr>
                <w:rFonts w:eastAsiaTheme="minorHAnsi"/>
                <w:lang w:eastAsia="en-US"/>
              </w:rPr>
              <w:t xml:space="preserve"> have STPs on their homes</w:t>
            </w:r>
          </w:p>
        </w:tc>
      </w:tr>
      <w:tr w:rsidR="009E646F" w:rsidRPr="00C90AC9" w:rsidTr="00383245">
        <w:trPr>
          <w:trHeight w:val="465"/>
          <w:jc w:val="center"/>
        </w:trPr>
        <w:tc>
          <w:tcPr>
            <w:tcW w:w="2093" w:type="dxa"/>
            <w:tcBorders>
              <w:top w:val="double" w:sz="4" w:space="0" w:color="auto"/>
              <w:left w:val="double" w:sz="4" w:space="0" w:color="auto"/>
              <w:bottom w:val="double" w:sz="4" w:space="0" w:color="auto"/>
              <w:right w:val="double" w:sz="4" w:space="0" w:color="auto"/>
            </w:tcBorders>
            <w:vAlign w:val="center"/>
          </w:tcPr>
          <w:p w:rsidR="00622205" w:rsidRPr="00C90AC9" w:rsidRDefault="00622205" w:rsidP="00984852">
            <w:pPr>
              <w:jc w:val="center"/>
              <w:rPr>
                <w:rFonts w:eastAsiaTheme="minorHAnsi"/>
                <w:lang w:eastAsia="en-US"/>
              </w:rPr>
            </w:pPr>
            <w:r w:rsidRPr="00C90AC9">
              <w:rPr>
                <w:rFonts w:eastAsiaTheme="minorHAnsi"/>
                <w:lang w:eastAsia="en-US"/>
              </w:rPr>
              <w:t>Focus group #</w:t>
            </w:r>
          </w:p>
        </w:tc>
        <w:tc>
          <w:tcPr>
            <w:tcW w:w="2410" w:type="dxa"/>
            <w:tcBorders>
              <w:top w:val="double" w:sz="4" w:space="0" w:color="auto"/>
              <w:left w:val="double" w:sz="4" w:space="0" w:color="auto"/>
            </w:tcBorders>
            <w:vAlign w:val="center"/>
          </w:tcPr>
          <w:p w:rsidR="00622205" w:rsidRPr="00C90AC9" w:rsidRDefault="00622205" w:rsidP="00622205">
            <w:pPr>
              <w:jc w:val="center"/>
              <w:rPr>
                <w:rFonts w:eastAsiaTheme="minorHAnsi"/>
                <w:lang w:eastAsia="en-US"/>
              </w:rPr>
            </w:pPr>
            <w:r w:rsidRPr="00C90AC9">
              <w:rPr>
                <w:rFonts w:eastAsiaTheme="minorHAnsi"/>
                <w:lang w:eastAsia="en-US"/>
              </w:rPr>
              <w:t>1</w:t>
            </w:r>
          </w:p>
        </w:tc>
        <w:tc>
          <w:tcPr>
            <w:tcW w:w="2126" w:type="dxa"/>
            <w:tcBorders>
              <w:top w:val="double" w:sz="4" w:space="0" w:color="auto"/>
            </w:tcBorders>
            <w:vAlign w:val="center"/>
          </w:tcPr>
          <w:p w:rsidR="00622205" w:rsidRPr="00C90AC9" w:rsidRDefault="00622205" w:rsidP="00622205">
            <w:pPr>
              <w:jc w:val="center"/>
              <w:rPr>
                <w:rFonts w:eastAsiaTheme="minorHAnsi"/>
                <w:lang w:eastAsia="en-US"/>
              </w:rPr>
            </w:pPr>
            <w:r w:rsidRPr="00C90AC9">
              <w:rPr>
                <w:rFonts w:eastAsiaTheme="minorHAnsi"/>
                <w:lang w:eastAsia="en-US"/>
              </w:rPr>
              <w:t>2, 3, 4</w:t>
            </w:r>
          </w:p>
        </w:tc>
        <w:tc>
          <w:tcPr>
            <w:tcW w:w="2268" w:type="dxa"/>
            <w:tcBorders>
              <w:top w:val="double" w:sz="4" w:space="0" w:color="auto"/>
            </w:tcBorders>
            <w:vAlign w:val="center"/>
          </w:tcPr>
          <w:p w:rsidR="00622205" w:rsidRPr="00C90AC9" w:rsidRDefault="00622205" w:rsidP="00622205">
            <w:pPr>
              <w:jc w:val="center"/>
              <w:rPr>
                <w:rFonts w:eastAsiaTheme="minorHAnsi"/>
                <w:lang w:eastAsia="en-US"/>
              </w:rPr>
            </w:pPr>
            <w:r w:rsidRPr="00C90AC9">
              <w:rPr>
                <w:rFonts w:eastAsiaTheme="minorHAnsi"/>
                <w:lang w:eastAsia="en-US"/>
              </w:rPr>
              <w:t>5</w:t>
            </w:r>
          </w:p>
        </w:tc>
      </w:tr>
      <w:tr w:rsidR="00152F06" w:rsidRPr="00C90AC9" w:rsidTr="00383245">
        <w:trPr>
          <w:trHeight w:val="465"/>
          <w:jc w:val="center"/>
        </w:trPr>
        <w:tc>
          <w:tcPr>
            <w:tcW w:w="2093" w:type="dxa"/>
            <w:tcBorders>
              <w:top w:val="double" w:sz="4" w:space="0" w:color="auto"/>
              <w:left w:val="double" w:sz="4" w:space="0" w:color="auto"/>
              <w:bottom w:val="double" w:sz="4" w:space="0" w:color="auto"/>
              <w:right w:val="double" w:sz="4" w:space="0" w:color="auto"/>
            </w:tcBorders>
          </w:tcPr>
          <w:p w:rsidR="00152F06" w:rsidRPr="00C90AC9" w:rsidRDefault="00152F06" w:rsidP="00152F06">
            <w:pPr>
              <w:jc w:val="center"/>
              <w:rPr>
                <w:rFonts w:eastAsiaTheme="minorHAnsi"/>
                <w:lang w:eastAsia="en-US"/>
              </w:rPr>
            </w:pPr>
            <w:r w:rsidRPr="00C90AC9">
              <w:rPr>
                <w:rFonts w:eastAsiaTheme="minorHAnsi"/>
                <w:lang w:eastAsia="en-US"/>
              </w:rPr>
              <w:t>Number of focus groups held</w:t>
            </w:r>
          </w:p>
        </w:tc>
        <w:tc>
          <w:tcPr>
            <w:tcW w:w="2410" w:type="dxa"/>
            <w:tcBorders>
              <w:top w:val="double" w:sz="4" w:space="0" w:color="auto"/>
              <w:left w:val="double" w:sz="4" w:space="0" w:color="auto"/>
            </w:tcBorders>
            <w:vAlign w:val="center"/>
          </w:tcPr>
          <w:p w:rsidR="00152F06" w:rsidRPr="00C90AC9" w:rsidRDefault="00152F06" w:rsidP="00152F06">
            <w:pPr>
              <w:jc w:val="center"/>
              <w:rPr>
                <w:rFonts w:eastAsiaTheme="minorHAnsi"/>
                <w:lang w:eastAsia="en-US"/>
              </w:rPr>
            </w:pPr>
            <w:r w:rsidRPr="00C90AC9">
              <w:rPr>
                <w:rFonts w:eastAsiaTheme="minorHAnsi"/>
                <w:lang w:eastAsia="en-US"/>
              </w:rPr>
              <w:t>1</w:t>
            </w:r>
          </w:p>
        </w:tc>
        <w:tc>
          <w:tcPr>
            <w:tcW w:w="2126" w:type="dxa"/>
            <w:tcBorders>
              <w:top w:val="double" w:sz="4" w:space="0" w:color="auto"/>
            </w:tcBorders>
            <w:vAlign w:val="center"/>
          </w:tcPr>
          <w:p w:rsidR="00152F06" w:rsidRPr="00C90AC9" w:rsidRDefault="00152F06" w:rsidP="00152F06">
            <w:pPr>
              <w:jc w:val="center"/>
              <w:rPr>
                <w:rFonts w:eastAsiaTheme="minorHAnsi"/>
                <w:lang w:eastAsia="en-US"/>
              </w:rPr>
            </w:pPr>
            <w:r w:rsidRPr="00C90AC9">
              <w:rPr>
                <w:rFonts w:eastAsiaTheme="minorHAnsi"/>
                <w:lang w:eastAsia="en-US"/>
              </w:rPr>
              <w:t>3</w:t>
            </w:r>
          </w:p>
        </w:tc>
        <w:tc>
          <w:tcPr>
            <w:tcW w:w="2268" w:type="dxa"/>
            <w:tcBorders>
              <w:top w:val="double" w:sz="4" w:space="0" w:color="auto"/>
            </w:tcBorders>
            <w:vAlign w:val="center"/>
          </w:tcPr>
          <w:p w:rsidR="00152F06" w:rsidRPr="00C90AC9" w:rsidRDefault="00152F06" w:rsidP="00152F06">
            <w:pPr>
              <w:jc w:val="center"/>
              <w:rPr>
                <w:rFonts w:eastAsiaTheme="minorHAnsi"/>
                <w:lang w:eastAsia="en-US"/>
              </w:rPr>
            </w:pPr>
            <w:r w:rsidRPr="00C90AC9">
              <w:rPr>
                <w:rFonts w:eastAsiaTheme="minorHAnsi"/>
                <w:lang w:eastAsia="en-US"/>
              </w:rPr>
              <w:t>1</w:t>
            </w:r>
          </w:p>
        </w:tc>
      </w:tr>
      <w:tr w:rsidR="00582C85" w:rsidRPr="00C90AC9" w:rsidTr="00383245">
        <w:trPr>
          <w:trHeight w:val="890"/>
          <w:jc w:val="center"/>
        </w:trPr>
        <w:tc>
          <w:tcPr>
            <w:tcW w:w="2093" w:type="dxa"/>
            <w:tcBorders>
              <w:top w:val="double" w:sz="4" w:space="0" w:color="auto"/>
              <w:left w:val="double" w:sz="4" w:space="0" w:color="auto"/>
              <w:bottom w:val="double" w:sz="4" w:space="0" w:color="auto"/>
              <w:right w:val="double" w:sz="4" w:space="0" w:color="auto"/>
            </w:tcBorders>
            <w:vAlign w:val="center"/>
          </w:tcPr>
          <w:p w:rsidR="00582C85" w:rsidRPr="00C90AC9" w:rsidRDefault="00582C85" w:rsidP="00984852">
            <w:pPr>
              <w:jc w:val="center"/>
              <w:rPr>
                <w:rFonts w:eastAsiaTheme="minorHAnsi"/>
                <w:lang w:eastAsia="en-US"/>
              </w:rPr>
            </w:pPr>
            <w:r w:rsidRPr="00C90AC9">
              <w:rPr>
                <w:rFonts w:eastAsiaTheme="minorHAnsi"/>
                <w:lang w:eastAsia="en-US"/>
              </w:rPr>
              <w:t>Number of participants in each focus group</w:t>
            </w:r>
          </w:p>
        </w:tc>
        <w:tc>
          <w:tcPr>
            <w:tcW w:w="2410" w:type="dxa"/>
            <w:tcBorders>
              <w:left w:val="double" w:sz="4" w:space="0" w:color="auto"/>
            </w:tcBorders>
            <w:vAlign w:val="center"/>
          </w:tcPr>
          <w:p w:rsidR="00582C85" w:rsidRPr="00C90AC9" w:rsidRDefault="00582C85" w:rsidP="00984852">
            <w:pPr>
              <w:jc w:val="center"/>
              <w:rPr>
                <w:rFonts w:eastAsiaTheme="minorHAnsi"/>
                <w:lang w:eastAsia="en-US"/>
              </w:rPr>
            </w:pPr>
            <w:r w:rsidRPr="00C90AC9">
              <w:rPr>
                <w:rFonts w:eastAsiaTheme="minorHAnsi"/>
                <w:lang w:eastAsia="en-US"/>
              </w:rPr>
              <w:t>6</w:t>
            </w:r>
          </w:p>
        </w:tc>
        <w:tc>
          <w:tcPr>
            <w:tcW w:w="2126" w:type="dxa"/>
            <w:vAlign w:val="center"/>
          </w:tcPr>
          <w:p w:rsidR="00582C85" w:rsidRPr="00C90AC9" w:rsidRDefault="00383245" w:rsidP="00984852">
            <w:pPr>
              <w:jc w:val="center"/>
              <w:rPr>
                <w:rFonts w:eastAsiaTheme="minorHAnsi"/>
                <w:lang w:eastAsia="en-US"/>
              </w:rPr>
            </w:pPr>
            <w:r w:rsidRPr="00C90AC9">
              <w:rPr>
                <w:rFonts w:eastAsiaTheme="minorHAnsi"/>
                <w:lang w:eastAsia="en-US"/>
              </w:rPr>
              <w:t>5, 6</w:t>
            </w:r>
            <w:r w:rsidR="00582C85" w:rsidRPr="00C90AC9">
              <w:rPr>
                <w:rFonts w:eastAsiaTheme="minorHAnsi"/>
                <w:lang w:eastAsia="en-US"/>
              </w:rPr>
              <w:t>, 4</w:t>
            </w:r>
          </w:p>
        </w:tc>
        <w:tc>
          <w:tcPr>
            <w:tcW w:w="2268" w:type="dxa"/>
            <w:vAlign w:val="center"/>
          </w:tcPr>
          <w:p w:rsidR="00582C85" w:rsidRPr="00C90AC9" w:rsidRDefault="00582C85" w:rsidP="00984852">
            <w:pPr>
              <w:jc w:val="center"/>
              <w:rPr>
                <w:rFonts w:eastAsiaTheme="minorHAnsi"/>
                <w:lang w:eastAsia="en-US"/>
              </w:rPr>
            </w:pPr>
            <w:r w:rsidRPr="00C90AC9">
              <w:rPr>
                <w:rFonts w:eastAsiaTheme="minorHAnsi"/>
                <w:lang w:eastAsia="en-US"/>
              </w:rPr>
              <w:t>3</w:t>
            </w:r>
          </w:p>
        </w:tc>
      </w:tr>
      <w:tr w:rsidR="009E646F" w:rsidRPr="00C90AC9" w:rsidTr="00383245">
        <w:trPr>
          <w:trHeight w:val="542"/>
          <w:jc w:val="center"/>
        </w:trPr>
        <w:tc>
          <w:tcPr>
            <w:tcW w:w="2093" w:type="dxa"/>
            <w:tcBorders>
              <w:top w:val="double" w:sz="4" w:space="0" w:color="auto"/>
              <w:left w:val="double" w:sz="4" w:space="0" w:color="auto"/>
              <w:bottom w:val="double" w:sz="4" w:space="0" w:color="auto"/>
              <w:right w:val="double" w:sz="4" w:space="0" w:color="auto"/>
            </w:tcBorders>
            <w:vAlign w:val="center"/>
          </w:tcPr>
          <w:p w:rsidR="00622205" w:rsidRPr="00C90AC9" w:rsidRDefault="00152F06" w:rsidP="00984852">
            <w:pPr>
              <w:jc w:val="center"/>
              <w:rPr>
                <w:rFonts w:eastAsiaTheme="minorHAnsi"/>
                <w:lang w:eastAsia="en-US"/>
              </w:rPr>
            </w:pPr>
            <w:r w:rsidRPr="00C90AC9">
              <w:rPr>
                <w:rFonts w:eastAsiaTheme="minorHAnsi"/>
                <w:lang w:eastAsia="en-US"/>
              </w:rPr>
              <w:t>Gender in each focus group</w:t>
            </w:r>
          </w:p>
        </w:tc>
        <w:tc>
          <w:tcPr>
            <w:tcW w:w="2410" w:type="dxa"/>
            <w:tcBorders>
              <w:left w:val="double" w:sz="4" w:space="0" w:color="auto"/>
            </w:tcBorders>
            <w:vAlign w:val="center"/>
          </w:tcPr>
          <w:p w:rsidR="00622205" w:rsidRPr="00C90AC9" w:rsidRDefault="00383245" w:rsidP="00622205">
            <w:pPr>
              <w:jc w:val="center"/>
              <w:rPr>
                <w:rFonts w:eastAsiaTheme="minorHAnsi"/>
                <w:lang w:eastAsia="en-US"/>
              </w:rPr>
            </w:pPr>
            <w:r w:rsidRPr="00C90AC9">
              <w:rPr>
                <w:rFonts w:eastAsiaTheme="minorHAnsi"/>
                <w:lang w:eastAsia="en-US"/>
              </w:rPr>
              <w:t>4M 2</w:t>
            </w:r>
            <w:r w:rsidR="00622205" w:rsidRPr="00C90AC9">
              <w:rPr>
                <w:rFonts w:eastAsiaTheme="minorHAnsi"/>
                <w:lang w:eastAsia="en-US"/>
              </w:rPr>
              <w:t>F</w:t>
            </w:r>
          </w:p>
        </w:tc>
        <w:tc>
          <w:tcPr>
            <w:tcW w:w="2126" w:type="dxa"/>
            <w:vAlign w:val="center"/>
          </w:tcPr>
          <w:p w:rsidR="00622205" w:rsidRPr="00C90AC9" w:rsidRDefault="00622205" w:rsidP="00622205">
            <w:pPr>
              <w:jc w:val="center"/>
              <w:rPr>
                <w:rFonts w:eastAsiaTheme="minorHAnsi"/>
                <w:lang w:eastAsia="en-US"/>
              </w:rPr>
            </w:pPr>
            <w:r w:rsidRPr="00C90AC9">
              <w:rPr>
                <w:rFonts w:eastAsiaTheme="minorHAnsi"/>
                <w:lang w:eastAsia="en-US"/>
              </w:rPr>
              <w:t>2M 3F, 4M 2F, 3M 1F</w:t>
            </w:r>
          </w:p>
        </w:tc>
        <w:tc>
          <w:tcPr>
            <w:tcW w:w="2268" w:type="dxa"/>
            <w:vAlign w:val="center"/>
          </w:tcPr>
          <w:p w:rsidR="00622205" w:rsidRPr="00C90AC9" w:rsidRDefault="00622205" w:rsidP="00622205">
            <w:pPr>
              <w:jc w:val="center"/>
              <w:rPr>
                <w:rFonts w:eastAsiaTheme="minorHAnsi"/>
                <w:lang w:eastAsia="en-US"/>
              </w:rPr>
            </w:pPr>
            <w:r w:rsidRPr="00C90AC9">
              <w:rPr>
                <w:rFonts w:eastAsiaTheme="minorHAnsi"/>
                <w:lang w:eastAsia="en-US"/>
              </w:rPr>
              <w:t>3M, 1F</w:t>
            </w:r>
          </w:p>
        </w:tc>
      </w:tr>
      <w:tr w:rsidR="009E646F" w:rsidRPr="00C90AC9" w:rsidTr="00383245">
        <w:trPr>
          <w:trHeight w:val="522"/>
          <w:jc w:val="center"/>
        </w:trPr>
        <w:tc>
          <w:tcPr>
            <w:tcW w:w="2093" w:type="dxa"/>
            <w:tcBorders>
              <w:top w:val="double" w:sz="4" w:space="0" w:color="auto"/>
              <w:left w:val="double" w:sz="4" w:space="0" w:color="auto"/>
              <w:bottom w:val="double" w:sz="4" w:space="0" w:color="auto"/>
              <w:right w:val="double" w:sz="4" w:space="0" w:color="auto"/>
            </w:tcBorders>
            <w:vAlign w:val="center"/>
          </w:tcPr>
          <w:p w:rsidR="00622205" w:rsidRPr="00C90AC9" w:rsidRDefault="00622205" w:rsidP="00984852">
            <w:pPr>
              <w:jc w:val="center"/>
              <w:rPr>
                <w:rFonts w:eastAsiaTheme="minorHAnsi"/>
                <w:lang w:eastAsia="en-US"/>
              </w:rPr>
            </w:pPr>
            <w:r w:rsidRPr="00C90AC9">
              <w:rPr>
                <w:rFonts w:eastAsiaTheme="minorHAnsi"/>
                <w:lang w:eastAsia="en-US"/>
              </w:rPr>
              <w:t>Ages in each FG</w:t>
            </w:r>
          </w:p>
        </w:tc>
        <w:tc>
          <w:tcPr>
            <w:tcW w:w="2410" w:type="dxa"/>
            <w:tcBorders>
              <w:left w:val="double" w:sz="4" w:space="0" w:color="auto"/>
            </w:tcBorders>
            <w:vAlign w:val="center"/>
          </w:tcPr>
          <w:p w:rsidR="00622205" w:rsidRPr="00C90AC9" w:rsidRDefault="00622205" w:rsidP="00622205">
            <w:pPr>
              <w:jc w:val="center"/>
              <w:rPr>
                <w:rFonts w:eastAsiaTheme="minorHAnsi"/>
                <w:lang w:eastAsia="en-US"/>
              </w:rPr>
            </w:pPr>
            <w:r w:rsidRPr="00C90AC9">
              <w:rPr>
                <w:rFonts w:eastAsiaTheme="minorHAnsi"/>
                <w:lang w:eastAsia="en-US"/>
              </w:rPr>
              <w:t>24 - 48</w:t>
            </w:r>
          </w:p>
        </w:tc>
        <w:tc>
          <w:tcPr>
            <w:tcW w:w="2126" w:type="dxa"/>
            <w:vAlign w:val="center"/>
          </w:tcPr>
          <w:p w:rsidR="00383245" w:rsidRPr="00C90AC9" w:rsidRDefault="00622205" w:rsidP="00622205">
            <w:pPr>
              <w:jc w:val="center"/>
              <w:rPr>
                <w:rFonts w:eastAsiaTheme="minorHAnsi"/>
                <w:lang w:eastAsia="en-US"/>
              </w:rPr>
            </w:pPr>
            <w:r w:rsidRPr="00C90AC9">
              <w:rPr>
                <w:rFonts w:eastAsiaTheme="minorHAnsi"/>
                <w:lang w:eastAsia="en-US"/>
              </w:rPr>
              <w:t xml:space="preserve">21 - 55, 21 - 54, </w:t>
            </w:r>
          </w:p>
          <w:p w:rsidR="00622205" w:rsidRPr="00C90AC9" w:rsidRDefault="00622205" w:rsidP="00622205">
            <w:pPr>
              <w:jc w:val="center"/>
              <w:rPr>
                <w:rFonts w:eastAsiaTheme="minorHAnsi"/>
                <w:lang w:eastAsia="en-US"/>
              </w:rPr>
            </w:pPr>
            <w:r w:rsidRPr="00C90AC9">
              <w:rPr>
                <w:rFonts w:eastAsiaTheme="minorHAnsi"/>
                <w:lang w:eastAsia="en-US"/>
              </w:rPr>
              <w:t>53 - 69</w:t>
            </w:r>
          </w:p>
        </w:tc>
        <w:tc>
          <w:tcPr>
            <w:tcW w:w="2268" w:type="dxa"/>
            <w:vAlign w:val="center"/>
          </w:tcPr>
          <w:p w:rsidR="00622205" w:rsidRPr="00C90AC9" w:rsidRDefault="00622205" w:rsidP="00622205">
            <w:pPr>
              <w:jc w:val="center"/>
              <w:rPr>
                <w:rFonts w:eastAsiaTheme="minorHAnsi"/>
                <w:lang w:eastAsia="en-US"/>
              </w:rPr>
            </w:pPr>
            <w:r w:rsidRPr="00C90AC9">
              <w:rPr>
                <w:rFonts w:eastAsiaTheme="minorHAnsi"/>
                <w:lang w:eastAsia="en-US"/>
              </w:rPr>
              <w:t>60 - 66</w:t>
            </w:r>
          </w:p>
        </w:tc>
      </w:tr>
      <w:tr w:rsidR="009E646F" w:rsidRPr="00C90AC9" w:rsidTr="00383245">
        <w:trPr>
          <w:trHeight w:val="799"/>
          <w:jc w:val="center"/>
        </w:trPr>
        <w:tc>
          <w:tcPr>
            <w:tcW w:w="2093" w:type="dxa"/>
            <w:tcBorders>
              <w:top w:val="double" w:sz="4" w:space="0" w:color="auto"/>
              <w:left w:val="double" w:sz="4" w:space="0" w:color="auto"/>
              <w:bottom w:val="double" w:sz="4" w:space="0" w:color="auto"/>
              <w:right w:val="double" w:sz="4" w:space="0" w:color="auto"/>
            </w:tcBorders>
            <w:vAlign w:val="center"/>
          </w:tcPr>
          <w:p w:rsidR="00622205" w:rsidRPr="00C90AC9" w:rsidRDefault="00622205" w:rsidP="00984852">
            <w:pPr>
              <w:jc w:val="center"/>
              <w:rPr>
                <w:rFonts w:eastAsiaTheme="minorHAnsi"/>
                <w:lang w:eastAsia="en-US"/>
              </w:rPr>
            </w:pPr>
            <w:r w:rsidRPr="00C90AC9">
              <w:rPr>
                <w:rFonts w:eastAsiaTheme="minorHAnsi"/>
                <w:lang w:eastAsia="en-US"/>
              </w:rPr>
              <w:t>Recruitment method</w:t>
            </w:r>
          </w:p>
        </w:tc>
        <w:tc>
          <w:tcPr>
            <w:tcW w:w="2410" w:type="dxa"/>
            <w:tcBorders>
              <w:left w:val="double" w:sz="4" w:space="0" w:color="auto"/>
            </w:tcBorders>
            <w:vAlign w:val="center"/>
          </w:tcPr>
          <w:p w:rsidR="00622205" w:rsidRPr="00C90AC9" w:rsidRDefault="00622205" w:rsidP="00622205">
            <w:pPr>
              <w:jc w:val="center"/>
              <w:rPr>
                <w:rFonts w:eastAsiaTheme="minorHAnsi"/>
                <w:lang w:eastAsia="en-US"/>
              </w:rPr>
            </w:pPr>
            <w:r w:rsidRPr="00C90AC9">
              <w:rPr>
                <w:rFonts w:eastAsiaTheme="minorHAnsi"/>
                <w:lang w:eastAsia="en-US"/>
              </w:rPr>
              <w:t>Via email volunteer list</w:t>
            </w:r>
          </w:p>
        </w:tc>
        <w:tc>
          <w:tcPr>
            <w:tcW w:w="2126" w:type="dxa"/>
            <w:vAlign w:val="center"/>
          </w:tcPr>
          <w:p w:rsidR="00622205" w:rsidRPr="00C90AC9" w:rsidRDefault="00622205" w:rsidP="00622205">
            <w:pPr>
              <w:jc w:val="center"/>
              <w:rPr>
                <w:rFonts w:eastAsiaTheme="minorHAnsi"/>
                <w:lang w:eastAsia="en-US"/>
              </w:rPr>
            </w:pPr>
            <w:r w:rsidRPr="00C90AC9">
              <w:rPr>
                <w:rFonts w:eastAsiaTheme="minorHAnsi"/>
                <w:lang w:eastAsia="en-US"/>
              </w:rPr>
              <w:t>Via email volunteer list</w:t>
            </w:r>
          </w:p>
        </w:tc>
        <w:tc>
          <w:tcPr>
            <w:tcW w:w="2268" w:type="dxa"/>
            <w:vAlign w:val="center"/>
          </w:tcPr>
          <w:p w:rsidR="00622205" w:rsidRPr="00C90AC9" w:rsidRDefault="00622205" w:rsidP="00622205">
            <w:pPr>
              <w:jc w:val="center"/>
              <w:rPr>
                <w:rFonts w:eastAsiaTheme="minorHAnsi"/>
                <w:lang w:eastAsia="en-US"/>
              </w:rPr>
            </w:pPr>
            <w:r w:rsidRPr="00C90AC9">
              <w:rPr>
                <w:rFonts w:eastAsiaTheme="minorHAnsi"/>
                <w:lang w:eastAsia="en-US"/>
              </w:rPr>
              <w:t>Via email volunteer list</w:t>
            </w:r>
          </w:p>
        </w:tc>
      </w:tr>
    </w:tbl>
    <w:p w:rsidR="00622205" w:rsidRPr="00C90AC9" w:rsidRDefault="00622205" w:rsidP="00622205">
      <w:pPr>
        <w:rPr>
          <w:rFonts w:eastAsiaTheme="minorHAnsi"/>
          <w:lang w:eastAsia="en-US"/>
        </w:rPr>
      </w:pPr>
    </w:p>
    <w:p w:rsidR="00622205" w:rsidRPr="00C90AC9" w:rsidRDefault="00622205" w:rsidP="00CA6E35">
      <w:pPr>
        <w:pStyle w:val="List"/>
        <w:numPr>
          <w:ilvl w:val="2"/>
          <w:numId w:val="28"/>
        </w:numPr>
        <w:ind w:left="1134" w:hanging="1134"/>
        <w:rPr>
          <w:rStyle w:val="SubtleEmphasis"/>
          <w:rFonts w:cs="Times New Roman"/>
          <w:szCs w:val="24"/>
        </w:rPr>
      </w:pPr>
      <w:bookmarkStart w:id="65" w:name="_Toc447173092"/>
      <w:r w:rsidRPr="00C90AC9">
        <w:rPr>
          <w:rStyle w:val="SubtleEmphasis"/>
          <w:rFonts w:cs="Times New Roman"/>
          <w:szCs w:val="24"/>
        </w:rPr>
        <w:lastRenderedPageBreak/>
        <w:t>Demog</w:t>
      </w:r>
      <w:r w:rsidR="009B480D" w:rsidRPr="00C90AC9">
        <w:rPr>
          <w:rStyle w:val="SubtleEmphasis"/>
          <w:rFonts w:cs="Times New Roman"/>
          <w:szCs w:val="24"/>
        </w:rPr>
        <w:t xml:space="preserve">raphics of the focus groups in </w:t>
      </w:r>
      <w:r w:rsidRPr="00C90AC9">
        <w:rPr>
          <w:rStyle w:val="SubtleEmphasis"/>
          <w:rFonts w:cs="Times New Roman"/>
          <w:szCs w:val="24"/>
        </w:rPr>
        <w:t>2015</w:t>
      </w:r>
      <w:bookmarkEnd w:id="65"/>
    </w:p>
    <w:p w:rsidR="00622205" w:rsidRPr="00C90AC9" w:rsidRDefault="00582C85" w:rsidP="00012484">
      <w:pPr>
        <w:pStyle w:val="ListContinue"/>
        <w:spacing w:line="360" w:lineRule="auto"/>
        <w:ind w:left="0"/>
        <w:rPr>
          <w:rFonts w:eastAsiaTheme="minorHAnsi"/>
          <w:lang w:eastAsia="en-US"/>
        </w:rPr>
      </w:pPr>
      <w:r w:rsidRPr="00C90AC9">
        <w:rPr>
          <w:rFonts w:eastAsiaTheme="minorHAnsi"/>
          <w:lang w:eastAsia="en-US"/>
        </w:rPr>
        <w:t>In t</w:t>
      </w:r>
      <w:r w:rsidR="00622205" w:rsidRPr="00C90AC9">
        <w:rPr>
          <w:rFonts w:eastAsiaTheme="minorHAnsi"/>
          <w:lang w:eastAsia="en-US"/>
        </w:rPr>
        <w:t>able 5.2.</w:t>
      </w:r>
      <w:r w:rsidRPr="00C90AC9">
        <w:rPr>
          <w:rFonts w:eastAsiaTheme="minorHAnsi"/>
          <w:lang w:eastAsia="en-US"/>
        </w:rPr>
        <w:t xml:space="preserve"> the demographics of </w:t>
      </w:r>
      <w:r w:rsidR="00622205" w:rsidRPr="00C90AC9">
        <w:rPr>
          <w:rFonts w:eastAsiaTheme="minorHAnsi"/>
          <w:lang w:eastAsia="en-US"/>
        </w:rPr>
        <w:t>the participants involved in the focus groups held in 2012</w:t>
      </w:r>
      <w:r w:rsidRPr="00C90AC9">
        <w:rPr>
          <w:rFonts w:eastAsiaTheme="minorHAnsi"/>
          <w:lang w:eastAsia="en-US"/>
        </w:rPr>
        <w:t xml:space="preserve"> are shown</w:t>
      </w:r>
      <w:r w:rsidR="00622205" w:rsidRPr="00C90AC9">
        <w:rPr>
          <w:rFonts w:eastAsiaTheme="minorHAnsi"/>
          <w:lang w:eastAsia="en-US"/>
        </w:rPr>
        <w:t>. Again</w:t>
      </w:r>
      <w:r w:rsidR="00383245" w:rsidRPr="00C90AC9">
        <w:rPr>
          <w:rFonts w:eastAsiaTheme="minorHAnsi"/>
          <w:lang w:eastAsia="en-US"/>
        </w:rPr>
        <w:t>,</w:t>
      </w:r>
      <w:r w:rsidR="00622205" w:rsidRPr="00C90AC9">
        <w:rPr>
          <w:rFonts w:eastAsiaTheme="minorHAnsi"/>
          <w:lang w:eastAsia="en-US"/>
        </w:rPr>
        <w:t xml:space="preserve"> five focus groups were held in 2015 with a total of 22 </w:t>
      </w:r>
      <w:r w:rsidRPr="00C90AC9">
        <w:rPr>
          <w:rFonts w:eastAsiaTheme="minorHAnsi"/>
          <w:lang w:eastAsia="en-US"/>
        </w:rPr>
        <w:t xml:space="preserve">participants </w:t>
      </w:r>
      <w:r w:rsidR="00383245" w:rsidRPr="00C90AC9">
        <w:rPr>
          <w:rFonts w:eastAsiaTheme="minorHAnsi"/>
          <w:lang w:eastAsia="en-US"/>
        </w:rPr>
        <w:t>being</w:t>
      </w:r>
      <w:r w:rsidR="00622205" w:rsidRPr="00C90AC9">
        <w:rPr>
          <w:rFonts w:eastAsiaTheme="minorHAnsi"/>
          <w:lang w:eastAsia="en-US"/>
        </w:rPr>
        <w:t xml:space="preserve"> involved. Ages ranged from 18-59 with 8F and 14M.</w:t>
      </w:r>
    </w:p>
    <w:p w:rsidR="00383245" w:rsidRPr="00C90AC9" w:rsidRDefault="00383245">
      <w:pPr>
        <w:rPr>
          <w:rFonts w:eastAsiaTheme="minorHAnsi"/>
          <w:lang w:eastAsia="en-US"/>
        </w:rPr>
      </w:pPr>
    </w:p>
    <w:p w:rsidR="00622205" w:rsidRPr="00C90AC9" w:rsidRDefault="00622205" w:rsidP="00622205">
      <w:pPr>
        <w:pStyle w:val="ListContinue"/>
        <w:ind w:left="0"/>
        <w:rPr>
          <w:rFonts w:eastAsiaTheme="minorHAnsi"/>
          <w:lang w:eastAsia="en-US"/>
        </w:rPr>
      </w:pPr>
      <w:r w:rsidRPr="00C90AC9">
        <w:rPr>
          <w:rFonts w:eastAsiaTheme="minorHAnsi"/>
          <w:lang w:eastAsia="en-US"/>
        </w:rPr>
        <w:t>Table 5.2.  The demographics for each focus group in 2015</w:t>
      </w:r>
    </w:p>
    <w:tbl>
      <w:tblPr>
        <w:tblStyle w:val="TableGrid4"/>
        <w:tblW w:w="8976" w:type="dxa"/>
        <w:jc w:val="center"/>
        <w:tblLook w:val="04A0" w:firstRow="1" w:lastRow="0" w:firstColumn="1" w:lastColumn="0" w:noHBand="0" w:noVBand="1"/>
      </w:tblPr>
      <w:tblGrid>
        <w:gridCol w:w="2172"/>
        <w:gridCol w:w="2409"/>
        <w:gridCol w:w="2127"/>
        <w:gridCol w:w="2268"/>
      </w:tblGrid>
      <w:tr w:rsidR="00622205" w:rsidRPr="00C90AC9" w:rsidTr="00383245">
        <w:trPr>
          <w:trHeight w:val="1508"/>
          <w:jc w:val="center"/>
        </w:trPr>
        <w:tc>
          <w:tcPr>
            <w:tcW w:w="2172" w:type="dxa"/>
            <w:tcBorders>
              <w:top w:val="nil"/>
              <w:left w:val="nil"/>
              <w:bottom w:val="double" w:sz="4" w:space="0" w:color="auto"/>
              <w:right w:val="double" w:sz="4" w:space="0" w:color="auto"/>
            </w:tcBorders>
          </w:tcPr>
          <w:p w:rsidR="00622205" w:rsidRPr="00C90AC9" w:rsidRDefault="00622205" w:rsidP="00984852">
            <w:pPr>
              <w:rPr>
                <w:rFonts w:eastAsiaTheme="minorHAnsi"/>
                <w:lang w:eastAsia="en-US"/>
              </w:rPr>
            </w:pPr>
          </w:p>
        </w:tc>
        <w:tc>
          <w:tcPr>
            <w:tcW w:w="2409" w:type="dxa"/>
            <w:tcBorders>
              <w:top w:val="double" w:sz="4" w:space="0" w:color="auto"/>
              <w:left w:val="double" w:sz="4" w:space="0" w:color="auto"/>
              <w:bottom w:val="double" w:sz="4" w:space="0" w:color="auto"/>
              <w:right w:val="double" w:sz="4" w:space="0" w:color="auto"/>
            </w:tcBorders>
            <w:vAlign w:val="center"/>
          </w:tcPr>
          <w:p w:rsidR="00622205" w:rsidRPr="00C90AC9" w:rsidRDefault="00622205" w:rsidP="009E646F">
            <w:pPr>
              <w:jc w:val="center"/>
              <w:rPr>
                <w:rFonts w:eastAsiaTheme="minorHAnsi"/>
                <w:lang w:eastAsia="en-US"/>
              </w:rPr>
            </w:pPr>
            <w:r w:rsidRPr="00C90AC9">
              <w:rPr>
                <w:rFonts w:eastAsiaTheme="minorHAnsi"/>
                <w:lang w:eastAsia="en-US"/>
              </w:rPr>
              <w:t xml:space="preserve">Participants that do not have STPs on their homes and have never considered adopting </w:t>
            </w:r>
            <w:r w:rsidR="009E646F" w:rsidRPr="00C90AC9">
              <w:rPr>
                <w:rFonts w:eastAsiaTheme="minorHAnsi"/>
                <w:lang w:eastAsia="en-US"/>
              </w:rPr>
              <w:t>STPs</w:t>
            </w:r>
          </w:p>
        </w:tc>
        <w:tc>
          <w:tcPr>
            <w:tcW w:w="2127" w:type="dxa"/>
            <w:tcBorders>
              <w:top w:val="double" w:sz="4" w:space="0" w:color="auto"/>
              <w:left w:val="double" w:sz="4" w:space="0" w:color="auto"/>
              <w:bottom w:val="double" w:sz="4" w:space="0" w:color="auto"/>
              <w:right w:val="double" w:sz="4" w:space="0" w:color="auto"/>
            </w:tcBorders>
            <w:vAlign w:val="center"/>
          </w:tcPr>
          <w:p w:rsidR="00622205" w:rsidRPr="00C90AC9" w:rsidRDefault="00622205" w:rsidP="009E646F">
            <w:pPr>
              <w:jc w:val="center"/>
            </w:pPr>
            <w:r w:rsidRPr="00C90AC9">
              <w:rPr>
                <w:rFonts w:eastAsiaTheme="minorHAnsi"/>
                <w:lang w:eastAsia="en-US"/>
              </w:rPr>
              <w:t>Participants that do not have STPs</w:t>
            </w:r>
            <w:r w:rsidR="009E646F" w:rsidRPr="00C90AC9">
              <w:rPr>
                <w:rFonts w:eastAsiaTheme="minorHAnsi"/>
                <w:lang w:eastAsia="en-US"/>
              </w:rPr>
              <w:t xml:space="preserve"> b</w:t>
            </w:r>
            <w:r w:rsidRPr="00C90AC9">
              <w:rPr>
                <w:rFonts w:eastAsiaTheme="minorHAnsi"/>
                <w:lang w:eastAsia="en-US"/>
              </w:rPr>
              <w:t>ut have considered adopting</w:t>
            </w:r>
            <w:r w:rsidR="009E646F" w:rsidRPr="00C90AC9">
              <w:rPr>
                <w:rFonts w:eastAsiaTheme="minorHAnsi"/>
                <w:lang w:eastAsia="en-US"/>
              </w:rPr>
              <w:t xml:space="preserve"> </w:t>
            </w:r>
            <w:r w:rsidR="009E646F" w:rsidRPr="00C90AC9">
              <w:t>STPs</w:t>
            </w:r>
          </w:p>
        </w:tc>
        <w:tc>
          <w:tcPr>
            <w:tcW w:w="2268" w:type="dxa"/>
            <w:tcBorders>
              <w:top w:val="double" w:sz="4" w:space="0" w:color="auto"/>
              <w:left w:val="double" w:sz="4" w:space="0" w:color="auto"/>
              <w:bottom w:val="double" w:sz="4" w:space="0" w:color="auto"/>
              <w:right w:val="double" w:sz="4" w:space="0" w:color="auto"/>
            </w:tcBorders>
            <w:vAlign w:val="center"/>
          </w:tcPr>
          <w:p w:rsidR="00622205" w:rsidRPr="00C90AC9" w:rsidRDefault="00622205" w:rsidP="009E646F">
            <w:pPr>
              <w:jc w:val="center"/>
              <w:rPr>
                <w:rFonts w:eastAsiaTheme="minorHAnsi"/>
                <w:lang w:eastAsia="en-US"/>
              </w:rPr>
            </w:pPr>
            <w:r w:rsidRPr="00C90AC9">
              <w:rPr>
                <w:rFonts w:eastAsiaTheme="minorHAnsi"/>
                <w:lang w:eastAsia="en-US"/>
              </w:rPr>
              <w:t xml:space="preserve">Participants </w:t>
            </w:r>
            <w:r w:rsidR="009E646F" w:rsidRPr="00C90AC9">
              <w:rPr>
                <w:rFonts w:eastAsiaTheme="minorHAnsi"/>
                <w:lang w:eastAsia="en-US"/>
              </w:rPr>
              <w:t>who</w:t>
            </w:r>
            <w:r w:rsidRPr="00C90AC9">
              <w:rPr>
                <w:rFonts w:eastAsiaTheme="minorHAnsi"/>
                <w:lang w:eastAsia="en-US"/>
              </w:rPr>
              <w:t xml:space="preserve"> have STPs on their homes</w:t>
            </w:r>
          </w:p>
        </w:tc>
      </w:tr>
      <w:tr w:rsidR="00622205" w:rsidRPr="00C90AC9" w:rsidTr="00383245">
        <w:trPr>
          <w:trHeight w:val="509"/>
          <w:jc w:val="center"/>
        </w:trPr>
        <w:tc>
          <w:tcPr>
            <w:tcW w:w="2172" w:type="dxa"/>
            <w:tcBorders>
              <w:top w:val="double" w:sz="4" w:space="0" w:color="auto"/>
              <w:left w:val="double" w:sz="4" w:space="0" w:color="auto"/>
              <w:bottom w:val="double" w:sz="4" w:space="0" w:color="auto"/>
              <w:right w:val="double" w:sz="4" w:space="0" w:color="auto"/>
            </w:tcBorders>
            <w:vAlign w:val="center"/>
          </w:tcPr>
          <w:p w:rsidR="00622205" w:rsidRPr="00C90AC9" w:rsidRDefault="00582C85" w:rsidP="009E646F">
            <w:pPr>
              <w:jc w:val="center"/>
              <w:rPr>
                <w:rFonts w:eastAsiaTheme="minorHAnsi"/>
                <w:lang w:eastAsia="en-US"/>
              </w:rPr>
            </w:pPr>
            <w:r w:rsidRPr="00C90AC9">
              <w:rPr>
                <w:rFonts w:eastAsiaTheme="minorHAnsi"/>
                <w:lang w:eastAsia="en-US"/>
              </w:rPr>
              <w:t>Focus group #</w:t>
            </w:r>
          </w:p>
        </w:tc>
        <w:tc>
          <w:tcPr>
            <w:tcW w:w="2409" w:type="dxa"/>
            <w:tcBorders>
              <w:top w:val="double" w:sz="4" w:space="0" w:color="auto"/>
              <w:left w:val="double" w:sz="4" w:space="0" w:color="auto"/>
            </w:tcBorders>
            <w:vAlign w:val="center"/>
          </w:tcPr>
          <w:p w:rsidR="00622205" w:rsidRPr="00C90AC9" w:rsidRDefault="00622205" w:rsidP="009E646F">
            <w:pPr>
              <w:jc w:val="center"/>
              <w:rPr>
                <w:rFonts w:eastAsiaTheme="minorHAnsi"/>
                <w:lang w:eastAsia="en-US"/>
              </w:rPr>
            </w:pPr>
            <w:r w:rsidRPr="00C90AC9">
              <w:rPr>
                <w:rFonts w:eastAsiaTheme="minorHAnsi"/>
                <w:lang w:eastAsia="en-US"/>
              </w:rPr>
              <w:t>6</w:t>
            </w:r>
          </w:p>
        </w:tc>
        <w:tc>
          <w:tcPr>
            <w:tcW w:w="2127" w:type="dxa"/>
            <w:tcBorders>
              <w:top w:val="double" w:sz="4" w:space="0" w:color="auto"/>
            </w:tcBorders>
            <w:vAlign w:val="center"/>
          </w:tcPr>
          <w:p w:rsidR="00622205" w:rsidRPr="00C90AC9" w:rsidRDefault="00622205" w:rsidP="009E646F">
            <w:pPr>
              <w:jc w:val="center"/>
              <w:rPr>
                <w:rFonts w:eastAsiaTheme="minorHAnsi"/>
                <w:lang w:eastAsia="en-US"/>
              </w:rPr>
            </w:pPr>
            <w:r w:rsidRPr="00C90AC9">
              <w:rPr>
                <w:rFonts w:eastAsiaTheme="minorHAnsi"/>
                <w:lang w:eastAsia="en-US"/>
              </w:rPr>
              <w:t>7, 8, 9</w:t>
            </w:r>
          </w:p>
        </w:tc>
        <w:tc>
          <w:tcPr>
            <w:tcW w:w="2268" w:type="dxa"/>
            <w:tcBorders>
              <w:top w:val="double" w:sz="4" w:space="0" w:color="auto"/>
            </w:tcBorders>
            <w:vAlign w:val="center"/>
          </w:tcPr>
          <w:p w:rsidR="00622205" w:rsidRPr="00C90AC9" w:rsidRDefault="00622205" w:rsidP="009E646F">
            <w:pPr>
              <w:jc w:val="center"/>
              <w:rPr>
                <w:rFonts w:eastAsiaTheme="minorHAnsi"/>
                <w:lang w:eastAsia="en-US"/>
              </w:rPr>
            </w:pPr>
            <w:r w:rsidRPr="00C90AC9">
              <w:rPr>
                <w:rFonts w:eastAsiaTheme="minorHAnsi"/>
                <w:lang w:eastAsia="en-US"/>
              </w:rPr>
              <w:t>10</w:t>
            </w:r>
          </w:p>
        </w:tc>
      </w:tr>
      <w:tr w:rsidR="00622205" w:rsidRPr="00C90AC9" w:rsidTr="00383245">
        <w:trPr>
          <w:jc w:val="center"/>
        </w:trPr>
        <w:tc>
          <w:tcPr>
            <w:tcW w:w="2172" w:type="dxa"/>
            <w:tcBorders>
              <w:top w:val="double" w:sz="4" w:space="0" w:color="auto"/>
              <w:left w:val="double" w:sz="4" w:space="0" w:color="auto"/>
              <w:bottom w:val="double" w:sz="4" w:space="0" w:color="auto"/>
              <w:right w:val="double" w:sz="4" w:space="0" w:color="auto"/>
            </w:tcBorders>
            <w:vAlign w:val="center"/>
          </w:tcPr>
          <w:p w:rsidR="00622205" w:rsidRPr="00C90AC9" w:rsidRDefault="00622205" w:rsidP="009E646F">
            <w:pPr>
              <w:jc w:val="center"/>
              <w:rPr>
                <w:rFonts w:eastAsiaTheme="minorHAnsi"/>
                <w:lang w:eastAsia="en-US"/>
              </w:rPr>
            </w:pPr>
            <w:r w:rsidRPr="00C90AC9">
              <w:rPr>
                <w:rFonts w:eastAsiaTheme="minorHAnsi"/>
                <w:lang w:eastAsia="en-US"/>
              </w:rPr>
              <w:t>Number of focus groups</w:t>
            </w:r>
            <w:r w:rsidR="00582C85" w:rsidRPr="00C90AC9">
              <w:rPr>
                <w:rFonts w:eastAsiaTheme="minorHAnsi"/>
                <w:lang w:eastAsia="en-US"/>
              </w:rPr>
              <w:t xml:space="preserve"> held</w:t>
            </w:r>
          </w:p>
        </w:tc>
        <w:tc>
          <w:tcPr>
            <w:tcW w:w="2409" w:type="dxa"/>
            <w:tcBorders>
              <w:left w:val="double" w:sz="4" w:space="0" w:color="auto"/>
            </w:tcBorders>
            <w:vAlign w:val="center"/>
          </w:tcPr>
          <w:p w:rsidR="00622205" w:rsidRPr="00C90AC9" w:rsidRDefault="00622205" w:rsidP="009E646F">
            <w:pPr>
              <w:jc w:val="center"/>
              <w:rPr>
                <w:rFonts w:eastAsiaTheme="minorHAnsi"/>
                <w:lang w:eastAsia="en-US"/>
              </w:rPr>
            </w:pPr>
            <w:r w:rsidRPr="00C90AC9">
              <w:rPr>
                <w:rFonts w:eastAsiaTheme="minorHAnsi"/>
                <w:lang w:eastAsia="en-US"/>
              </w:rPr>
              <w:t>1</w:t>
            </w:r>
          </w:p>
        </w:tc>
        <w:tc>
          <w:tcPr>
            <w:tcW w:w="2127" w:type="dxa"/>
            <w:vAlign w:val="center"/>
          </w:tcPr>
          <w:p w:rsidR="00622205" w:rsidRPr="00C90AC9" w:rsidRDefault="00622205" w:rsidP="009E646F">
            <w:pPr>
              <w:jc w:val="center"/>
              <w:rPr>
                <w:rFonts w:eastAsiaTheme="minorHAnsi"/>
                <w:lang w:eastAsia="en-US"/>
              </w:rPr>
            </w:pPr>
            <w:r w:rsidRPr="00C90AC9">
              <w:rPr>
                <w:rFonts w:eastAsiaTheme="minorHAnsi"/>
                <w:lang w:eastAsia="en-US"/>
              </w:rPr>
              <w:t>3</w:t>
            </w:r>
          </w:p>
        </w:tc>
        <w:tc>
          <w:tcPr>
            <w:tcW w:w="2268" w:type="dxa"/>
            <w:vAlign w:val="center"/>
          </w:tcPr>
          <w:p w:rsidR="00622205" w:rsidRPr="00C90AC9" w:rsidRDefault="00622205" w:rsidP="009E646F">
            <w:pPr>
              <w:jc w:val="center"/>
              <w:rPr>
                <w:rFonts w:eastAsiaTheme="minorHAnsi"/>
                <w:lang w:eastAsia="en-US"/>
              </w:rPr>
            </w:pPr>
            <w:r w:rsidRPr="00C90AC9">
              <w:rPr>
                <w:rFonts w:eastAsiaTheme="minorHAnsi"/>
                <w:lang w:eastAsia="en-US"/>
              </w:rPr>
              <w:t>1</w:t>
            </w:r>
          </w:p>
        </w:tc>
      </w:tr>
      <w:tr w:rsidR="00622205" w:rsidRPr="00C90AC9" w:rsidTr="00383245">
        <w:trPr>
          <w:jc w:val="center"/>
        </w:trPr>
        <w:tc>
          <w:tcPr>
            <w:tcW w:w="2172" w:type="dxa"/>
            <w:tcBorders>
              <w:top w:val="double" w:sz="4" w:space="0" w:color="auto"/>
              <w:left w:val="double" w:sz="4" w:space="0" w:color="auto"/>
              <w:bottom w:val="double" w:sz="4" w:space="0" w:color="auto"/>
              <w:right w:val="double" w:sz="4" w:space="0" w:color="auto"/>
            </w:tcBorders>
            <w:vAlign w:val="center"/>
          </w:tcPr>
          <w:p w:rsidR="00622205" w:rsidRPr="00C90AC9" w:rsidRDefault="00622205" w:rsidP="009E646F">
            <w:pPr>
              <w:jc w:val="center"/>
              <w:rPr>
                <w:rFonts w:eastAsiaTheme="minorHAnsi"/>
                <w:lang w:eastAsia="en-US"/>
              </w:rPr>
            </w:pPr>
            <w:r w:rsidRPr="00C90AC9">
              <w:rPr>
                <w:rFonts w:eastAsiaTheme="minorHAnsi"/>
                <w:lang w:eastAsia="en-US"/>
              </w:rPr>
              <w:t>Number of participants in each focus group</w:t>
            </w:r>
          </w:p>
        </w:tc>
        <w:tc>
          <w:tcPr>
            <w:tcW w:w="2409" w:type="dxa"/>
            <w:tcBorders>
              <w:left w:val="double" w:sz="4" w:space="0" w:color="auto"/>
            </w:tcBorders>
            <w:vAlign w:val="center"/>
          </w:tcPr>
          <w:p w:rsidR="00622205" w:rsidRPr="00C90AC9" w:rsidRDefault="00622205" w:rsidP="009E646F">
            <w:pPr>
              <w:jc w:val="center"/>
              <w:rPr>
                <w:rFonts w:eastAsiaTheme="minorHAnsi"/>
                <w:lang w:eastAsia="en-US"/>
              </w:rPr>
            </w:pPr>
            <w:r w:rsidRPr="00C90AC9">
              <w:rPr>
                <w:rFonts w:eastAsiaTheme="minorHAnsi"/>
                <w:lang w:eastAsia="en-US"/>
              </w:rPr>
              <w:t>6</w:t>
            </w:r>
          </w:p>
        </w:tc>
        <w:tc>
          <w:tcPr>
            <w:tcW w:w="2127" w:type="dxa"/>
            <w:vAlign w:val="center"/>
          </w:tcPr>
          <w:p w:rsidR="00622205" w:rsidRPr="00C90AC9" w:rsidRDefault="00622205" w:rsidP="009E646F">
            <w:pPr>
              <w:jc w:val="center"/>
              <w:rPr>
                <w:rFonts w:eastAsiaTheme="minorHAnsi"/>
                <w:lang w:eastAsia="en-US"/>
              </w:rPr>
            </w:pPr>
            <w:r w:rsidRPr="00C90AC9">
              <w:rPr>
                <w:rFonts w:eastAsiaTheme="minorHAnsi"/>
                <w:lang w:eastAsia="en-US"/>
              </w:rPr>
              <w:t>5, 4, 4</w:t>
            </w:r>
          </w:p>
        </w:tc>
        <w:tc>
          <w:tcPr>
            <w:tcW w:w="2268" w:type="dxa"/>
            <w:vAlign w:val="center"/>
          </w:tcPr>
          <w:p w:rsidR="00622205" w:rsidRPr="00C90AC9" w:rsidRDefault="00622205" w:rsidP="009E646F">
            <w:pPr>
              <w:jc w:val="center"/>
              <w:rPr>
                <w:rFonts w:eastAsiaTheme="minorHAnsi"/>
                <w:lang w:eastAsia="en-US"/>
              </w:rPr>
            </w:pPr>
            <w:r w:rsidRPr="00C90AC9">
              <w:rPr>
                <w:rFonts w:eastAsiaTheme="minorHAnsi"/>
                <w:lang w:eastAsia="en-US"/>
              </w:rPr>
              <w:t>3</w:t>
            </w:r>
          </w:p>
        </w:tc>
      </w:tr>
      <w:tr w:rsidR="00622205" w:rsidRPr="00C90AC9" w:rsidTr="00383245">
        <w:trPr>
          <w:jc w:val="center"/>
        </w:trPr>
        <w:tc>
          <w:tcPr>
            <w:tcW w:w="2172" w:type="dxa"/>
            <w:tcBorders>
              <w:top w:val="double" w:sz="4" w:space="0" w:color="auto"/>
              <w:left w:val="double" w:sz="4" w:space="0" w:color="auto"/>
              <w:bottom w:val="double" w:sz="4" w:space="0" w:color="auto"/>
              <w:right w:val="double" w:sz="4" w:space="0" w:color="auto"/>
            </w:tcBorders>
            <w:vAlign w:val="center"/>
          </w:tcPr>
          <w:p w:rsidR="00622205" w:rsidRPr="00C90AC9" w:rsidRDefault="00622205" w:rsidP="009E646F">
            <w:pPr>
              <w:jc w:val="center"/>
              <w:rPr>
                <w:rFonts w:eastAsiaTheme="minorHAnsi"/>
                <w:lang w:eastAsia="en-US"/>
              </w:rPr>
            </w:pPr>
            <w:r w:rsidRPr="00C90AC9">
              <w:rPr>
                <w:rFonts w:eastAsiaTheme="minorHAnsi"/>
                <w:lang w:eastAsia="en-US"/>
              </w:rPr>
              <w:t>Gender in each focus group</w:t>
            </w:r>
          </w:p>
        </w:tc>
        <w:tc>
          <w:tcPr>
            <w:tcW w:w="2409" w:type="dxa"/>
            <w:tcBorders>
              <w:left w:val="double" w:sz="4" w:space="0" w:color="auto"/>
            </w:tcBorders>
            <w:vAlign w:val="center"/>
          </w:tcPr>
          <w:p w:rsidR="00622205" w:rsidRPr="00C90AC9" w:rsidRDefault="00622205" w:rsidP="009E646F">
            <w:pPr>
              <w:jc w:val="center"/>
              <w:rPr>
                <w:rFonts w:eastAsiaTheme="minorHAnsi"/>
                <w:lang w:eastAsia="en-US"/>
              </w:rPr>
            </w:pPr>
            <w:r w:rsidRPr="00C90AC9">
              <w:rPr>
                <w:rFonts w:eastAsiaTheme="minorHAnsi"/>
                <w:lang w:eastAsia="en-US"/>
              </w:rPr>
              <w:t>3M, 3F</w:t>
            </w:r>
          </w:p>
        </w:tc>
        <w:tc>
          <w:tcPr>
            <w:tcW w:w="2127" w:type="dxa"/>
            <w:vAlign w:val="center"/>
          </w:tcPr>
          <w:p w:rsidR="00622205" w:rsidRPr="00C90AC9" w:rsidRDefault="00622205" w:rsidP="009E646F">
            <w:pPr>
              <w:jc w:val="center"/>
              <w:rPr>
                <w:rFonts w:eastAsiaTheme="minorHAnsi"/>
                <w:lang w:eastAsia="en-US"/>
              </w:rPr>
            </w:pPr>
            <w:r w:rsidRPr="00C90AC9">
              <w:rPr>
                <w:rFonts w:eastAsiaTheme="minorHAnsi"/>
                <w:lang w:eastAsia="en-US"/>
              </w:rPr>
              <w:t>3M 2F, 3M 1F, 3M 1F</w:t>
            </w:r>
          </w:p>
        </w:tc>
        <w:tc>
          <w:tcPr>
            <w:tcW w:w="2268" w:type="dxa"/>
            <w:vAlign w:val="center"/>
          </w:tcPr>
          <w:p w:rsidR="00622205" w:rsidRPr="00C90AC9" w:rsidRDefault="00622205" w:rsidP="009E646F">
            <w:pPr>
              <w:jc w:val="center"/>
              <w:rPr>
                <w:rFonts w:eastAsiaTheme="minorHAnsi"/>
                <w:lang w:eastAsia="en-US"/>
              </w:rPr>
            </w:pPr>
            <w:r w:rsidRPr="00C90AC9">
              <w:rPr>
                <w:rFonts w:eastAsiaTheme="minorHAnsi"/>
                <w:lang w:eastAsia="en-US"/>
              </w:rPr>
              <w:t>2M, 1F</w:t>
            </w:r>
          </w:p>
        </w:tc>
      </w:tr>
      <w:tr w:rsidR="00622205" w:rsidRPr="00C90AC9" w:rsidTr="00383245">
        <w:trPr>
          <w:jc w:val="center"/>
        </w:trPr>
        <w:tc>
          <w:tcPr>
            <w:tcW w:w="2172" w:type="dxa"/>
            <w:tcBorders>
              <w:top w:val="double" w:sz="4" w:space="0" w:color="auto"/>
              <w:left w:val="double" w:sz="4" w:space="0" w:color="auto"/>
              <w:bottom w:val="double" w:sz="4" w:space="0" w:color="auto"/>
              <w:right w:val="double" w:sz="4" w:space="0" w:color="auto"/>
            </w:tcBorders>
            <w:vAlign w:val="center"/>
          </w:tcPr>
          <w:p w:rsidR="00622205" w:rsidRPr="00C90AC9" w:rsidRDefault="00622205" w:rsidP="009E646F">
            <w:pPr>
              <w:jc w:val="center"/>
              <w:rPr>
                <w:rFonts w:eastAsiaTheme="minorHAnsi"/>
                <w:lang w:eastAsia="en-US"/>
              </w:rPr>
            </w:pPr>
            <w:r w:rsidRPr="00C90AC9">
              <w:rPr>
                <w:rFonts w:eastAsiaTheme="minorHAnsi"/>
                <w:lang w:eastAsia="en-US"/>
              </w:rPr>
              <w:t>Age range in each focus group</w:t>
            </w:r>
          </w:p>
        </w:tc>
        <w:tc>
          <w:tcPr>
            <w:tcW w:w="2409" w:type="dxa"/>
            <w:tcBorders>
              <w:left w:val="double" w:sz="4" w:space="0" w:color="auto"/>
            </w:tcBorders>
            <w:vAlign w:val="center"/>
          </w:tcPr>
          <w:p w:rsidR="00622205" w:rsidRPr="00C90AC9" w:rsidRDefault="00622205" w:rsidP="009E646F">
            <w:pPr>
              <w:jc w:val="center"/>
              <w:rPr>
                <w:rFonts w:eastAsiaTheme="minorHAnsi"/>
                <w:lang w:eastAsia="en-US"/>
              </w:rPr>
            </w:pPr>
            <w:r w:rsidRPr="00C90AC9">
              <w:rPr>
                <w:rFonts w:eastAsiaTheme="minorHAnsi"/>
                <w:lang w:eastAsia="en-US"/>
              </w:rPr>
              <w:t>24 - 59</w:t>
            </w:r>
          </w:p>
        </w:tc>
        <w:tc>
          <w:tcPr>
            <w:tcW w:w="2127" w:type="dxa"/>
            <w:vAlign w:val="center"/>
          </w:tcPr>
          <w:p w:rsidR="00383245" w:rsidRPr="00C90AC9" w:rsidRDefault="00622205" w:rsidP="009E646F">
            <w:pPr>
              <w:jc w:val="center"/>
              <w:rPr>
                <w:rFonts w:eastAsiaTheme="minorHAnsi"/>
                <w:lang w:eastAsia="en-US"/>
              </w:rPr>
            </w:pPr>
            <w:r w:rsidRPr="00C90AC9">
              <w:rPr>
                <w:rFonts w:eastAsiaTheme="minorHAnsi"/>
                <w:lang w:eastAsia="en-US"/>
              </w:rPr>
              <w:t xml:space="preserve">18 - 49, 20 - 32, </w:t>
            </w:r>
          </w:p>
          <w:p w:rsidR="00622205" w:rsidRPr="00C90AC9" w:rsidRDefault="00622205" w:rsidP="009E646F">
            <w:pPr>
              <w:jc w:val="center"/>
              <w:rPr>
                <w:rFonts w:eastAsiaTheme="minorHAnsi"/>
                <w:lang w:eastAsia="en-US"/>
              </w:rPr>
            </w:pPr>
            <w:r w:rsidRPr="00C90AC9">
              <w:rPr>
                <w:rFonts w:eastAsiaTheme="minorHAnsi"/>
                <w:lang w:eastAsia="en-US"/>
              </w:rPr>
              <w:t>22 – 37</w:t>
            </w:r>
          </w:p>
        </w:tc>
        <w:tc>
          <w:tcPr>
            <w:tcW w:w="2268" w:type="dxa"/>
            <w:vAlign w:val="center"/>
          </w:tcPr>
          <w:p w:rsidR="00622205" w:rsidRPr="00C90AC9" w:rsidRDefault="00622205" w:rsidP="009E646F">
            <w:pPr>
              <w:jc w:val="center"/>
              <w:rPr>
                <w:rFonts w:eastAsiaTheme="minorHAnsi"/>
                <w:lang w:eastAsia="en-US"/>
              </w:rPr>
            </w:pPr>
            <w:r w:rsidRPr="00C90AC9">
              <w:rPr>
                <w:rFonts w:eastAsiaTheme="minorHAnsi"/>
                <w:lang w:eastAsia="en-US"/>
              </w:rPr>
              <w:t>23 - 48</w:t>
            </w:r>
          </w:p>
        </w:tc>
      </w:tr>
      <w:tr w:rsidR="00622205" w:rsidRPr="00C90AC9" w:rsidTr="00383245">
        <w:trPr>
          <w:trHeight w:val="706"/>
          <w:jc w:val="center"/>
        </w:trPr>
        <w:tc>
          <w:tcPr>
            <w:tcW w:w="2172" w:type="dxa"/>
            <w:tcBorders>
              <w:top w:val="double" w:sz="4" w:space="0" w:color="auto"/>
              <w:left w:val="double" w:sz="4" w:space="0" w:color="auto"/>
              <w:bottom w:val="double" w:sz="4" w:space="0" w:color="auto"/>
              <w:right w:val="double" w:sz="4" w:space="0" w:color="auto"/>
            </w:tcBorders>
            <w:vAlign w:val="center"/>
          </w:tcPr>
          <w:p w:rsidR="00622205" w:rsidRPr="00C90AC9" w:rsidRDefault="00622205" w:rsidP="009E646F">
            <w:pPr>
              <w:jc w:val="center"/>
              <w:rPr>
                <w:rFonts w:eastAsiaTheme="minorHAnsi"/>
                <w:lang w:eastAsia="en-US"/>
              </w:rPr>
            </w:pPr>
            <w:r w:rsidRPr="00C90AC9">
              <w:rPr>
                <w:rFonts w:eastAsiaTheme="minorHAnsi"/>
                <w:lang w:eastAsia="en-US"/>
              </w:rPr>
              <w:t>Recruitment method</w:t>
            </w:r>
          </w:p>
        </w:tc>
        <w:tc>
          <w:tcPr>
            <w:tcW w:w="2409" w:type="dxa"/>
            <w:tcBorders>
              <w:left w:val="double" w:sz="4" w:space="0" w:color="auto"/>
            </w:tcBorders>
            <w:vAlign w:val="center"/>
          </w:tcPr>
          <w:p w:rsidR="00622205" w:rsidRPr="00C90AC9" w:rsidRDefault="00622205" w:rsidP="009E646F">
            <w:pPr>
              <w:jc w:val="center"/>
              <w:rPr>
                <w:rFonts w:eastAsiaTheme="minorHAnsi"/>
                <w:lang w:eastAsia="en-US"/>
              </w:rPr>
            </w:pPr>
            <w:r w:rsidRPr="00C90AC9">
              <w:rPr>
                <w:rFonts w:eastAsiaTheme="minorHAnsi"/>
                <w:lang w:eastAsia="en-US"/>
              </w:rPr>
              <w:t>Via email volunteer list</w:t>
            </w:r>
          </w:p>
        </w:tc>
        <w:tc>
          <w:tcPr>
            <w:tcW w:w="2127" w:type="dxa"/>
            <w:vAlign w:val="center"/>
          </w:tcPr>
          <w:p w:rsidR="00622205" w:rsidRPr="00C90AC9" w:rsidRDefault="00622205" w:rsidP="009E646F">
            <w:pPr>
              <w:jc w:val="center"/>
              <w:rPr>
                <w:rFonts w:eastAsiaTheme="minorHAnsi"/>
                <w:lang w:eastAsia="en-US"/>
              </w:rPr>
            </w:pPr>
            <w:r w:rsidRPr="00C90AC9">
              <w:rPr>
                <w:rFonts w:eastAsiaTheme="minorHAnsi"/>
                <w:lang w:eastAsia="en-US"/>
              </w:rPr>
              <w:t>Via email volunteer list</w:t>
            </w:r>
          </w:p>
        </w:tc>
        <w:tc>
          <w:tcPr>
            <w:tcW w:w="2268" w:type="dxa"/>
            <w:vAlign w:val="center"/>
          </w:tcPr>
          <w:p w:rsidR="00622205" w:rsidRPr="00C90AC9" w:rsidRDefault="00622205" w:rsidP="009E646F">
            <w:pPr>
              <w:jc w:val="center"/>
              <w:rPr>
                <w:rFonts w:eastAsiaTheme="minorHAnsi"/>
                <w:lang w:eastAsia="en-US"/>
              </w:rPr>
            </w:pPr>
            <w:r w:rsidRPr="00C90AC9">
              <w:rPr>
                <w:rFonts w:eastAsiaTheme="minorHAnsi"/>
                <w:lang w:eastAsia="en-US"/>
              </w:rPr>
              <w:t>Via email volunteer list</w:t>
            </w:r>
          </w:p>
        </w:tc>
      </w:tr>
    </w:tbl>
    <w:p w:rsidR="00383245" w:rsidRPr="00C90AC9" w:rsidRDefault="00383245" w:rsidP="00622205">
      <w:pPr>
        <w:pStyle w:val="BodyText"/>
        <w:spacing w:line="360" w:lineRule="auto"/>
        <w:rPr>
          <w:rFonts w:eastAsiaTheme="minorHAnsi"/>
          <w:lang w:eastAsia="en-US"/>
        </w:rPr>
      </w:pPr>
    </w:p>
    <w:p w:rsidR="00622205" w:rsidRPr="00C90AC9" w:rsidRDefault="00622205" w:rsidP="00622205">
      <w:pPr>
        <w:pStyle w:val="BodyText"/>
        <w:spacing w:line="360" w:lineRule="auto"/>
        <w:rPr>
          <w:rFonts w:eastAsiaTheme="minorHAnsi"/>
          <w:lang w:eastAsia="en-US"/>
        </w:rPr>
      </w:pPr>
      <w:r w:rsidRPr="00C90AC9">
        <w:rPr>
          <w:rFonts w:eastAsiaTheme="minorHAnsi"/>
          <w:lang w:eastAsia="en-US"/>
        </w:rPr>
        <w:t>A range of professions were represented in both years ranging from participants who are students to doctors, electricians, IT systems specialists, some who were unemployed and some who were retired. There was also a range of housing situations with some participants owning their homes, others were paying off their mortgage, others rented privately and a few rented through the university. All of the participants shared their accommodation with someone else, eit</w:t>
      </w:r>
      <w:r w:rsidR="009E646F" w:rsidRPr="00C90AC9">
        <w:rPr>
          <w:rFonts w:eastAsiaTheme="minorHAnsi"/>
          <w:lang w:eastAsia="en-US"/>
        </w:rPr>
        <w:t>her a family member or a friend, no one lived alone.</w:t>
      </w:r>
    </w:p>
    <w:p w:rsidR="00A16B8C" w:rsidRPr="00C90AC9" w:rsidRDefault="00A16B8C" w:rsidP="00B06779">
      <w:pPr>
        <w:rPr>
          <w:rFonts w:eastAsiaTheme="minorHAnsi"/>
          <w:lang w:eastAsia="en-US"/>
        </w:rPr>
      </w:pPr>
    </w:p>
    <w:p w:rsidR="00A16B8C" w:rsidRPr="00C90AC9" w:rsidRDefault="00A16B8C" w:rsidP="00CA6E35">
      <w:pPr>
        <w:pStyle w:val="List"/>
        <w:numPr>
          <w:ilvl w:val="1"/>
          <w:numId w:val="28"/>
        </w:numPr>
        <w:ind w:left="0" w:firstLine="0"/>
        <w:rPr>
          <w:rStyle w:val="SubtleEmphasis"/>
          <w:rFonts w:cs="Times New Roman"/>
          <w:iCs/>
          <w:szCs w:val="24"/>
        </w:rPr>
      </w:pPr>
      <w:r w:rsidRPr="00C90AC9">
        <w:rPr>
          <w:rStyle w:val="SubtleEmphasis"/>
          <w:rFonts w:cs="Times New Roman"/>
          <w:iCs/>
          <w:szCs w:val="24"/>
        </w:rPr>
        <w:t>Focus groups, procedure</w:t>
      </w:r>
    </w:p>
    <w:p w:rsidR="000E1236" w:rsidRPr="00C90AC9" w:rsidRDefault="00A16B8C" w:rsidP="000E1236">
      <w:pPr>
        <w:pStyle w:val="ListContinue"/>
        <w:spacing w:line="360" w:lineRule="auto"/>
        <w:ind w:left="0"/>
        <w:rPr>
          <w:rFonts w:eastAsiaTheme="minorHAnsi"/>
          <w:lang w:eastAsia="en-US"/>
        </w:rPr>
      </w:pPr>
      <w:r w:rsidRPr="00C90AC9">
        <w:rPr>
          <w:rFonts w:eastAsiaTheme="minorHAnsi"/>
          <w:lang w:eastAsia="en-US"/>
        </w:rPr>
        <w:t>There were five focus groups held in 2012 and a further five held in 2015. The group sizes ranged from 4-7 and were conducted in the Psychology Department at The University of Sheffield. On arriving at the focus groups participants were invited to read an information sheet explaining the reason for their attendance which can be found in</w:t>
      </w:r>
      <w:r w:rsidR="009E646F" w:rsidRPr="00C90AC9">
        <w:rPr>
          <w:rFonts w:eastAsiaTheme="minorHAnsi"/>
          <w:lang w:eastAsia="en-US"/>
        </w:rPr>
        <w:t xml:space="preserve"> Appendix 6.22</w:t>
      </w:r>
      <w:r w:rsidR="000E1236" w:rsidRPr="00C90AC9">
        <w:rPr>
          <w:rFonts w:eastAsiaTheme="minorHAnsi"/>
          <w:lang w:eastAsia="en-US"/>
        </w:rPr>
        <w:t xml:space="preserve">. The </w:t>
      </w:r>
      <w:r w:rsidR="000E1236" w:rsidRPr="00C90AC9">
        <w:rPr>
          <w:rFonts w:eastAsiaTheme="minorHAnsi"/>
          <w:lang w:eastAsia="en-US"/>
        </w:rPr>
        <w:lastRenderedPageBreak/>
        <w:t xml:space="preserve">participants were </w:t>
      </w:r>
      <w:r w:rsidRPr="00C90AC9">
        <w:rPr>
          <w:rFonts w:eastAsiaTheme="minorHAnsi"/>
          <w:lang w:eastAsia="en-US"/>
        </w:rPr>
        <w:t xml:space="preserve">all invited to have a drink and a snack as </w:t>
      </w:r>
      <w:r w:rsidR="000E1236" w:rsidRPr="00C90AC9">
        <w:rPr>
          <w:rFonts w:eastAsiaTheme="minorHAnsi"/>
          <w:lang w:eastAsia="en-US"/>
        </w:rPr>
        <w:t xml:space="preserve">they </w:t>
      </w:r>
      <w:r w:rsidRPr="00C90AC9">
        <w:rPr>
          <w:rFonts w:eastAsiaTheme="minorHAnsi"/>
          <w:lang w:eastAsia="en-US"/>
        </w:rPr>
        <w:t xml:space="preserve">arrived. </w:t>
      </w:r>
      <w:r w:rsidR="002413A9" w:rsidRPr="00C90AC9">
        <w:rPr>
          <w:rFonts w:eastAsiaTheme="minorHAnsi"/>
          <w:lang w:eastAsia="en-US"/>
        </w:rPr>
        <w:t xml:space="preserve">The researcher briefly talked to the participants explaining the </w:t>
      </w:r>
      <w:r w:rsidR="000E1236" w:rsidRPr="00C90AC9">
        <w:rPr>
          <w:rFonts w:eastAsiaTheme="minorHAnsi"/>
          <w:lang w:eastAsia="en-US"/>
        </w:rPr>
        <w:t>reason</w:t>
      </w:r>
      <w:r w:rsidR="002413A9" w:rsidRPr="00C90AC9">
        <w:rPr>
          <w:rFonts w:eastAsiaTheme="minorHAnsi"/>
          <w:lang w:eastAsia="en-US"/>
        </w:rPr>
        <w:t xml:space="preserve"> </w:t>
      </w:r>
      <w:r w:rsidR="000E1236" w:rsidRPr="00C90AC9">
        <w:rPr>
          <w:rFonts w:eastAsiaTheme="minorHAnsi"/>
          <w:lang w:eastAsia="en-US"/>
        </w:rPr>
        <w:t xml:space="preserve">for their attendance at the focus groups and explained the basic rules surrounding general politeness and etiquette. The participants were then invited to introduce themselves and talk a little bit about themselves as way of a “getting to know you” activity to “break the ice”. </w:t>
      </w:r>
    </w:p>
    <w:p w:rsidR="000E1236" w:rsidRPr="00C90AC9" w:rsidRDefault="00C06780" w:rsidP="00012484">
      <w:pPr>
        <w:pStyle w:val="ListContinue"/>
        <w:spacing w:line="360" w:lineRule="auto"/>
        <w:ind w:left="0"/>
        <w:rPr>
          <w:rFonts w:eastAsiaTheme="minorHAnsi"/>
          <w:lang w:eastAsia="en-US"/>
        </w:rPr>
      </w:pPr>
      <w:r w:rsidRPr="00C90AC9">
        <w:rPr>
          <w:rFonts w:eastAsiaTheme="minorHAnsi"/>
          <w:lang w:eastAsia="en-US"/>
        </w:rPr>
        <w:t>The researcher</w:t>
      </w:r>
      <w:r w:rsidR="000E1236" w:rsidRPr="00C90AC9">
        <w:rPr>
          <w:rFonts w:eastAsiaTheme="minorHAnsi"/>
          <w:lang w:eastAsia="en-US"/>
        </w:rPr>
        <w:t xml:space="preserve"> then described a way in which they use energy in the home and then invited each of the participants of the focus group to do the same. After each of the participants had described their own way of using energy in the home which ranged from use of electrical goods</w:t>
      </w:r>
      <w:r w:rsidR="00117EA4" w:rsidRPr="00C90AC9">
        <w:rPr>
          <w:rFonts w:eastAsiaTheme="minorHAnsi"/>
          <w:lang w:eastAsia="en-US"/>
        </w:rPr>
        <w:t xml:space="preserve"> and natural gas for cooking</w:t>
      </w:r>
      <w:r w:rsidR="000E1236" w:rsidRPr="00C90AC9">
        <w:rPr>
          <w:rFonts w:eastAsiaTheme="minorHAnsi"/>
          <w:lang w:eastAsia="en-US"/>
        </w:rPr>
        <w:t xml:space="preserve"> to using hot water </w:t>
      </w:r>
      <w:r w:rsidR="00117EA4" w:rsidRPr="00C90AC9">
        <w:rPr>
          <w:rFonts w:eastAsiaTheme="minorHAnsi"/>
          <w:lang w:eastAsia="en-US"/>
        </w:rPr>
        <w:t xml:space="preserve">for bath’s. </w:t>
      </w:r>
      <w:r w:rsidR="00A11B5C" w:rsidRPr="00C90AC9">
        <w:rPr>
          <w:rFonts w:eastAsiaTheme="minorHAnsi"/>
          <w:lang w:eastAsia="en-US"/>
        </w:rPr>
        <w:t xml:space="preserve">This started activity served as a good way to prime the participants to think about the various ways in which they use energy in the home. </w:t>
      </w:r>
      <w:r w:rsidR="00117EA4" w:rsidRPr="00C90AC9">
        <w:rPr>
          <w:rFonts w:eastAsiaTheme="minorHAnsi"/>
          <w:lang w:eastAsia="en-US"/>
        </w:rPr>
        <w:t>The facilitated discussion session that followed lasted from 15-</w:t>
      </w:r>
      <w:r w:rsidR="00A11B5C" w:rsidRPr="00C90AC9">
        <w:rPr>
          <w:rFonts w:eastAsiaTheme="minorHAnsi"/>
          <w:lang w:eastAsia="en-US"/>
        </w:rPr>
        <w:t>25 minutes</w:t>
      </w:r>
      <w:r w:rsidRPr="00C90AC9">
        <w:rPr>
          <w:rFonts w:eastAsiaTheme="minorHAnsi"/>
          <w:lang w:eastAsia="en-US"/>
        </w:rPr>
        <w:t xml:space="preserve"> </w:t>
      </w:r>
      <w:r w:rsidR="00A11B5C" w:rsidRPr="00C90AC9">
        <w:rPr>
          <w:rFonts w:eastAsiaTheme="minorHAnsi"/>
          <w:lang w:eastAsia="en-US"/>
        </w:rPr>
        <w:t>and uses of energy in the home were explored with differences between countries and individuals pursued.</w:t>
      </w:r>
    </w:p>
    <w:p w:rsidR="000E1236" w:rsidRPr="00C90AC9" w:rsidRDefault="000E1236" w:rsidP="000E1236">
      <w:pPr>
        <w:pStyle w:val="ListContinue"/>
        <w:spacing w:line="360" w:lineRule="auto"/>
        <w:ind w:left="0"/>
        <w:rPr>
          <w:rFonts w:eastAsiaTheme="minorHAnsi"/>
          <w:lang w:eastAsia="en-US"/>
        </w:rPr>
      </w:pPr>
    </w:p>
    <w:p w:rsidR="00A11B5C" w:rsidRPr="00C90AC9" w:rsidRDefault="00A11B5C" w:rsidP="000E1236">
      <w:pPr>
        <w:pStyle w:val="ListContinue"/>
        <w:spacing w:line="360" w:lineRule="auto"/>
        <w:ind w:left="0"/>
        <w:rPr>
          <w:rFonts w:eastAsiaTheme="minorHAnsi"/>
          <w:lang w:eastAsia="en-US"/>
        </w:rPr>
      </w:pPr>
      <w:r w:rsidRPr="00C90AC9">
        <w:rPr>
          <w:rFonts w:eastAsiaTheme="minorHAnsi"/>
          <w:lang w:eastAsia="en-US"/>
        </w:rPr>
        <w:t>The second facilitated discussion focussed on energy companies with participants discussing</w:t>
      </w:r>
      <w:r w:rsidR="00A16B8C" w:rsidRPr="00C90AC9">
        <w:rPr>
          <w:rFonts w:eastAsiaTheme="minorHAnsi"/>
          <w:lang w:eastAsia="en-US"/>
        </w:rPr>
        <w:t xml:space="preserve"> topics that ranged from: “Reasons for energy behaviour”; “Energy prices” to “Trust Issues”. </w:t>
      </w:r>
    </w:p>
    <w:p w:rsidR="00A16B8C" w:rsidRPr="00C90AC9" w:rsidRDefault="00A16B8C" w:rsidP="000E1236">
      <w:pPr>
        <w:pStyle w:val="ListContinue"/>
        <w:spacing w:line="360" w:lineRule="auto"/>
        <w:ind w:left="0"/>
        <w:rPr>
          <w:rFonts w:eastAsiaTheme="minorHAnsi"/>
          <w:lang w:eastAsia="en-US"/>
        </w:rPr>
      </w:pPr>
      <w:r w:rsidRPr="00C90AC9">
        <w:rPr>
          <w:rFonts w:eastAsiaTheme="minorHAnsi"/>
          <w:lang w:eastAsia="en-US"/>
        </w:rPr>
        <w:t xml:space="preserve">The structure of the focus groups was arranged so that </w:t>
      </w:r>
      <w:r w:rsidR="00A11B5C" w:rsidRPr="00C90AC9">
        <w:rPr>
          <w:rFonts w:eastAsiaTheme="minorHAnsi"/>
          <w:lang w:eastAsia="en-US"/>
        </w:rPr>
        <w:t>m</w:t>
      </w:r>
      <w:r w:rsidRPr="00C90AC9">
        <w:rPr>
          <w:rFonts w:eastAsiaTheme="minorHAnsi"/>
          <w:lang w:eastAsia="en-US"/>
        </w:rPr>
        <w:t xml:space="preserve">ore time was devoted to </w:t>
      </w:r>
      <w:r w:rsidR="00A11B5C" w:rsidRPr="00C90AC9">
        <w:rPr>
          <w:rFonts w:eastAsiaTheme="minorHAnsi"/>
          <w:lang w:eastAsia="en-US"/>
        </w:rPr>
        <w:t xml:space="preserve">the final facilitated discussion which centred </w:t>
      </w:r>
      <w:r w:rsidR="008665C2" w:rsidRPr="00C90AC9">
        <w:rPr>
          <w:rFonts w:eastAsiaTheme="minorHAnsi"/>
          <w:lang w:eastAsia="en-US"/>
        </w:rPr>
        <w:t>on</w:t>
      </w:r>
      <w:r w:rsidR="00A11B5C" w:rsidRPr="00C90AC9">
        <w:rPr>
          <w:rFonts w:eastAsiaTheme="minorHAnsi"/>
          <w:lang w:eastAsia="en-US"/>
        </w:rPr>
        <w:t xml:space="preserve"> </w:t>
      </w:r>
      <w:r w:rsidRPr="00C90AC9">
        <w:rPr>
          <w:rFonts w:eastAsiaTheme="minorHAnsi"/>
          <w:lang w:eastAsia="en-US"/>
        </w:rPr>
        <w:t>“Solar Thermal Panels”</w:t>
      </w:r>
      <w:r w:rsidR="00A11B5C" w:rsidRPr="00C90AC9">
        <w:rPr>
          <w:rFonts w:eastAsiaTheme="minorHAnsi"/>
          <w:lang w:eastAsia="en-US"/>
        </w:rPr>
        <w:t xml:space="preserve"> as in this section </w:t>
      </w:r>
      <w:r w:rsidRPr="00C90AC9">
        <w:rPr>
          <w:rFonts w:eastAsiaTheme="minorHAnsi"/>
          <w:lang w:eastAsia="en-US"/>
        </w:rPr>
        <w:t xml:space="preserve">participants were more comfortable with each other and the process and so </w:t>
      </w:r>
      <w:r w:rsidR="00A11B5C" w:rsidRPr="00C90AC9">
        <w:rPr>
          <w:rFonts w:eastAsiaTheme="minorHAnsi"/>
          <w:lang w:eastAsia="en-US"/>
        </w:rPr>
        <w:t>participants were</w:t>
      </w:r>
      <w:r w:rsidRPr="00C90AC9">
        <w:rPr>
          <w:rFonts w:eastAsiaTheme="minorHAnsi"/>
          <w:lang w:eastAsia="en-US"/>
        </w:rPr>
        <w:t xml:space="preserve"> </w:t>
      </w:r>
      <w:r w:rsidR="008665C2" w:rsidRPr="00C90AC9">
        <w:rPr>
          <w:rFonts w:eastAsiaTheme="minorHAnsi"/>
          <w:lang w:eastAsia="en-US"/>
        </w:rPr>
        <w:t xml:space="preserve">comfortable when </w:t>
      </w:r>
      <w:r w:rsidRPr="00C90AC9">
        <w:rPr>
          <w:rFonts w:eastAsiaTheme="minorHAnsi"/>
          <w:lang w:eastAsia="en-US"/>
        </w:rPr>
        <w:t>talking with each other.</w:t>
      </w:r>
    </w:p>
    <w:p w:rsidR="00F67615" w:rsidRPr="00C90AC9" w:rsidRDefault="008665C2" w:rsidP="00012484">
      <w:pPr>
        <w:spacing w:line="360" w:lineRule="auto"/>
        <w:rPr>
          <w:rStyle w:val="SubtleEmphasis"/>
          <w:rFonts w:cs="Times New Roman"/>
          <w:szCs w:val="24"/>
        </w:rPr>
      </w:pPr>
      <w:r w:rsidRPr="00C90AC9">
        <w:rPr>
          <w:rStyle w:val="SubtleEmphasis"/>
          <w:rFonts w:cs="Times New Roman"/>
          <w:sz w:val="22"/>
          <w:szCs w:val="24"/>
        </w:rPr>
        <w:t xml:space="preserve">Each of the focus groups finished with participants receiving an information sheet which gave each participant places with which they could access to receive more information about STP’s as well as environmental information. </w:t>
      </w:r>
      <w:r w:rsidR="00F67615" w:rsidRPr="00C90AC9">
        <w:rPr>
          <w:rStyle w:val="SubtleEmphasis"/>
          <w:rFonts w:cs="Times New Roman"/>
          <w:szCs w:val="24"/>
        </w:rPr>
        <w:br w:type="page"/>
      </w:r>
    </w:p>
    <w:p w:rsidR="00FE3B84" w:rsidRPr="00C90AC9" w:rsidRDefault="001C7077" w:rsidP="00CA6E35">
      <w:pPr>
        <w:pStyle w:val="List"/>
        <w:numPr>
          <w:ilvl w:val="1"/>
          <w:numId w:val="28"/>
        </w:numPr>
        <w:ind w:left="0" w:firstLine="0"/>
        <w:rPr>
          <w:rStyle w:val="SubtleEmphasis"/>
          <w:rFonts w:cs="Times New Roman"/>
          <w:sz w:val="24"/>
          <w:szCs w:val="24"/>
        </w:rPr>
      </w:pPr>
      <w:r w:rsidRPr="00C90AC9">
        <w:rPr>
          <w:rStyle w:val="SubtleEmphasis"/>
          <w:rFonts w:cs="Times New Roman"/>
          <w:szCs w:val="24"/>
        </w:rPr>
        <w:lastRenderedPageBreak/>
        <w:t>Results of the f</w:t>
      </w:r>
      <w:r w:rsidR="00A16B8C" w:rsidRPr="00C90AC9">
        <w:rPr>
          <w:rStyle w:val="SubtleEmphasis"/>
          <w:rFonts w:cs="Times New Roman"/>
          <w:szCs w:val="24"/>
        </w:rPr>
        <w:t>ocus groups</w:t>
      </w:r>
      <w:r w:rsidRPr="00C90AC9">
        <w:rPr>
          <w:rStyle w:val="SubtleEmphasis"/>
          <w:rFonts w:cs="Times New Roman"/>
          <w:szCs w:val="24"/>
        </w:rPr>
        <w:t xml:space="preserve"> in</w:t>
      </w:r>
      <w:r w:rsidR="00A16B8C" w:rsidRPr="00C90AC9">
        <w:rPr>
          <w:rStyle w:val="SubtleEmphasis"/>
          <w:rFonts w:cs="Times New Roman"/>
          <w:szCs w:val="24"/>
        </w:rPr>
        <w:t xml:space="preserve"> 2012</w:t>
      </w:r>
    </w:p>
    <w:p w:rsidR="00FE3B84" w:rsidRPr="00C90AC9" w:rsidRDefault="00FE3B84" w:rsidP="00FE3B84">
      <w:pPr>
        <w:pStyle w:val="List"/>
        <w:ind w:left="0" w:firstLine="0"/>
        <w:rPr>
          <w:rStyle w:val="SubtleEmphasis"/>
          <w:rFonts w:cs="Times New Roman"/>
          <w:sz w:val="24"/>
          <w:szCs w:val="24"/>
        </w:rPr>
      </w:pPr>
    </w:p>
    <w:p w:rsidR="00A16B8C" w:rsidRPr="00C90AC9" w:rsidRDefault="00FE3B84" w:rsidP="009E646F">
      <w:pPr>
        <w:pStyle w:val="List"/>
        <w:spacing w:line="360" w:lineRule="auto"/>
        <w:ind w:left="0" w:firstLine="0"/>
        <w:rPr>
          <w:rFonts w:cs="Times New Roman"/>
          <w:szCs w:val="24"/>
        </w:rPr>
      </w:pPr>
      <w:r w:rsidRPr="00C90AC9">
        <w:rPr>
          <w:rFonts w:eastAsiaTheme="minorHAnsi"/>
          <w:lang w:eastAsia="en-US"/>
        </w:rPr>
        <w:tab/>
      </w:r>
      <w:r w:rsidR="00A16B8C" w:rsidRPr="00C90AC9">
        <w:rPr>
          <w:rFonts w:eastAsiaTheme="minorHAnsi"/>
          <w:lang w:eastAsia="en-US"/>
        </w:rPr>
        <w:t xml:space="preserve">The participants discussed many issues during the focus groups in 2012 and 2015 which can be condensed into four </w:t>
      </w:r>
      <w:r w:rsidR="00E82522" w:rsidRPr="00C90AC9">
        <w:rPr>
          <w:rFonts w:eastAsiaTheme="minorHAnsi"/>
          <w:lang w:eastAsia="en-US"/>
        </w:rPr>
        <w:t>main</w:t>
      </w:r>
      <w:r w:rsidR="00A16B8C" w:rsidRPr="00C90AC9">
        <w:rPr>
          <w:rFonts w:eastAsiaTheme="minorHAnsi"/>
          <w:lang w:eastAsia="en-US"/>
        </w:rPr>
        <w:t xml:space="preserve"> areas: Perceived benefits and concerns with STP</w:t>
      </w:r>
      <w:r w:rsidR="008E008E" w:rsidRPr="00C90AC9">
        <w:rPr>
          <w:rFonts w:eastAsiaTheme="minorHAnsi"/>
          <w:lang w:eastAsia="en-US"/>
        </w:rPr>
        <w:t xml:space="preserve">; </w:t>
      </w:r>
      <w:r w:rsidR="00A16B8C" w:rsidRPr="00C90AC9">
        <w:rPr>
          <w:rFonts w:eastAsiaTheme="minorHAnsi"/>
          <w:lang w:eastAsia="en-US"/>
        </w:rPr>
        <w:t xml:space="preserve">Reasons for adopting </w:t>
      </w:r>
      <w:r w:rsidR="006518C0" w:rsidRPr="00C90AC9">
        <w:rPr>
          <w:rFonts w:eastAsiaTheme="minorHAnsi"/>
          <w:lang w:eastAsia="en-US"/>
        </w:rPr>
        <w:t>STPs</w:t>
      </w:r>
      <w:r w:rsidR="00A16B8C" w:rsidRPr="00C90AC9">
        <w:rPr>
          <w:rFonts w:eastAsiaTheme="minorHAnsi"/>
          <w:lang w:eastAsia="en-US"/>
        </w:rPr>
        <w:t xml:space="preserve">; Receiving information about </w:t>
      </w:r>
      <w:r w:rsidR="006518C0" w:rsidRPr="00C90AC9">
        <w:rPr>
          <w:rFonts w:eastAsiaTheme="minorHAnsi"/>
          <w:lang w:eastAsia="en-US"/>
        </w:rPr>
        <w:t>STPs</w:t>
      </w:r>
      <w:r w:rsidR="00A16B8C" w:rsidRPr="00C90AC9">
        <w:rPr>
          <w:rFonts w:eastAsiaTheme="minorHAnsi"/>
          <w:lang w:eastAsia="en-US"/>
        </w:rPr>
        <w:t>;</w:t>
      </w:r>
      <w:r w:rsidR="008E008E" w:rsidRPr="00C90AC9">
        <w:rPr>
          <w:rFonts w:eastAsiaTheme="minorHAnsi"/>
          <w:lang w:eastAsia="en-US"/>
        </w:rPr>
        <w:t xml:space="preserve"> </w:t>
      </w:r>
      <w:r w:rsidR="00A16B8C" w:rsidRPr="00C90AC9">
        <w:rPr>
          <w:rFonts w:eastAsiaTheme="minorHAnsi"/>
          <w:lang w:eastAsia="en-US"/>
        </w:rPr>
        <w:t>and Trust issues</w:t>
      </w:r>
      <w:r w:rsidR="00A11B5C" w:rsidRPr="00C90AC9">
        <w:rPr>
          <w:rFonts w:eastAsiaTheme="minorHAnsi"/>
          <w:lang w:eastAsia="en-US"/>
        </w:rPr>
        <w:t xml:space="preserve"> shown in Appendix 6.10. and Appendix 6.11. </w:t>
      </w:r>
      <w:r w:rsidR="002D3890" w:rsidRPr="00C90AC9">
        <w:rPr>
          <w:rFonts w:eastAsiaTheme="minorHAnsi"/>
          <w:lang w:eastAsia="en-US"/>
        </w:rPr>
        <w:t xml:space="preserve">These main areas of discussion were decided on prior to the focus groups commencing and followed the general pattern used by researchers for eliciting the maximum conversation in the final area of discussion which is also the area of discussion of greatest interest. </w:t>
      </w:r>
      <w:r w:rsidR="008665C2" w:rsidRPr="00C90AC9">
        <w:rPr>
          <w:rFonts w:eastAsiaTheme="minorHAnsi"/>
          <w:lang w:eastAsia="en-US"/>
        </w:rPr>
        <w:t xml:space="preserve">These </w:t>
      </w:r>
      <w:r w:rsidR="00E82522" w:rsidRPr="00C90AC9">
        <w:rPr>
          <w:rFonts w:eastAsiaTheme="minorHAnsi"/>
          <w:lang w:eastAsia="en-US"/>
        </w:rPr>
        <w:t>main</w:t>
      </w:r>
      <w:r w:rsidR="008665C2" w:rsidRPr="00C90AC9">
        <w:rPr>
          <w:rFonts w:eastAsiaTheme="minorHAnsi"/>
          <w:lang w:eastAsia="en-US"/>
        </w:rPr>
        <w:t xml:space="preserve"> areas of discussion</w:t>
      </w:r>
      <w:r w:rsidR="002D3890" w:rsidRPr="00C90AC9">
        <w:rPr>
          <w:rFonts w:eastAsiaTheme="minorHAnsi"/>
          <w:lang w:eastAsia="en-US"/>
        </w:rPr>
        <w:t xml:space="preserve"> where </w:t>
      </w:r>
      <w:r w:rsidR="008665C2" w:rsidRPr="00C90AC9">
        <w:rPr>
          <w:rFonts w:eastAsiaTheme="minorHAnsi"/>
          <w:lang w:eastAsia="en-US"/>
        </w:rPr>
        <w:t xml:space="preserve">based around the constructs of the TAM model as this is the model which is being evaluated.  </w:t>
      </w:r>
      <w:r w:rsidR="00A730D1" w:rsidRPr="00C90AC9">
        <w:rPr>
          <w:rFonts w:eastAsiaTheme="minorHAnsi"/>
          <w:lang w:eastAsia="en-US"/>
        </w:rPr>
        <w:t>As the discussions in each focus group progressed</w:t>
      </w:r>
      <w:r w:rsidR="008665C2" w:rsidRPr="00C90AC9">
        <w:rPr>
          <w:rFonts w:eastAsiaTheme="minorHAnsi"/>
          <w:lang w:eastAsia="en-US"/>
        </w:rPr>
        <w:t xml:space="preserve"> these </w:t>
      </w:r>
      <w:r w:rsidR="00E82522" w:rsidRPr="00C90AC9">
        <w:rPr>
          <w:rFonts w:eastAsiaTheme="minorHAnsi"/>
          <w:lang w:eastAsia="en-US"/>
        </w:rPr>
        <w:t>main</w:t>
      </w:r>
      <w:r w:rsidR="008665C2" w:rsidRPr="00C90AC9">
        <w:rPr>
          <w:rFonts w:eastAsiaTheme="minorHAnsi"/>
          <w:lang w:eastAsia="en-US"/>
        </w:rPr>
        <w:t xml:space="preserve"> areas arose organically from the discussions </w:t>
      </w:r>
      <w:r w:rsidR="002413A9" w:rsidRPr="00C90AC9">
        <w:rPr>
          <w:rFonts w:eastAsiaTheme="minorHAnsi"/>
          <w:lang w:eastAsia="en-US"/>
        </w:rPr>
        <w:t xml:space="preserve">without </w:t>
      </w:r>
      <w:r w:rsidR="008665C2" w:rsidRPr="00C90AC9">
        <w:rPr>
          <w:rFonts w:eastAsiaTheme="minorHAnsi"/>
          <w:lang w:eastAsia="en-US"/>
        </w:rPr>
        <w:t xml:space="preserve">much intervention by the researcher who only directed the conversation between each </w:t>
      </w:r>
      <w:r w:rsidR="00E82522" w:rsidRPr="00C90AC9">
        <w:rPr>
          <w:rFonts w:eastAsiaTheme="minorHAnsi"/>
          <w:lang w:eastAsia="en-US"/>
        </w:rPr>
        <w:t>main</w:t>
      </w:r>
      <w:r w:rsidR="008665C2" w:rsidRPr="00C90AC9">
        <w:rPr>
          <w:rFonts w:eastAsiaTheme="minorHAnsi"/>
          <w:lang w:eastAsia="en-US"/>
        </w:rPr>
        <w:t xml:space="preserve"> category.</w:t>
      </w:r>
      <w:r w:rsidR="00A730D1" w:rsidRPr="00C90AC9">
        <w:rPr>
          <w:rFonts w:eastAsiaTheme="minorHAnsi"/>
          <w:lang w:eastAsia="en-US"/>
        </w:rPr>
        <w:t xml:space="preserve"> </w:t>
      </w:r>
    </w:p>
    <w:p w:rsidR="00CE640D" w:rsidRPr="00C90AC9" w:rsidRDefault="00CE640D" w:rsidP="00EB4615">
      <w:pPr>
        <w:pStyle w:val="ListContinue"/>
        <w:tabs>
          <w:tab w:val="left" w:pos="0"/>
        </w:tabs>
        <w:ind w:left="0" w:firstLine="142"/>
        <w:rPr>
          <w:rFonts w:eastAsiaTheme="minorHAnsi"/>
          <w:lang w:eastAsia="en-US"/>
        </w:rPr>
      </w:pPr>
    </w:p>
    <w:p w:rsidR="00A16B8C" w:rsidRPr="00C90AC9" w:rsidRDefault="00A16B8C" w:rsidP="00CA6E35">
      <w:pPr>
        <w:pStyle w:val="List2"/>
        <w:numPr>
          <w:ilvl w:val="2"/>
          <w:numId w:val="28"/>
        </w:numPr>
        <w:ind w:left="0" w:firstLine="0"/>
        <w:rPr>
          <w:rStyle w:val="SubtleEmphasis"/>
          <w:rFonts w:cs="Times New Roman"/>
          <w:sz w:val="24"/>
          <w:szCs w:val="24"/>
        </w:rPr>
      </w:pPr>
      <w:r w:rsidRPr="00C90AC9">
        <w:rPr>
          <w:rStyle w:val="SubtleEmphasis"/>
          <w:rFonts w:cs="Times New Roman"/>
          <w:szCs w:val="24"/>
        </w:rPr>
        <w:t xml:space="preserve">Perceived benefits and concerns with </w:t>
      </w:r>
      <w:r w:rsidR="006518C0" w:rsidRPr="00C90AC9">
        <w:rPr>
          <w:rStyle w:val="SubtleEmphasis"/>
          <w:rFonts w:cs="Times New Roman"/>
          <w:szCs w:val="24"/>
        </w:rPr>
        <w:t>STPs</w:t>
      </w:r>
      <w:r w:rsidRPr="00C90AC9">
        <w:rPr>
          <w:rStyle w:val="SubtleEmphasis"/>
          <w:rFonts w:cs="Times New Roman"/>
          <w:szCs w:val="24"/>
        </w:rPr>
        <w:t xml:space="preserve">, 2012 </w:t>
      </w:r>
    </w:p>
    <w:p w:rsidR="009D60D4" w:rsidRPr="00C90AC9" w:rsidRDefault="00A16B8C" w:rsidP="00FC38E5">
      <w:pPr>
        <w:pStyle w:val="ListContinue2"/>
        <w:spacing w:line="360" w:lineRule="auto"/>
        <w:ind w:left="0"/>
        <w:rPr>
          <w:rFonts w:eastAsiaTheme="minorHAnsi"/>
          <w:lang w:eastAsia="en-US"/>
        </w:rPr>
      </w:pPr>
      <w:r w:rsidRPr="00C90AC9">
        <w:rPr>
          <w:rFonts w:eastAsiaTheme="minorHAnsi"/>
          <w:lang w:eastAsia="en-US"/>
        </w:rPr>
        <w:t xml:space="preserve">There was a clear perception across all of the focus groups in both years that </w:t>
      </w:r>
      <w:r w:rsidR="006518C0" w:rsidRPr="00C90AC9">
        <w:rPr>
          <w:rFonts w:eastAsiaTheme="minorHAnsi"/>
          <w:lang w:eastAsia="en-US"/>
        </w:rPr>
        <w:t>STPs</w:t>
      </w:r>
      <w:r w:rsidRPr="00C90AC9">
        <w:rPr>
          <w:rFonts w:eastAsiaTheme="minorHAnsi"/>
          <w:lang w:eastAsia="en-US"/>
        </w:rPr>
        <w:t xml:space="preserve"> would provide </w:t>
      </w:r>
      <w:r w:rsidR="008665C2" w:rsidRPr="00C90AC9">
        <w:rPr>
          <w:rFonts w:eastAsiaTheme="minorHAnsi"/>
          <w:lang w:eastAsia="en-US"/>
        </w:rPr>
        <w:t xml:space="preserve">some </w:t>
      </w:r>
      <w:r w:rsidRPr="00C90AC9">
        <w:rPr>
          <w:rFonts w:eastAsiaTheme="minorHAnsi"/>
          <w:lang w:eastAsia="en-US"/>
        </w:rPr>
        <w:t xml:space="preserve">utility to them if </w:t>
      </w:r>
      <w:r w:rsidR="008665C2" w:rsidRPr="00C90AC9">
        <w:rPr>
          <w:rFonts w:eastAsiaTheme="minorHAnsi"/>
          <w:lang w:eastAsia="en-US"/>
        </w:rPr>
        <w:t>STPs</w:t>
      </w:r>
      <w:r w:rsidRPr="00C90AC9">
        <w:rPr>
          <w:rFonts w:eastAsiaTheme="minorHAnsi"/>
          <w:lang w:eastAsia="en-US"/>
        </w:rPr>
        <w:t xml:space="preserve"> were installed on their properties</w:t>
      </w:r>
      <w:r w:rsidR="008665C2" w:rsidRPr="00C90AC9">
        <w:rPr>
          <w:rFonts w:eastAsiaTheme="minorHAnsi"/>
          <w:lang w:eastAsia="en-US"/>
        </w:rPr>
        <w:t xml:space="preserve"> to varying degrees</w:t>
      </w:r>
      <w:r w:rsidRPr="00C90AC9">
        <w:rPr>
          <w:rFonts w:eastAsiaTheme="minorHAnsi"/>
          <w:lang w:eastAsia="en-US"/>
        </w:rPr>
        <w:t>.</w:t>
      </w:r>
      <w:r w:rsidR="008665C2" w:rsidRPr="00C90AC9">
        <w:rPr>
          <w:rFonts w:eastAsiaTheme="minorHAnsi"/>
          <w:lang w:eastAsia="en-US"/>
        </w:rPr>
        <w:t xml:space="preserve"> The perception was that STP’s could provide some hot water</w:t>
      </w:r>
      <w:r w:rsidR="009D60D4" w:rsidRPr="00C90AC9">
        <w:rPr>
          <w:rFonts w:eastAsiaTheme="minorHAnsi"/>
          <w:lang w:eastAsia="en-US"/>
        </w:rPr>
        <w:t xml:space="preserve"> for some of the year, but the perception was more keenly acknowledged by the participants who own STPs, than those who had never considered owning STPs.</w:t>
      </w:r>
    </w:p>
    <w:p w:rsidR="00922AF6" w:rsidRPr="00C90AC9" w:rsidRDefault="001117F7" w:rsidP="00922AF6">
      <w:pPr>
        <w:spacing w:line="360" w:lineRule="auto"/>
        <w:rPr>
          <w:b/>
        </w:rPr>
      </w:pPr>
      <w:r w:rsidRPr="00C90AC9">
        <w:rPr>
          <w:b/>
        </w:rPr>
        <w:t>Group #5</w:t>
      </w:r>
      <w:r w:rsidR="009D60D4" w:rsidRPr="00C90AC9">
        <w:rPr>
          <w:b/>
        </w:rPr>
        <w:t xml:space="preserve">, 2012: “just in a very few exceptions keeps me in hot water for almost six months of the year and for the rest of the year it just uses the back up. I have to use gas to supplement </w:t>
      </w:r>
      <w:r w:rsidR="009715C7" w:rsidRPr="00C90AC9">
        <w:rPr>
          <w:b/>
        </w:rPr>
        <w:fldChar w:fldCharType="begin"/>
      </w:r>
      <w:r w:rsidR="009715C7" w:rsidRPr="00C90AC9">
        <w:rPr>
          <w:b/>
        </w:rPr>
        <w:instrText xml:space="preserve"> ADDIN EN.CITE &lt;EndNote&gt;&lt;Cite ExcludeYear="1"&gt;&lt;Author&gt;Rogers&lt;/Author&gt;&lt;Year&gt;2013&lt;/Year&gt;&lt;RecNum&gt;222&lt;/RecNum&gt;&lt;DisplayText&gt;(Rogers et al.)&lt;/DisplayText&gt;&lt;record&gt;&lt;rec-number&gt;222&lt;/rec-number&gt;&lt;foreign-keys&gt;&lt;key app="EN" db-id="50wxdpzd9vd5r7e9t5b595djrfpttrxw9avp" timestamp="1525592564"&gt;222&lt;/key&gt;&lt;/foreign-keys&gt;&lt;ref-type name="Journal Article"&gt;17&lt;/ref-type&gt;&lt;contributors&gt;&lt;authors&gt;&lt;author&gt;Rogers, J. G.&lt;/author&gt;&lt;author&gt;McManus, M. C.&lt;/author&gt;&lt;author&gt;Cooper, S. J. G.&lt;/author&gt;&lt;/authors&gt;&lt;/contributors&gt;&lt;titles&gt;&lt;title&gt;Potential for reliance on solar water heating throughout the summer in northern cloudy climates&lt;/title&gt;&lt;secondary-title&gt;Energy and Buildings&lt;/secondary-title&gt;&lt;/titles&gt;&lt;pages&gt;128-135&lt;/pages&gt;&lt;volume&gt;66&lt;/volume&gt;&lt;keywords&gt;&lt;keyword&gt;Solar water heating&lt;/keyword&gt;&lt;keyword&gt;Domestic hot water&lt;/keyword&gt;&lt;keyword&gt;Northern climate&lt;/keyword&gt;&lt;keyword&gt;Summer time usage&lt;/keyword&gt;&lt;keyword&gt;Thermal stores&lt;/keyword&gt;&lt;/keywords&gt;&lt;dates&gt;&lt;year&gt;2013&lt;/year&gt;&lt;pub-dates&gt;&lt;date&gt;2013/11/01/&lt;/date&gt;&lt;/pub-dates&gt;&lt;/dates&gt;&lt;isbn&gt;0378-7788&lt;/isbn&gt;&lt;urls&gt;&lt;related-urls&gt;&lt;url&gt;http://www.sciencedirect.com/science/article/pii/S0378778813004192&lt;/url&gt;&lt;/related-urls&gt;&lt;/urls&gt;&lt;electronic-resource-num&gt;https://doi.org/10.1016/j.enbuild.2013.07.031&lt;/electronic-resource-num&gt;&lt;/record&gt;&lt;/Cite&gt;&lt;/EndNote&gt;</w:instrText>
      </w:r>
      <w:r w:rsidR="009715C7" w:rsidRPr="00C90AC9">
        <w:rPr>
          <w:b/>
        </w:rPr>
        <w:fldChar w:fldCharType="separate"/>
      </w:r>
      <w:r w:rsidR="009715C7" w:rsidRPr="00C90AC9">
        <w:rPr>
          <w:b/>
        </w:rPr>
        <w:t>(Rogers et al.)</w:t>
      </w:r>
      <w:r w:rsidR="009715C7" w:rsidRPr="00C90AC9">
        <w:rPr>
          <w:b/>
        </w:rPr>
        <w:fldChar w:fldCharType="end"/>
      </w:r>
      <w:r w:rsidR="009D60D4" w:rsidRPr="00C90AC9">
        <w:rPr>
          <w:b/>
        </w:rPr>
        <w:t>.”</w:t>
      </w:r>
    </w:p>
    <w:p w:rsidR="009D60D4" w:rsidRPr="00C90AC9" w:rsidRDefault="009D60D4" w:rsidP="00922AF6">
      <w:pPr>
        <w:spacing w:line="360" w:lineRule="auto"/>
        <w:rPr>
          <w:b/>
        </w:rPr>
      </w:pPr>
      <w:r w:rsidRPr="00C90AC9">
        <w:rPr>
          <w:b/>
        </w:rPr>
        <w:t xml:space="preserve">Group </w:t>
      </w:r>
      <w:r w:rsidR="001117F7" w:rsidRPr="00C90AC9">
        <w:rPr>
          <w:b/>
        </w:rPr>
        <w:t xml:space="preserve">#1, 2012: “I can’t see how it could work in this country, maybe in other </w:t>
      </w:r>
      <w:proofErr w:type="spellStart"/>
      <w:r w:rsidR="001117F7" w:rsidRPr="00C90AC9">
        <w:rPr>
          <w:b/>
        </w:rPr>
        <w:t>whotter</w:t>
      </w:r>
      <w:proofErr w:type="spellEnd"/>
      <w:r w:rsidR="001117F7" w:rsidRPr="00C90AC9">
        <w:rPr>
          <w:b/>
        </w:rPr>
        <w:t xml:space="preserve"> countries but not here, maybe a bit”</w:t>
      </w:r>
    </w:p>
    <w:p w:rsidR="00922AF6" w:rsidRPr="00C90AC9" w:rsidRDefault="001117F7" w:rsidP="00922AF6">
      <w:pPr>
        <w:pStyle w:val="ListContinue2"/>
        <w:spacing w:line="360" w:lineRule="auto"/>
        <w:ind w:left="0"/>
        <w:rPr>
          <w:rFonts w:eastAsiaTheme="minorHAnsi"/>
          <w:lang w:eastAsia="en-US"/>
        </w:rPr>
      </w:pPr>
      <w:r w:rsidRPr="00C90AC9">
        <w:rPr>
          <w:rFonts w:eastAsiaTheme="minorHAnsi"/>
          <w:lang w:eastAsia="en-US"/>
        </w:rPr>
        <w:t>For participants who have considered adopting STP’s participants were agnostic to the benefits of STP’s in generating sufficient quantities of hot water at sufficient temperature needed for baths or showers.</w:t>
      </w:r>
    </w:p>
    <w:p w:rsidR="001117F7" w:rsidRPr="00C90AC9" w:rsidRDefault="001117F7" w:rsidP="00922AF6">
      <w:pPr>
        <w:pStyle w:val="ListContinue2"/>
        <w:spacing w:line="360" w:lineRule="auto"/>
        <w:ind w:left="0"/>
        <w:rPr>
          <w:rFonts w:eastAsiaTheme="minorHAnsi"/>
          <w:b/>
          <w:lang w:eastAsia="en-US"/>
        </w:rPr>
      </w:pPr>
      <w:r w:rsidRPr="00C90AC9">
        <w:rPr>
          <w:rFonts w:eastAsiaTheme="minorHAnsi"/>
          <w:b/>
          <w:lang w:eastAsia="en-US"/>
        </w:rPr>
        <w:t>Group #3, 2012: “I’d like to know exactly how much hot water I could get each day”</w:t>
      </w:r>
    </w:p>
    <w:p w:rsidR="001117F7" w:rsidRPr="00C90AC9" w:rsidRDefault="001117F7" w:rsidP="00922AF6">
      <w:pPr>
        <w:pStyle w:val="ListContinue2"/>
        <w:spacing w:line="360" w:lineRule="auto"/>
        <w:ind w:left="0"/>
        <w:rPr>
          <w:rFonts w:eastAsiaTheme="minorHAnsi"/>
          <w:b/>
          <w:lang w:eastAsia="en-US"/>
        </w:rPr>
      </w:pPr>
      <w:r w:rsidRPr="00C90AC9">
        <w:rPr>
          <w:rFonts w:eastAsiaTheme="minorHAnsi"/>
          <w:b/>
          <w:lang w:eastAsia="en-US"/>
        </w:rPr>
        <w:t xml:space="preserve">Group #2, 2012: “I </w:t>
      </w:r>
      <w:proofErr w:type="spellStart"/>
      <w:r w:rsidRPr="00C90AC9">
        <w:rPr>
          <w:rFonts w:eastAsiaTheme="minorHAnsi"/>
          <w:b/>
          <w:lang w:eastAsia="en-US"/>
        </w:rPr>
        <w:t>dunno</w:t>
      </w:r>
      <w:proofErr w:type="spellEnd"/>
      <w:r w:rsidRPr="00C90AC9">
        <w:rPr>
          <w:rFonts w:eastAsiaTheme="minorHAnsi"/>
          <w:b/>
          <w:lang w:eastAsia="en-US"/>
        </w:rPr>
        <w:t xml:space="preserve"> if it could work in this country, it might only work in the summer and be useless in the winter I don’t </w:t>
      </w:r>
      <w:proofErr w:type="gramStart"/>
      <w:r w:rsidRPr="00C90AC9">
        <w:rPr>
          <w:rFonts w:eastAsiaTheme="minorHAnsi"/>
          <w:b/>
          <w:lang w:eastAsia="en-US"/>
        </w:rPr>
        <w:t>know ”</w:t>
      </w:r>
      <w:proofErr w:type="gramEnd"/>
    </w:p>
    <w:p w:rsidR="000805A7" w:rsidRPr="00C90AC9" w:rsidRDefault="008665C2" w:rsidP="00922AF6">
      <w:pPr>
        <w:pStyle w:val="ListContinue2"/>
        <w:spacing w:line="360" w:lineRule="auto"/>
        <w:ind w:left="0"/>
        <w:rPr>
          <w:rFonts w:eastAsiaTheme="minorHAnsi"/>
          <w:lang w:eastAsia="en-US"/>
        </w:rPr>
      </w:pPr>
      <w:r w:rsidRPr="00C90AC9">
        <w:rPr>
          <w:rFonts w:eastAsiaTheme="minorHAnsi"/>
          <w:lang w:eastAsia="en-US"/>
        </w:rPr>
        <w:t xml:space="preserve">Participants </w:t>
      </w:r>
      <w:r w:rsidR="00A16B8C" w:rsidRPr="00C90AC9">
        <w:rPr>
          <w:rFonts w:eastAsiaTheme="minorHAnsi"/>
          <w:lang w:eastAsia="en-US"/>
        </w:rPr>
        <w:t>recognised that the panels</w:t>
      </w:r>
      <w:r w:rsidR="001117F7" w:rsidRPr="00C90AC9">
        <w:rPr>
          <w:rFonts w:eastAsiaTheme="minorHAnsi"/>
          <w:lang w:eastAsia="en-US"/>
        </w:rPr>
        <w:t xml:space="preserve"> are designed to </w:t>
      </w:r>
      <w:r w:rsidR="00A16B8C" w:rsidRPr="00C90AC9">
        <w:rPr>
          <w:rFonts w:eastAsiaTheme="minorHAnsi"/>
          <w:lang w:eastAsia="en-US"/>
        </w:rPr>
        <w:t>provide hot water which</w:t>
      </w:r>
      <w:r w:rsidR="001117F7" w:rsidRPr="00C90AC9">
        <w:rPr>
          <w:rFonts w:eastAsiaTheme="minorHAnsi"/>
          <w:lang w:eastAsia="en-US"/>
        </w:rPr>
        <w:t xml:space="preserve"> would </w:t>
      </w:r>
      <w:r w:rsidR="00A16B8C" w:rsidRPr="00C90AC9">
        <w:rPr>
          <w:rFonts w:eastAsiaTheme="minorHAnsi"/>
          <w:lang w:eastAsia="en-US"/>
        </w:rPr>
        <w:t>then be used inside the property for baths or showers</w:t>
      </w:r>
      <w:r w:rsidR="008E008E" w:rsidRPr="00C90AC9">
        <w:rPr>
          <w:rFonts w:eastAsiaTheme="minorHAnsi"/>
          <w:lang w:eastAsia="en-US"/>
        </w:rPr>
        <w:t xml:space="preserve">. </w:t>
      </w:r>
      <w:r w:rsidR="00A16B8C" w:rsidRPr="00C90AC9">
        <w:rPr>
          <w:rFonts w:eastAsiaTheme="minorHAnsi"/>
          <w:lang w:eastAsia="en-US"/>
        </w:rPr>
        <w:t xml:space="preserve">The perceived utility of having </w:t>
      </w:r>
      <w:r w:rsidR="006518C0" w:rsidRPr="00C90AC9">
        <w:rPr>
          <w:rFonts w:eastAsiaTheme="minorHAnsi"/>
          <w:lang w:eastAsia="en-US"/>
        </w:rPr>
        <w:t>STPs</w:t>
      </w:r>
      <w:r w:rsidR="00A16B8C" w:rsidRPr="00C90AC9">
        <w:rPr>
          <w:rFonts w:eastAsiaTheme="minorHAnsi"/>
          <w:lang w:eastAsia="en-US"/>
        </w:rPr>
        <w:t xml:space="preserve"> was apparent across all groups </w:t>
      </w:r>
      <w:r w:rsidR="001117F7" w:rsidRPr="00C90AC9">
        <w:rPr>
          <w:rFonts w:eastAsiaTheme="minorHAnsi"/>
          <w:lang w:eastAsia="en-US"/>
        </w:rPr>
        <w:t xml:space="preserve">with only the amount of utility the STP panels would provide varying </w:t>
      </w:r>
      <w:r w:rsidR="001117F7" w:rsidRPr="00C90AC9">
        <w:rPr>
          <w:rFonts w:eastAsiaTheme="minorHAnsi"/>
          <w:lang w:eastAsia="en-US"/>
        </w:rPr>
        <w:lastRenderedPageBreak/>
        <w:t>between the groups</w:t>
      </w:r>
      <w:r w:rsidR="00A16B8C" w:rsidRPr="00C90AC9">
        <w:rPr>
          <w:rFonts w:eastAsiaTheme="minorHAnsi"/>
          <w:lang w:eastAsia="en-US"/>
        </w:rPr>
        <w:t>.</w:t>
      </w:r>
      <w:r w:rsidR="001117F7" w:rsidRPr="00C90AC9">
        <w:rPr>
          <w:rFonts w:eastAsiaTheme="minorHAnsi"/>
          <w:lang w:eastAsia="en-US"/>
        </w:rPr>
        <w:t xml:space="preserve"> However, even </w:t>
      </w:r>
      <w:r w:rsidR="000805A7" w:rsidRPr="00C90AC9">
        <w:rPr>
          <w:rFonts w:eastAsiaTheme="minorHAnsi"/>
          <w:lang w:eastAsia="en-US"/>
        </w:rPr>
        <w:t xml:space="preserve">the groups containing </w:t>
      </w:r>
      <w:r w:rsidR="00A16B8C" w:rsidRPr="00C90AC9">
        <w:rPr>
          <w:rFonts w:eastAsiaTheme="minorHAnsi"/>
          <w:lang w:eastAsia="en-US"/>
        </w:rPr>
        <w:t xml:space="preserve">participants that </w:t>
      </w:r>
      <w:r w:rsidR="000805A7" w:rsidRPr="00C90AC9">
        <w:rPr>
          <w:rFonts w:eastAsiaTheme="minorHAnsi"/>
          <w:lang w:eastAsia="en-US"/>
        </w:rPr>
        <w:t xml:space="preserve">actually </w:t>
      </w:r>
      <w:r w:rsidR="00A16B8C" w:rsidRPr="00C90AC9">
        <w:rPr>
          <w:rFonts w:eastAsiaTheme="minorHAnsi"/>
          <w:lang w:eastAsia="en-US"/>
        </w:rPr>
        <w:t xml:space="preserve">own </w:t>
      </w:r>
      <w:r w:rsidR="006518C0" w:rsidRPr="00C90AC9">
        <w:rPr>
          <w:rFonts w:eastAsiaTheme="minorHAnsi"/>
          <w:lang w:eastAsia="en-US"/>
        </w:rPr>
        <w:t>STPs</w:t>
      </w:r>
      <w:r w:rsidR="000805A7" w:rsidRPr="00C90AC9">
        <w:rPr>
          <w:rFonts w:eastAsiaTheme="minorHAnsi"/>
          <w:lang w:eastAsia="en-US"/>
        </w:rPr>
        <w:t xml:space="preserve"> the participants</w:t>
      </w:r>
      <w:r w:rsidR="00A16B8C" w:rsidRPr="00C90AC9">
        <w:rPr>
          <w:rFonts w:eastAsiaTheme="minorHAnsi"/>
          <w:lang w:eastAsia="en-US"/>
        </w:rPr>
        <w:t xml:space="preserve"> didn’t fully understand the amount</w:t>
      </w:r>
      <w:r w:rsidR="000805A7" w:rsidRPr="00C90AC9">
        <w:rPr>
          <w:rFonts w:eastAsiaTheme="minorHAnsi"/>
          <w:lang w:eastAsia="en-US"/>
        </w:rPr>
        <w:t xml:space="preserve"> of hot water </w:t>
      </w:r>
      <w:proofErr w:type="gramStart"/>
      <w:r w:rsidR="000805A7" w:rsidRPr="00C90AC9">
        <w:rPr>
          <w:rFonts w:eastAsiaTheme="minorHAnsi"/>
          <w:lang w:eastAsia="en-US"/>
        </w:rPr>
        <w:t>there</w:t>
      </w:r>
      <w:proofErr w:type="gramEnd"/>
      <w:r w:rsidR="000805A7" w:rsidRPr="00C90AC9">
        <w:rPr>
          <w:rFonts w:eastAsiaTheme="minorHAnsi"/>
          <w:lang w:eastAsia="en-US"/>
        </w:rPr>
        <w:t xml:space="preserve"> panels were </w:t>
      </w:r>
      <w:r w:rsidR="00A16B8C" w:rsidRPr="00C90AC9">
        <w:rPr>
          <w:rFonts w:eastAsiaTheme="minorHAnsi"/>
          <w:lang w:eastAsia="en-US"/>
        </w:rPr>
        <w:t>providing for them</w:t>
      </w:r>
      <w:r w:rsidR="000805A7" w:rsidRPr="00C90AC9">
        <w:rPr>
          <w:rFonts w:eastAsiaTheme="minorHAnsi"/>
          <w:lang w:eastAsia="en-US"/>
        </w:rPr>
        <w:t>. The participants cited a reduction in the cost of their energy bills as a way of measuring how much hot water had been provided for them during the previous month but the participants described not having to quantify exactly how much hot water being generated in the previous month</w:t>
      </w:r>
      <w:r w:rsidR="00A16B8C" w:rsidRPr="00C90AC9">
        <w:rPr>
          <w:rFonts w:eastAsiaTheme="minorHAnsi"/>
          <w:lang w:eastAsia="en-US"/>
        </w:rPr>
        <w:t xml:space="preserve">. </w:t>
      </w:r>
    </w:p>
    <w:p w:rsidR="00A16B8C" w:rsidRPr="00C90AC9" w:rsidRDefault="00A16B8C" w:rsidP="00FC38E5">
      <w:pPr>
        <w:pStyle w:val="ListContinue2"/>
        <w:spacing w:line="360" w:lineRule="auto"/>
        <w:ind w:left="0"/>
        <w:rPr>
          <w:rFonts w:eastAsiaTheme="minorHAnsi"/>
          <w:lang w:eastAsia="en-US"/>
        </w:rPr>
      </w:pPr>
      <w:r w:rsidRPr="00C90AC9">
        <w:rPr>
          <w:rFonts w:eastAsiaTheme="minorHAnsi"/>
          <w:lang w:eastAsia="en-US"/>
        </w:rPr>
        <w:t>The disruption that could be caused by having the panels installed onto the participant’s property would have to be compensated by the monetary benefit the panels would have in reducing the costs of heating water. Indeed</w:t>
      </w:r>
      <w:r w:rsidR="008E008E" w:rsidRPr="00C90AC9">
        <w:rPr>
          <w:rFonts w:eastAsiaTheme="minorHAnsi"/>
          <w:lang w:eastAsia="en-US"/>
        </w:rPr>
        <w:t>,</w:t>
      </w:r>
      <w:r w:rsidRPr="00C90AC9">
        <w:rPr>
          <w:rFonts w:eastAsiaTheme="minorHAnsi"/>
          <w:lang w:eastAsia="en-US"/>
        </w:rPr>
        <w:t xml:space="preserve"> it was commented on by one participant that they would be uninterested in the efficiency of the </w:t>
      </w:r>
      <w:r w:rsidR="006518C0" w:rsidRPr="00C90AC9">
        <w:rPr>
          <w:rFonts w:eastAsiaTheme="minorHAnsi"/>
          <w:lang w:eastAsia="en-US"/>
        </w:rPr>
        <w:t>STPs</w:t>
      </w:r>
      <w:r w:rsidRPr="00C90AC9">
        <w:rPr>
          <w:rFonts w:eastAsiaTheme="minorHAnsi"/>
          <w:lang w:eastAsia="en-US"/>
        </w:rPr>
        <w:t xml:space="preserve"> and the perceived ease of getting the panels actually installed would take preference.</w:t>
      </w:r>
    </w:p>
    <w:p w:rsidR="00A16B8C" w:rsidRPr="00C90AC9" w:rsidRDefault="00A16B8C" w:rsidP="00FC38E5">
      <w:pPr>
        <w:pStyle w:val="BodyText"/>
        <w:spacing w:line="360" w:lineRule="auto"/>
        <w:rPr>
          <w:rFonts w:eastAsiaTheme="minorHAnsi"/>
          <w:b/>
          <w:lang w:eastAsia="en-US"/>
        </w:rPr>
      </w:pPr>
      <w:r w:rsidRPr="00C90AC9">
        <w:rPr>
          <w:rFonts w:eastAsiaTheme="minorHAnsi"/>
          <w:b/>
          <w:lang w:eastAsia="en-US"/>
        </w:rPr>
        <w:t>Group #2 2012, F: “I think that in sort of efficiency terms, I wouldn’t be interested...</w:t>
      </w:r>
      <w:r w:rsidR="008E008E" w:rsidRPr="00C90AC9">
        <w:rPr>
          <w:rFonts w:eastAsiaTheme="minorHAnsi"/>
          <w:b/>
          <w:lang w:eastAsia="en-US"/>
        </w:rPr>
        <w:t xml:space="preserve"> </w:t>
      </w:r>
      <w:r w:rsidRPr="00C90AC9">
        <w:rPr>
          <w:rFonts w:eastAsiaTheme="minorHAnsi"/>
          <w:b/>
          <w:lang w:eastAsia="en-US"/>
        </w:rPr>
        <w:t>It looks like it could be a hassle. It would have to be worth the hassle. In terms of it getting put up there, that’d have to be fairly quick and painless.”</w:t>
      </w:r>
    </w:p>
    <w:p w:rsidR="00A16B8C" w:rsidRPr="00C90AC9" w:rsidRDefault="00A16B8C" w:rsidP="00FC38E5">
      <w:pPr>
        <w:pStyle w:val="BodyText"/>
        <w:spacing w:line="360" w:lineRule="auto"/>
        <w:rPr>
          <w:rFonts w:eastAsiaTheme="minorHAnsi"/>
          <w:lang w:eastAsia="en-US"/>
        </w:rPr>
      </w:pPr>
      <w:r w:rsidRPr="00C90AC9">
        <w:rPr>
          <w:rFonts w:eastAsiaTheme="minorHAnsi"/>
          <w:lang w:eastAsia="en-US"/>
        </w:rPr>
        <w:t xml:space="preserve">This was an interesting comment to make as it showed that she was trading some of the inconvenience of having the </w:t>
      </w:r>
      <w:r w:rsidR="006518C0" w:rsidRPr="00C90AC9">
        <w:rPr>
          <w:rFonts w:eastAsiaTheme="minorHAnsi"/>
          <w:lang w:eastAsia="en-US"/>
        </w:rPr>
        <w:t>STPs</w:t>
      </w:r>
      <w:r w:rsidRPr="00C90AC9">
        <w:rPr>
          <w:rFonts w:eastAsiaTheme="minorHAnsi"/>
          <w:lang w:eastAsia="en-US"/>
        </w:rPr>
        <w:t xml:space="preserve"> installed (the PEOU) with the PU of having the </w:t>
      </w:r>
      <w:r w:rsidR="006518C0" w:rsidRPr="00C90AC9">
        <w:rPr>
          <w:rFonts w:eastAsiaTheme="minorHAnsi"/>
          <w:lang w:eastAsia="en-US"/>
        </w:rPr>
        <w:t>STPs</w:t>
      </w:r>
      <w:r w:rsidRPr="00C90AC9">
        <w:rPr>
          <w:rFonts w:eastAsiaTheme="minorHAnsi"/>
          <w:lang w:eastAsia="en-US"/>
        </w:rPr>
        <w:t>. This hinted that there was a trade-off between the PEOU and the PU with the PEOU having a greater utility to consumers.</w:t>
      </w:r>
    </w:p>
    <w:p w:rsidR="00A16B8C" w:rsidRPr="00C90AC9" w:rsidRDefault="00A16B8C" w:rsidP="00FC38E5">
      <w:pPr>
        <w:pStyle w:val="BodyText"/>
        <w:spacing w:line="360" w:lineRule="auto"/>
        <w:rPr>
          <w:rFonts w:eastAsiaTheme="minorHAnsi"/>
          <w:lang w:eastAsia="en-US"/>
        </w:rPr>
      </w:pPr>
      <w:r w:rsidRPr="00C90AC9">
        <w:rPr>
          <w:rFonts w:eastAsiaTheme="minorHAnsi"/>
          <w:lang w:eastAsia="en-US"/>
        </w:rPr>
        <w:t>A major concern that was apparent across each of the different groups that do not have solar thermal panels on their property was that the panels would not be capable of supplying them with sufficient enough hot water in the UK. It was discussed about whether England was “too cold and cloudy a country” or “too far away from the equator” to provide enough energy so as to provide all the hot water needs for the participants. The Perceived Usefulness (PU) of the panels was clearly a concern to the participants of the focus groups who had never used solar thermal panels before.</w:t>
      </w:r>
    </w:p>
    <w:p w:rsidR="003F295A" w:rsidRPr="00C90AC9" w:rsidRDefault="00A16B8C" w:rsidP="003F295A">
      <w:pPr>
        <w:pStyle w:val="BodyText"/>
        <w:spacing w:line="360" w:lineRule="auto"/>
        <w:rPr>
          <w:rFonts w:eastAsiaTheme="minorHAnsi"/>
          <w:lang w:eastAsia="en-US"/>
        </w:rPr>
      </w:pPr>
      <w:r w:rsidRPr="00C90AC9">
        <w:rPr>
          <w:rFonts w:eastAsiaTheme="minorHAnsi"/>
          <w:lang w:eastAsia="en-US"/>
        </w:rPr>
        <w:t>There were additional comments about the effectiveness of the panels to provide hot water throughout the day at different months of the y</w:t>
      </w:r>
      <w:r w:rsidR="008E008E" w:rsidRPr="00C90AC9">
        <w:rPr>
          <w:rFonts w:eastAsiaTheme="minorHAnsi"/>
          <w:lang w:eastAsia="en-US"/>
        </w:rPr>
        <w:t>ear. The participants clearly were</w:t>
      </w:r>
      <w:r w:rsidRPr="00C90AC9">
        <w:rPr>
          <w:rFonts w:eastAsiaTheme="minorHAnsi"/>
          <w:lang w:eastAsia="en-US"/>
        </w:rPr>
        <w:t xml:space="preserve"> aware of how flat plate panels raise the temperature of water as they were concerned that during different seasons of the year the flat plate panels would not be capable of supplying all of their hot water demands.</w:t>
      </w:r>
    </w:p>
    <w:p w:rsidR="00A16B8C" w:rsidRPr="00C90AC9" w:rsidRDefault="00A16B8C" w:rsidP="003F295A">
      <w:pPr>
        <w:pStyle w:val="BodyText"/>
        <w:spacing w:line="360" w:lineRule="auto"/>
        <w:rPr>
          <w:rFonts w:eastAsiaTheme="minorHAnsi"/>
          <w:b/>
        </w:rPr>
      </w:pPr>
      <w:r w:rsidRPr="00C90AC9">
        <w:rPr>
          <w:rFonts w:eastAsiaTheme="minorHAnsi"/>
          <w:b/>
        </w:rPr>
        <w:t>Group #3, 2012, M: “I don’t believe it would provide enough hot water every day.”</w:t>
      </w:r>
    </w:p>
    <w:p w:rsidR="00A16B8C" w:rsidRPr="00C90AC9" w:rsidRDefault="00A16B8C" w:rsidP="00FC38E5">
      <w:pPr>
        <w:pStyle w:val="BodyText"/>
        <w:spacing w:line="360" w:lineRule="auto"/>
        <w:rPr>
          <w:rFonts w:eastAsiaTheme="minorHAnsi"/>
          <w:b/>
          <w:lang w:eastAsia="en-US"/>
        </w:rPr>
      </w:pPr>
      <w:r w:rsidRPr="00C90AC9">
        <w:rPr>
          <w:rFonts w:eastAsiaTheme="minorHAnsi"/>
          <w:lang w:eastAsia="en-US"/>
        </w:rPr>
        <w:lastRenderedPageBreak/>
        <w:t>Other participants combined their disbelief that the panels could provide sufficient volumes of hot water at a hot enough temperature with the concern that the panels would be too heavy for the roofs of their houses and might cause the roof to collapse. This was a reoccurring worry but each time the worry was repeated by different participants there seemed to be little actual concern and more of amusement at the idea of a roof collapsing.</w:t>
      </w:r>
    </w:p>
    <w:p w:rsidR="00A16B8C" w:rsidRPr="00C90AC9" w:rsidRDefault="00A16B8C" w:rsidP="00FC38E5">
      <w:pPr>
        <w:pStyle w:val="BodyText"/>
        <w:spacing w:line="360" w:lineRule="auto"/>
        <w:rPr>
          <w:rFonts w:eastAsiaTheme="minorHAnsi"/>
          <w:b/>
          <w:lang w:eastAsia="en-US"/>
        </w:rPr>
      </w:pPr>
      <w:r w:rsidRPr="00C90AC9">
        <w:rPr>
          <w:rFonts w:eastAsiaTheme="minorHAnsi"/>
          <w:b/>
          <w:lang w:eastAsia="en-US"/>
        </w:rPr>
        <w:t>Group #3, 2012, M: “How efficient is it is my question. You can get all four seasons in one day...I don’t mind water running through my roof so long as it’s safe and it doesn’t leak and my roof doesn’t come falling down.”</w:t>
      </w:r>
    </w:p>
    <w:p w:rsidR="00A16B8C" w:rsidRPr="00C90AC9" w:rsidRDefault="00A16B8C" w:rsidP="00FC38E5">
      <w:pPr>
        <w:pStyle w:val="BodyText"/>
        <w:spacing w:line="360" w:lineRule="auto"/>
        <w:rPr>
          <w:rFonts w:eastAsiaTheme="minorHAnsi"/>
          <w:lang w:eastAsia="en-US"/>
        </w:rPr>
      </w:pPr>
      <w:r w:rsidRPr="00C90AC9">
        <w:rPr>
          <w:rFonts w:eastAsiaTheme="minorHAnsi"/>
          <w:lang w:eastAsia="en-US"/>
        </w:rPr>
        <w:t xml:space="preserve">It was clear to all focus groups </w:t>
      </w:r>
      <w:r w:rsidR="002413A9" w:rsidRPr="00C90AC9">
        <w:rPr>
          <w:rFonts w:eastAsiaTheme="minorHAnsi"/>
          <w:lang w:eastAsia="en-US"/>
        </w:rPr>
        <w:t xml:space="preserve">held with groups that do not own STPs </w:t>
      </w:r>
      <w:r w:rsidRPr="00C90AC9">
        <w:rPr>
          <w:rFonts w:eastAsiaTheme="minorHAnsi"/>
          <w:lang w:eastAsia="en-US"/>
        </w:rPr>
        <w:t xml:space="preserve">that the panels would not be able to provide enough hot water for their needs in a UK climate but none of the participants raised the question of how water would be heated to a sufficient temperature in sufficient quantities. </w:t>
      </w:r>
      <w:r w:rsidR="002413A9" w:rsidRPr="00C90AC9">
        <w:rPr>
          <w:rFonts w:eastAsiaTheme="minorHAnsi"/>
          <w:lang w:eastAsia="en-US"/>
        </w:rPr>
        <w:t>In the focus groups held with participants who do own STPs the perception was very positive about STPs ability to provide sufficient hot water:</w:t>
      </w:r>
    </w:p>
    <w:p w:rsidR="002413A9" w:rsidRPr="00C90AC9" w:rsidRDefault="002413A9" w:rsidP="00FC38E5">
      <w:pPr>
        <w:pStyle w:val="BodyText"/>
        <w:spacing w:line="360" w:lineRule="auto"/>
        <w:rPr>
          <w:rFonts w:eastAsiaTheme="minorHAnsi"/>
          <w:lang w:eastAsia="en-US"/>
        </w:rPr>
      </w:pPr>
    </w:p>
    <w:p w:rsidR="00A16B8C" w:rsidRPr="00C90AC9" w:rsidRDefault="00A16B8C" w:rsidP="00FC38E5">
      <w:pPr>
        <w:pStyle w:val="BodyText"/>
        <w:spacing w:line="360" w:lineRule="auto"/>
        <w:rPr>
          <w:rFonts w:eastAsiaTheme="minorHAnsi"/>
          <w:lang w:eastAsia="en-US"/>
        </w:rPr>
      </w:pPr>
      <w:r w:rsidRPr="00C90AC9">
        <w:rPr>
          <w:rFonts w:eastAsiaTheme="minorHAnsi"/>
          <w:lang w:eastAsia="en-US"/>
        </w:rPr>
        <w:t xml:space="preserve">The idea of water which has been heated by the </w:t>
      </w:r>
      <w:r w:rsidR="000450FC" w:rsidRPr="00C90AC9">
        <w:rPr>
          <w:rFonts w:eastAsiaTheme="minorHAnsi"/>
          <w:lang w:eastAsia="en-US"/>
        </w:rPr>
        <w:t>sun</w:t>
      </w:r>
      <w:r w:rsidRPr="00C90AC9">
        <w:rPr>
          <w:rFonts w:eastAsiaTheme="minorHAnsi"/>
          <w:lang w:eastAsia="en-US"/>
        </w:rPr>
        <w:t xml:space="preserve"> being safe to drink was an issue that was raised a number of times in different groups, but what was common to each </w:t>
      </w:r>
      <w:proofErr w:type="gramStart"/>
      <w:r w:rsidRPr="00C90AC9">
        <w:rPr>
          <w:rFonts w:eastAsiaTheme="minorHAnsi"/>
          <w:lang w:eastAsia="en-US"/>
        </w:rPr>
        <w:t>groups</w:t>
      </w:r>
      <w:proofErr w:type="gramEnd"/>
      <w:r w:rsidRPr="00C90AC9">
        <w:rPr>
          <w:rFonts w:eastAsiaTheme="minorHAnsi"/>
          <w:lang w:eastAsia="en-US"/>
        </w:rPr>
        <w:t xml:space="preserve"> is that once a decision was made by a group member that there would no health risks inherent with </w:t>
      </w:r>
      <w:r w:rsidR="000450FC" w:rsidRPr="00C90AC9">
        <w:rPr>
          <w:rFonts w:eastAsiaTheme="minorHAnsi"/>
          <w:lang w:eastAsia="en-US"/>
        </w:rPr>
        <w:t>sun</w:t>
      </w:r>
      <w:r w:rsidRPr="00C90AC9">
        <w:rPr>
          <w:rFonts w:eastAsiaTheme="minorHAnsi"/>
          <w:lang w:eastAsia="en-US"/>
        </w:rPr>
        <w:t xml:space="preserve"> heated water the worry in each focus group was dropped. Legionnaires Disease was mentioned a few times a potential risk to having </w:t>
      </w:r>
      <w:r w:rsidR="006518C0" w:rsidRPr="00C90AC9">
        <w:rPr>
          <w:rFonts w:eastAsiaTheme="minorHAnsi"/>
          <w:lang w:eastAsia="en-US"/>
        </w:rPr>
        <w:t>STPs</w:t>
      </w:r>
      <w:r w:rsidRPr="00C90AC9">
        <w:rPr>
          <w:rFonts w:eastAsiaTheme="minorHAnsi"/>
          <w:lang w:eastAsia="en-US"/>
        </w:rPr>
        <w:t xml:space="preserve"> but there was quite often on participant who would claim that there were no health regards in the respect. </w:t>
      </w:r>
      <w:r w:rsidR="008E008E" w:rsidRPr="00C90AC9">
        <w:rPr>
          <w:rFonts w:eastAsiaTheme="minorHAnsi"/>
          <w:lang w:eastAsia="en-US"/>
        </w:rPr>
        <w:t>Additionally,</w:t>
      </w:r>
      <w:r w:rsidRPr="00C90AC9">
        <w:rPr>
          <w:rFonts w:eastAsiaTheme="minorHAnsi"/>
          <w:lang w:eastAsia="en-US"/>
        </w:rPr>
        <w:t xml:space="preserve"> when Legionnaire’s Disease was raised it was felt that there was probably some regulation ensuring the safety of residents. </w:t>
      </w:r>
    </w:p>
    <w:p w:rsidR="00A16B8C" w:rsidRPr="00C90AC9" w:rsidRDefault="00A16B8C" w:rsidP="00FC38E5">
      <w:pPr>
        <w:pStyle w:val="BodyText"/>
        <w:spacing w:line="360" w:lineRule="auto"/>
        <w:rPr>
          <w:rFonts w:eastAsiaTheme="minorHAnsi"/>
          <w:b/>
          <w:lang w:eastAsia="en-US"/>
        </w:rPr>
      </w:pPr>
      <w:r w:rsidRPr="00C90AC9">
        <w:rPr>
          <w:rFonts w:eastAsiaTheme="minorHAnsi"/>
          <w:b/>
          <w:lang w:eastAsia="en-US"/>
        </w:rPr>
        <w:t>Group #2, 2012, F: “…I’d want to know not only can it heat the water safely, but that it’s well-insulated so it’s not going to freeze and water pipes burst and it’s a nightmare to repair it.”</w:t>
      </w:r>
    </w:p>
    <w:p w:rsidR="00A16B8C" w:rsidRPr="00C90AC9" w:rsidRDefault="00A16B8C" w:rsidP="00FC38E5">
      <w:pPr>
        <w:pStyle w:val="BodyText"/>
        <w:spacing w:line="360" w:lineRule="auto"/>
        <w:rPr>
          <w:rFonts w:eastAsiaTheme="minorHAnsi"/>
          <w:lang w:eastAsia="en-US"/>
        </w:rPr>
      </w:pPr>
      <w:r w:rsidRPr="00C90AC9">
        <w:rPr>
          <w:rFonts w:eastAsiaTheme="minorHAnsi"/>
          <w:lang w:eastAsia="en-US"/>
        </w:rPr>
        <w:t xml:space="preserve">It was clear during the focus groups and when listening back to the audio recordings that the participants were thinking about the pros and cons of having </w:t>
      </w:r>
      <w:r w:rsidR="006518C0" w:rsidRPr="00C90AC9">
        <w:rPr>
          <w:rFonts w:eastAsiaTheme="minorHAnsi"/>
          <w:lang w:eastAsia="en-US"/>
        </w:rPr>
        <w:t>STPs</w:t>
      </w:r>
      <w:r w:rsidRPr="00C90AC9">
        <w:rPr>
          <w:rFonts w:eastAsiaTheme="minorHAnsi"/>
          <w:lang w:eastAsia="en-US"/>
        </w:rPr>
        <w:t xml:space="preserve"> installed on their roofs early on in the discussions. The participants were not only thinking about the benefits and utility of having the panels but also any potential costs and downsides to having </w:t>
      </w:r>
      <w:r w:rsidR="006518C0" w:rsidRPr="00C90AC9">
        <w:rPr>
          <w:rFonts w:eastAsiaTheme="minorHAnsi"/>
          <w:lang w:eastAsia="en-US"/>
        </w:rPr>
        <w:t>STPs</w:t>
      </w:r>
      <w:r w:rsidRPr="00C90AC9">
        <w:rPr>
          <w:rFonts w:eastAsiaTheme="minorHAnsi"/>
          <w:lang w:eastAsia="en-US"/>
        </w:rPr>
        <w:t xml:space="preserve"> installed on their homes, even in the groups of participants that do not have </w:t>
      </w:r>
      <w:r w:rsidR="006518C0" w:rsidRPr="00C90AC9">
        <w:rPr>
          <w:rFonts w:eastAsiaTheme="minorHAnsi"/>
          <w:lang w:eastAsia="en-US"/>
        </w:rPr>
        <w:t>STPs</w:t>
      </w:r>
      <w:r w:rsidRPr="00C90AC9">
        <w:rPr>
          <w:rFonts w:eastAsiaTheme="minorHAnsi"/>
          <w:lang w:eastAsia="en-US"/>
        </w:rPr>
        <w:t xml:space="preserve"> currently installed on their homes. Many participants confessed to not being well informed enough on specific suitability </w:t>
      </w:r>
      <w:r w:rsidRPr="00C90AC9">
        <w:rPr>
          <w:rFonts w:eastAsiaTheme="minorHAnsi"/>
          <w:lang w:eastAsia="en-US"/>
        </w:rPr>
        <w:lastRenderedPageBreak/>
        <w:t xml:space="preserve">of having </w:t>
      </w:r>
      <w:r w:rsidR="006518C0" w:rsidRPr="00C90AC9">
        <w:rPr>
          <w:rFonts w:eastAsiaTheme="minorHAnsi"/>
          <w:lang w:eastAsia="en-US"/>
        </w:rPr>
        <w:t>STPs</w:t>
      </w:r>
      <w:r w:rsidRPr="00C90AC9">
        <w:rPr>
          <w:rFonts w:eastAsiaTheme="minorHAnsi"/>
          <w:lang w:eastAsia="en-US"/>
        </w:rPr>
        <w:t xml:space="preserve"> on their properties as well as a proportion of participants being unclear about how </w:t>
      </w:r>
      <w:r w:rsidR="006518C0" w:rsidRPr="00C90AC9">
        <w:rPr>
          <w:rFonts w:eastAsiaTheme="minorHAnsi"/>
          <w:lang w:eastAsia="en-US"/>
        </w:rPr>
        <w:t>STPs</w:t>
      </w:r>
      <w:r w:rsidRPr="00C90AC9">
        <w:rPr>
          <w:rFonts w:eastAsiaTheme="minorHAnsi"/>
          <w:lang w:eastAsia="en-US"/>
        </w:rPr>
        <w:t xml:space="preserve"> could achieve water hot enough to use in a bath or shower. </w:t>
      </w:r>
    </w:p>
    <w:p w:rsidR="00A16B8C" w:rsidRPr="00C90AC9" w:rsidRDefault="00A16B8C" w:rsidP="00FC38E5">
      <w:pPr>
        <w:pStyle w:val="BodyText"/>
        <w:spacing w:line="360" w:lineRule="auto"/>
        <w:rPr>
          <w:rFonts w:eastAsiaTheme="minorHAnsi"/>
          <w:b/>
          <w:lang w:eastAsia="en-US"/>
        </w:rPr>
      </w:pPr>
      <w:r w:rsidRPr="00C90AC9">
        <w:rPr>
          <w:rFonts w:eastAsiaTheme="minorHAnsi"/>
          <w:b/>
          <w:lang w:eastAsia="en-US"/>
        </w:rPr>
        <w:t xml:space="preserve">Group #3, 2012, M: “I don’t know enough of them about how they’d cope with the cold weather. It’s one thing having water pipes through your roof when it’s </w:t>
      </w:r>
      <w:r w:rsidR="000450FC" w:rsidRPr="00C90AC9">
        <w:rPr>
          <w:rFonts w:eastAsiaTheme="minorHAnsi"/>
          <w:b/>
          <w:lang w:eastAsia="en-US"/>
        </w:rPr>
        <w:t>sun</w:t>
      </w:r>
      <w:r w:rsidRPr="00C90AC9">
        <w:rPr>
          <w:rFonts w:eastAsiaTheme="minorHAnsi"/>
          <w:b/>
          <w:lang w:eastAsia="en-US"/>
        </w:rPr>
        <w:t xml:space="preserve">ny but when it’s -16 </w:t>
      </w:r>
      <w:r w:rsidR="004540B8" w:rsidRPr="00C90AC9">
        <w:rPr>
          <w:rFonts w:eastAsiaTheme="minorHAnsi"/>
          <w:b/>
          <w:iCs/>
          <w:lang w:eastAsia="en-US"/>
        </w:rPr>
        <w:t>(</w:t>
      </w:r>
      <w:r w:rsidRPr="00C90AC9">
        <w:rPr>
          <w:rFonts w:eastAsiaTheme="minorHAnsi"/>
          <w:b/>
          <w:iCs/>
          <w:lang w:eastAsia="en-US"/>
        </w:rPr>
        <w:t>degrees Celsius</w:t>
      </w:r>
      <w:r w:rsidR="004540B8" w:rsidRPr="00C90AC9">
        <w:rPr>
          <w:rFonts w:eastAsiaTheme="minorHAnsi"/>
          <w:b/>
          <w:iCs/>
          <w:lang w:eastAsia="en-US"/>
        </w:rPr>
        <w:t>)</w:t>
      </w:r>
      <w:r w:rsidRPr="00C90AC9">
        <w:rPr>
          <w:rFonts w:eastAsiaTheme="minorHAnsi"/>
          <w:b/>
          <w:lang w:eastAsia="en-US"/>
        </w:rPr>
        <w:t xml:space="preserve"> I’d wonder about them.</w:t>
      </w:r>
    </w:p>
    <w:p w:rsidR="00A16B8C" w:rsidRPr="00C90AC9" w:rsidRDefault="00A16B8C" w:rsidP="00FC38E5">
      <w:pPr>
        <w:pStyle w:val="BodyText"/>
        <w:spacing w:line="360" w:lineRule="auto"/>
        <w:rPr>
          <w:rFonts w:eastAsiaTheme="minorHAnsi"/>
          <w:lang w:eastAsia="en-US"/>
        </w:rPr>
      </w:pPr>
      <w:r w:rsidRPr="00C90AC9">
        <w:rPr>
          <w:rFonts w:eastAsiaTheme="minorHAnsi"/>
          <w:lang w:eastAsia="en-US"/>
        </w:rPr>
        <w:t xml:space="preserve">Not understanding how they worked exactly was true even in the focus groups with participants who have </w:t>
      </w:r>
      <w:r w:rsidR="006518C0" w:rsidRPr="00C90AC9">
        <w:rPr>
          <w:rFonts w:eastAsiaTheme="minorHAnsi"/>
          <w:lang w:eastAsia="en-US"/>
        </w:rPr>
        <w:t>STPs</w:t>
      </w:r>
      <w:r w:rsidRPr="00C90AC9">
        <w:rPr>
          <w:rFonts w:eastAsiaTheme="minorHAnsi"/>
          <w:lang w:eastAsia="en-US"/>
        </w:rPr>
        <w:t xml:space="preserve"> installed on their homes. It was mentioned and agreed on that they didn’t care greatly about how the panels operate but they experienced the daily hot water and the monthly reduction in their domestic energy costs and that was good enough.</w:t>
      </w:r>
    </w:p>
    <w:p w:rsidR="00A16B8C" w:rsidRPr="00C90AC9" w:rsidRDefault="008E008E" w:rsidP="00FC38E5">
      <w:pPr>
        <w:pStyle w:val="BodyText"/>
        <w:spacing w:line="360" w:lineRule="auto"/>
        <w:rPr>
          <w:rFonts w:eastAsiaTheme="minorHAnsi"/>
          <w:i/>
          <w:lang w:eastAsia="en-US"/>
        </w:rPr>
      </w:pPr>
      <w:r w:rsidRPr="00C90AC9">
        <w:rPr>
          <w:rFonts w:eastAsiaTheme="minorHAnsi"/>
          <w:lang w:eastAsia="en-US"/>
        </w:rPr>
        <w:t>However,</w:t>
      </w:r>
      <w:r w:rsidR="00A16B8C" w:rsidRPr="00C90AC9">
        <w:rPr>
          <w:rFonts w:eastAsiaTheme="minorHAnsi"/>
          <w:lang w:eastAsia="en-US"/>
        </w:rPr>
        <w:t xml:space="preserve"> when an individual in the focus groups commented that they had used solar heated hot water in other countries the rest of the participants did not pursue their interest in the downsides with as much vigour. It placated them.</w:t>
      </w:r>
    </w:p>
    <w:p w:rsidR="00A16B8C" w:rsidRPr="00C90AC9" w:rsidRDefault="00A16B8C" w:rsidP="00FC38E5">
      <w:pPr>
        <w:pStyle w:val="BodyTextFirstIndent"/>
        <w:spacing w:line="360" w:lineRule="auto"/>
        <w:ind w:firstLine="0"/>
        <w:rPr>
          <w:rFonts w:eastAsiaTheme="minorHAnsi"/>
          <w:b/>
          <w:lang w:eastAsia="en-US"/>
        </w:rPr>
      </w:pPr>
      <w:r w:rsidRPr="00C90AC9">
        <w:rPr>
          <w:rFonts w:eastAsiaTheme="minorHAnsi"/>
          <w:b/>
          <w:lang w:eastAsia="en-US"/>
        </w:rPr>
        <w:t xml:space="preserve">Group #2, 2012, F: “When I’m abroad I use baths and showers heated by the </w:t>
      </w:r>
      <w:r w:rsidR="000450FC" w:rsidRPr="00C90AC9">
        <w:rPr>
          <w:rFonts w:eastAsiaTheme="minorHAnsi"/>
          <w:b/>
          <w:lang w:eastAsia="en-US"/>
        </w:rPr>
        <w:t>sun</w:t>
      </w:r>
      <w:r w:rsidRPr="00C90AC9">
        <w:rPr>
          <w:rFonts w:eastAsiaTheme="minorHAnsi"/>
          <w:b/>
          <w:lang w:eastAsia="en-US"/>
        </w:rPr>
        <w:t xml:space="preserve">, no doubts about that whatsoever.”   </w:t>
      </w:r>
    </w:p>
    <w:p w:rsidR="00A16B8C" w:rsidRPr="00C90AC9" w:rsidRDefault="00A16B8C" w:rsidP="00FC38E5">
      <w:pPr>
        <w:pStyle w:val="BodyText"/>
        <w:spacing w:line="360" w:lineRule="auto"/>
        <w:rPr>
          <w:rFonts w:eastAsiaTheme="minorHAnsi"/>
          <w:lang w:eastAsia="en-US"/>
        </w:rPr>
      </w:pPr>
      <w:r w:rsidRPr="00C90AC9">
        <w:rPr>
          <w:rFonts w:eastAsiaTheme="minorHAnsi"/>
          <w:lang w:eastAsia="en-US"/>
        </w:rPr>
        <w:t xml:space="preserve">It was clear that the utility of water being heated by the </w:t>
      </w:r>
      <w:r w:rsidR="000450FC" w:rsidRPr="00C90AC9">
        <w:rPr>
          <w:rFonts w:eastAsiaTheme="minorHAnsi"/>
          <w:lang w:eastAsia="en-US"/>
        </w:rPr>
        <w:t>sun</w:t>
      </w:r>
      <w:r w:rsidRPr="00C90AC9">
        <w:rPr>
          <w:rFonts w:eastAsiaTheme="minorHAnsi"/>
          <w:lang w:eastAsia="en-US"/>
        </w:rPr>
        <w:t xml:space="preserve"> was of greater importance than any concerns the participants had with the water being heated by the </w:t>
      </w:r>
      <w:r w:rsidR="000450FC" w:rsidRPr="00C90AC9">
        <w:rPr>
          <w:rFonts w:eastAsiaTheme="minorHAnsi"/>
          <w:lang w:eastAsia="en-US"/>
        </w:rPr>
        <w:t>sun</w:t>
      </w:r>
      <w:r w:rsidRPr="00C90AC9">
        <w:rPr>
          <w:rFonts w:eastAsiaTheme="minorHAnsi"/>
          <w:lang w:eastAsia="en-US"/>
        </w:rPr>
        <w:t xml:space="preserve">. There were a few participants who had had some experience of solar collectors when abroad and the participants spoke favourably of their experiences. Not only of the water being hot enough but also of them liking the idea that the water was heated by the </w:t>
      </w:r>
      <w:r w:rsidR="000450FC" w:rsidRPr="00C90AC9">
        <w:rPr>
          <w:rFonts w:eastAsiaTheme="minorHAnsi"/>
          <w:lang w:eastAsia="en-US"/>
        </w:rPr>
        <w:t>sun</w:t>
      </w:r>
      <w:r w:rsidRPr="00C90AC9">
        <w:rPr>
          <w:rFonts w:eastAsiaTheme="minorHAnsi"/>
          <w:lang w:eastAsia="en-US"/>
        </w:rPr>
        <w:t>.</w:t>
      </w:r>
    </w:p>
    <w:p w:rsidR="00A16B8C" w:rsidRPr="00C90AC9" w:rsidRDefault="00A16B8C" w:rsidP="00FC38E5">
      <w:pPr>
        <w:pStyle w:val="BodyText"/>
        <w:spacing w:line="360" w:lineRule="auto"/>
        <w:rPr>
          <w:rFonts w:eastAsiaTheme="minorHAnsi"/>
          <w:lang w:eastAsia="en-US"/>
        </w:rPr>
      </w:pPr>
      <w:r w:rsidRPr="00C90AC9">
        <w:rPr>
          <w:rFonts w:eastAsiaTheme="minorHAnsi"/>
          <w:lang w:eastAsia="en-US"/>
        </w:rPr>
        <w:t xml:space="preserve">Participants also had various concerns with the panels from freezing or needing complex and expensive </w:t>
      </w:r>
      <w:r w:rsidR="00E82522" w:rsidRPr="00C90AC9">
        <w:rPr>
          <w:rFonts w:eastAsiaTheme="minorHAnsi"/>
          <w:lang w:eastAsia="en-US"/>
        </w:rPr>
        <w:t>main</w:t>
      </w:r>
      <w:r w:rsidRPr="00C90AC9">
        <w:rPr>
          <w:rFonts w:eastAsiaTheme="minorHAnsi"/>
          <w:lang w:eastAsia="en-US"/>
        </w:rPr>
        <w:t xml:space="preserve">tenance. Some participants wanted the </w:t>
      </w:r>
      <w:r w:rsidR="00E82522" w:rsidRPr="00C90AC9">
        <w:rPr>
          <w:rFonts w:eastAsiaTheme="minorHAnsi"/>
          <w:lang w:eastAsia="en-US"/>
        </w:rPr>
        <w:t>main</w:t>
      </w:r>
      <w:r w:rsidRPr="00C90AC9">
        <w:rPr>
          <w:rFonts w:eastAsiaTheme="minorHAnsi"/>
          <w:lang w:eastAsia="en-US"/>
        </w:rPr>
        <w:t>tenance to be completed by the manufacturer of the STP and others wanted to be able to repair panel if needs be.</w:t>
      </w:r>
    </w:p>
    <w:p w:rsidR="00A16B8C" w:rsidRPr="00C90AC9" w:rsidRDefault="00A16B8C" w:rsidP="00FC38E5">
      <w:pPr>
        <w:pStyle w:val="BodyText"/>
        <w:spacing w:line="360" w:lineRule="auto"/>
        <w:rPr>
          <w:rFonts w:eastAsiaTheme="minorHAnsi"/>
          <w:b/>
          <w:lang w:eastAsia="en-US"/>
        </w:rPr>
      </w:pPr>
      <w:r w:rsidRPr="00C90AC9">
        <w:rPr>
          <w:rFonts w:eastAsiaTheme="minorHAnsi"/>
          <w:b/>
          <w:lang w:eastAsia="en-US"/>
        </w:rPr>
        <w:t xml:space="preserve">Group #4, 2012, F: “A workman could easily get up there </w:t>
      </w:r>
      <w:r w:rsidR="004540B8" w:rsidRPr="00C90AC9">
        <w:rPr>
          <w:rFonts w:eastAsiaTheme="minorHAnsi"/>
          <w:b/>
          <w:lang w:eastAsia="en-US"/>
        </w:rPr>
        <w:t>(</w:t>
      </w:r>
      <w:r w:rsidRPr="00C90AC9">
        <w:rPr>
          <w:rFonts w:eastAsiaTheme="minorHAnsi"/>
          <w:b/>
          <w:lang w:eastAsia="en-US"/>
        </w:rPr>
        <w:t>on the roof</w:t>
      </w:r>
      <w:r w:rsidR="004540B8" w:rsidRPr="00C90AC9">
        <w:rPr>
          <w:rFonts w:eastAsiaTheme="minorHAnsi"/>
          <w:b/>
          <w:lang w:eastAsia="en-US"/>
        </w:rPr>
        <w:t>)</w:t>
      </w:r>
      <w:r w:rsidRPr="00C90AC9">
        <w:rPr>
          <w:rFonts w:eastAsiaTheme="minorHAnsi"/>
          <w:b/>
          <w:lang w:eastAsia="en-US"/>
        </w:rPr>
        <w:t>. I’m a bit scared of falling off of roofs, so the idea of climbing up a ladder to get up to that one is a bit scary.</w:t>
      </w:r>
    </w:p>
    <w:p w:rsidR="00A16B8C" w:rsidRPr="00C90AC9" w:rsidRDefault="00A16B8C" w:rsidP="00012484">
      <w:pPr>
        <w:pStyle w:val="BodyText"/>
        <w:spacing w:line="360" w:lineRule="auto"/>
        <w:rPr>
          <w:rFonts w:eastAsiaTheme="minorHAnsi"/>
          <w:lang w:eastAsia="en-US"/>
        </w:rPr>
      </w:pPr>
      <w:r w:rsidRPr="00C90AC9">
        <w:rPr>
          <w:rFonts w:eastAsiaTheme="minorHAnsi"/>
          <w:lang w:eastAsia="en-US"/>
        </w:rPr>
        <w:t xml:space="preserve">There was a clear perception across all of the focus groups that the lifetime of the panels was an important factor to consider prior to investing in the panels due to the inaccessibility of the panels for regular </w:t>
      </w:r>
      <w:r w:rsidR="00E82522" w:rsidRPr="00C90AC9">
        <w:rPr>
          <w:rFonts w:eastAsiaTheme="minorHAnsi"/>
          <w:lang w:eastAsia="en-US"/>
        </w:rPr>
        <w:t>main</w:t>
      </w:r>
      <w:r w:rsidRPr="00C90AC9">
        <w:rPr>
          <w:rFonts w:eastAsiaTheme="minorHAnsi"/>
          <w:lang w:eastAsia="en-US"/>
        </w:rPr>
        <w:t xml:space="preserve">tenance. </w:t>
      </w:r>
    </w:p>
    <w:p w:rsidR="00922AF6" w:rsidRPr="00C90AC9" w:rsidRDefault="00922AF6" w:rsidP="00FC38E5">
      <w:pPr>
        <w:pStyle w:val="BodyText"/>
        <w:spacing w:line="360" w:lineRule="auto"/>
        <w:rPr>
          <w:rFonts w:eastAsiaTheme="minorHAnsi"/>
          <w:lang w:eastAsia="en-US"/>
        </w:rPr>
      </w:pPr>
    </w:p>
    <w:p w:rsidR="00922AF6" w:rsidRPr="00C90AC9" w:rsidRDefault="00922AF6" w:rsidP="00FC38E5">
      <w:pPr>
        <w:pStyle w:val="BodyText"/>
        <w:spacing w:line="360" w:lineRule="auto"/>
        <w:rPr>
          <w:rFonts w:eastAsiaTheme="minorHAnsi"/>
          <w:lang w:eastAsia="en-US"/>
        </w:rPr>
      </w:pPr>
    </w:p>
    <w:p w:rsidR="00D61146" w:rsidRPr="00C90AC9" w:rsidRDefault="00D61146" w:rsidP="00FC38E5">
      <w:pPr>
        <w:pStyle w:val="BodyText"/>
        <w:spacing w:line="360" w:lineRule="auto"/>
        <w:rPr>
          <w:rFonts w:eastAsiaTheme="minorHAnsi"/>
          <w:lang w:eastAsia="en-US"/>
        </w:rPr>
      </w:pPr>
    </w:p>
    <w:p w:rsidR="00F67615" w:rsidRPr="00C90AC9" w:rsidRDefault="00F67615" w:rsidP="00B06779">
      <w:pPr>
        <w:pStyle w:val="BodyText"/>
        <w:rPr>
          <w:rFonts w:eastAsiaTheme="minorHAnsi"/>
          <w:lang w:eastAsia="en-US"/>
        </w:rPr>
      </w:pPr>
    </w:p>
    <w:p w:rsidR="00A16B8C" w:rsidRPr="00C90AC9" w:rsidRDefault="00A16B8C" w:rsidP="00CA6E35">
      <w:pPr>
        <w:pStyle w:val="List2"/>
        <w:numPr>
          <w:ilvl w:val="2"/>
          <w:numId w:val="28"/>
        </w:numPr>
        <w:ind w:left="0" w:firstLine="0"/>
        <w:rPr>
          <w:rStyle w:val="SubtleEmphasis"/>
          <w:rFonts w:cs="Times New Roman"/>
          <w:szCs w:val="24"/>
        </w:rPr>
      </w:pPr>
      <w:r w:rsidRPr="00C90AC9">
        <w:rPr>
          <w:rStyle w:val="SubtleEmphasis"/>
          <w:rFonts w:cs="Times New Roman"/>
          <w:szCs w:val="24"/>
        </w:rPr>
        <w:lastRenderedPageBreak/>
        <w:t xml:space="preserve"> Reasons for adopting </w:t>
      </w:r>
      <w:r w:rsidR="006518C0" w:rsidRPr="00C90AC9">
        <w:rPr>
          <w:rStyle w:val="SubtleEmphasis"/>
          <w:rFonts w:cs="Times New Roman"/>
          <w:szCs w:val="24"/>
        </w:rPr>
        <w:t>STPs</w:t>
      </w:r>
      <w:r w:rsidRPr="00C90AC9">
        <w:rPr>
          <w:rStyle w:val="SubtleEmphasis"/>
          <w:rFonts w:cs="Times New Roman"/>
          <w:szCs w:val="24"/>
        </w:rPr>
        <w:t xml:space="preserve"> or not adopting </w:t>
      </w:r>
      <w:r w:rsidR="006518C0" w:rsidRPr="00C90AC9">
        <w:rPr>
          <w:rStyle w:val="SubtleEmphasis"/>
          <w:rFonts w:cs="Times New Roman"/>
          <w:szCs w:val="24"/>
        </w:rPr>
        <w:t>STPs</w:t>
      </w:r>
      <w:r w:rsidRPr="00C90AC9">
        <w:rPr>
          <w:rStyle w:val="SubtleEmphasis"/>
          <w:rFonts w:cs="Times New Roman"/>
          <w:szCs w:val="24"/>
        </w:rPr>
        <w:t>, 2012</w:t>
      </w:r>
    </w:p>
    <w:p w:rsidR="00A16B8C" w:rsidRPr="00C90AC9" w:rsidRDefault="00A16B8C" w:rsidP="00FC38E5">
      <w:pPr>
        <w:pStyle w:val="ListContinue2"/>
        <w:spacing w:line="360" w:lineRule="auto"/>
        <w:ind w:left="0"/>
        <w:rPr>
          <w:rFonts w:eastAsiaTheme="minorHAnsi"/>
          <w:lang w:eastAsia="en-US"/>
        </w:rPr>
      </w:pPr>
      <w:r w:rsidRPr="00C90AC9">
        <w:rPr>
          <w:rFonts w:eastAsiaTheme="minorHAnsi"/>
          <w:lang w:eastAsia="en-US"/>
        </w:rPr>
        <w:t xml:space="preserve">There were two key themes </w:t>
      </w:r>
      <w:r w:rsidR="00CD63F8" w:rsidRPr="00C90AC9">
        <w:rPr>
          <w:rFonts w:eastAsiaTheme="minorHAnsi"/>
          <w:lang w:eastAsia="en-US"/>
        </w:rPr>
        <w:t>that came</w:t>
      </w:r>
      <w:r w:rsidRPr="00C90AC9">
        <w:rPr>
          <w:rFonts w:eastAsiaTheme="minorHAnsi"/>
          <w:lang w:eastAsia="en-US"/>
        </w:rPr>
        <w:t xml:space="preserve"> through each </w:t>
      </w:r>
      <w:r w:rsidR="00CD63F8" w:rsidRPr="00C90AC9">
        <w:rPr>
          <w:rFonts w:eastAsiaTheme="minorHAnsi"/>
          <w:lang w:eastAsia="en-US"/>
        </w:rPr>
        <w:t xml:space="preserve">focus groups in both </w:t>
      </w:r>
      <w:proofErr w:type="gramStart"/>
      <w:r w:rsidRPr="00C90AC9">
        <w:rPr>
          <w:rFonts w:eastAsiaTheme="minorHAnsi"/>
          <w:lang w:eastAsia="en-US"/>
        </w:rPr>
        <w:t>year</w:t>
      </w:r>
      <w:r w:rsidR="00CD63F8" w:rsidRPr="00C90AC9">
        <w:rPr>
          <w:rFonts w:eastAsiaTheme="minorHAnsi"/>
          <w:lang w:eastAsia="en-US"/>
        </w:rPr>
        <w:t>’s</w:t>
      </w:r>
      <w:proofErr w:type="gramEnd"/>
      <w:r w:rsidRPr="00C90AC9">
        <w:rPr>
          <w:rFonts w:eastAsiaTheme="minorHAnsi"/>
          <w:lang w:eastAsia="en-US"/>
        </w:rPr>
        <w:t xml:space="preserve"> about the reasons that consumers may buy </w:t>
      </w:r>
      <w:r w:rsidR="006518C0" w:rsidRPr="00C90AC9">
        <w:rPr>
          <w:rFonts w:eastAsiaTheme="minorHAnsi"/>
          <w:lang w:eastAsia="en-US"/>
        </w:rPr>
        <w:t>STPs</w:t>
      </w:r>
      <w:r w:rsidRPr="00C90AC9">
        <w:rPr>
          <w:rFonts w:eastAsiaTheme="minorHAnsi"/>
          <w:lang w:eastAsia="en-US"/>
        </w:rPr>
        <w:t xml:space="preserve">: to lower domestic energy costs; and to address Climate Change. Participants perceived </w:t>
      </w:r>
      <w:r w:rsidR="006518C0" w:rsidRPr="00C90AC9">
        <w:rPr>
          <w:rFonts w:eastAsiaTheme="minorHAnsi"/>
          <w:lang w:eastAsia="en-US"/>
        </w:rPr>
        <w:t>STPs</w:t>
      </w:r>
      <w:r w:rsidRPr="00C90AC9">
        <w:rPr>
          <w:rFonts w:eastAsiaTheme="minorHAnsi"/>
          <w:lang w:eastAsia="en-US"/>
        </w:rPr>
        <w:t xml:space="preserve"> as providing utility by producing heated water daily although the participants were unsure of the effect</w:t>
      </w:r>
      <w:r w:rsidR="00DD3066" w:rsidRPr="00C90AC9">
        <w:rPr>
          <w:rFonts w:eastAsiaTheme="minorHAnsi"/>
          <w:lang w:eastAsia="en-US"/>
        </w:rPr>
        <w:t>iveness of the panels</w:t>
      </w:r>
      <w:r w:rsidRPr="00C90AC9">
        <w:rPr>
          <w:rFonts w:eastAsiaTheme="minorHAnsi"/>
          <w:lang w:eastAsia="en-US"/>
        </w:rPr>
        <w:t xml:space="preserve">. The participants of the focus groups were largely unaware of the costs of the panels and the rate of return of the technology. It was perceived as being a significant investment and a long return on people’s investment yet participants were unable and unwilling to provide any estimates. It was remarked on a few times that STP would benefit people living further south in the UK </w:t>
      </w:r>
    </w:p>
    <w:p w:rsidR="003F295A" w:rsidRPr="00C90AC9" w:rsidRDefault="00A16B8C" w:rsidP="00FC38E5">
      <w:pPr>
        <w:pStyle w:val="ListContinue2"/>
        <w:spacing w:line="360" w:lineRule="auto"/>
        <w:ind w:left="0"/>
        <w:rPr>
          <w:rFonts w:eastAsiaTheme="minorHAnsi"/>
          <w:lang w:eastAsia="en-US"/>
        </w:rPr>
      </w:pPr>
      <w:r w:rsidRPr="00C90AC9">
        <w:rPr>
          <w:rFonts w:eastAsiaTheme="minorHAnsi"/>
          <w:lang w:eastAsia="en-US"/>
        </w:rPr>
        <w:t xml:space="preserve">The value of </w:t>
      </w:r>
      <w:r w:rsidR="006518C0" w:rsidRPr="00C90AC9">
        <w:rPr>
          <w:rFonts w:eastAsiaTheme="minorHAnsi"/>
          <w:lang w:eastAsia="en-US"/>
        </w:rPr>
        <w:t>STPs</w:t>
      </w:r>
      <w:r w:rsidRPr="00C90AC9">
        <w:rPr>
          <w:rFonts w:eastAsiaTheme="minorHAnsi"/>
          <w:lang w:eastAsia="en-US"/>
        </w:rPr>
        <w:t xml:space="preserve"> in addressing Climate Change was not quantified by any of the participants but the technology was perceived as being beneficial to reducing fossil fuel usage and therefore having a positive impact on Climate Change. A few participants recognised the panels as being a “badge of honour” that would inform neighbours and passers-by that they had “green credentials”. This was perceived as being a positive reason to have the panels and whilst it was also perceived that this would change in: </w:t>
      </w:r>
    </w:p>
    <w:p w:rsidR="00A16B8C" w:rsidRPr="00C90AC9" w:rsidRDefault="00A16B8C" w:rsidP="00FC38E5">
      <w:pPr>
        <w:pStyle w:val="ListContinue2"/>
        <w:spacing w:line="360" w:lineRule="auto"/>
        <w:ind w:left="0"/>
        <w:rPr>
          <w:rFonts w:eastAsiaTheme="minorHAnsi"/>
          <w:lang w:eastAsia="en-US"/>
        </w:rPr>
      </w:pPr>
      <w:r w:rsidRPr="00C90AC9">
        <w:rPr>
          <w:rFonts w:eastAsiaTheme="minorHAnsi"/>
          <w:b/>
        </w:rPr>
        <w:t>Group #4,</w:t>
      </w:r>
      <w:r w:rsidR="008E008E" w:rsidRPr="00C90AC9">
        <w:rPr>
          <w:rFonts w:eastAsiaTheme="minorHAnsi"/>
          <w:b/>
        </w:rPr>
        <w:t xml:space="preserve"> </w:t>
      </w:r>
      <w:r w:rsidRPr="00C90AC9">
        <w:rPr>
          <w:rFonts w:eastAsiaTheme="minorHAnsi"/>
          <w:b/>
        </w:rPr>
        <w:t>M 25 “…five to ten years down the line everyone will be using them.”</w:t>
      </w:r>
    </w:p>
    <w:p w:rsidR="00FC38E5" w:rsidRPr="00C90AC9" w:rsidRDefault="00A16B8C" w:rsidP="00FC38E5">
      <w:pPr>
        <w:pStyle w:val="BodyText"/>
        <w:rPr>
          <w:rFonts w:eastAsiaTheme="minorHAnsi"/>
          <w:szCs w:val="24"/>
          <w:lang w:eastAsia="en-US"/>
        </w:rPr>
      </w:pPr>
      <w:r w:rsidRPr="00C90AC9">
        <w:rPr>
          <w:rFonts w:eastAsiaTheme="minorHAnsi"/>
          <w:szCs w:val="24"/>
          <w:lang w:eastAsia="en-US"/>
        </w:rPr>
        <w:t>If there were homes that do not have the panels participants perceived this as being detrimental a</w:t>
      </w:r>
      <w:r w:rsidR="00FC38E5" w:rsidRPr="00C90AC9">
        <w:rPr>
          <w:rFonts w:eastAsiaTheme="minorHAnsi"/>
          <w:szCs w:val="24"/>
          <w:lang w:eastAsia="en-US"/>
        </w:rPr>
        <w:t>nd would conversely be seen as:</w:t>
      </w:r>
    </w:p>
    <w:p w:rsidR="00A16B8C" w:rsidRPr="00C90AC9" w:rsidRDefault="00A16B8C" w:rsidP="00FC38E5">
      <w:pPr>
        <w:pStyle w:val="BodyText"/>
        <w:rPr>
          <w:rFonts w:eastAsiaTheme="minorHAnsi"/>
          <w:b/>
          <w:szCs w:val="24"/>
          <w:lang w:eastAsia="en-US"/>
        </w:rPr>
      </w:pPr>
      <w:r w:rsidRPr="00C90AC9">
        <w:rPr>
          <w:rFonts w:eastAsiaTheme="minorHAnsi"/>
          <w:b/>
        </w:rPr>
        <w:t>Group #5, F 20 “…people who don’t have it, it will be a badge of shame.”</w:t>
      </w:r>
    </w:p>
    <w:p w:rsidR="00CE640D" w:rsidRPr="00C90AC9" w:rsidRDefault="00CE640D" w:rsidP="00CE640D">
      <w:pPr>
        <w:rPr>
          <w:b/>
        </w:rPr>
      </w:pPr>
    </w:p>
    <w:p w:rsidR="00CE640D" w:rsidRPr="00C90AC9" w:rsidRDefault="00CE640D" w:rsidP="00CE640D"/>
    <w:p w:rsidR="00F67615" w:rsidRPr="00C90AC9" w:rsidRDefault="00F67615" w:rsidP="00CE640D"/>
    <w:p w:rsidR="00A16B8C" w:rsidRPr="00C90AC9" w:rsidRDefault="00A16B8C" w:rsidP="00CA6E35">
      <w:pPr>
        <w:pStyle w:val="List2"/>
        <w:numPr>
          <w:ilvl w:val="2"/>
          <w:numId w:val="28"/>
        </w:numPr>
        <w:ind w:left="0" w:firstLine="0"/>
        <w:rPr>
          <w:rFonts w:eastAsiaTheme="minorHAnsi"/>
          <w:sz w:val="28"/>
          <w:lang w:eastAsia="en-US"/>
        </w:rPr>
      </w:pPr>
      <w:r w:rsidRPr="00C90AC9">
        <w:rPr>
          <w:rFonts w:eastAsiaTheme="minorHAnsi"/>
          <w:sz w:val="28"/>
          <w:lang w:eastAsia="en-US"/>
        </w:rPr>
        <w:t xml:space="preserve">Receiving </w:t>
      </w:r>
      <w:r w:rsidR="001C7077" w:rsidRPr="00C90AC9">
        <w:rPr>
          <w:rFonts w:eastAsiaTheme="minorHAnsi"/>
          <w:sz w:val="28"/>
          <w:lang w:eastAsia="en-US"/>
        </w:rPr>
        <w:t>i</w:t>
      </w:r>
      <w:r w:rsidRPr="00C90AC9">
        <w:rPr>
          <w:rFonts w:eastAsiaTheme="minorHAnsi"/>
          <w:sz w:val="28"/>
          <w:lang w:eastAsia="en-US"/>
        </w:rPr>
        <w:t xml:space="preserve">nformation about </w:t>
      </w:r>
      <w:r w:rsidR="006518C0" w:rsidRPr="00C90AC9">
        <w:rPr>
          <w:rFonts w:eastAsiaTheme="minorHAnsi"/>
          <w:sz w:val="28"/>
          <w:lang w:eastAsia="en-US"/>
        </w:rPr>
        <w:t>STPs</w:t>
      </w:r>
      <w:r w:rsidRPr="00C90AC9">
        <w:rPr>
          <w:rFonts w:eastAsiaTheme="minorHAnsi"/>
          <w:sz w:val="28"/>
          <w:lang w:eastAsia="en-US"/>
        </w:rPr>
        <w:t>, 2012</w:t>
      </w:r>
    </w:p>
    <w:p w:rsidR="00A16B8C" w:rsidRPr="00C90AC9" w:rsidRDefault="00A16B8C" w:rsidP="00012484">
      <w:pPr>
        <w:pStyle w:val="ListContinue2"/>
        <w:spacing w:line="360" w:lineRule="auto"/>
        <w:ind w:left="0"/>
        <w:rPr>
          <w:rFonts w:eastAsiaTheme="minorHAnsi"/>
          <w:lang w:eastAsia="en-US"/>
        </w:rPr>
      </w:pPr>
      <w:r w:rsidRPr="00C90AC9">
        <w:rPr>
          <w:rFonts w:eastAsiaTheme="minorHAnsi"/>
          <w:lang w:eastAsia="en-US"/>
        </w:rPr>
        <w:t xml:space="preserve">The participants in 2012 to the focus groups felt that they had scant access to accredited and reliable information about STP. Information about the technology came via friends or family and it was widely accepted that this information was drawn on personal experience and may not be entirely reliable. The participants did want to receive information about this technology and some of the surrounding issues such as Climate Change so they could make an informed decision about whether the technology was suitable for their residence. Participants often used the internet and by speaking with friends or family who had had experience of using STP technology. It was recognised by the participants that quite often the information that they received was biased in some way and they would adjust their appraisal of the information they were receiving dependent on where the information came from. It was also expressed a number </w:t>
      </w:r>
      <w:r w:rsidRPr="00C90AC9">
        <w:rPr>
          <w:rFonts w:eastAsiaTheme="minorHAnsi"/>
          <w:lang w:eastAsia="en-US"/>
        </w:rPr>
        <w:lastRenderedPageBreak/>
        <w:t>of times, irritation at having to do this research to understand energy technology, companies and issues. It was also perceived as being a time consuming and complex task.</w:t>
      </w:r>
    </w:p>
    <w:p w:rsidR="00A16B8C" w:rsidRPr="00C90AC9" w:rsidRDefault="00A16B8C" w:rsidP="00FC38E5">
      <w:pPr>
        <w:pStyle w:val="BodyText"/>
        <w:spacing w:line="360" w:lineRule="auto"/>
        <w:rPr>
          <w:rFonts w:eastAsiaTheme="minorHAnsi"/>
          <w:b/>
          <w:lang w:eastAsia="en-US"/>
        </w:rPr>
      </w:pPr>
      <w:r w:rsidRPr="00C90AC9">
        <w:rPr>
          <w:rFonts w:eastAsiaTheme="minorHAnsi"/>
          <w:b/>
          <w:lang w:eastAsia="en-US"/>
        </w:rPr>
        <w:t xml:space="preserve">Group #5, F, 56: “Yes, you have to do it </w:t>
      </w:r>
      <w:r w:rsidR="004540B8" w:rsidRPr="00C90AC9">
        <w:rPr>
          <w:rFonts w:eastAsiaTheme="minorHAnsi"/>
          <w:b/>
          <w:lang w:eastAsia="en-US"/>
        </w:rPr>
        <w:t>(</w:t>
      </w:r>
      <w:r w:rsidRPr="00C90AC9">
        <w:rPr>
          <w:rFonts w:eastAsiaTheme="minorHAnsi"/>
          <w:b/>
          <w:lang w:eastAsia="en-US"/>
        </w:rPr>
        <w:t>research energy companies and information</w:t>
      </w:r>
      <w:r w:rsidR="004540B8" w:rsidRPr="00C90AC9">
        <w:rPr>
          <w:rFonts w:eastAsiaTheme="minorHAnsi"/>
          <w:b/>
          <w:lang w:eastAsia="en-US"/>
        </w:rPr>
        <w:t>)</w:t>
      </w:r>
      <w:r w:rsidRPr="00C90AC9">
        <w:rPr>
          <w:rFonts w:eastAsiaTheme="minorHAnsi"/>
          <w:b/>
          <w:lang w:eastAsia="en-US"/>
        </w:rPr>
        <w:t xml:space="preserve"> online unless you want to spend the entire day on the phone. It’s hard to compare one to the other because they all have a different scheme.”</w:t>
      </w:r>
    </w:p>
    <w:p w:rsidR="00A16B8C" w:rsidRPr="00C90AC9" w:rsidRDefault="00A16B8C" w:rsidP="00FC38E5">
      <w:pPr>
        <w:pStyle w:val="BodyText"/>
        <w:spacing w:line="360" w:lineRule="auto"/>
        <w:rPr>
          <w:rFonts w:eastAsiaTheme="minorHAnsi"/>
          <w:b/>
          <w:lang w:eastAsia="en-US"/>
        </w:rPr>
      </w:pPr>
      <w:r w:rsidRPr="00C90AC9">
        <w:rPr>
          <w:rFonts w:eastAsiaTheme="minorHAnsi"/>
          <w:b/>
          <w:lang w:eastAsia="en-US"/>
        </w:rPr>
        <w:t>Group #5, F, 22: “They’re just trying to sell me something. I might talk to them but I’ll always be reserved.”</w:t>
      </w:r>
    </w:p>
    <w:p w:rsidR="00A16B8C" w:rsidRPr="00C90AC9" w:rsidRDefault="00A16B8C" w:rsidP="00FC38E5">
      <w:pPr>
        <w:pStyle w:val="BodyText"/>
        <w:spacing w:line="360" w:lineRule="auto"/>
        <w:rPr>
          <w:rFonts w:eastAsiaTheme="minorHAnsi"/>
          <w:lang w:eastAsia="en-US"/>
        </w:rPr>
      </w:pPr>
      <w:r w:rsidRPr="00C90AC9">
        <w:rPr>
          <w:rFonts w:eastAsiaTheme="minorHAnsi"/>
          <w:lang w:eastAsia="en-US"/>
        </w:rPr>
        <w:t>Participants perceived energy companies as pursuing profits rather than providing qualified information about energy technologies to homeowners. Because of this</w:t>
      </w:r>
      <w:r w:rsidR="008E008E" w:rsidRPr="00C90AC9">
        <w:rPr>
          <w:rFonts w:eastAsiaTheme="minorHAnsi"/>
          <w:lang w:eastAsia="en-US"/>
        </w:rPr>
        <w:t xml:space="preserve"> the</w:t>
      </w:r>
      <w:r w:rsidRPr="00C90AC9">
        <w:rPr>
          <w:rFonts w:eastAsiaTheme="minorHAnsi"/>
          <w:lang w:eastAsia="en-US"/>
        </w:rPr>
        <w:t xml:space="preserve"> participants were untrusting and wary of energy companies as sources of reliable, specific information about domestic energy technologies such as </w:t>
      </w:r>
      <w:r w:rsidR="006518C0" w:rsidRPr="00C90AC9">
        <w:rPr>
          <w:rFonts w:eastAsiaTheme="minorHAnsi"/>
          <w:lang w:eastAsia="en-US"/>
        </w:rPr>
        <w:t>STPs</w:t>
      </w:r>
      <w:r w:rsidRPr="00C90AC9">
        <w:rPr>
          <w:rFonts w:eastAsiaTheme="minorHAnsi"/>
          <w:lang w:eastAsia="en-US"/>
        </w:rPr>
        <w:t xml:space="preserve">. </w:t>
      </w:r>
    </w:p>
    <w:p w:rsidR="00A16B8C" w:rsidRPr="00C90AC9" w:rsidRDefault="00A16B8C" w:rsidP="00FC38E5">
      <w:pPr>
        <w:pStyle w:val="BodyText"/>
        <w:spacing w:line="360" w:lineRule="auto"/>
        <w:rPr>
          <w:rFonts w:eastAsiaTheme="minorHAnsi"/>
          <w:b/>
          <w:lang w:eastAsia="en-US"/>
        </w:rPr>
      </w:pPr>
      <w:r w:rsidRPr="00C90AC9">
        <w:rPr>
          <w:rFonts w:eastAsiaTheme="minorHAnsi"/>
          <w:b/>
          <w:lang w:eastAsia="en-US"/>
        </w:rPr>
        <w:t xml:space="preserve">Group#7, F, 59 “So I would go to them </w:t>
      </w:r>
      <w:r w:rsidR="00DD3066" w:rsidRPr="00C90AC9">
        <w:rPr>
          <w:rFonts w:eastAsiaTheme="minorHAnsi"/>
          <w:b/>
          <w:lang w:eastAsia="en-US"/>
        </w:rPr>
        <w:t>[</w:t>
      </w:r>
      <w:r w:rsidRPr="00C90AC9">
        <w:rPr>
          <w:rFonts w:eastAsiaTheme="minorHAnsi"/>
          <w:b/>
          <w:lang w:eastAsia="en-US"/>
        </w:rPr>
        <w:t>ene</w:t>
      </w:r>
      <w:r w:rsidR="008E008E" w:rsidRPr="00C90AC9">
        <w:rPr>
          <w:rFonts w:eastAsiaTheme="minorHAnsi"/>
          <w:b/>
          <w:lang w:eastAsia="en-US"/>
        </w:rPr>
        <w:t>rgy companies for information</w:t>
      </w:r>
      <w:r w:rsidR="00DD3066" w:rsidRPr="00C90AC9">
        <w:rPr>
          <w:rFonts w:eastAsiaTheme="minorHAnsi"/>
          <w:b/>
          <w:lang w:eastAsia="en-US"/>
        </w:rPr>
        <w:t>]</w:t>
      </w:r>
      <w:r w:rsidR="008E008E" w:rsidRPr="00C90AC9">
        <w:rPr>
          <w:rFonts w:eastAsiaTheme="minorHAnsi"/>
          <w:b/>
          <w:lang w:eastAsia="en-US"/>
        </w:rPr>
        <w:t xml:space="preserve"> </w:t>
      </w:r>
      <w:r w:rsidRPr="00C90AC9">
        <w:rPr>
          <w:rFonts w:eastAsiaTheme="minorHAnsi"/>
          <w:b/>
          <w:lang w:eastAsia="en-US"/>
        </w:rPr>
        <w:t>but I wouldn’t trust them as much as other sources of information because they’re too keen to take your money.”</w:t>
      </w:r>
    </w:p>
    <w:p w:rsidR="00A16B8C" w:rsidRPr="00C90AC9" w:rsidRDefault="00A16B8C" w:rsidP="00FC38E5">
      <w:pPr>
        <w:pStyle w:val="BodyText"/>
        <w:spacing w:line="360" w:lineRule="auto"/>
        <w:rPr>
          <w:rFonts w:eastAsiaTheme="minorHAnsi"/>
          <w:lang w:eastAsia="en-US"/>
        </w:rPr>
      </w:pPr>
      <w:r w:rsidRPr="00C90AC9">
        <w:rPr>
          <w:rFonts w:eastAsiaTheme="minorHAnsi"/>
          <w:lang w:eastAsia="en-US"/>
        </w:rPr>
        <w:t xml:space="preserve">The participants to the focus groups in 2012 that had never considered adopting </w:t>
      </w:r>
      <w:r w:rsidR="006518C0" w:rsidRPr="00C90AC9">
        <w:rPr>
          <w:rFonts w:eastAsiaTheme="minorHAnsi"/>
          <w:lang w:eastAsia="en-US"/>
        </w:rPr>
        <w:t>STPs</w:t>
      </w:r>
      <w:r w:rsidRPr="00C90AC9">
        <w:rPr>
          <w:rFonts w:eastAsiaTheme="minorHAnsi"/>
          <w:lang w:eastAsia="en-US"/>
        </w:rPr>
        <w:t xml:space="preserve"> before were particularly wary of information they received about domestic energy issues, especially when it came from energy companies or they received information from political figures. It was perceived particularly from this group of participants that the information they received from these quarters was not impartial and that they couldn’t trust the information they received.</w:t>
      </w:r>
    </w:p>
    <w:p w:rsidR="00A16B8C" w:rsidRPr="00C90AC9" w:rsidRDefault="008E008E" w:rsidP="00FC38E5">
      <w:pPr>
        <w:pStyle w:val="BodyText"/>
        <w:spacing w:line="360" w:lineRule="auto"/>
        <w:rPr>
          <w:rFonts w:eastAsiaTheme="minorHAnsi"/>
          <w:b/>
          <w:lang w:eastAsia="en-US"/>
        </w:rPr>
      </w:pPr>
      <w:r w:rsidRPr="00C90AC9">
        <w:rPr>
          <w:rFonts w:eastAsiaTheme="minorHAnsi"/>
          <w:b/>
          <w:lang w:eastAsia="en-US"/>
        </w:rPr>
        <w:t xml:space="preserve">Group #1, M, 24: </w:t>
      </w:r>
      <w:r w:rsidR="00A16B8C" w:rsidRPr="00C90AC9">
        <w:rPr>
          <w:rFonts w:eastAsiaTheme="minorHAnsi"/>
          <w:b/>
          <w:lang w:eastAsia="en-US"/>
        </w:rPr>
        <w:t xml:space="preserve">“Well I think there is that feeling of somewhere you’re getting impartial advice from. Although people maybe telling you correct facts on both sides, quite often they may be leaving out other facts as well. </w:t>
      </w:r>
      <w:proofErr w:type="gramStart"/>
      <w:r w:rsidR="00A16B8C" w:rsidRPr="00C90AC9">
        <w:rPr>
          <w:rFonts w:eastAsiaTheme="minorHAnsi"/>
          <w:b/>
          <w:lang w:eastAsia="en-US"/>
        </w:rPr>
        <w:t>So</w:t>
      </w:r>
      <w:proofErr w:type="gramEnd"/>
      <w:r w:rsidR="00A16B8C" w:rsidRPr="00C90AC9">
        <w:rPr>
          <w:rFonts w:eastAsiaTheme="minorHAnsi"/>
          <w:b/>
          <w:lang w:eastAsia="en-US"/>
        </w:rPr>
        <w:t xml:space="preserve"> it’s that trying to find impartial information that is very hard. Googling it will give you a lot of information, but most of it will be partial.”</w:t>
      </w: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F67615" w:rsidRPr="00C90AC9" w:rsidRDefault="00F67615" w:rsidP="00B06779">
      <w:pPr>
        <w:rPr>
          <w:rFonts w:eastAsiaTheme="minorHAnsi"/>
          <w:lang w:eastAsia="en-US"/>
        </w:rPr>
      </w:pPr>
    </w:p>
    <w:p w:rsidR="00FC38E5" w:rsidRPr="00C90AC9" w:rsidRDefault="00FC38E5">
      <w:pPr>
        <w:rPr>
          <w:rStyle w:val="SubtleEmphasis"/>
          <w:rFonts w:cs="Times New Roman"/>
          <w:szCs w:val="24"/>
        </w:rPr>
      </w:pPr>
      <w:r w:rsidRPr="00C90AC9">
        <w:rPr>
          <w:rStyle w:val="SubtleEmphasis"/>
          <w:rFonts w:cs="Times New Roman"/>
          <w:szCs w:val="24"/>
        </w:rPr>
        <w:br w:type="page"/>
      </w:r>
    </w:p>
    <w:p w:rsidR="00A16B8C" w:rsidRPr="00C90AC9" w:rsidRDefault="001C7077" w:rsidP="00CA6E35">
      <w:pPr>
        <w:pStyle w:val="List2"/>
        <w:numPr>
          <w:ilvl w:val="2"/>
          <w:numId w:val="28"/>
        </w:numPr>
        <w:ind w:left="0" w:firstLine="0"/>
        <w:rPr>
          <w:rStyle w:val="SubtleEmphasis"/>
          <w:rFonts w:cs="Times New Roman"/>
          <w:szCs w:val="24"/>
        </w:rPr>
      </w:pPr>
      <w:r w:rsidRPr="00C90AC9">
        <w:rPr>
          <w:rStyle w:val="SubtleEmphasis"/>
          <w:rFonts w:cs="Times New Roman"/>
          <w:szCs w:val="24"/>
        </w:rPr>
        <w:lastRenderedPageBreak/>
        <w:t>Trust i</w:t>
      </w:r>
      <w:r w:rsidR="00A16B8C" w:rsidRPr="00C90AC9">
        <w:rPr>
          <w:rStyle w:val="SubtleEmphasis"/>
          <w:rFonts w:cs="Times New Roman"/>
          <w:szCs w:val="24"/>
        </w:rPr>
        <w:t xml:space="preserve">ssues, 2012 </w:t>
      </w:r>
    </w:p>
    <w:p w:rsidR="00A16B8C" w:rsidRPr="00C90AC9" w:rsidRDefault="00A16B8C" w:rsidP="00ED1094">
      <w:pPr>
        <w:pStyle w:val="ListContinue2"/>
        <w:spacing w:line="360" w:lineRule="auto"/>
        <w:ind w:left="0"/>
        <w:rPr>
          <w:rFonts w:eastAsiaTheme="minorHAnsi"/>
          <w:lang w:eastAsia="en-US"/>
        </w:rPr>
      </w:pPr>
      <w:r w:rsidRPr="00C90AC9">
        <w:rPr>
          <w:rFonts w:eastAsiaTheme="minorHAnsi"/>
          <w:lang w:eastAsia="en-US"/>
        </w:rPr>
        <w:t>The lack of trust that participants expressed with receiving information about energy issues centred on energy companies which were perceived across all groups of participants as being focused on making money and not providing the best utility to the homeowner. As has been mentioned, this extended to the information that participants received about domestic energy technologies and to the way that energy companies record domestic energy consumption.</w:t>
      </w:r>
    </w:p>
    <w:p w:rsidR="00A16B8C" w:rsidRPr="00C90AC9" w:rsidRDefault="00A16B8C" w:rsidP="00ED1094">
      <w:pPr>
        <w:pStyle w:val="BodyText"/>
        <w:spacing w:line="360" w:lineRule="auto"/>
        <w:rPr>
          <w:rFonts w:eastAsiaTheme="minorHAnsi"/>
          <w:b/>
          <w:lang w:eastAsia="en-US"/>
        </w:rPr>
      </w:pPr>
      <w:r w:rsidRPr="00C90AC9">
        <w:rPr>
          <w:rFonts w:eastAsiaTheme="minorHAnsi"/>
          <w:b/>
          <w:lang w:eastAsia="en-US"/>
        </w:rPr>
        <w:t>Group #3, F, 22:  I don’t trust them. We sent them the meter reading and then you ring them up and they say, ‘We hadn’t even taken into account the meter reading when we sent you the bill.’ What’s the point?</w:t>
      </w:r>
    </w:p>
    <w:p w:rsidR="00A16B8C" w:rsidRPr="00C90AC9" w:rsidRDefault="00A16B8C" w:rsidP="00ED1094">
      <w:pPr>
        <w:pStyle w:val="BodyText"/>
        <w:spacing w:line="360" w:lineRule="auto"/>
        <w:rPr>
          <w:rFonts w:eastAsiaTheme="minorHAnsi"/>
          <w:lang w:eastAsia="en-US"/>
        </w:rPr>
      </w:pPr>
      <w:r w:rsidRPr="00C90AC9">
        <w:rPr>
          <w:rFonts w:eastAsiaTheme="minorHAnsi"/>
          <w:lang w:eastAsia="en-US"/>
        </w:rPr>
        <w:t xml:space="preserve">In the group of participants that own </w:t>
      </w:r>
      <w:r w:rsidR="006518C0" w:rsidRPr="00C90AC9">
        <w:rPr>
          <w:rFonts w:eastAsiaTheme="minorHAnsi"/>
          <w:lang w:eastAsia="en-US"/>
        </w:rPr>
        <w:t>STPs</w:t>
      </w:r>
      <w:r w:rsidRPr="00C90AC9">
        <w:rPr>
          <w:rFonts w:eastAsiaTheme="minorHAnsi"/>
          <w:lang w:eastAsia="en-US"/>
        </w:rPr>
        <w:t xml:space="preserve"> in 2012 it was remarked on positively that there was an unexpected benefit of having </w:t>
      </w:r>
      <w:r w:rsidR="006518C0" w:rsidRPr="00C90AC9">
        <w:rPr>
          <w:rFonts w:eastAsiaTheme="minorHAnsi"/>
          <w:lang w:eastAsia="en-US"/>
        </w:rPr>
        <w:t>STPs</w:t>
      </w:r>
      <w:r w:rsidRPr="00C90AC9">
        <w:rPr>
          <w:rFonts w:eastAsiaTheme="minorHAnsi"/>
          <w:lang w:eastAsia="en-US"/>
        </w:rPr>
        <w:t xml:space="preserve">, that they had little or no interactions with energy companies therefore they had no concerns about receiving biased information from energy companies. Once the </w:t>
      </w:r>
      <w:r w:rsidR="006518C0" w:rsidRPr="00C90AC9">
        <w:rPr>
          <w:rFonts w:eastAsiaTheme="minorHAnsi"/>
          <w:lang w:eastAsia="en-US"/>
        </w:rPr>
        <w:t>STPs</w:t>
      </w:r>
      <w:r w:rsidRPr="00C90AC9">
        <w:rPr>
          <w:rFonts w:eastAsiaTheme="minorHAnsi"/>
          <w:lang w:eastAsia="en-US"/>
        </w:rPr>
        <w:t xml:space="preserve"> were installed on their properties the home generation of hot water meant that the participants were less concerned with energy prices and having to take time to understand the various energy tariffs available to them. </w:t>
      </w:r>
      <w:r w:rsidR="008E008E" w:rsidRPr="00C90AC9">
        <w:rPr>
          <w:rFonts w:eastAsiaTheme="minorHAnsi"/>
          <w:lang w:eastAsia="en-US"/>
        </w:rPr>
        <w:t>Indeed,</w:t>
      </w:r>
      <w:r w:rsidRPr="00C90AC9">
        <w:rPr>
          <w:rFonts w:eastAsiaTheme="minorHAnsi"/>
          <w:lang w:eastAsia="en-US"/>
        </w:rPr>
        <w:t xml:space="preserve"> this group of participants were accepting of the tariffs they were charged by energy companies for other forms of domestic energy like electricity of natural gas.</w:t>
      </w:r>
    </w:p>
    <w:p w:rsidR="00A16B8C" w:rsidRPr="00C90AC9" w:rsidRDefault="00A16B8C" w:rsidP="00ED1094">
      <w:pPr>
        <w:pStyle w:val="BodyText"/>
        <w:spacing w:line="360" w:lineRule="auto"/>
        <w:rPr>
          <w:rFonts w:eastAsiaTheme="minorHAnsi"/>
          <w:b/>
          <w:lang w:eastAsia="en-US"/>
        </w:rPr>
      </w:pPr>
      <w:r w:rsidRPr="00C90AC9">
        <w:rPr>
          <w:rFonts w:eastAsiaTheme="minorHAnsi"/>
          <w:b/>
          <w:lang w:eastAsia="en-US"/>
        </w:rPr>
        <w:t xml:space="preserve">Group #5, M, 66: “As long as they’re reasonably consistent </w:t>
      </w:r>
      <w:r w:rsidR="004540B8" w:rsidRPr="00C90AC9">
        <w:rPr>
          <w:rFonts w:eastAsiaTheme="minorHAnsi"/>
          <w:b/>
          <w:lang w:eastAsia="en-US"/>
        </w:rPr>
        <w:t>(</w:t>
      </w:r>
      <w:r w:rsidRPr="00C90AC9">
        <w:rPr>
          <w:rFonts w:eastAsiaTheme="minorHAnsi"/>
          <w:b/>
          <w:lang w:eastAsia="en-US"/>
        </w:rPr>
        <w:t>domestic energy bills</w:t>
      </w:r>
      <w:r w:rsidR="004540B8" w:rsidRPr="00C90AC9">
        <w:rPr>
          <w:rFonts w:eastAsiaTheme="minorHAnsi"/>
          <w:b/>
          <w:lang w:eastAsia="en-US"/>
        </w:rPr>
        <w:t>)</w:t>
      </w:r>
      <w:r w:rsidRPr="00C90AC9">
        <w:rPr>
          <w:rFonts w:eastAsiaTheme="minorHAnsi"/>
          <w:b/>
          <w:lang w:eastAsia="en-US"/>
        </w:rPr>
        <w:t>. If it fluctuates then you’re in real trouble, aren’t you?”</w:t>
      </w:r>
    </w:p>
    <w:p w:rsidR="00A16B8C" w:rsidRPr="00C90AC9" w:rsidRDefault="00A16B8C" w:rsidP="00B06779">
      <w:pPr>
        <w:rPr>
          <w:rFonts w:eastAsiaTheme="minorHAnsi"/>
          <w:lang w:eastAsia="en-US"/>
        </w:rPr>
      </w:pPr>
    </w:p>
    <w:p w:rsidR="00A16B8C" w:rsidRPr="00C90AC9" w:rsidRDefault="00A16B8C" w:rsidP="00ED1094">
      <w:pPr>
        <w:pStyle w:val="BodyText"/>
        <w:spacing w:line="360" w:lineRule="auto"/>
        <w:rPr>
          <w:rFonts w:eastAsiaTheme="minorHAnsi"/>
          <w:b/>
          <w:lang w:eastAsia="en-US"/>
        </w:rPr>
      </w:pPr>
      <w:r w:rsidRPr="00C90AC9">
        <w:rPr>
          <w:rFonts w:eastAsiaTheme="minorHAnsi"/>
          <w:b/>
          <w:lang w:eastAsia="en-US"/>
        </w:rPr>
        <w:t>Group #5, F, 60: “If something looked really weird you’d think, ‘Oh, there’s something wrong with my meter,’ or, ‘Somebody’s left something on all the time.’ Put a heater on in the bedroom for a whole week, or else there’s something wrong with the meter.”</w:t>
      </w: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F67615" w:rsidRPr="00C90AC9" w:rsidRDefault="00F67615" w:rsidP="00B06779">
      <w:pPr>
        <w:rPr>
          <w:rFonts w:eastAsiaTheme="minorHAnsi"/>
          <w:lang w:eastAsia="en-US"/>
        </w:rPr>
      </w:pPr>
    </w:p>
    <w:p w:rsidR="00F67615" w:rsidRPr="00C90AC9" w:rsidRDefault="00F67615" w:rsidP="00B06779">
      <w:pPr>
        <w:rPr>
          <w:rFonts w:eastAsiaTheme="minorHAnsi"/>
          <w:lang w:eastAsia="en-US"/>
        </w:rPr>
      </w:pPr>
    </w:p>
    <w:p w:rsidR="00A16B8C" w:rsidRPr="00C90AC9" w:rsidRDefault="00A16B8C" w:rsidP="00CA6E35">
      <w:pPr>
        <w:pStyle w:val="List"/>
        <w:numPr>
          <w:ilvl w:val="1"/>
          <w:numId w:val="28"/>
        </w:numPr>
        <w:tabs>
          <w:tab w:val="left" w:pos="0"/>
        </w:tabs>
        <w:ind w:left="0" w:firstLine="0"/>
        <w:rPr>
          <w:rStyle w:val="SubtleEmphasis"/>
          <w:rFonts w:cs="Times New Roman"/>
          <w:szCs w:val="24"/>
        </w:rPr>
      </w:pPr>
      <w:bookmarkStart w:id="66" w:name="_Toc447173093"/>
      <w:r w:rsidRPr="00C90AC9">
        <w:rPr>
          <w:rStyle w:val="SubtleEmphasis"/>
          <w:rFonts w:cs="Times New Roman"/>
          <w:szCs w:val="24"/>
        </w:rPr>
        <w:lastRenderedPageBreak/>
        <w:t xml:space="preserve">Results </w:t>
      </w:r>
      <w:bookmarkEnd w:id="66"/>
      <w:r w:rsidR="001C7077" w:rsidRPr="00C90AC9">
        <w:rPr>
          <w:rStyle w:val="SubtleEmphasis"/>
          <w:rFonts w:cs="Times New Roman"/>
          <w:szCs w:val="24"/>
        </w:rPr>
        <w:t>of the focus groups in 2015</w:t>
      </w:r>
    </w:p>
    <w:p w:rsidR="00A16B8C" w:rsidRPr="00C90AC9" w:rsidRDefault="00A16B8C" w:rsidP="00ED1094">
      <w:pPr>
        <w:pStyle w:val="ListContinue"/>
        <w:spacing w:line="360" w:lineRule="auto"/>
        <w:ind w:left="0"/>
        <w:rPr>
          <w:rFonts w:eastAsiaTheme="minorHAnsi"/>
          <w:lang w:eastAsia="en-US"/>
        </w:rPr>
      </w:pPr>
      <w:r w:rsidRPr="00C90AC9">
        <w:rPr>
          <w:rFonts w:eastAsiaTheme="minorHAnsi"/>
          <w:lang w:eastAsia="en-US"/>
        </w:rPr>
        <w:t xml:space="preserve">The focus groups held in 2015 were conducted in a similar manner to the focus groups conducted in 2012. The results gained from the focus groups held in 2015 are categorized and displayed in the same four </w:t>
      </w:r>
      <w:r w:rsidR="00E82522" w:rsidRPr="00C90AC9">
        <w:rPr>
          <w:rFonts w:eastAsiaTheme="minorHAnsi"/>
          <w:lang w:eastAsia="en-US"/>
        </w:rPr>
        <w:t>main</w:t>
      </w:r>
      <w:r w:rsidRPr="00C90AC9">
        <w:rPr>
          <w:rFonts w:eastAsiaTheme="minorHAnsi"/>
          <w:lang w:eastAsia="en-US"/>
        </w:rPr>
        <w:t xml:space="preserve"> categories as shown for 2012, Perceived benefits and concerns with </w:t>
      </w:r>
      <w:r w:rsidR="006518C0" w:rsidRPr="00C90AC9">
        <w:rPr>
          <w:rFonts w:eastAsiaTheme="minorHAnsi"/>
          <w:lang w:eastAsia="en-US"/>
        </w:rPr>
        <w:t>STPs</w:t>
      </w:r>
      <w:r w:rsidR="008E008E" w:rsidRPr="00C90AC9">
        <w:rPr>
          <w:rFonts w:eastAsiaTheme="minorHAnsi"/>
          <w:lang w:eastAsia="en-US"/>
        </w:rPr>
        <w:t>; Reasons</w:t>
      </w:r>
      <w:r w:rsidRPr="00C90AC9">
        <w:rPr>
          <w:rFonts w:eastAsiaTheme="minorHAnsi"/>
          <w:lang w:eastAsia="en-US"/>
        </w:rPr>
        <w:t xml:space="preserve"> for adopting </w:t>
      </w:r>
      <w:r w:rsidR="006518C0" w:rsidRPr="00C90AC9">
        <w:rPr>
          <w:rFonts w:eastAsiaTheme="minorHAnsi"/>
          <w:lang w:eastAsia="en-US"/>
        </w:rPr>
        <w:t>STPs</w:t>
      </w:r>
      <w:r w:rsidRPr="00C90AC9">
        <w:rPr>
          <w:rFonts w:eastAsiaTheme="minorHAnsi"/>
          <w:lang w:eastAsia="en-US"/>
        </w:rPr>
        <w:t xml:space="preserve">; Receiving information about </w:t>
      </w:r>
      <w:r w:rsidR="006518C0" w:rsidRPr="00C90AC9">
        <w:rPr>
          <w:rFonts w:eastAsiaTheme="minorHAnsi"/>
          <w:lang w:eastAsia="en-US"/>
        </w:rPr>
        <w:t>STPs</w:t>
      </w:r>
      <w:r w:rsidR="008E008E" w:rsidRPr="00C90AC9">
        <w:rPr>
          <w:rFonts w:eastAsiaTheme="minorHAnsi"/>
          <w:lang w:eastAsia="en-US"/>
        </w:rPr>
        <w:t>; and</w:t>
      </w:r>
      <w:r w:rsidRPr="00C90AC9">
        <w:rPr>
          <w:rFonts w:eastAsiaTheme="minorHAnsi"/>
          <w:lang w:eastAsia="en-US"/>
        </w:rPr>
        <w:t xml:space="preserve"> Trust issues.</w:t>
      </w:r>
    </w:p>
    <w:p w:rsidR="00A16B8C" w:rsidRPr="00C90AC9" w:rsidRDefault="00A16B8C" w:rsidP="00ED1094">
      <w:pPr>
        <w:pStyle w:val="ListContinue"/>
        <w:spacing w:line="360" w:lineRule="auto"/>
        <w:ind w:left="0"/>
        <w:rPr>
          <w:rFonts w:eastAsiaTheme="minorHAnsi"/>
          <w:lang w:eastAsia="en-US"/>
        </w:rPr>
      </w:pPr>
      <w:r w:rsidRPr="00C90AC9">
        <w:rPr>
          <w:rFonts w:eastAsiaTheme="minorHAnsi"/>
          <w:lang w:eastAsia="en-US"/>
        </w:rPr>
        <w:t xml:space="preserve">Each group was very receptive to the idea of sharing their opinions about this </w:t>
      </w:r>
      <w:r w:rsidR="006518C0" w:rsidRPr="00C90AC9">
        <w:rPr>
          <w:rFonts w:eastAsiaTheme="minorHAnsi"/>
          <w:lang w:eastAsia="en-US"/>
        </w:rPr>
        <w:t>STPs</w:t>
      </w:r>
      <w:r w:rsidRPr="00C90AC9">
        <w:rPr>
          <w:rFonts w:eastAsiaTheme="minorHAnsi"/>
          <w:lang w:eastAsia="en-US"/>
        </w:rPr>
        <w:t xml:space="preserve">, even if they initially believed to not hold a strong opinion about them. Perversely the participants in the focus groups held in 2015 held strong opinions about not having an opinion of the appearance of </w:t>
      </w:r>
      <w:r w:rsidR="006518C0" w:rsidRPr="00C90AC9">
        <w:rPr>
          <w:rFonts w:eastAsiaTheme="minorHAnsi"/>
          <w:lang w:eastAsia="en-US"/>
        </w:rPr>
        <w:t>STPs</w:t>
      </w:r>
      <w:r w:rsidRPr="00C90AC9">
        <w:rPr>
          <w:rFonts w:eastAsiaTheme="minorHAnsi"/>
          <w:lang w:eastAsia="en-US"/>
        </w:rPr>
        <w:t xml:space="preserve">. </w:t>
      </w:r>
    </w:p>
    <w:p w:rsidR="00A16B8C" w:rsidRPr="00C90AC9" w:rsidRDefault="00A16B8C" w:rsidP="00B06779">
      <w:pPr>
        <w:pStyle w:val="BodyText"/>
        <w:rPr>
          <w:rFonts w:eastAsiaTheme="minorHAnsi"/>
          <w:b/>
          <w:lang w:eastAsia="en-US"/>
        </w:rPr>
      </w:pPr>
      <w:r w:rsidRPr="00C90AC9">
        <w:rPr>
          <w:rFonts w:eastAsiaTheme="minorHAnsi"/>
          <w:b/>
          <w:lang w:eastAsia="en-US"/>
        </w:rPr>
        <w:t>Q: “Is the appearance of them an important factor when buying them, or not?”</w:t>
      </w:r>
    </w:p>
    <w:p w:rsidR="00A16B8C" w:rsidRPr="00C90AC9" w:rsidRDefault="00A16B8C" w:rsidP="00ED1094">
      <w:pPr>
        <w:pStyle w:val="BodyText"/>
        <w:spacing w:line="360" w:lineRule="auto"/>
        <w:rPr>
          <w:rFonts w:eastAsiaTheme="minorHAnsi"/>
          <w:b/>
          <w:lang w:eastAsia="en-US"/>
        </w:rPr>
      </w:pPr>
      <w:r w:rsidRPr="00C90AC9">
        <w:rPr>
          <w:rFonts w:eastAsiaTheme="minorHAnsi"/>
          <w:b/>
          <w:lang w:eastAsia="en-US"/>
        </w:rPr>
        <w:t xml:space="preserve">Group #10, F: </w:t>
      </w:r>
      <w:r w:rsidR="008E008E" w:rsidRPr="00C90AC9">
        <w:rPr>
          <w:rFonts w:eastAsiaTheme="minorHAnsi"/>
          <w:b/>
          <w:lang w:eastAsia="en-US"/>
        </w:rPr>
        <w:t>“I</w:t>
      </w:r>
      <w:r w:rsidRPr="00C90AC9">
        <w:rPr>
          <w:rFonts w:eastAsiaTheme="minorHAnsi"/>
          <w:b/>
          <w:lang w:eastAsia="en-US"/>
        </w:rPr>
        <w:t xml:space="preserve"> don’t think that’s important.  You don’t actually see them all the time, so it doesn’t matter.”</w:t>
      </w:r>
    </w:p>
    <w:p w:rsidR="00A16B8C" w:rsidRPr="00C90AC9" w:rsidRDefault="00A16B8C" w:rsidP="00ED1094">
      <w:pPr>
        <w:pStyle w:val="BodyText"/>
        <w:spacing w:line="360" w:lineRule="auto"/>
        <w:rPr>
          <w:rFonts w:eastAsiaTheme="minorHAnsi"/>
          <w:lang w:eastAsia="en-US"/>
        </w:rPr>
      </w:pPr>
      <w:r w:rsidRPr="00C90AC9">
        <w:rPr>
          <w:rFonts w:eastAsiaTheme="minorHAnsi"/>
          <w:lang w:eastAsia="en-US"/>
        </w:rPr>
        <w:t xml:space="preserve">Participants in all groups except the one containing </w:t>
      </w:r>
      <w:proofErr w:type="gramStart"/>
      <w:r w:rsidRPr="00C90AC9">
        <w:rPr>
          <w:rFonts w:eastAsiaTheme="minorHAnsi"/>
          <w:lang w:eastAsia="en-US"/>
        </w:rPr>
        <w:t>participants</w:t>
      </w:r>
      <w:proofErr w:type="gramEnd"/>
      <w:r w:rsidRPr="00C90AC9">
        <w:rPr>
          <w:rFonts w:eastAsiaTheme="minorHAnsi"/>
          <w:lang w:eastAsia="en-US"/>
        </w:rPr>
        <w:t xml:space="preserve"> who had never considered adopting </w:t>
      </w:r>
      <w:r w:rsidR="006518C0" w:rsidRPr="00C90AC9">
        <w:rPr>
          <w:rFonts w:eastAsiaTheme="minorHAnsi"/>
          <w:lang w:eastAsia="en-US"/>
        </w:rPr>
        <w:t>STPs</w:t>
      </w:r>
      <w:r w:rsidRPr="00C90AC9">
        <w:rPr>
          <w:rFonts w:eastAsiaTheme="minorHAnsi"/>
          <w:lang w:eastAsia="en-US"/>
        </w:rPr>
        <w:t xml:space="preserve"> (Group #6) recognised the utility of having </w:t>
      </w:r>
      <w:r w:rsidR="006518C0" w:rsidRPr="00C90AC9">
        <w:rPr>
          <w:rFonts w:eastAsiaTheme="minorHAnsi"/>
          <w:lang w:eastAsia="en-US"/>
        </w:rPr>
        <w:t>STPs</w:t>
      </w:r>
      <w:r w:rsidRPr="00C90AC9">
        <w:rPr>
          <w:rFonts w:eastAsiaTheme="minorHAnsi"/>
          <w:lang w:eastAsia="en-US"/>
        </w:rPr>
        <w:t xml:space="preserve"> and saw the appearance of the panels to be a secondary factor although they we perceived as not being attractive. </w:t>
      </w:r>
    </w:p>
    <w:p w:rsidR="00A16B8C" w:rsidRPr="00C90AC9" w:rsidRDefault="00A16B8C" w:rsidP="00ED1094">
      <w:pPr>
        <w:pStyle w:val="BodyText"/>
        <w:spacing w:line="360" w:lineRule="auto"/>
        <w:rPr>
          <w:rFonts w:eastAsiaTheme="minorHAnsi"/>
          <w:lang w:eastAsia="en-US"/>
        </w:rPr>
      </w:pPr>
      <w:r w:rsidRPr="00C90AC9">
        <w:rPr>
          <w:rFonts w:eastAsiaTheme="minorHAnsi"/>
          <w:lang w:eastAsia="en-US"/>
        </w:rPr>
        <w:t xml:space="preserve">There were very positive reports from participants who had already adopted </w:t>
      </w:r>
      <w:r w:rsidR="006518C0" w:rsidRPr="00C90AC9">
        <w:rPr>
          <w:rFonts w:eastAsiaTheme="minorHAnsi"/>
          <w:lang w:eastAsia="en-US"/>
        </w:rPr>
        <w:t>STPs</w:t>
      </w:r>
      <w:r w:rsidRPr="00C90AC9">
        <w:rPr>
          <w:rFonts w:eastAsiaTheme="minorHAnsi"/>
          <w:lang w:eastAsia="en-US"/>
        </w:rPr>
        <w:t xml:space="preserve"> for their homes or had used </w:t>
      </w:r>
      <w:r w:rsidR="006518C0" w:rsidRPr="00C90AC9">
        <w:rPr>
          <w:rFonts w:eastAsiaTheme="minorHAnsi"/>
          <w:lang w:eastAsia="en-US"/>
        </w:rPr>
        <w:t>STPs</w:t>
      </w:r>
      <w:r w:rsidRPr="00C90AC9">
        <w:rPr>
          <w:rFonts w:eastAsiaTheme="minorHAnsi"/>
          <w:lang w:eastAsia="en-US"/>
        </w:rPr>
        <w:t xml:space="preserve"> whilst abroad. This was due in part because the focus groups in 2015 contained two Mexicans who had the panels installed on their homes in Mexico and therefore the technology was not as new as it might have been to a UK citizen. They were keen to highlight the positives of the technology as they saw fit which they perceived not as a financial benefit but as beneficial to the environment as fossil </w:t>
      </w:r>
      <w:proofErr w:type="gramStart"/>
      <w:r w:rsidRPr="00C90AC9">
        <w:rPr>
          <w:rFonts w:eastAsiaTheme="minorHAnsi"/>
          <w:lang w:eastAsia="en-US"/>
        </w:rPr>
        <w:t>fuel based</w:t>
      </w:r>
      <w:proofErr w:type="gramEnd"/>
      <w:r w:rsidRPr="00C90AC9">
        <w:rPr>
          <w:rFonts w:eastAsiaTheme="minorHAnsi"/>
          <w:lang w:eastAsia="en-US"/>
        </w:rPr>
        <w:t xml:space="preserve"> resources were not being used to heat their </w:t>
      </w:r>
      <w:r w:rsidR="008E008E" w:rsidRPr="00C90AC9">
        <w:rPr>
          <w:rFonts w:eastAsiaTheme="minorHAnsi"/>
          <w:lang w:eastAsia="en-US"/>
        </w:rPr>
        <w:t>water.</w:t>
      </w:r>
      <w:r w:rsidRPr="00C90AC9">
        <w:rPr>
          <w:rFonts w:eastAsiaTheme="minorHAnsi"/>
          <w:lang w:eastAsia="en-US"/>
        </w:rPr>
        <w:t xml:space="preserve"> The group of participants that had </w:t>
      </w:r>
      <w:r w:rsidR="006518C0" w:rsidRPr="00C90AC9">
        <w:rPr>
          <w:rFonts w:eastAsiaTheme="minorHAnsi"/>
          <w:lang w:eastAsia="en-US"/>
        </w:rPr>
        <w:t>STPs</w:t>
      </w:r>
      <w:r w:rsidRPr="00C90AC9">
        <w:rPr>
          <w:rFonts w:eastAsiaTheme="minorHAnsi"/>
          <w:lang w:eastAsia="en-US"/>
        </w:rPr>
        <w:t xml:space="preserve"> on their homes had similarities to the 2012 group of participants in that they were less concerned about the capital costs of the panels and were more conscious of the utility of the hot water the panels provide. This was even if they didn’t fully understand the operation of the panels or how much hot water would be produced for them from day to day. The participants voiced the inconvenience of not know the exact volume of hot water that would be produced day to day as being a mild irritation rather than something that troubled them. </w:t>
      </w:r>
    </w:p>
    <w:p w:rsidR="00A16B8C" w:rsidRPr="00C90AC9" w:rsidRDefault="00A16B8C" w:rsidP="003F295A">
      <w:pPr>
        <w:pStyle w:val="BodyText"/>
        <w:spacing w:line="360" w:lineRule="auto"/>
        <w:rPr>
          <w:rFonts w:eastAsiaTheme="minorHAnsi"/>
          <w:lang w:eastAsia="en-US"/>
        </w:rPr>
      </w:pPr>
      <w:r w:rsidRPr="00C90AC9">
        <w:rPr>
          <w:rFonts w:eastAsiaTheme="minorHAnsi"/>
          <w:lang w:eastAsia="en-US"/>
        </w:rPr>
        <w:t xml:space="preserve">It was discussed in a few of the focus groups the necessity of an auxiliary heater that would top the hot water tank up on those days that the panels didn’t produce sufficient volumes of hot water. This again was seen as a mild irritation and participants remarked that they didn’t mind so long as there was a technology in place to provide them with their hot water demands. This </w:t>
      </w:r>
      <w:r w:rsidRPr="00C90AC9">
        <w:rPr>
          <w:rFonts w:eastAsiaTheme="minorHAnsi"/>
          <w:lang w:eastAsia="en-US"/>
        </w:rPr>
        <w:lastRenderedPageBreak/>
        <w:t>hinted that the participants were trading the Perceived Utility of the panels with the Perceived Ease of Use.</w:t>
      </w:r>
    </w:p>
    <w:p w:rsidR="00A16B8C" w:rsidRPr="00C90AC9" w:rsidRDefault="00A16B8C" w:rsidP="003F295A">
      <w:pPr>
        <w:pStyle w:val="BodyText"/>
        <w:spacing w:line="360" w:lineRule="auto"/>
        <w:rPr>
          <w:rFonts w:eastAsiaTheme="minorHAnsi"/>
          <w:lang w:eastAsia="en-US"/>
        </w:rPr>
      </w:pPr>
      <w:r w:rsidRPr="00C90AC9">
        <w:rPr>
          <w:rFonts w:eastAsiaTheme="minorHAnsi"/>
          <w:lang w:eastAsia="en-US"/>
        </w:rPr>
        <w:t xml:space="preserve">Energy issues and climate change were more prevalent in the focus groups held in 2015 with the justifications for the evidence of climate change being grounded in scientific understanding even if the science was not clearly understood. </w:t>
      </w:r>
    </w:p>
    <w:p w:rsidR="00A16B8C" w:rsidRPr="00C90AC9" w:rsidRDefault="00A16B8C" w:rsidP="00ED1094">
      <w:pPr>
        <w:pStyle w:val="BodyText"/>
        <w:spacing w:line="360" w:lineRule="auto"/>
        <w:rPr>
          <w:rFonts w:eastAsiaTheme="minorHAnsi"/>
          <w:b/>
          <w:lang w:eastAsia="en-US"/>
        </w:rPr>
      </w:pPr>
      <w:r w:rsidRPr="00C90AC9">
        <w:rPr>
          <w:rFonts w:eastAsiaTheme="minorHAnsi"/>
          <w:b/>
          <w:lang w:eastAsia="en-US"/>
        </w:rPr>
        <w:t>Group #10, 2015, M: “I find it highly problematic that it’s</w:t>
      </w:r>
      <w:r w:rsidR="003F295A" w:rsidRPr="00C90AC9">
        <w:rPr>
          <w:rFonts w:eastAsiaTheme="minorHAnsi"/>
          <w:b/>
          <w:lang w:eastAsia="en-US"/>
        </w:rPr>
        <w:t xml:space="preserve"> </w:t>
      </w:r>
      <w:r w:rsidRPr="00C90AC9">
        <w:rPr>
          <w:rFonts w:eastAsiaTheme="minorHAnsi"/>
          <w:b/>
          <w:lang w:eastAsia="en-US"/>
        </w:rPr>
        <w:t>turned into a form of belief, because for me it’s scientific evidence.  The evidence is there.  It’s statistical and probabilistic”</w:t>
      </w:r>
    </w:p>
    <w:p w:rsidR="00A16B8C" w:rsidRPr="00C90AC9" w:rsidRDefault="008E008E" w:rsidP="00ED1094">
      <w:pPr>
        <w:pStyle w:val="BodyText"/>
        <w:spacing w:line="360" w:lineRule="auto"/>
        <w:rPr>
          <w:rFonts w:eastAsiaTheme="minorHAnsi"/>
          <w:lang w:eastAsia="en-US"/>
        </w:rPr>
      </w:pPr>
      <w:r w:rsidRPr="00C90AC9">
        <w:rPr>
          <w:rFonts w:eastAsiaTheme="minorHAnsi"/>
          <w:lang w:eastAsia="en-US"/>
        </w:rPr>
        <w:t>However,</w:t>
      </w:r>
      <w:r w:rsidR="00A16B8C" w:rsidRPr="00C90AC9">
        <w:rPr>
          <w:rFonts w:eastAsiaTheme="minorHAnsi"/>
          <w:lang w:eastAsia="en-US"/>
        </w:rPr>
        <w:t xml:space="preserve"> there were some participants that felt that it was too late to prevent climate change and that adaptation was a more suitable course of action. Adaptation and a change of behaviour was seen as a relatively easy thing to do but discussion turned to whether the public at large would be able to make the changes needed to address Climate Change the participants were less confident that “other” people would </w:t>
      </w:r>
      <w:r w:rsidR="003F295A" w:rsidRPr="00C90AC9">
        <w:rPr>
          <w:rFonts w:eastAsiaTheme="minorHAnsi"/>
          <w:lang w:eastAsia="en-US"/>
        </w:rPr>
        <w:t>be capable of making the change</w:t>
      </w:r>
      <w:r w:rsidR="00A16B8C" w:rsidRPr="00C90AC9">
        <w:rPr>
          <w:rFonts w:eastAsiaTheme="minorHAnsi"/>
          <w:lang w:eastAsia="en-US"/>
        </w:rPr>
        <w:t>, particularly “less affluent” pe</w:t>
      </w:r>
      <w:r w:rsidRPr="00C90AC9">
        <w:rPr>
          <w:rFonts w:eastAsiaTheme="minorHAnsi"/>
          <w:lang w:eastAsia="en-US"/>
        </w:rPr>
        <w:t>o</w:t>
      </w:r>
      <w:r w:rsidR="00A16B8C" w:rsidRPr="00C90AC9">
        <w:rPr>
          <w:rFonts w:eastAsiaTheme="minorHAnsi"/>
          <w:lang w:eastAsia="en-US"/>
        </w:rPr>
        <w:t>ple.</w:t>
      </w:r>
    </w:p>
    <w:p w:rsidR="00A16B8C" w:rsidRPr="00C90AC9" w:rsidRDefault="00A16B8C" w:rsidP="003F295A">
      <w:pPr>
        <w:pStyle w:val="BodyText"/>
        <w:spacing w:line="360" w:lineRule="auto"/>
        <w:rPr>
          <w:rFonts w:eastAsiaTheme="minorHAnsi"/>
          <w:lang w:eastAsia="en-US"/>
        </w:rPr>
      </w:pPr>
      <w:r w:rsidRPr="00C90AC9">
        <w:rPr>
          <w:rFonts w:eastAsiaTheme="minorHAnsi"/>
          <w:lang w:eastAsia="en-US"/>
        </w:rPr>
        <w:t>Q: “Do people think that global warming and climate change is an important thing that we should be concerned about?”</w:t>
      </w:r>
    </w:p>
    <w:p w:rsidR="00A16B8C" w:rsidRPr="00C90AC9" w:rsidRDefault="00A16B8C" w:rsidP="003F295A">
      <w:pPr>
        <w:pStyle w:val="BodyText"/>
        <w:spacing w:line="360" w:lineRule="auto"/>
        <w:rPr>
          <w:rFonts w:eastAsiaTheme="minorHAnsi"/>
          <w:lang w:eastAsia="en-US"/>
        </w:rPr>
      </w:pPr>
      <w:r w:rsidRPr="00C90AC9">
        <w:rPr>
          <w:rFonts w:eastAsiaTheme="minorHAnsi"/>
          <w:lang w:eastAsia="en-US"/>
        </w:rPr>
        <w:t>Group #6, 2015, M: “It’s too late to prevent anything.  I mean, in some terms, the climate is always changing, so it is partly natural, but it’s something that we’ll have to adapt to in every department.”</w:t>
      </w:r>
    </w:p>
    <w:p w:rsidR="00A16B8C" w:rsidRPr="00C90AC9" w:rsidRDefault="00A16B8C" w:rsidP="00ED1094">
      <w:pPr>
        <w:pStyle w:val="BodyText"/>
        <w:spacing w:line="360" w:lineRule="auto"/>
        <w:rPr>
          <w:rFonts w:eastAsiaTheme="minorHAnsi"/>
          <w:lang w:eastAsia="en-US"/>
        </w:rPr>
      </w:pPr>
      <w:r w:rsidRPr="00C90AC9">
        <w:rPr>
          <w:rFonts w:eastAsiaTheme="minorHAnsi"/>
          <w:lang w:eastAsia="en-US"/>
        </w:rPr>
        <w:t>The responsibility for dealing with Climate Change was firmly placed on developed countries however rather than developing countries, as developed countries were perceived to have used and continue to use high levels of energy leading to high carbon emissions. High carbon emissions were perceived as being a key factor causing anthropogenic climate change. It was clear across all the focus groups that developed nations had the responsibility to address Climate Change for this reason.</w:t>
      </w:r>
    </w:p>
    <w:p w:rsidR="00A16B8C" w:rsidRPr="00C90AC9" w:rsidRDefault="00A16B8C" w:rsidP="00ED1094">
      <w:pPr>
        <w:pStyle w:val="BodyText"/>
        <w:spacing w:line="360" w:lineRule="auto"/>
        <w:rPr>
          <w:rFonts w:eastAsiaTheme="minorHAnsi"/>
          <w:b/>
          <w:lang w:eastAsia="en-US"/>
        </w:rPr>
      </w:pPr>
      <w:r w:rsidRPr="00C90AC9">
        <w:rPr>
          <w:rFonts w:eastAsiaTheme="minorHAnsi"/>
          <w:b/>
          <w:lang w:eastAsia="en-US"/>
        </w:rPr>
        <w:t xml:space="preserve">Group #9,2015, M: “I think places like America need to try and cut theirs </w:t>
      </w:r>
      <w:r w:rsidR="004540B8" w:rsidRPr="00C90AC9">
        <w:rPr>
          <w:rFonts w:eastAsiaTheme="minorHAnsi"/>
          <w:b/>
          <w:lang w:eastAsia="en-US"/>
        </w:rPr>
        <w:t>(</w:t>
      </w:r>
      <w:r w:rsidRPr="00C90AC9">
        <w:rPr>
          <w:rFonts w:eastAsiaTheme="minorHAnsi"/>
          <w:b/>
          <w:lang w:eastAsia="en-US"/>
        </w:rPr>
        <w:t>carbon emissions</w:t>
      </w:r>
      <w:r w:rsidR="004540B8" w:rsidRPr="00C90AC9">
        <w:rPr>
          <w:rFonts w:eastAsiaTheme="minorHAnsi"/>
          <w:b/>
          <w:lang w:eastAsia="en-US"/>
        </w:rPr>
        <w:t>)</w:t>
      </w:r>
      <w:r w:rsidRPr="00C90AC9">
        <w:rPr>
          <w:rFonts w:eastAsiaTheme="minorHAnsi"/>
          <w:b/>
          <w:lang w:eastAsia="en-US"/>
        </w:rPr>
        <w:t xml:space="preserve"> massively.  England definitely does as well, but I think they have to cut a lot less than the US”</w:t>
      </w:r>
    </w:p>
    <w:p w:rsidR="00A16B8C" w:rsidRPr="00C90AC9" w:rsidRDefault="00A16B8C" w:rsidP="003F295A">
      <w:pPr>
        <w:pStyle w:val="Heading4"/>
        <w:spacing w:line="360" w:lineRule="auto"/>
        <w:rPr>
          <w:rFonts w:ascii="Times New Roman" w:eastAsiaTheme="minorHAnsi" w:hAnsi="Times New Roman" w:cs="Times New Roman"/>
          <w:i w:val="0"/>
          <w:color w:val="auto"/>
        </w:rPr>
      </w:pPr>
      <w:r w:rsidRPr="00C90AC9">
        <w:rPr>
          <w:rFonts w:ascii="Times New Roman" w:eastAsiaTheme="minorHAnsi" w:hAnsi="Times New Roman" w:cs="Times New Roman"/>
          <w:i w:val="0"/>
          <w:color w:val="auto"/>
        </w:rPr>
        <w:lastRenderedPageBreak/>
        <w:t xml:space="preserve">Q: “Who has more responsibility </w:t>
      </w:r>
      <w:r w:rsidR="004540B8" w:rsidRPr="00C90AC9">
        <w:rPr>
          <w:rFonts w:ascii="Times New Roman" w:eastAsiaTheme="minorHAnsi" w:hAnsi="Times New Roman" w:cs="Times New Roman"/>
          <w:i w:val="0"/>
          <w:color w:val="auto"/>
        </w:rPr>
        <w:t>(</w:t>
      </w:r>
      <w:r w:rsidRPr="00C90AC9">
        <w:rPr>
          <w:rFonts w:ascii="Times New Roman" w:eastAsiaTheme="minorHAnsi" w:hAnsi="Times New Roman" w:cs="Times New Roman"/>
          <w:i w:val="0"/>
          <w:color w:val="auto"/>
        </w:rPr>
        <w:t>for climate change</w:t>
      </w:r>
      <w:r w:rsidR="004540B8" w:rsidRPr="00C90AC9">
        <w:rPr>
          <w:rFonts w:ascii="Times New Roman" w:eastAsiaTheme="minorHAnsi" w:hAnsi="Times New Roman" w:cs="Times New Roman"/>
          <w:i w:val="0"/>
          <w:color w:val="auto"/>
        </w:rPr>
        <w:t>)</w:t>
      </w:r>
      <w:r w:rsidRPr="00C90AC9">
        <w:rPr>
          <w:rFonts w:ascii="Times New Roman" w:eastAsiaTheme="minorHAnsi" w:hAnsi="Times New Roman" w:cs="Times New Roman"/>
          <w:i w:val="0"/>
          <w:color w:val="auto"/>
        </w:rPr>
        <w:t>?”</w:t>
      </w:r>
    </w:p>
    <w:p w:rsidR="00A16B8C" w:rsidRPr="00C90AC9" w:rsidRDefault="00A16B8C" w:rsidP="003F295A">
      <w:pPr>
        <w:pStyle w:val="BodyText"/>
        <w:spacing w:line="360" w:lineRule="auto"/>
        <w:rPr>
          <w:rFonts w:eastAsiaTheme="minorHAnsi"/>
          <w:b/>
          <w:lang w:eastAsia="en-US"/>
        </w:rPr>
      </w:pPr>
      <w:r w:rsidRPr="00C90AC9">
        <w:rPr>
          <w:rFonts w:eastAsiaTheme="minorHAnsi"/>
          <w:b/>
          <w:lang w:eastAsia="en-US"/>
        </w:rPr>
        <w:t xml:space="preserve">Group#10, 2015 M: “Absolutely we have more responsibility </w:t>
      </w:r>
      <w:r w:rsidR="004540B8" w:rsidRPr="00C90AC9">
        <w:rPr>
          <w:rFonts w:eastAsiaTheme="minorHAnsi"/>
          <w:b/>
          <w:lang w:eastAsia="en-US"/>
        </w:rPr>
        <w:t>(</w:t>
      </w:r>
      <w:r w:rsidRPr="00C90AC9">
        <w:rPr>
          <w:rFonts w:eastAsiaTheme="minorHAnsi"/>
          <w:b/>
          <w:lang w:eastAsia="en-US"/>
        </w:rPr>
        <w:t>than developing nations</w:t>
      </w:r>
      <w:r w:rsidR="004540B8" w:rsidRPr="00C90AC9">
        <w:rPr>
          <w:rFonts w:eastAsiaTheme="minorHAnsi"/>
          <w:b/>
          <w:lang w:eastAsia="en-US"/>
        </w:rPr>
        <w:t>)</w:t>
      </w:r>
      <w:r w:rsidRPr="00C90AC9">
        <w:rPr>
          <w:rFonts w:eastAsiaTheme="minorHAnsi"/>
          <w:b/>
          <w:lang w:eastAsia="en-US"/>
        </w:rPr>
        <w:t>, because it’s a moral issue.  Turning it into crude economics is extremely disgusting in my view.”</w:t>
      </w:r>
    </w:p>
    <w:p w:rsidR="00A16B8C" w:rsidRPr="00C90AC9" w:rsidRDefault="00A16B8C" w:rsidP="00ED1094">
      <w:pPr>
        <w:pStyle w:val="BodyText"/>
        <w:spacing w:line="360" w:lineRule="auto"/>
        <w:rPr>
          <w:rFonts w:eastAsiaTheme="minorHAnsi"/>
          <w:lang w:eastAsia="en-US"/>
        </w:rPr>
      </w:pPr>
      <w:r w:rsidRPr="00C90AC9">
        <w:rPr>
          <w:rFonts w:eastAsiaTheme="minorHAnsi"/>
          <w:lang w:eastAsia="en-US"/>
        </w:rPr>
        <w:t xml:space="preserve">There was a reoccurring perception across both years that individuals and governments alike should be acting on Climate Change. There was a perception that individuals should be acting in harmony with governments and that there should be a better synergy between the two groups so that people are not acting in a conflicting way with other </w:t>
      </w:r>
      <w:r w:rsidR="008E008E" w:rsidRPr="00C90AC9">
        <w:rPr>
          <w:rFonts w:eastAsiaTheme="minorHAnsi"/>
          <w:lang w:eastAsia="en-US"/>
        </w:rPr>
        <w:t>people.</w:t>
      </w:r>
    </w:p>
    <w:p w:rsidR="00A16B8C" w:rsidRPr="00C90AC9" w:rsidRDefault="00A16B8C" w:rsidP="00ED1094">
      <w:pPr>
        <w:pStyle w:val="BodyText"/>
        <w:spacing w:line="360" w:lineRule="auto"/>
        <w:rPr>
          <w:rFonts w:eastAsiaTheme="minorHAnsi"/>
          <w:b/>
          <w:lang w:eastAsia="en-US"/>
        </w:rPr>
      </w:pPr>
      <w:r w:rsidRPr="00C90AC9">
        <w:rPr>
          <w:rFonts w:eastAsiaTheme="minorHAnsi"/>
          <w:b/>
          <w:lang w:eastAsia="en-US"/>
        </w:rPr>
        <w:t xml:space="preserve">Group # 9, 2015, F: </w:t>
      </w:r>
      <w:r w:rsidR="008E008E" w:rsidRPr="00C90AC9">
        <w:rPr>
          <w:rFonts w:eastAsiaTheme="minorHAnsi"/>
          <w:b/>
          <w:lang w:eastAsia="en-US"/>
        </w:rPr>
        <w:t>“I</w:t>
      </w:r>
      <w:r w:rsidRPr="00C90AC9">
        <w:rPr>
          <w:rFonts w:eastAsiaTheme="minorHAnsi"/>
          <w:b/>
          <w:lang w:eastAsia="en-US"/>
        </w:rPr>
        <w:t xml:space="preserve"> think we have to </w:t>
      </w:r>
      <w:r w:rsidR="004540B8" w:rsidRPr="00C90AC9">
        <w:rPr>
          <w:rFonts w:eastAsiaTheme="minorHAnsi"/>
          <w:b/>
          <w:lang w:eastAsia="en-US"/>
        </w:rPr>
        <w:t>(</w:t>
      </w:r>
      <w:r w:rsidRPr="00C90AC9">
        <w:rPr>
          <w:rFonts w:eastAsiaTheme="minorHAnsi"/>
          <w:b/>
          <w:lang w:eastAsia="en-US"/>
        </w:rPr>
        <w:t>individually act on climate change</w:t>
      </w:r>
      <w:r w:rsidR="004540B8" w:rsidRPr="00C90AC9">
        <w:rPr>
          <w:rFonts w:eastAsiaTheme="minorHAnsi"/>
          <w:b/>
          <w:lang w:eastAsia="en-US"/>
        </w:rPr>
        <w:t>)</w:t>
      </w:r>
      <w:r w:rsidRPr="00C90AC9">
        <w:rPr>
          <w:rFonts w:eastAsiaTheme="minorHAnsi"/>
          <w:b/>
          <w:lang w:eastAsia="en-US"/>
        </w:rPr>
        <w:t>, because I think a lot of, like, politics, the politicians are scared of doing it because it costs too much money, and then the voters just look at the money, an</w:t>
      </w:r>
      <w:r w:rsidR="003F295A" w:rsidRPr="00C90AC9">
        <w:rPr>
          <w:rFonts w:eastAsiaTheme="minorHAnsi"/>
          <w:b/>
          <w:lang w:eastAsia="en-US"/>
        </w:rPr>
        <w:t>d they don’t look at actually, a</w:t>
      </w:r>
      <w:r w:rsidRPr="00C90AC9">
        <w:rPr>
          <w:rFonts w:eastAsiaTheme="minorHAnsi"/>
          <w:b/>
        </w:rPr>
        <w:t>re we going to have a society in this many years’ time?’ “</w:t>
      </w:r>
    </w:p>
    <w:p w:rsidR="00A16B8C" w:rsidRPr="00C90AC9" w:rsidRDefault="00A16B8C" w:rsidP="00ED1094">
      <w:pPr>
        <w:pStyle w:val="BodyText"/>
        <w:spacing w:line="360" w:lineRule="auto"/>
        <w:rPr>
          <w:rFonts w:eastAsiaTheme="minorHAnsi"/>
          <w:lang w:eastAsia="en-US"/>
        </w:rPr>
      </w:pPr>
      <w:r w:rsidRPr="00C90AC9">
        <w:rPr>
          <w:rFonts w:eastAsiaTheme="minorHAnsi"/>
          <w:lang w:eastAsia="en-US"/>
        </w:rPr>
        <w:t xml:space="preserve">Participants </w:t>
      </w:r>
      <w:r w:rsidR="003F295A" w:rsidRPr="00C90AC9">
        <w:rPr>
          <w:rFonts w:eastAsiaTheme="minorHAnsi"/>
          <w:lang w:eastAsia="en-US"/>
        </w:rPr>
        <w:t>thought that ever</w:t>
      </w:r>
      <w:r w:rsidRPr="00C90AC9">
        <w:rPr>
          <w:rFonts w:eastAsiaTheme="minorHAnsi"/>
          <w:lang w:eastAsia="en-US"/>
        </w:rPr>
        <w:t>yone has their part to play and it was perceived that there should be some sort of governance to ensure an effective approach to combatting Climate Change.</w:t>
      </w:r>
    </w:p>
    <w:p w:rsidR="00A16B8C" w:rsidRPr="00C90AC9" w:rsidRDefault="00A16B8C" w:rsidP="00ED1094">
      <w:pPr>
        <w:pStyle w:val="BodyText"/>
        <w:spacing w:line="360" w:lineRule="auto"/>
        <w:rPr>
          <w:rFonts w:eastAsiaTheme="minorHAnsi"/>
          <w:b/>
          <w:lang w:eastAsia="en-US"/>
        </w:rPr>
      </w:pPr>
      <w:r w:rsidRPr="00C90AC9">
        <w:rPr>
          <w:rFonts w:eastAsiaTheme="minorHAnsi"/>
          <w:b/>
          <w:lang w:eastAsia="en-US"/>
        </w:rPr>
        <w:t xml:space="preserve">Q: “What do you think about that, is it governments, or individuals </w:t>
      </w:r>
      <w:r w:rsidR="004540B8" w:rsidRPr="00C90AC9">
        <w:rPr>
          <w:rFonts w:eastAsiaTheme="minorHAnsi"/>
          <w:b/>
          <w:lang w:eastAsia="en-US"/>
        </w:rPr>
        <w:t>(</w:t>
      </w:r>
      <w:r w:rsidRPr="00C90AC9">
        <w:rPr>
          <w:rFonts w:eastAsiaTheme="minorHAnsi"/>
          <w:b/>
          <w:lang w:eastAsia="en-US"/>
        </w:rPr>
        <w:t>that should act on climate change</w:t>
      </w:r>
      <w:r w:rsidR="004540B8" w:rsidRPr="00C90AC9">
        <w:rPr>
          <w:rFonts w:eastAsiaTheme="minorHAnsi"/>
          <w:b/>
          <w:lang w:eastAsia="en-US"/>
        </w:rPr>
        <w:t>)</w:t>
      </w:r>
      <w:r w:rsidRPr="00C90AC9">
        <w:rPr>
          <w:rFonts w:eastAsiaTheme="minorHAnsi"/>
          <w:b/>
          <w:lang w:eastAsia="en-US"/>
        </w:rPr>
        <w:t>?”</w:t>
      </w:r>
    </w:p>
    <w:p w:rsidR="00A16B8C" w:rsidRPr="00C90AC9" w:rsidRDefault="00A16B8C" w:rsidP="003F295A">
      <w:pPr>
        <w:pStyle w:val="BodyText"/>
        <w:spacing w:line="360" w:lineRule="auto"/>
        <w:rPr>
          <w:rFonts w:eastAsiaTheme="minorHAnsi"/>
          <w:b/>
          <w:lang w:eastAsia="en-US"/>
        </w:rPr>
      </w:pPr>
      <w:r w:rsidRPr="00C90AC9">
        <w:rPr>
          <w:rFonts w:eastAsiaTheme="minorHAnsi"/>
          <w:b/>
          <w:lang w:eastAsia="en-US"/>
        </w:rPr>
        <w:t>Group #10, 2015, M: “I think it’s both.  I mean, yes, government is the manager of the country, but definitely the population, regular people, like you and me, we need to put our two cents on it.”</w:t>
      </w: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r w:rsidRPr="00C90AC9">
        <w:rPr>
          <w:rFonts w:eastAsiaTheme="minorHAnsi"/>
          <w:lang w:eastAsia="en-US"/>
        </w:rPr>
        <w:br w:type="page"/>
      </w:r>
    </w:p>
    <w:p w:rsidR="00A16B8C" w:rsidRPr="00C90AC9" w:rsidRDefault="00A16B8C" w:rsidP="00CA6E35">
      <w:pPr>
        <w:pStyle w:val="List"/>
        <w:numPr>
          <w:ilvl w:val="1"/>
          <w:numId w:val="28"/>
        </w:numPr>
        <w:ind w:left="1276" w:hanging="992"/>
        <w:rPr>
          <w:rStyle w:val="SubtleEmphasis"/>
          <w:rFonts w:cs="Times New Roman"/>
          <w:iCs/>
          <w:szCs w:val="24"/>
        </w:rPr>
      </w:pPr>
      <w:bookmarkStart w:id="67" w:name="_Toc447173094"/>
      <w:r w:rsidRPr="00C90AC9">
        <w:rPr>
          <w:rStyle w:val="SubtleEmphasis"/>
          <w:rFonts w:cs="Times New Roman"/>
          <w:iCs/>
          <w:szCs w:val="24"/>
        </w:rPr>
        <w:lastRenderedPageBreak/>
        <w:t>Discussion of findings from focus groups</w:t>
      </w:r>
      <w:r w:rsidR="001C7077" w:rsidRPr="00C90AC9">
        <w:rPr>
          <w:rStyle w:val="SubtleEmphasis"/>
          <w:rFonts w:cs="Times New Roman"/>
          <w:iCs/>
          <w:szCs w:val="24"/>
        </w:rPr>
        <w:t>,</w:t>
      </w:r>
      <w:r w:rsidRPr="00C90AC9">
        <w:rPr>
          <w:rStyle w:val="SubtleEmphasis"/>
          <w:rFonts w:cs="Times New Roman"/>
          <w:iCs/>
          <w:szCs w:val="24"/>
        </w:rPr>
        <w:t xml:space="preserve"> 2012 &amp; 2015</w:t>
      </w:r>
      <w:bookmarkEnd w:id="67"/>
    </w:p>
    <w:p w:rsidR="00177432" w:rsidRPr="00C90AC9" w:rsidRDefault="00615226" w:rsidP="006773E5">
      <w:pPr>
        <w:pStyle w:val="ListContinue"/>
        <w:spacing w:line="360" w:lineRule="auto"/>
        <w:ind w:left="0" w:firstLine="142"/>
        <w:rPr>
          <w:rFonts w:eastAsiaTheme="minorHAnsi"/>
          <w:lang w:eastAsia="en-US"/>
        </w:rPr>
      </w:pPr>
      <w:r w:rsidRPr="00C90AC9">
        <w:rPr>
          <w:rFonts w:eastAsiaTheme="minorHAnsi"/>
          <w:lang w:eastAsia="en-US"/>
        </w:rPr>
        <w:tab/>
      </w:r>
      <w:r w:rsidR="00A16B8C" w:rsidRPr="00C90AC9">
        <w:rPr>
          <w:rFonts w:eastAsiaTheme="minorHAnsi"/>
          <w:lang w:eastAsia="en-US"/>
        </w:rPr>
        <w:t xml:space="preserve">There were a number of </w:t>
      </w:r>
      <w:r w:rsidR="00177432" w:rsidRPr="00C90AC9">
        <w:rPr>
          <w:rFonts w:eastAsiaTheme="minorHAnsi"/>
          <w:lang w:eastAsia="en-US"/>
        </w:rPr>
        <w:t xml:space="preserve">key </w:t>
      </w:r>
      <w:r w:rsidR="00A16B8C" w:rsidRPr="00C90AC9">
        <w:rPr>
          <w:rFonts w:eastAsiaTheme="minorHAnsi"/>
          <w:lang w:eastAsia="en-US"/>
        </w:rPr>
        <w:t xml:space="preserve">concerns </w:t>
      </w:r>
      <w:r w:rsidR="00B63E40" w:rsidRPr="00C90AC9">
        <w:rPr>
          <w:rFonts w:eastAsiaTheme="minorHAnsi"/>
          <w:lang w:eastAsia="en-US"/>
        </w:rPr>
        <w:t xml:space="preserve">which were raised by </w:t>
      </w:r>
      <w:r w:rsidR="00A16B8C" w:rsidRPr="00C90AC9">
        <w:rPr>
          <w:rFonts w:eastAsiaTheme="minorHAnsi"/>
          <w:lang w:eastAsia="en-US"/>
        </w:rPr>
        <w:t>participants</w:t>
      </w:r>
      <w:r w:rsidR="00B63E40" w:rsidRPr="00C90AC9">
        <w:rPr>
          <w:rFonts w:eastAsiaTheme="minorHAnsi"/>
          <w:lang w:eastAsia="en-US"/>
        </w:rPr>
        <w:t xml:space="preserve"> concerning the</w:t>
      </w:r>
      <w:r w:rsidR="00A16B8C" w:rsidRPr="00C90AC9">
        <w:rPr>
          <w:rFonts w:eastAsiaTheme="minorHAnsi"/>
          <w:lang w:eastAsia="en-US"/>
        </w:rPr>
        <w:t xml:space="preserve"> </w:t>
      </w:r>
      <w:r w:rsidR="00B63E40" w:rsidRPr="00C90AC9">
        <w:rPr>
          <w:rFonts w:eastAsiaTheme="minorHAnsi"/>
          <w:lang w:eastAsia="en-US"/>
        </w:rPr>
        <w:t xml:space="preserve">installation and </w:t>
      </w:r>
      <w:r w:rsidR="00A16B8C" w:rsidRPr="00C90AC9">
        <w:rPr>
          <w:rFonts w:eastAsiaTheme="minorHAnsi"/>
          <w:lang w:eastAsia="en-US"/>
        </w:rPr>
        <w:t xml:space="preserve">operation of </w:t>
      </w:r>
      <w:r w:rsidR="006518C0" w:rsidRPr="00C90AC9">
        <w:rPr>
          <w:rFonts w:eastAsiaTheme="minorHAnsi"/>
          <w:lang w:eastAsia="en-US"/>
        </w:rPr>
        <w:t>STPs</w:t>
      </w:r>
      <w:r w:rsidR="00A16B8C" w:rsidRPr="00C90AC9">
        <w:rPr>
          <w:rFonts w:eastAsiaTheme="minorHAnsi"/>
          <w:lang w:eastAsia="en-US"/>
        </w:rPr>
        <w:t xml:space="preserve">. </w:t>
      </w:r>
      <w:r w:rsidR="00B63E40" w:rsidRPr="00C90AC9">
        <w:rPr>
          <w:rFonts w:eastAsiaTheme="minorHAnsi"/>
          <w:lang w:eastAsia="en-US"/>
        </w:rPr>
        <w:t xml:space="preserve">It was noted a number of times during the focus groups that prior to the STPs actually being installed on the property, the homeowners would first be approached by companies trying to sell them a product. The participants of the focus groups recognised that manufacturers often inflate and oversell the ability of their products and that this is probably true of STP’s. </w:t>
      </w:r>
      <w:proofErr w:type="gramStart"/>
      <w:r w:rsidR="005F5008" w:rsidRPr="00C90AC9">
        <w:rPr>
          <w:rFonts w:eastAsiaTheme="minorHAnsi"/>
          <w:lang w:eastAsia="en-US"/>
        </w:rPr>
        <w:t>Therefore</w:t>
      </w:r>
      <w:proofErr w:type="gramEnd"/>
      <w:r w:rsidR="005F5008" w:rsidRPr="00C90AC9">
        <w:rPr>
          <w:rFonts w:eastAsiaTheme="minorHAnsi"/>
          <w:lang w:eastAsia="en-US"/>
        </w:rPr>
        <w:t xml:space="preserve"> the participants of the focus groups felt that the opinions of manufacturers of STPs could be considered to be partial which is not what participants of focus groups wanted to hear. What they actually wanted to hear was and impartial advice and information about a STP’s ability to provide their specific home with sufficient quantities of hot water at sufficient temperature </w:t>
      </w:r>
      <w:proofErr w:type="gramStart"/>
      <w:r w:rsidR="005F5008" w:rsidRPr="00C90AC9">
        <w:rPr>
          <w:rFonts w:eastAsiaTheme="minorHAnsi"/>
          <w:lang w:eastAsia="en-US"/>
        </w:rPr>
        <w:t>is.</w:t>
      </w:r>
      <w:r w:rsidR="00B63E40" w:rsidRPr="00C90AC9">
        <w:rPr>
          <w:rFonts w:eastAsiaTheme="minorHAnsi"/>
          <w:lang w:eastAsia="en-US"/>
        </w:rPr>
        <w:t>.</w:t>
      </w:r>
      <w:proofErr w:type="gramEnd"/>
      <w:r w:rsidR="00B63E40" w:rsidRPr="00C90AC9">
        <w:rPr>
          <w:rFonts w:eastAsiaTheme="minorHAnsi"/>
          <w:lang w:eastAsia="en-US"/>
        </w:rPr>
        <w:t xml:space="preserve"> The participants in the focus groups resented not being told the entire truth although they recognised that this was a common feature of most salespeople</w:t>
      </w:r>
      <w:r w:rsidR="00177432" w:rsidRPr="00C90AC9">
        <w:rPr>
          <w:rFonts w:eastAsiaTheme="minorHAnsi"/>
          <w:lang w:eastAsia="en-US"/>
        </w:rPr>
        <w:t xml:space="preserve"> and whilst not a unique feature of the STP market</w:t>
      </w:r>
      <w:r w:rsidR="00B63E40" w:rsidRPr="00C90AC9">
        <w:rPr>
          <w:rFonts w:eastAsiaTheme="minorHAnsi"/>
          <w:lang w:eastAsia="en-US"/>
        </w:rPr>
        <w:t xml:space="preserve">. </w:t>
      </w:r>
    </w:p>
    <w:p w:rsidR="00177432" w:rsidRPr="00C90AC9" w:rsidRDefault="00A16B8C" w:rsidP="006773E5">
      <w:pPr>
        <w:pStyle w:val="ListContinue"/>
        <w:spacing w:line="360" w:lineRule="auto"/>
        <w:ind w:left="0" w:firstLine="284"/>
        <w:rPr>
          <w:rFonts w:eastAsiaTheme="minorHAnsi"/>
          <w:lang w:eastAsia="en-US"/>
        </w:rPr>
      </w:pPr>
      <w:r w:rsidRPr="00C90AC9">
        <w:rPr>
          <w:rFonts w:eastAsiaTheme="minorHAnsi"/>
          <w:lang w:eastAsia="en-US"/>
        </w:rPr>
        <w:t>The</w:t>
      </w:r>
      <w:r w:rsidR="00177432" w:rsidRPr="00C90AC9">
        <w:rPr>
          <w:rFonts w:eastAsiaTheme="minorHAnsi"/>
          <w:lang w:eastAsia="en-US"/>
        </w:rPr>
        <w:t xml:space="preserve"> STP’s </w:t>
      </w:r>
      <w:r w:rsidRPr="00C90AC9">
        <w:rPr>
          <w:rFonts w:eastAsiaTheme="minorHAnsi"/>
          <w:lang w:eastAsia="en-US"/>
        </w:rPr>
        <w:t xml:space="preserve">ability to survive freezing weather was a </w:t>
      </w:r>
      <w:r w:rsidR="00177432" w:rsidRPr="00C90AC9">
        <w:rPr>
          <w:rFonts w:eastAsiaTheme="minorHAnsi"/>
          <w:lang w:eastAsia="en-US"/>
        </w:rPr>
        <w:t xml:space="preserve">significant </w:t>
      </w:r>
      <w:r w:rsidRPr="00C90AC9">
        <w:rPr>
          <w:rFonts w:eastAsiaTheme="minorHAnsi"/>
          <w:lang w:eastAsia="en-US"/>
        </w:rPr>
        <w:t>concern for many and</w:t>
      </w:r>
      <w:r w:rsidR="00177432" w:rsidRPr="00C90AC9">
        <w:rPr>
          <w:rFonts w:eastAsiaTheme="minorHAnsi"/>
          <w:lang w:eastAsia="en-US"/>
        </w:rPr>
        <w:t xml:space="preserve"> enough of a </w:t>
      </w:r>
      <w:r w:rsidRPr="00C90AC9">
        <w:rPr>
          <w:rFonts w:eastAsiaTheme="minorHAnsi"/>
          <w:lang w:eastAsia="en-US"/>
        </w:rPr>
        <w:t xml:space="preserve">concern that would halt </w:t>
      </w:r>
      <w:r w:rsidR="00177432" w:rsidRPr="00C90AC9">
        <w:rPr>
          <w:rFonts w:eastAsiaTheme="minorHAnsi"/>
          <w:lang w:eastAsia="en-US"/>
        </w:rPr>
        <w:t xml:space="preserve">participants of the focus groups investigating </w:t>
      </w:r>
      <w:proofErr w:type="gramStart"/>
      <w:r w:rsidR="00177432" w:rsidRPr="00C90AC9">
        <w:rPr>
          <w:rFonts w:eastAsiaTheme="minorHAnsi"/>
          <w:lang w:eastAsia="en-US"/>
        </w:rPr>
        <w:t xml:space="preserve">further </w:t>
      </w:r>
      <w:r w:rsidRPr="00C90AC9">
        <w:rPr>
          <w:rFonts w:eastAsiaTheme="minorHAnsi"/>
          <w:lang w:eastAsia="en-US"/>
        </w:rPr>
        <w:t xml:space="preserve"> the</w:t>
      </w:r>
      <w:proofErr w:type="gramEnd"/>
      <w:r w:rsidRPr="00C90AC9">
        <w:rPr>
          <w:rFonts w:eastAsiaTheme="minorHAnsi"/>
          <w:lang w:eastAsia="en-US"/>
        </w:rPr>
        <w:t xml:space="preserve"> suitability of the</w:t>
      </w:r>
      <w:r w:rsidR="00177432" w:rsidRPr="00C90AC9">
        <w:rPr>
          <w:rFonts w:eastAsiaTheme="minorHAnsi"/>
          <w:lang w:eastAsia="en-US"/>
        </w:rPr>
        <w:t xml:space="preserve"> technology for their homes</w:t>
      </w:r>
      <w:r w:rsidRPr="00C90AC9">
        <w:rPr>
          <w:rFonts w:eastAsiaTheme="minorHAnsi"/>
          <w:lang w:eastAsia="en-US"/>
        </w:rPr>
        <w:t xml:space="preserve">. </w:t>
      </w:r>
      <w:r w:rsidR="00177432" w:rsidRPr="00C90AC9">
        <w:rPr>
          <w:rFonts w:eastAsiaTheme="minorHAnsi"/>
          <w:lang w:eastAsia="en-US"/>
        </w:rPr>
        <w:t>The participants believed that water being allowed to flow on their roof necessarily means that it would be in danger of freezing and thus causing damage to their homes. This perception was widely held and would stop potential installers of this technology from investigating further about the suitability of the technology.</w:t>
      </w:r>
    </w:p>
    <w:p w:rsidR="007D648D" w:rsidRPr="00C90AC9" w:rsidRDefault="00177432" w:rsidP="006773E5">
      <w:pPr>
        <w:pStyle w:val="ListContinue"/>
        <w:spacing w:line="360" w:lineRule="auto"/>
        <w:ind w:left="0" w:firstLine="284"/>
        <w:rPr>
          <w:rFonts w:eastAsiaTheme="minorHAnsi"/>
          <w:lang w:eastAsia="en-US"/>
        </w:rPr>
      </w:pPr>
      <w:r w:rsidRPr="00C90AC9">
        <w:rPr>
          <w:rFonts w:eastAsiaTheme="minorHAnsi"/>
          <w:lang w:eastAsia="en-US"/>
        </w:rPr>
        <w:t>However</w:t>
      </w:r>
      <w:r w:rsidR="007D648D" w:rsidRPr="00C90AC9">
        <w:rPr>
          <w:rFonts w:eastAsiaTheme="minorHAnsi"/>
          <w:lang w:eastAsia="en-US"/>
        </w:rPr>
        <w:t>,</w:t>
      </w:r>
      <w:r w:rsidRPr="00C90AC9">
        <w:rPr>
          <w:rFonts w:eastAsiaTheme="minorHAnsi"/>
          <w:lang w:eastAsia="en-US"/>
        </w:rPr>
        <w:t xml:space="preserve"> t</w:t>
      </w:r>
      <w:r w:rsidR="00A16B8C" w:rsidRPr="00C90AC9">
        <w:rPr>
          <w:rFonts w:eastAsiaTheme="minorHAnsi"/>
          <w:lang w:eastAsia="en-US"/>
        </w:rPr>
        <w:t>he general perception was positive about</w:t>
      </w:r>
      <w:r w:rsidRPr="00C90AC9">
        <w:rPr>
          <w:rFonts w:eastAsiaTheme="minorHAnsi"/>
          <w:lang w:eastAsia="en-US"/>
        </w:rPr>
        <w:t xml:space="preserve"> STP </w:t>
      </w:r>
      <w:r w:rsidR="00A16B8C" w:rsidRPr="00C90AC9">
        <w:rPr>
          <w:rFonts w:eastAsiaTheme="minorHAnsi"/>
          <w:lang w:eastAsia="en-US"/>
        </w:rPr>
        <w:t xml:space="preserve">technology at both addressing </w:t>
      </w:r>
      <w:r w:rsidRPr="00C90AC9">
        <w:rPr>
          <w:rFonts w:eastAsiaTheme="minorHAnsi"/>
          <w:lang w:eastAsia="en-US"/>
        </w:rPr>
        <w:t>c</w:t>
      </w:r>
      <w:r w:rsidR="00A16B8C" w:rsidRPr="00C90AC9">
        <w:rPr>
          <w:rFonts w:eastAsiaTheme="minorHAnsi"/>
          <w:lang w:eastAsia="en-US"/>
        </w:rPr>
        <w:t xml:space="preserve">limate </w:t>
      </w:r>
      <w:r w:rsidRPr="00C90AC9">
        <w:rPr>
          <w:rFonts w:eastAsiaTheme="minorHAnsi"/>
          <w:lang w:eastAsia="en-US"/>
        </w:rPr>
        <w:t>c</w:t>
      </w:r>
      <w:r w:rsidR="00A16B8C" w:rsidRPr="00C90AC9">
        <w:rPr>
          <w:rFonts w:eastAsiaTheme="minorHAnsi"/>
          <w:lang w:eastAsia="en-US"/>
        </w:rPr>
        <w:t>hange</w:t>
      </w:r>
      <w:r w:rsidR="007D648D" w:rsidRPr="00C90AC9">
        <w:rPr>
          <w:rFonts w:eastAsiaTheme="minorHAnsi"/>
          <w:lang w:eastAsia="en-US"/>
        </w:rPr>
        <w:t xml:space="preserve"> and being able to reduce</w:t>
      </w:r>
      <w:r w:rsidR="00A16B8C" w:rsidRPr="00C90AC9">
        <w:rPr>
          <w:rFonts w:eastAsiaTheme="minorHAnsi"/>
          <w:lang w:eastAsia="en-US"/>
        </w:rPr>
        <w:t xml:space="preserve"> household energy bills</w:t>
      </w:r>
      <w:r w:rsidR="007D648D" w:rsidRPr="00C90AC9">
        <w:rPr>
          <w:rFonts w:eastAsiaTheme="minorHAnsi"/>
          <w:lang w:eastAsia="en-US"/>
        </w:rPr>
        <w:t>, although there was a notable difference between the focus groups on this point</w:t>
      </w:r>
      <w:r w:rsidR="00A16B8C" w:rsidRPr="00C90AC9">
        <w:rPr>
          <w:rFonts w:eastAsiaTheme="minorHAnsi"/>
          <w:lang w:eastAsia="en-US"/>
        </w:rPr>
        <w:t>. For those participants that own</w:t>
      </w:r>
      <w:r w:rsidR="007D648D" w:rsidRPr="00C90AC9">
        <w:rPr>
          <w:rFonts w:eastAsiaTheme="minorHAnsi"/>
          <w:lang w:eastAsia="en-US"/>
        </w:rPr>
        <w:t xml:space="preserve"> STP’s or have </w:t>
      </w:r>
      <w:r w:rsidR="00A16B8C" w:rsidRPr="00C90AC9">
        <w:rPr>
          <w:rFonts w:eastAsiaTheme="minorHAnsi"/>
          <w:lang w:eastAsia="en-US"/>
        </w:rPr>
        <w:t>used</w:t>
      </w:r>
      <w:r w:rsidR="007D648D" w:rsidRPr="00C90AC9">
        <w:rPr>
          <w:rFonts w:eastAsiaTheme="minorHAnsi"/>
          <w:lang w:eastAsia="en-US"/>
        </w:rPr>
        <w:t xml:space="preserve"> technology </w:t>
      </w:r>
      <w:r w:rsidR="00A16B8C" w:rsidRPr="00C90AC9">
        <w:rPr>
          <w:rFonts w:eastAsiaTheme="minorHAnsi"/>
          <w:lang w:eastAsia="en-US"/>
        </w:rPr>
        <w:t>either in this country or abroad</w:t>
      </w:r>
      <w:r w:rsidR="007D648D" w:rsidRPr="00C90AC9">
        <w:rPr>
          <w:rFonts w:eastAsiaTheme="minorHAnsi"/>
          <w:lang w:eastAsia="en-US"/>
        </w:rPr>
        <w:t>,</w:t>
      </w:r>
      <w:r w:rsidR="00A16B8C" w:rsidRPr="00C90AC9">
        <w:rPr>
          <w:rFonts w:eastAsiaTheme="minorHAnsi"/>
          <w:lang w:eastAsia="en-US"/>
        </w:rPr>
        <w:t xml:space="preserve"> the overwhelming consensus was a positive one</w:t>
      </w:r>
      <w:r w:rsidR="008E008E" w:rsidRPr="00C90AC9">
        <w:rPr>
          <w:rFonts w:eastAsiaTheme="minorHAnsi"/>
          <w:lang w:eastAsia="en-US"/>
        </w:rPr>
        <w:t>.</w:t>
      </w:r>
      <w:r w:rsidR="00A16B8C" w:rsidRPr="00C90AC9">
        <w:rPr>
          <w:rFonts w:eastAsiaTheme="minorHAnsi"/>
          <w:lang w:eastAsia="en-US"/>
        </w:rPr>
        <w:t xml:space="preserve"> </w:t>
      </w:r>
      <w:r w:rsidR="00117A0A" w:rsidRPr="00C90AC9">
        <w:rPr>
          <w:rFonts w:eastAsiaTheme="minorHAnsi"/>
          <w:lang w:eastAsia="en-US"/>
        </w:rPr>
        <w:t>The participants of these focus groups perceived that STPs were not only positive factor when reducing household energy consumption (and therefore reducing carbon emissions associated with traditional fuel use), but also participants had a positive experience of STPs being able to supply participants with hot water. This finding is in agreement with previous studies which has found that consumers not only</w:t>
      </w:r>
    </w:p>
    <w:p w:rsidR="00A16B8C" w:rsidRDefault="00A16B8C" w:rsidP="006773E5">
      <w:pPr>
        <w:pStyle w:val="ListContinue"/>
        <w:spacing w:line="360" w:lineRule="auto"/>
        <w:ind w:left="0" w:firstLine="284"/>
        <w:rPr>
          <w:rFonts w:eastAsiaTheme="minorHAnsi"/>
          <w:lang w:eastAsia="en-US"/>
        </w:rPr>
      </w:pPr>
      <w:r w:rsidRPr="00C90AC9">
        <w:rPr>
          <w:rFonts w:eastAsiaTheme="minorHAnsi"/>
          <w:lang w:eastAsia="en-US"/>
        </w:rPr>
        <w:t>Participants were agnostic about the appearance of the panels</w:t>
      </w:r>
      <w:r w:rsidR="00A80929" w:rsidRPr="00C90AC9">
        <w:rPr>
          <w:rFonts w:eastAsiaTheme="minorHAnsi"/>
          <w:lang w:eastAsia="en-US"/>
        </w:rPr>
        <w:t>, particularly as the STPs would the cited on the roofs of homes in therefore not visible. Participants were far more concerned with the usefulness of the panels in actually providing them with sufficient quantities of hot water at a sufficient temperature which they require it.</w:t>
      </w:r>
    </w:p>
    <w:p w:rsidR="00A24894" w:rsidRPr="00C90AC9" w:rsidRDefault="00A24894" w:rsidP="006773E5">
      <w:pPr>
        <w:pStyle w:val="ListContinue"/>
        <w:spacing w:line="360" w:lineRule="auto"/>
        <w:ind w:left="0" w:firstLine="284"/>
        <w:rPr>
          <w:rFonts w:eastAsiaTheme="minorHAnsi"/>
          <w:lang w:eastAsia="en-US"/>
        </w:rPr>
      </w:pPr>
    </w:p>
    <w:p w:rsidR="00A16B8C" w:rsidRPr="00C90AC9" w:rsidRDefault="00B63E40" w:rsidP="00CA6E35">
      <w:pPr>
        <w:pStyle w:val="List"/>
        <w:numPr>
          <w:ilvl w:val="1"/>
          <w:numId w:val="28"/>
        </w:numPr>
        <w:ind w:left="1134" w:hanging="1134"/>
        <w:rPr>
          <w:rStyle w:val="SubtleEmphasis"/>
          <w:rFonts w:cs="Times New Roman"/>
          <w:iCs/>
          <w:szCs w:val="24"/>
        </w:rPr>
      </w:pPr>
      <w:bookmarkStart w:id="68" w:name="_Toc447173095"/>
      <w:r w:rsidRPr="00C90AC9">
        <w:rPr>
          <w:rStyle w:val="SubtleEmphasis"/>
          <w:rFonts w:cs="Times New Roman"/>
          <w:iCs/>
          <w:szCs w:val="24"/>
        </w:rPr>
        <w:lastRenderedPageBreak/>
        <w:t xml:space="preserve">Conclusions </w:t>
      </w:r>
      <w:r w:rsidR="00A16B8C" w:rsidRPr="00C90AC9">
        <w:rPr>
          <w:rStyle w:val="SubtleEmphasis"/>
          <w:rFonts w:cs="Times New Roman"/>
          <w:iCs/>
          <w:szCs w:val="24"/>
        </w:rPr>
        <w:t>from semi-structured interviews and focus groups 2012 &amp; 2015</w:t>
      </w:r>
      <w:bookmarkEnd w:id="68"/>
    </w:p>
    <w:p w:rsidR="007A3BF8" w:rsidRPr="00C90AC9" w:rsidRDefault="007A3BF8" w:rsidP="00925AB1">
      <w:pPr>
        <w:pStyle w:val="ListContinue"/>
        <w:spacing w:line="360" w:lineRule="auto"/>
        <w:ind w:left="0"/>
        <w:rPr>
          <w:rFonts w:eastAsiaTheme="minorHAnsi"/>
          <w:lang w:eastAsia="en-US"/>
        </w:rPr>
      </w:pPr>
      <w:r w:rsidRPr="00C90AC9">
        <w:rPr>
          <w:rFonts w:eastAsiaTheme="minorHAnsi"/>
          <w:lang w:eastAsia="en-US"/>
        </w:rPr>
        <w:tab/>
      </w:r>
      <w:r w:rsidR="00A16B8C" w:rsidRPr="00C90AC9">
        <w:rPr>
          <w:rFonts w:eastAsiaTheme="minorHAnsi"/>
          <w:lang w:eastAsia="en-US"/>
        </w:rPr>
        <w:t xml:space="preserve">The </w:t>
      </w:r>
      <w:r w:rsidR="00E82522" w:rsidRPr="00C90AC9">
        <w:rPr>
          <w:rFonts w:eastAsiaTheme="minorHAnsi"/>
          <w:lang w:eastAsia="en-US"/>
        </w:rPr>
        <w:t>main</w:t>
      </w:r>
      <w:r w:rsidR="00A16B8C" w:rsidRPr="00C90AC9">
        <w:rPr>
          <w:rFonts w:eastAsiaTheme="minorHAnsi"/>
          <w:lang w:eastAsia="en-US"/>
        </w:rPr>
        <w:t xml:space="preserve"> conclusions to be drawn from the entire qualitative research conducted in 2012 and 2015 are that there is a positive public opinion</w:t>
      </w:r>
      <w:r w:rsidR="00152F06" w:rsidRPr="00C90AC9">
        <w:rPr>
          <w:rFonts w:eastAsiaTheme="minorHAnsi"/>
          <w:lang w:eastAsia="en-US"/>
        </w:rPr>
        <w:t xml:space="preserve"> of STOPs</w:t>
      </w:r>
      <w:r w:rsidR="00A16B8C" w:rsidRPr="00C90AC9">
        <w:rPr>
          <w:rFonts w:eastAsiaTheme="minorHAnsi"/>
          <w:lang w:eastAsia="en-US"/>
        </w:rPr>
        <w:t xml:space="preserve"> as well as a positive opinion from the </w:t>
      </w:r>
      <w:r w:rsidR="00E82522" w:rsidRPr="00C90AC9">
        <w:rPr>
          <w:rFonts w:eastAsiaTheme="minorHAnsi"/>
          <w:lang w:eastAsia="en-US"/>
        </w:rPr>
        <w:t>main</w:t>
      </w:r>
      <w:r w:rsidR="00A16B8C" w:rsidRPr="00C90AC9">
        <w:rPr>
          <w:rFonts w:eastAsiaTheme="minorHAnsi"/>
          <w:lang w:eastAsia="en-US"/>
        </w:rPr>
        <w:t xml:space="preserve"> actors regarding </w:t>
      </w:r>
      <w:r w:rsidR="006518C0" w:rsidRPr="00C90AC9">
        <w:rPr>
          <w:rFonts w:eastAsiaTheme="minorHAnsi"/>
          <w:lang w:eastAsia="en-US"/>
        </w:rPr>
        <w:t>STPs</w:t>
      </w:r>
      <w:r w:rsidR="00A16B8C" w:rsidRPr="00C90AC9">
        <w:rPr>
          <w:rFonts w:eastAsiaTheme="minorHAnsi"/>
          <w:lang w:eastAsia="en-US"/>
        </w:rPr>
        <w:t xml:space="preserve"> and the potential benefits </w:t>
      </w:r>
      <w:r w:rsidR="00B63E40" w:rsidRPr="00C90AC9">
        <w:rPr>
          <w:rFonts w:eastAsiaTheme="minorHAnsi"/>
          <w:lang w:eastAsia="en-US"/>
        </w:rPr>
        <w:t>STPs</w:t>
      </w:r>
      <w:r w:rsidR="00A16B8C" w:rsidRPr="00C90AC9">
        <w:rPr>
          <w:rFonts w:eastAsiaTheme="minorHAnsi"/>
          <w:lang w:eastAsia="en-US"/>
        </w:rPr>
        <w:t xml:space="preserve"> can provide residents in the UK. This renewable technology may not be fully understood in its operation</w:t>
      </w:r>
      <w:r w:rsidRPr="00C90AC9">
        <w:rPr>
          <w:rFonts w:eastAsiaTheme="minorHAnsi"/>
          <w:lang w:eastAsia="en-US"/>
        </w:rPr>
        <w:t>,</w:t>
      </w:r>
      <w:r w:rsidR="00A16B8C" w:rsidRPr="00C90AC9">
        <w:rPr>
          <w:rFonts w:eastAsiaTheme="minorHAnsi"/>
          <w:lang w:eastAsia="en-US"/>
        </w:rPr>
        <w:t xml:space="preserve"> but it is thought of as having a positive benefit in reducing domestic fuel consumption and</w:t>
      </w:r>
      <w:r w:rsidRPr="00C90AC9">
        <w:rPr>
          <w:rFonts w:eastAsiaTheme="minorHAnsi"/>
          <w:lang w:eastAsia="en-US"/>
        </w:rPr>
        <w:t xml:space="preserve"> thus </w:t>
      </w:r>
      <w:r w:rsidR="00A16B8C" w:rsidRPr="00C90AC9">
        <w:rPr>
          <w:rFonts w:eastAsiaTheme="minorHAnsi"/>
          <w:lang w:eastAsia="en-US"/>
        </w:rPr>
        <w:t xml:space="preserve">reducing consumption of conventional fossil </w:t>
      </w:r>
      <w:proofErr w:type="gramStart"/>
      <w:r w:rsidR="00A16B8C" w:rsidRPr="00C90AC9">
        <w:rPr>
          <w:rFonts w:eastAsiaTheme="minorHAnsi"/>
          <w:lang w:eastAsia="en-US"/>
        </w:rPr>
        <w:t>fuel based</w:t>
      </w:r>
      <w:proofErr w:type="gramEnd"/>
      <w:r w:rsidRPr="00C90AC9">
        <w:rPr>
          <w:rFonts w:eastAsiaTheme="minorHAnsi"/>
          <w:lang w:eastAsia="en-US"/>
        </w:rPr>
        <w:t xml:space="preserve"> energies. STP’s are considered to be an effective but under used renewable technology by the main actors in the STP market. T</w:t>
      </w:r>
      <w:r w:rsidR="00A16B8C" w:rsidRPr="00C90AC9">
        <w:rPr>
          <w:rFonts w:eastAsiaTheme="minorHAnsi"/>
          <w:lang w:eastAsia="en-US"/>
        </w:rPr>
        <w:t>hus</w:t>
      </w:r>
      <w:r w:rsidRPr="00C90AC9">
        <w:rPr>
          <w:rFonts w:eastAsiaTheme="minorHAnsi"/>
          <w:lang w:eastAsia="en-US"/>
        </w:rPr>
        <w:t>,</w:t>
      </w:r>
      <w:r w:rsidR="00A16B8C" w:rsidRPr="00C90AC9">
        <w:rPr>
          <w:rFonts w:eastAsiaTheme="minorHAnsi"/>
          <w:lang w:eastAsia="en-US"/>
        </w:rPr>
        <w:t xml:space="preserve"> </w:t>
      </w:r>
      <w:r w:rsidRPr="00C90AC9">
        <w:rPr>
          <w:rFonts w:eastAsiaTheme="minorHAnsi"/>
          <w:lang w:eastAsia="en-US"/>
        </w:rPr>
        <w:t>whilst the informed opinion is that STP technology can aid the UK</w:t>
      </w:r>
      <w:r w:rsidR="00A16B8C" w:rsidRPr="00C90AC9">
        <w:rPr>
          <w:rFonts w:eastAsiaTheme="minorHAnsi"/>
          <w:lang w:eastAsia="en-US"/>
        </w:rPr>
        <w:t xml:space="preserve"> in reducing</w:t>
      </w:r>
      <w:r w:rsidRPr="00C90AC9">
        <w:rPr>
          <w:rFonts w:eastAsiaTheme="minorHAnsi"/>
          <w:lang w:eastAsia="en-US"/>
        </w:rPr>
        <w:t xml:space="preserve"> its </w:t>
      </w:r>
      <w:r w:rsidR="00A16B8C" w:rsidRPr="00C90AC9">
        <w:rPr>
          <w:rFonts w:eastAsiaTheme="minorHAnsi"/>
          <w:lang w:eastAsia="en-US"/>
        </w:rPr>
        <w:t>carbon output</w:t>
      </w:r>
      <w:r w:rsidRPr="00C90AC9">
        <w:rPr>
          <w:rFonts w:eastAsiaTheme="minorHAnsi"/>
          <w:lang w:eastAsia="en-US"/>
        </w:rPr>
        <w:t xml:space="preserve"> it is not used to its full potential. This opinion of the technology not being fully utilised is supported by the belief that there is not one clear message coming from UK government regarding this domestic renewable energy source.</w:t>
      </w:r>
    </w:p>
    <w:p w:rsidR="007A3BF8" w:rsidRPr="00C90AC9" w:rsidRDefault="007A3BF8" w:rsidP="00ED1094">
      <w:pPr>
        <w:pStyle w:val="ListContinue"/>
        <w:spacing w:line="360" w:lineRule="auto"/>
        <w:ind w:left="284"/>
        <w:rPr>
          <w:rFonts w:eastAsiaTheme="minorHAnsi"/>
          <w:lang w:eastAsia="en-US"/>
        </w:rPr>
      </w:pPr>
    </w:p>
    <w:p w:rsidR="00A16B8C" w:rsidRPr="00C90AC9" w:rsidRDefault="007A3BF8" w:rsidP="00925AB1">
      <w:pPr>
        <w:pStyle w:val="ListContinue"/>
        <w:spacing w:line="360" w:lineRule="auto"/>
        <w:ind w:left="0"/>
        <w:rPr>
          <w:rFonts w:eastAsiaTheme="minorHAnsi"/>
          <w:lang w:eastAsia="en-US"/>
        </w:rPr>
      </w:pPr>
      <w:r w:rsidRPr="00C90AC9">
        <w:rPr>
          <w:rFonts w:eastAsiaTheme="minorHAnsi"/>
          <w:lang w:eastAsia="en-US"/>
        </w:rPr>
        <w:t>The main actors perceived STP technology has having utility by being</w:t>
      </w:r>
      <w:r w:rsidR="00A16B8C" w:rsidRPr="00C90AC9">
        <w:rPr>
          <w:rFonts w:eastAsiaTheme="minorHAnsi"/>
          <w:lang w:eastAsia="en-US"/>
        </w:rPr>
        <w:t xml:space="preserve"> installed on residential properties and that the UK government should be providing assistance to ensure that the technology is adopted in locations where it is suitable. This assistance could come in the form of financial support to compensate the adopters for their capital cost or to have a financial program similar to the FIT. A clear methodology to provide this support was not discernible but it was perceived that something should be done so that the residents that would benefit from this technology the most (the over 70s and residents in social housing) due to the fact that they are more likely to be at home when the heated water is available throughout the day.</w:t>
      </w:r>
    </w:p>
    <w:p w:rsidR="00925AB1" w:rsidRPr="00C90AC9" w:rsidRDefault="00925AB1" w:rsidP="00ED1094">
      <w:pPr>
        <w:pStyle w:val="ListContinue"/>
        <w:spacing w:line="360" w:lineRule="auto"/>
        <w:ind w:left="284"/>
        <w:rPr>
          <w:rFonts w:eastAsiaTheme="minorHAnsi"/>
          <w:lang w:eastAsia="en-US"/>
        </w:rPr>
      </w:pPr>
    </w:p>
    <w:p w:rsidR="007A3BF8" w:rsidRPr="00C90AC9" w:rsidRDefault="007A3BF8" w:rsidP="00925AB1">
      <w:pPr>
        <w:pStyle w:val="ListContinue"/>
        <w:spacing w:line="360" w:lineRule="auto"/>
        <w:ind w:left="0"/>
        <w:rPr>
          <w:rFonts w:eastAsiaTheme="minorHAnsi"/>
          <w:lang w:eastAsia="en-US"/>
        </w:rPr>
      </w:pPr>
      <w:r w:rsidRPr="00C90AC9">
        <w:rPr>
          <w:rFonts w:eastAsiaTheme="minorHAnsi"/>
          <w:lang w:eastAsia="en-US"/>
        </w:rPr>
        <w:t>In the focus groups, consumers felt that there isn’t a cohesive</w:t>
      </w:r>
      <w:r w:rsidR="00925AB1" w:rsidRPr="00C90AC9">
        <w:rPr>
          <w:rFonts w:eastAsiaTheme="minorHAnsi"/>
          <w:lang w:eastAsia="en-US"/>
        </w:rPr>
        <w:t xml:space="preserve"> message being delivered to them from the government or by other potential sources of information which they may access to learn more about the technology and its viability.</w:t>
      </w:r>
      <w:r w:rsidR="00CD63F8" w:rsidRPr="00C90AC9">
        <w:rPr>
          <w:rFonts w:eastAsiaTheme="minorHAnsi"/>
          <w:lang w:eastAsia="en-US"/>
        </w:rPr>
        <w:t xml:space="preserve"> More immediate concerns of cost were of greater significance to the participants than the effects of climate change which is perceived as a future problem whereas the financial cost associated with heating their water is an immediate concern. This was more acutely perceived in the groups that don’t have and haven’t considered adopting STPs. In the groups that have STPs they were more concerned with climate change and the effects of climate change. The participants explicitly stated that climate change and the effects of climate change were reasons why they had adopted STPs. </w:t>
      </w:r>
    </w:p>
    <w:p w:rsidR="007A3BF8" w:rsidRPr="00C90AC9" w:rsidRDefault="007A3BF8" w:rsidP="00ED1094">
      <w:pPr>
        <w:pStyle w:val="ListContinue"/>
        <w:spacing w:line="360" w:lineRule="auto"/>
        <w:ind w:left="284"/>
        <w:rPr>
          <w:rFonts w:eastAsiaTheme="minorHAnsi"/>
          <w:lang w:eastAsia="en-US"/>
        </w:rPr>
      </w:pPr>
    </w:p>
    <w:p w:rsidR="00A16B8C" w:rsidRPr="00C90AC9" w:rsidRDefault="00A16B8C" w:rsidP="00925AB1">
      <w:pPr>
        <w:pStyle w:val="ListContinue"/>
        <w:spacing w:line="360" w:lineRule="auto"/>
        <w:ind w:left="0"/>
        <w:rPr>
          <w:rFonts w:eastAsiaTheme="minorHAnsi"/>
          <w:lang w:eastAsia="en-US"/>
        </w:rPr>
      </w:pPr>
      <w:r w:rsidRPr="00C90AC9">
        <w:rPr>
          <w:rFonts w:eastAsiaTheme="minorHAnsi"/>
          <w:lang w:eastAsia="en-US"/>
        </w:rPr>
        <w:lastRenderedPageBreak/>
        <w:t xml:space="preserve">The focus groups highlighted some concerns that the general public have with the capability of </w:t>
      </w:r>
      <w:r w:rsidR="006518C0" w:rsidRPr="00C90AC9">
        <w:rPr>
          <w:rFonts w:eastAsiaTheme="minorHAnsi"/>
          <w:lang w:eastAsia="en-US"/>
        </w:rPr>
        <w:t>STPs</w:t>
      </w:r>
      <w:r w:rsidRPr="00C90AC9">
        <w:rPr>
          <w:rFonts w:eastAsiaTheme="minorHAnsi"/>
          <w:lang w:eastAsia="en-US"/>
        </w:rPr>
        <w:t xml:space="preserve"> to withstand the cold weather and possible freezing of the panels in winter as well as there being a concern that ensuring the good </w:t>
      </w:r>
      <w:r w:rsidR="00E82522" w:rsidRPr="00C90AC9">
        <w:rPr>
          <w:rFonts w:eastAsiaTheme="minorHAnsi"/>
          <w:lang w:eastAsia="en-US"/>
        </w:rPr>
        <w:t>main</w:t>
      </w:r>
      <w:r w:rsidRPr="00C90AC9">
        <w:rPr>
          <w:rFonts w:eastAsiaTheme="minorHAnsi"/>
          <w:lang w:eastAsia="en-US"/>
        </w:rPr>
        <w:t>tenance of the panels would be difficult and problematic due to the inaccessibility of the panels.</w:t>
      </w:r>
    </w:p>
    <w:p w:rsidR="00A16B8C" w:rsidRPr="00C90AC9" w:rsidRDefault="00A16B8C" w:rsidP="00925AB1">
      <w:pPr>
        <w:pStyle w:val="ListContinue"/>
        <w:spacing w:line="360" w:lineRule="auto"/>
        <w:ind w:left="0"/>
        <w:rPr>
          <w:rFonts w:eastAsiaTheme="minorHAnsi"/>
          <w:lang w:eastAsia="en-US"/>
        </w:rPr>
      </w:pPr>
      <w:r w:rsidRPr="00C90AC9">
        <w:rPr>
          <w:rFonts w:eastAsiaTheme="minorHAnsi"/>
          <w:lang w:eastAsia="en-US"/>
        </w:rPr>
        <w:t xml:space="preserve">The application of the TAM to explain consumer adoption of solar thermal panels appears justified with Perceived Ease of Use (PEOU) and Perceived Usefulness (PU) being prominent in both the general public’s mind as well as the minds of </w:t>
      </w:r>
      <w:r w:rsidR="00E82522" w:rsidRPr="00C90AC9">
        <w:rPr>
          <w:rFonts w:eastAsiaTheme="minorHAnsi"/>
          <w:lang w:eastAsia="en-US"/>
        </w:rPr>
        <w:t>main</w:t>
      </w:r>
      <w:r w:rsidRPr="00C90AC9">
        <w:rPr>
          <w:rFonts w:eastAsiaTheme="minorHAnsi"/>
          <w:lang w:eastAsia="en-US"/>
        </w:rPr>
        <w:t xml:space="preserve"> actors with specialist knowledge. The issue of trust also was apparent and further indicates that the TAM +Trust is a more </w:t>
      </w:r>
      <w:r w:rsidR="00925AB1" w:rsidRPr="00C90AC9">
        <w:rPr>
          <w:rFonts w:eastAsiaTheme="minorHAnsi"/>
          <w:lang w:eastAsia="en-US"/>
        </w:rPr>
        <w:t>appropriate</w:t>
      </w:r>
      <w:r w:rsidRPr="00C90AC9">
        <w:rPr>
          <w:rFonts w:eastAsiaTheme="minorHAnsi"/>
          <w:lang w:eastAsia="en-US"/>
        </w:rPr>
        <w:t xml:space="preserve"> model to explain consumer adoption of </w:t>
      </w:r>
      <w:r w:rsidR="006518C0" w:rsidRPr="00C90AC9">
        <w:rPr>
          <w:rFonts w:eastAsiaTheme="minorHAnsi"/>
          <w:lang w:eastAsia="en-US"/>
        </w:rPr>
        <w:t>STPs</w:t>
      </w:r>
      <w:r w:rsidRPr="00C90AC9">
        <w:rPr>
          <w:rFonts w:eastAsiaTheme="minorHAnsi"/>
          <w:lang w:eastAsia="en-US"/>
        </w:rPr>
        <w:t xml:space="preserve">. </w:t>
      </w:r>
      <w:r w:rsidR="008E008E" w:rsidRPr="00C90AC9">
        <w:rPr>
          <w:rFonts w:eastAsiaTheme="minorHAnsi"/>
          <w:lang w:eastAsia="en-US"/>
        </w:rPr>
        <w:t>However,</w:t>
      </w:r>
      <w:r w:rsidRPr="00C90AC9">
        <w:rPr>
          <w:rFonts w:eastAsiaTheme="minorHAnsi"/>
          <w:lang w:eastAsia="en-US"/>
        </w:rPr>
        <w:t xml:space="preserve"> without further research</w:t>
      </w:r>
      <w:r w:rsidR="00925AB1" w:rsidRPr="00C90AC9">
        <w:rPr>
          <w:rFonts w:eastAsiaTheme="minorHAnsi"/>
          <w:lang w:eastAsia="en-US"/>
        </w:rPr>
        <w:t>,</w:t>
      </w:r>
      <w:r w:rsidRPr="00C90AC9">
        <w:rPr>
          <w:rFonts w:eastAsiaTheme="minorHAnsi"/>
          <w:lang w:eastAsia="en-US"/>
        </w:rPr>
        <w:t xml:space="preserve"> it is difficult to make any further conclusions about these two models</w:t>
      </w:r>
      <w:r w:rsidR="00925AB1" w:rsidRPr="00C90AC9">
        <w:rPr>
          <w:rFonts w:eastAsiaTheme="minorHAnsi"/>
          <w:lang w:eastAsia="en-US"/>
        </w:rPr>
        <w:t>. It is clear from this research that whilst there is a perception amongst consumers that STP technology will provide them with a level of utility, there is significant confusion with the technology and its perceived utility which makes an accurate assessment of consumer behaviour difficult to determine. This finding is</w:t>
      </w:r>
      <w:r w:rsidR="001B59F5" w:rsidRPr="00C90AC9">
        <w:rPr>
          <w:rFonts w:eastAsiaTheme="minorHAnsi"/>
          <w:lang w:eastAsia="en-US"/>
        </w:rPr>
        <w:t xml:space="preserve"> in alignment with a number of other studies which have also found that consumers of renewable technology in the UK are often ill informed and dissatisfied with the performance of their installations </w:t>
      </w:r>
      <w:r w:rsidR="001B59F5" w:rsidRPr="00C90AC9">
        <w:rPr>
          <w:rFonts w:eastAsiaTheme="minorHAnsi"/>
          <w:lang w:eastAsia="en-US"/>
        </w:rPr>
        <w:fldChar w:fldCharType="begin">
          <w:fldData xml:space="preserve">PEVuZE5vdGU+PENpdGU+PEF1dGhvcj5GYWllcnM8L0F1dGhvcj48WWVhcj4yMDA2PC9ZZWFyPjxS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</w:fldData>
        </w:fldChar>
      </w:r>
      <w:r w:rsidR="001B59F5" w:rsidRPr="00C90AC9">
        <w:rPr>
          <w:rFonts w:eastAsiaTheme="minorHAnsi"/>
          <w:lang w:eastAsia="en-US"/>
        </w:rPr>
        <w:instrText xml:space="preserve"> ADDIN EN.CITE </w:instrText>
      </w:r>
      <w:r w:rsidR="001B59F5" w:rsidRPr="00C90AC9">
        <w:rPr>
          <w:rFonts w:eastAsiaTheme="minorHAnsi"/>
          <w:lang w:eastAsia="en-US"/>
        </w:rPr>
        <w:fldChar w:fldCharType="begin">
          <w:fldData xml:space="preserve">PEVuZE5vdGU+PENpdGU+PEF1dGhvcj5GYWllcnM8L0F1dGhvcj48WWVhcj4yMDA2PC9ZZWFyPjxS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</w:fldData>
        </w:fldChar>
      </w:r>
      <w:r w:rsidR="001B59F5" w:rsidRPr="00C90AC9">
        <w:rPr>
          <w:rFonts w:eastAsiaTheme="minorHAnsi"/>
          <w:lang w:eastAsia="en-US"/>
        </w:rPr>
        <w:instrText xml:space="preserve"> ADDIN EN.CITE.DATA </w:instrText>
      </w:r>
      <w:r w:rsidR="001B59F5" w:rsidRPr="00C90AC9">
        <w:rPr>
          <w:rFonts w:eastAsiaTheme="minorHAnsi"/>
          <w:lang w:eastAsia="en-US"/>
        </w:rPr>
      </w:r>
      <w:r w:rsidR="001B59F5" w:rsidRPr="00C90AC9">
        <w:rPr>
          <w:rFonts w:eastAsiaTheme="minorHAnsi"/>
          <w:lang w:eastAsia="en-US"/>
        </w:rPr>
        <w:fldChar w:fldCharType="end"/>
      </w:r>
      <w:r w:rsidR="001B59F5" w:rsidRPr="00C90AC9">
        <w:rPr>
          <w:rFonts w:eastAsiaTheme="minorHAnsi"/>
          <w:lang w:eastAsia="en-US"/>
        </w:rPr>
      </w:r>
      <w:r w:rsidR="001B59F5" w:rsidRPr="00C90AC9">
        <w:rPr>
          <w:rFonts w:eastAsiaTheme="minorHAnsi"/>
          <w:lang w:eastAsia="en-US"/>
        </w:rPr>
        <w:fldChar w:fldCharType="separate"/>
      </w:r>
      <w:r w:rsidR="001B59F5" w:rsidRPr="00C90AC9">
        <w:rPr>
          <w:rFonts w:eastAsiaTheme="minorHAnsi"/>
          <w:lang w:eastAsia="en-US"/>
        </w:rPr>
        <w:t>(</w:t>
      </w:r>
      <w:r w:rsidR="00432861" w:rsidRPr="00C90AC9">
        <w:rPr>
          <w:rFonts w:eastAsiaTheme="minorHAnsi"/>
          <w:lang w:eastAsia="en-US"/>
        </w:rPr>
        <w:t xml:space="preserve">A. </w:t>
      </w:r>
      <w:r w:rsidR="0038131A" w:rsidRPr="00C90AC9">
        <w:rPr>
          <w:rFonts w:eastAsiaTheme="minorHAnsi"/>
          <w:lang w:eastAsia="en-US"/>
        </w:rPr>
        <w:t>Faiers</w:t>
      </w:r>
      <w:r w:rsidR="00BA7307" w:rsidRPr="00C90AC9">
        <w:rPr>
          <w:rFonts w:eastAsiaTheme="minorHAnsi"/>
          <w:lang w:eastAsia="en-US"/>
        </w:rPr>
        <w:t xml:space="preserve"> </w:t>
      </w:r>
      <w:r w:rsidR="001B59F5" w:rsidRPr="00C90AC9">
        <w:rPr>
          <w:rFonts w:eastAsiaTheme="minorHAnsi"/>
          <w:lang w:eastAsia="en-US"/>
        </w:rPr>
        <w:t xml:space="preserve">&amp; </w:t>
      </w:r>
      <w:r w:rsidR="00432861" w:rsidRPr="00C90AC9">
        <w:rPr>
          <w:rFonts w:eastAsiaTheme="minorHAnsi"/>
          <w:lang w:eastAsia="en-US"/>
        </w:rPr>
        <w:t xml:space="preserve">C. </w:t>
      </w:r>
      <w:r w:rsidR="0038131A" w:rsidRPr="00C90AC9">
        <w:rPr>
          <w:rFonts w:eastAsiaTheme="minorHAnsi"/>
          <w:lang w:eastAsia="en-US"/>
        </w:rPr>
        <w:t>Neame,</w:t>
      </w:r>
      <w:r w:rsidR="001B59F5" w:rsidRPr="00C90AC9">
        <w:rPr>
          <w:rFonts w:eastAsiaTheme="minorHAnsi"/>
          <w:lang w:eastAsia="en-US"/>
        </w:rPr>
        <w:t xml:space="preserve"> 2006; </w:t>
      </w:r>
      <w:r w:rsidR="00432861" w:rsidRPr="00C90AC9">
        <w:rPr>
          <w:rFonts w:eastAsiaTheme="minorHAnsi"/>
          <w:lang w:eastAsia="en-US"/>
        </w:rPr>
        <w:t xml:space="preserve">A. </w:t>
      </w:r>
      <w:r w:rsidR="0038131A" w:rsidRPr="00C90AC9">
        <w:rPr>
          <w:rFonts w:eastAsiaTheme="minorHAnsi"/>
          <w:lang w:eastAsia="en-US"/>
        </w:rPr>
        <w:t>Faiers</w:t>
      </w:r>
      <w:r w:rsidR="001B59F5" w:rsidRPr="00C90AC9">
        <w:rPr>
          <w:rFonts w:eastAsiaTheme="minorHAnsi"/>
          <w:lang w:eastAsia="en-US"/>
        </w:rPr>
        <w:t xml:space="preserve"> et al., 2007)</w:t>
      </w:r>
      <w:r w:rsidR="001B59F5" w:rsidRPr="00C90AC9">
        <w:rPr>
          <w:rFonts w:eastAsiaTheme="minorHAnsi"/>
          <w:lang w:eastAsia="en-US"/>
        </w:rPr>
        <w:fldChar w:fldCharType="end"/>
      </w:r>
      <w:r w:rsidR="001B59F5" w:rsidRPr="00C90AC9">
        <w:rPr>
          <w:rFonts w:eastAsiaTheme="minorHAnsi"/>
          <w:lang w:eastAsia="en-US"/>
        </w:rPr>
        <w:t xml:space="preserve"> </w:t>
      </w:r>
      <w:r w:rsidR="001B59F5" w:rsidRPr="00C90AC9">
        <w:rPr>
          <w:rFonts w:eastAsiaTheme="minorHAnsi"/>
          <w:lang w:eastAsia="en-US"/>
        </w:rPr>
        <w:fldChar w:fldCharType="begin"/>
      </w:r>
      <w:r w:rsidR="001B59F5" w:rsidRPr="00C90AC9">
        <w:rPr>
          <w:rFonts w:eastAsiaTheme="minorHAnsi"/>
          <w:lang w:eastAsia="en-US"/>
        </w:rPr>
        <w:instrText xml:space="preserve"> ADDIN EN.CITE &lt;EndNote&gt;&lt;Cite&gt;&lt;Author&gt;Scarpa&lt;/Author&gt;&lt;Year&gt;2010&lt;/Year&gt;&lt;RecNum&gt;187&lt;/RecNum&gt;&lt;DisplayText&gt;(Elmustapha et al., 2018; R. Scarpa &amp;amp; K. Willis, 2010)&lt;/DisplayText&gt;&lt;record&gt;&lt;rec-number&gt;187&lt;/rec-number&gt;&lt;foreign-keys&gt;&lt;key app="EN" db-id="50wxdpzd9vd5r7e9t5b595djrfpttrxw9avp" timestamp="1525076335"&gt;187&lt;/key&gt;&lt;/foreign-keys&gt;&lt;ref-type name="Journal Article"&gt;17&lt;/ref-type&gt;&lt;contributors&gt;&lt;authors&gt;&lt;author&gt;Scarpa, R.&lt;/author&gt;&lt;author&gt;K. Willis&lt;/author&gt;&lt;/authors&gt;&lt;/contributors&gt;&lt;titles&gt;&lt;title&gt;Willingness-to-pay for renewable energy: Primary and discretionary choice of British households&amp;apos; &lt;/title&gt;&lt;secondary-title&gt;Energy Econmics&lt;/secondary-title&gt;&lt;short-title&gt;Scarpa, R. and K. Willis 2010 – Willingness-to-pay for renewable energy&lt;/short-title&gt;&lt;/titles&gt;&lt;pages&gt;p. 129-136&lt;/pages&gt;&lt;volume&gt;32&lt;/volume&gt;&lt;number&gt;1&lt;/number&gt;&lt;dates&gt;&lt;year&gt;2010&lt;/year&gt;&lt;/dates&gt;&lt;urls&gt;&lt;/urls&gt;&lt;/record&gt;&lt;/Cite&gt;&lt;Cite&gt;&lt;Author&gt;Elmustapha&lt;/Author&gt;&lt;Year&gt;2018&lt;/Year&gt;&lt;RecNum&gt;256&lt;/RecNum&gt;&lt;record&gt;&lt;rec-number&gt;256&lt;/rec-number&gt;&lt;foreign-keys&gt;&lt;key app="EN" db-id="50wxdpzd9vd5r7e9t5b595djrfpttrxw9avp" timestamp="1526027805"&gt;256&lt;/key&gt;&lt;/foreign-keys&gt;&lt;ref-type name="Journal Article"&gt;17&lt;/ref-type&gt;&lt;contributors&gt;&lt;authors&gt;&lt;author&gt;Elmustapha, Houda&lt;/author&gt;&lt;author&gt;Hoppe, Thomas&lt;/author&gt;&lt;author&gt;Bressers, Hans&lt;/author&gt;&lt;/authors&gt;&lt;/contributors&gt;&lt;titles&gt;&lt;title&gt;Consumer renewable energy technology adoption decision-making; comparing models on perceived attributes and attitudinal constructs in the case of solar water heaters in Lebanon&lt;/title&gt;&lt;secondary-title&gt;Journal of Cleaner Production&lt;/secondary-title&gt;&lt;/titles&gt;&lt;pages&gt;347-357&lt;/pages&gt;&lt;volume&gt;172&lt;/volume&gt;&lt;dates&gt;&lt;year&gt;2018&lt;/year&gt;&lt;pub-dates&gt;&lt;date&gt;2018/01/20/&lt;/date&gt;&lt;/pub-dates&gt;&lt;/dates&gt;&lt;isbn&gt;0959-6526&lt;/isbn&gt;&lt;urls&gt;&lt;related-urls&gt;&lt;url&gt;http://www.sciencedirect.com/science/article/pii/S0959652617323478&lt;/url&gt;&lt;/related-urls&gt;&lt;/urls&gt;&lt;electronic-resource-num&gt;https://doi.org/10.1016/j.jclepro.2017.10.131&lt;/electronic-resource-num&gt;&lt;/record&gt;&lt;/Cite&gt;&lt;/EndNote&gt;</w:instrText>
      </w:r>
      <w:r w:rsidR="001B59F5" w:rsidRPr="00C90AC9">
        <w:rPr>
          <w:rFonts w:eastAsiaTheme="minorHAnsi"/>
          <w:lang w:eastAsia="en-US"/>
        </w:rPr>
        <w:fldChar w:fldCharType="separate"/>
      </w:r>
      <w:r w:rsidR="001B59F5" w:rsidRPr="00C90AC9">
        <w:rPr>
          <w:rFonts w:eastAsiaTheme="minorHAnsi"/>
          <w:lang w:eastAsia="en-US"/>
        </w:rPr>
        <w:t>(Elmustapha et al., 2018; R. Scarpa &amp; K. Willis, 2010)</w:t>
      </w:r>
      <w:r w:rsidR="001B59F5" w:rsidRPr="00C90AC9">
        <w:rPr>
          <w:rFonts w:eastAsiaTheme="minorHAnsi"/>
          <w:lang w:eastAsia="en-US"/>
        </w:rPr>
        <w:fldChar w:fldCharType="end"/>
      </w:r>
      <w:r w:rsidR="001B59F5" w:rsidRPr="00C90AC9">
        <w:rPr>
          <w:rFonts w:eastAsiaTheme="minorHAnsi"/>
          <w:lang w:eastAsia="en-US"/>
        </w:rPr>
        <w:t xml:space="preserve">. </w:t>
      </w: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A16B8C" w:rsidRPr="00C90AC9" w:rsidRDefault="00A16B8C" w:rsidP="00B06779">
      <w:pPr>
        <w:rPr>
          <w:rFonts w:eastAsiaTheme="minorHAnsi"/>
          <w:lang w:eastAsia="en-US"/>
        </w:rPr>
      </w:pPr>
    </w:p>
    <w:p w:rsidR="00D74AF8" w:rsidRPr="00C90AC9" w:rsidRDefault="00A16B8C" w:rsidP="00CA6E35">
      <w:pPr>
        <w:pStyle w:val="List"/>
        <w:numPr>
          <w:ilvl w:val="1"/>
          <w:numId w:val="28"/>
        </w:numPr>
        <w:ind w:left="993" w:hanging="993"/>
        <w:rPr>
          <w:rStyle w:val="SubtleEmphasis"/>
          <w:rFonts w:cs="Times New Roman"/>
          <w:iCs/>
          <w:szCs w:val="24"/>
        </w:rPr>
      </w:pPr>
      <w:r w:rsidRPr="00C90AC9">
        <w:rPr>
          <w:rStyle w:val="SubtleEmphasis"/>
          <w:rFonts w:cs="Times New Roman"/>
          <w:iCs/>
          <w:szCs w:val="24"/>
        </w:rPr>
        <w:t>The TAM &amp; the TAM + Trust t</w:t>
      </w:r>
      <w:r w:rsidR="008E008E" w:rsidRPr="00C90AC9">
        <w:rPr>
          <w:rStyle w:val="SubtleEmphasis"/>
          <w:rFonts w:cs="Times New Roman"/>
          <w:iCs/>
          <w:szCs w:val="24"/>
        </w:rPr>
        <w:t xml:space="preserve">o describe consumer behaviour with respect </w:t>
      </w:r>
      <w:r w:rsidRPr="00C90AC9">
        <w:rPr>
          <w:rStyle w:val="SubtleEmphasis"/>
          <w:rFonts w:cs="Times New Roman"/>
          <w:iCs/>
          <w:szCs w:val="24"/>
        </w:rPr>
        <w:t>t</w:t>
      </w:r>
      <w:r w:rsidR="008E008E" w:rsidRPr="00C90AC9">
        <w:rPr>
          <w:rStyle w:val="SubtleEmphasis"/>
          <w:rFonts w:cs="Times New Roman"/>
          <w:iCs/>
          <w:szCs w:val="24"/>
        </w:rPr>
        <w:t>o</w:t>
      </w:r>
      <w:r w:rsidRPr="00C90AC9">
        <w:rPr>
          <w:rStyle w:val="SubtleEmphasis"/>
          <w:rFonts w:cs="Times New Roman"/>
          <w:iCs/>
          <w:szCs w:val="24"/>
        </w:rPr>
        <w:t xml:space="preserve"> solar thermal panels</w:t>
      </w:r>
    </w:p>
    <w:p w:rsidR="00D74AF8" w:rsidRPr="00C90AC9" w:rsidRDefault="00D74AF8" w:rsidP="00B06779">
      <w:pPr>
        <w:rPr>
          <w:rStyle w:val="SubtleEmphasis"/>
          <w:rFonts w:cs="Times New Roman"/>
          <w:i/>
          <w:iCs/>
          <w:sz w:val="24"/>
          <w:szCs w:val="24"/>
        </w:rPr>
      </w:pPr>
    </w:p>
    <w:p w:rsidR="00A540B4" w:rsidRPr="00C90AC9" w:rsidRDefault="00A16B8C" w:rsidP="00ED1094">
      <w:pPr>
        <w:pStyle w:val="BodyTextFirstIndent"/>
        <w:spacing w:line="360" w:lineRule="auto"/>
        <w:ind w:firstLine="0"/>
        <w:rPr>
          <w:rFonts w:eastAsiaTheme="minorHAnsi"/>
          <w:lang w:eastAsia="en-US"/>
        </w:rPr>
      </w:pPr>
      <w:r w:rsidRPr="00C90AC9">
        <w:rPr>
          <w:rFonts w:eastAsiaTheme="minorHAnsi"/>
          <w:lang w:eastAsia="en-US"/>
        </w:rPr>
        <w:t>The</w:t>
      </w:r>
      <w:r w:rsidR="00416D02" w:rsidRPr="00C90AC9">
        <w:rPr>
          <w:rFonts w:eastAsiaTheme="minorHAnsi"/>
          <w:lang w:eastAsia="en-US"/>
        </w:rPr>
        <w:t>re was a good deal of overlap between the constructs</w:t>
      </w:r>
      <w:r w:rsidRPr="00C90AC9">
        <w:rPr>
          <w:rFonts w:eastAsiaTheme="minorHAnsi"/>
          <w:lang w:eastAsia="en-US"/>
        </w:rPr>
        <w:t xml:space="preserve"> </w:t>
      </w:r>
      <w:r w:rsidR="00416D02" w:rsidRPr="00C90AC9">
        <w:rPr>
          <w:rFonts w:eastAsiaTheme="minorHAnsi"/>
          <w:lang w:eastAsia="en-US"/>
        </w:rPr>
        <w:t xml:space="preserve">of the TAM and the topics that were raised in both the focus groups and the semi-structured interviews which suggests that there is a strong argument for </w:t>
      </w:r>
      <w:r w:rsidRPr="00C90AC9">
        <w:rPr>
          <w:rFonts w:eastAsiaTheme="minorHAnsi"/>
          <w:lang w:eastAsia="en-US"/>
        </w:rPr>
        <w:t xml:space="preserve">the TAM </w:t>
      </w:r>
      <w:r w:rsidR="00416D02" w:rsidRPr="00C90AC9">
        <w:rPr>
          <w:rFonts w:eastAsiaTheme="minorHAnsi"/>
          <w:lang w:eastAsia="en-US"/>
        </w:rPr>
        <w:t xml:space="preserve">providing a sufficient model with regard to consumer behaviour of </w:t>
      </w:r>
      <w:r w:rsidR="006518C0" w:rsidRPr="00C90AC9">
        <w:rPr>
          <w:rFonts w:eastAsiaTheme="minorHAnsi"/>
          <w:lang w:eastAsia="en-US"/>
        </w:rPr>
        <w:t>STPs</w:t>
      </w:r>
      <w:r w:rsidRPr="00C90AC9">
        <w:rPr>
          <w:rFonts w:eastAsiaTheme="minorHAnsi"/>
          <w:lang w:eastAsia="en-US"/>
        </w:rPr>
        <w:t>.</w:t>
      </w:r>
      <w:r w:rsidR="00A540B4" w:rsidRPr="00C90AC9">
        <w:rPr>
          <w:rFonts w:eastAsiaTheme="minorHAnsi"/>
          <w:lang w:eastAsia="en-US"/>
        </w:rPr>
        <w:t xml:space="preserve"> However, the eight semi-structured interviews with the main actors within the STP market as well as focus groups with a total of XXX members of the general public the TAM appears to not capture all of consumer behaviour. The first set of four semi-structured interviews took place in 2012 with a further set conducted in 2015 with new participants. There was very little difference between the substance of what the main actors expressed in these </w:t>
      </w:r>
      <w:r w:rsidR="00A540B4" w:rsidRPr="00C90AC9">
        <w:rPr>
          <w:rFonts w:eastAsiaTheme="minorHAnsi"/>
          <w:lang w:eastAsia="en-US"/>
        </w:rPr>
        <w:lastRenderedPageBreak/>
        <w:t>interviews which suggests that the STP market is comparable, even though other factors, such as fuel prices, have changed over that time period.</w:t>
      </w:r>
    </w:p>
    <w:p w:rsidR="00A16B8C" w:rsidRPr="00C90AC9" w:rsidRDefault="00A540B4" w:rsidP="00ED1094">
      <w:pPr>
        <w:pStyle w:val="BodyTextFirstIndent"/>
        <w:spacing w:line="360" w:lineRule="auto"/>
        <w:ind w:firstLine="0"/>
        <w:rPr>
          <w:rFonts w:eastAsiaTheme="majorEastAsia"/>
          <w:bCs/>
          <w:iCs/>
          <w:spacing w:val="15"/>
        </w:rPr>
      </w:pPr>
      <w:r w:rsidRPr="00C90AC9">
        <w:rPr>
          <w:rFonts w:eastAsiaTheme="minorHAnsi"/>
          <w:lang w:eastAsia="en-US"/>
        </w:rPr>
        <w:t>The main findings of the semi-structured interviews showed that it was perceived that there was a mismatch between the capability of STPS to be capable of providing at least some of the hot water required each year in a UK climate and perceived capability by the general public at large</w:t>
      </w:r>
      <w:r w:rsidR="00A16B8C" w:rsidRPr="00C90AC9">
        <w:rPr>
          <w:rFonts w:eastAsiaTheme="minorHAnsi"/>
          <w:lang w:eastAsia="en-US"/>
        </w:rPr>
        <w:t>.</w:t>
      </w:r>
      <w:r w:rsidRPr="00C90AC9">
        <w:rPr>
          <w:rFonts w:eastAsiaTheme="minorHAnsi"/>
          <w:lang w:eastAsia="en-US"/>
        </w:rPr>
        <w:t xml:space="preserve"> In both years</w:t>
      </w:r>
      <w:r w:rsidR="00A16B8C" w:rsidRPr="00C90AC9">
        <w:rPr>
          <w:rFonts w:eastAsiaTheme="minorHAnsi"/>
          <w:lang w:eastAsia="en-US"/>
        </w:rPr>
        <w:t xml:space="preserve"> </w:t>
      </w:r>
      <w:r w:rsidR="00B63E40" w:rsidRPr="00C90AC9">
        <w:rPr>
          <w:rFonts w:eastAsiaTheme="minorHAnsi"/>
          <w:lang w:eastAsia="en-US"/>
        </w:rPr>
        <w:t xml:space="preserve">main actors were of the opinion that STP technology was undervalued by the general public at large and was certainly underrepresented.  </w:t>
      </w:r>
      <w:r w:rsidR="00A16B8C" w:rsidRPr="00C90AC9">
        <w:rPr>
          <w:rFonts w:eastAsiaTheme="minorHAnsi"/>
          <w:lang w:eastAsia="en-US"/>
        </w:rPr>
        <w:t xml:space="preserve">Both the </w:t>
      </w:r>
      <w:r w:rsidR="00E82522" w:rsidRPr="00C90AC9">
        <w:rPr>
          <w:rFonts w:eastAsiaTheme="minorHAnsi"/>
          <w:lang w:eastAsia="en-US"/>
        </w:rPr>
        <w:t>main</w:t>
      </w:r>
      <w:r w:rsidR="00A16B8C" w:rsidRPr="00C90AC9">
        <w:rPr>
          <w:rFonts w:eastAsiaTheme="minorHAnsi"/>
          <w:lang w:eastAsia="en-US"/>
        </w:rPr>
        <w:t xml:space="preserve"> actors and the public perceive the technology as having some usefulness (PU) even with the relatively low irradiance rate in the UK. Whilst the operation and overall utility of the technology is not well understood by both the </w:t>
      </w:r>
      <w:r w:rsidR="00E82522" w:rsidRPr="00C90AC9">
        <w:rPr>
          <w:rFonts w:eastAsiaTheme="minorHAnsi"/>
          <w:lang w:eastAsia="en-US"/>
        </w:rPr>
        <w:t>main</w:t>
      </w:r>
      <w:r w:rsidR="00A16B8C" w:rsidRPr="00C90AC9">
        <w:rPr>
          <w:rFonts w:eastAsiaTheme="minorHAnsi"/>
          <w:lang w:eastAsia="en-US"/>
        </w:rPr>
        <w:t xml:space="preserve"> </w:t>
      </w:r>
      <w:r w:rsidR="00E82522" w:rsidRPr="00C90AC9">
        <w:rPr>
          <w:rFonts w:eastAsiaTheme="minorHAnsi"/>
          <w:lang w:eastAsia="en-US"/>
        </w:rPr>
        <w:t>actors</w:t>
      </w:r>
      <w:r w:rsidR="00A16B8C" w:rsidRPr="00C90AC9">
        <w:rPr>
          <w:rFonts w:eastAsiaTheme="minorHAnsi"/>
          <w:lang w:eastAsia="en-US"/>
        </w:rPr>
        <w:t xml:space="preserve"> and the General Public it is perceived as being of value to residents wanting to reduce either their carbon footprint or their energy costs.</w:t>
      </w:r>
    </w:p>
    <w:p w:rsidR="00A16B8C" w:rsidRPr="00C90AC9" w:rsidRDefault="00A16B8C" w:rsidP="00ED1094">
      <w:pPr>
        <w:pStyle w:val="BodyText"/>
        <w:spacing w:line="360" w:lineRule="auto"/>
        <w:rPr>
          <w:rFonts w:eastAsiaTheme="minorHAnsi"/>
          <w:lang w:eastAsia="en-US"/>
        </w:rPr>
      </w:pPr>
      <w:r w:rsidRPr="00C90AC9">
        <w:rPr>
          <w:rFonts w:eastAsiaTheme="minorHAnsi"/>
          <w:lang w:eastAsia="en-US"/>
        </w:rPr>
        <w:t xml:space="preserve">The participants of both the semi-structured interviews and the focus groups identified key factors affecting the Perceived Usefulness and the Perceived Ease of Use concerned with </w:t>
      </w:r>
      <w:r w:rsidR="006518C0" w:rsidRPr="00C90AC9">
        <w:rPr>
          <w:rFonts w:eastAsiaTheme="minorHAnsi"/>
          <w:lang w:eastAsia="en-US"/>
        </w:rPr>
        <w:t>STPs</w:t>
      </w:r>
      <w:r w:rsidRPr="00C90AC9">
        <w:rPr>
          <w:rFonts w:eastAsiaTheme="minorHAnsi"/>
          <w:lang w:eastAsia="en-US"/>
        </w:rPr>
        <w:t>.</w:t>
      </w:r>
    </w:p>
    <w:p w:rsidR="00A16B8C" w:rsidRPr="00C90AC9" w:rsidRDefault="00A16B8C" w:rsidP="00ED1094">
      <w:pPr>
        <w:pStyle w:val="BodyText"/>
        <w:spacing w:line="360" w:lineRule="auto"/>
        <w:rPr>
          <w:rFonts w:eastAsiaTheme="minorHAnsi"/>
          <w:lang w:eastAsia="en-US"/>
        </w:rPr>
      </w:pPr>
      <w:r w:rsidRPr="00C90AC9">
        <w:rPr>
          <w:rFonts w:eastAsiaTheme="minorHAnsi"/>
          <w:lang w:eastAsia="en-US"/>
        </w:rPr>
        <w:t xml:space="preserve">The issue of Trust was prominent in both years and suggests that Trust is a key factor for consumers when making their decision about whether to adopt this technology or not. Trust is needed between consumers and the manufacturers of </w:t>
      </w:r>
      <w:r w:rsidR="006518C0" w:rsidRPr="00C90AC9">
        <w:rPr>
          <w:rFonts w:eastAsiaTheme="minorHAnsi"/>
          <w:lang w:eastAsia="en-US"/>
        </w:rPr>
        <w:t>STPs</w:t>
      </w:r>
      <w:r w:rsidRPr="00C90AC9">
        <w:rPr>
          <w:rFonts w:eastAsiaTheme="minorHAnsi"/>
          <w:lang w:eastAsia="en-US"/>
        </w:rPr>
        <w:t xml:space="preserve"> as well as Trust having a pivotal role in affecting how consumers receive and incorporate information about </w:t>
      </w:r>
      <w:r w:rsidR="006518C0" w:rsidRPr="00C90AC9">
        <w:rPr>
          <w:rFonts w:eastAsiaTheme="minorHAnsi"/>
          <w:lang w:eastAsia="en-US"/>
        </w:rPr>
        <w:t>STPs</w:t>
      </w:r>
      <w:r w:rsidRPr="00C90AC9">
        <w:rPr>
          <w:rFonts w:eastAsiaTheme="minorHAnsi"/>
          <w:lang w:eastAsia="en-US"/>
        </w:rPr>
        <w:t xml:space="preserve"> into their </w:t>
      </w:r>
      <w:proofErr w:type="gramStart"/>
      <w:r w:rsidRPr="00C90AC9">
        <w:rPr>
          <w:rFonts w:eastAsiaTheme="minorHAnsi"/>
          <w:lang w:eastAsia="en-US"/>
        </w:rPr>
        <w:t>decision making</w:t>
      </w:r>
      <w:proofErr w:type="gramEnd"/>
      <w:r w:rsidRPr="00C90AC9">
        <w:rPr>
          <w:rFonts w:eastAsiaTheme="minorHAnsi"/>
          <w:lang w:eastAsia="en-US"/>
        </w:rPr>
        <w:t xml:space="preserve"> process. If there is scant trust in the people disseminating information about </w:t>
      </w:r>
      <w:r w:rsidR="006518C0" w:rsidRPr="00C90AC9">
        <w:rPr>
          <w:rFonts w:eastAsiaTheme="minorHAnsi"/>
          <w:lang w:eastAsia="en-US"/>
        </w:rPr>
        <w:t>STPs</w:t>
      </w:r>
      <w:r w:rsidRPr="00C90AC9">
        <w:rPr>
          <w:rFonts w:eastAsiaTheme="minorHAnsi"/>
          <w:lang w:eastAsia="en-US"/>
        </w:rPr>
        <w:t xml:space="preserve"> then they will have distorted expectations about the performance of </w:t>
      </w:r>
      <w:r w:rsidR="006518C0" w:rsidRPr="00C90AC9">
        <w:rPr>
          <w:rFonts w:eastAsiaTheme="minorHAnsi"/>
          <w:lang w:eastAsia="en-US"/>
        </w:rPr>
        <w:t>STPs</w:t>
      </w:r>
      <w:r w:rsidRPr="00C90AC9">
        <w:rPr>
          <w:rFonts w:eastAsiaTheme="minorHAnsi"/>
          <w:lang w:eastAsia="en-US"/>
        </w:rPr>
        <w:t xml:space="preserve">. Public opinion is not consistent with the opinions of the </w:t>
      </w:r>
      <w:r w:rsidR="00E82522" w:rsidRPr="00C90AC9">
        <w:rPr>
          <w:rFonts w:eastAsiaTheme="minorHAnsi"/>
          <w:lang w:eastAsia="en-US"/>
        </w:rPr>
        <w:t>main</w:t>
      </w:r>
      <w:r w:rsidRPr="00C90AC9">
        <w:rPr>
          <w:rFonts w:eastAsiaTheme="minorHAnsi"/>
          <w:lang w:eastAsia="en-US"/>
        </w:rPr>
        <w:t xml:space="preserve"> </w:t>
      </w:r>
      <w:r w:rsidR="00E82522" w:rsidRPr="00C90AC9">
        <w:rPr>
          <w:rFonts w:eastAsiaTheme="minorHAnsi"/>
          <w:lang w:eastAsia="en-US"/>
        </w:rPr>
        <w:t>actors</w:t>
      </w:r>
      <w:r w:rsidRPr="00C90AC9">
        <w:rPr>
          <w:rFonts w:eastAsiaTheme="minorHAnsi"/>
          <w:lang w:eastAsia="en-US"/>
        </w:rPr>
        <w:t xml:space="preserve"> within the STP market concerning </w:t>
      </w:r>
      <w:r w:rsidR="006518C0" w:rsidRPr="00C90AC9">
        <w:rPr>
          <w:rFonts w:eastAsiaTheme="minorHAnsi"/>
          <w:lang w:eastAsia="en-US"/>
        </w:rPr>
        <w:t>STPs</w:t>
      </w:r>
      <w:r w:rsidRPr="00C90AC9">
        <w:rPr>
          <w:rFonts w:eastAsiaTheme="minorHAnsi"/>
          <w:lang w:eastAsia="en-US"/>
        </w:rPr>
        <w:t xml:space="preserve"> and thus more should be done to disseminate qualified information about the technology from a trusted source. </w:t>
      </w:r>
      <w:r w:rsidRPr="00C90AC9">
        <w:rPr>
          <w:rFonts w:eastAsiaTheme="minorHAnsi"/>
          <w:lang w:eastAsia="en-US"/>
        </w:rPr>
        <w:br w:type="page"/>
      </w:r>
    </w:p>
    <w:p w:rsidR="00A16B8C" w:rsidRPr="00C90AC9" w:rsidRDefault="004A02B5" w:rsidP="00CA6E35">
      <w:pPr>
        <w:pStyle w:val="List"/>
        <w:numPr>
          <w:ilvl w:val="1"/>
          <w:numId w:val="28"/>
        </w:numPr>
        <w:tabs>
          <w:tab w:val="left" w:pos="426"/>
        </w:tabs>
        <w:ind w:left="0" w:firstLine="0"/>
        <w:rPr>
          <w:rStyle w:val="SubtleEmphasis"/>
          <w:rFonts w:cs="Times New Roman"/>
          <w:iCs/>
          <w:szCs w:val="24"/>
        </w:rPr>
      </w:pPr>
      <w:r w:rsidRPr="00C90AC9">
        <w:rPr>
          <w:rStyle w:val="SubtleEmphasis"/>
          <w:rFonts w:cs="Times New Roman"/>
          <w:iCs/>
          <w:szCs w:val="24"/>
        </w:rPr>
        <w:lastRenderedPageBreak/>
        <w:t xml:space="preserve">  </w:t>
      </w:r>
      <w:r w:rsidR="00237715" w:rsidRPr="00C90AC9">
        <w:rPr>
          <w:rStyle w:val="SubtleEmphasis"/>
          <w:rFonts w:cs="Times New Roman"/>
          <w:iCs/>
          <w:szCs w:val="24"/>
        </w:rPr>
        <w:t>P</w:t>
      </w:r>
      <w:r w:rsidR="00A16B8C" w:rsidRPr="00C90AC9">
        <w:rPr>
          <w:rStyle w:val="SubtleEmphasis"/>
          <w:rFonts w:cs="Times New Roman"/>
          <w:iCs/>
          <w:szCs w:val="24"/>
        </w:rPr>
        <w:t xml:space="preserve">otential </w:t>
      </w:r>
      <w:r w:rsidR="00237715" w:rsidRPr="00C90AC9">
        <w:rPr>
          <w:rStyle w:val="SubtleEmphasis"/>
          <w:rFonts w:cs="Times New Roman"/>
          <w:iCs/>
          <w:szCs w:val="24"/>
        </w:rPr>
        <w:t>direction</w:t>
      </w:r>
      <w:r w:rsidR="00E4253A" w:rsidRPr="00C90AC9">
        <w:rPr>
          <w:rStyle w:val="SubtleEmphasis"/>
          <w:rFonts w:cs="Times New Roman"/>
          <w:iCs/>
          <w:szCs w:val="24"/>
        </w:rPr>
        <w:t xml:space="preserve"> </w:t>
      </w:r>
      <w:r w:rsidR="00237715" w:rsidRPr="00C90AC9">
        <w:rPr>
          <w:rStyle w:val="SubtleEmphasis"/>
          <w:rFonts w:cs="Times New Roman"/>
          <w:iCs/>
          <w:szCs w:val="24"/>
        </w:rPr>
        <w:t>for future research</w:t>
      </w:r>
    </w:p>
    <w:p w:rsidR="00A16B8C" w:rsidRPr="00C90AC9" w:rsidRDefault="006D752E" w:rsidP="003F295A">
      <w:pPr>
        <w:pStyle w:val="BodyTextFirstIndent"/>
        <w:spacing w:line="360" w:lineRule="auto"/>
        <w:ind w:firstLine="0"/>
        <w:rPr>
          <w:rFonts w:eastAsiaTheme="minorHAnsi"/>
          <w:lang w:eastAsia="en-US"/>
        </w:rPr>
      </w:pPr>
      <w:r w:rsidRPr="00C90AC9">
        <w:rPr>
          <w:rFonts w:eastAsiaTheme="minorHAnsi"/>
          <w:lang w:eastAsia="en-US"/>
        </w:rPr>
        <w:tab/>
      </w:r>
      <w:r w:rsidR="00A16B8C" w:rsidRPr="00C90AC9">
        <w:rPr>
          <w:rFonts w:eastAsiaTheme="minorHAnsi"/>
          <w:lang w:eastAsia="en-US"/>
        </w:rPr>
        <w:t xml:space="preserve">The results of the semi-structured interviews are from a relatively small data set which </w:t>
      </w:r>
      <w:r w:rsidR="00377864" w:rsidRPr="00C90AC9">
        <w:rPr>
          <w:rFonts w:eastAsiaTheme="minorHAnsi"/>
          <w:lang w:eastAsia="en-US"/>
        </w:rPr>
        <w:t xml:space="preserve">might suggest </w:t>
      </w:r>
      <w:r w:rsidR="00A16B8C" w:rsidRPr="00C90AC9">
        <w:rPr>
          <w:rFonts w:eastAsiaTheme="minorHAnsi"/>
          <w:lang w:eastAsia="en-US"/>
        </w:rPr>
        <w:t xml:space="preserve">that the opinions </w:t>
      </w:r>
      <w:r w:rsidR="00377864" w:rsidRPr="00C90AC9">
        <w:rPr>
          <w:rFonts w:eastAsiaTheme="minorHAnsi"/>
          <w:lang w:eastAsia="en-US"/>
        </w:rPr>
        <w:t xml:space="preserve">expressed are specific only to Sheffield. </w:t>
      </w:r>
      <w:r w:rsidR="008E008E" w:rsidRPr="00C90AC9">
        <w:rPr>
          <w:rFonts w:eastAsiaTheme="minorHAnsi"/>
          <w:lang w:eastAsia="en-US"/>
        </w:rPr>
        <w:t>However,</w:t>
      </w:r>
      <w:r w:rsidR="00A16B8C" w:rsidRPr="00C90AC9">
        <w:rPr>
          <w:rFonts w:eastAsiaTheme="minorHAnsi"/>
          <w:lang w:eastAsia="en-US"/>
        </w:rPr>
        <w:t xml:space="preserve"> the specialist knowledge the participants have in their respective fields </w:t>
      </w:r>
      <w:r w:rsidR="00377864" w:rsidRPr="00C90AC9">
        <w:rPr>
          <w:rFonts w:eastAsiaTheme="minorHAnsi"/>
          <w:lang w:eastAsia="en-US"/>
        </w:rPr>
        <w:t xml:space="preserve">is not restricted to only Sheffield </w:t>
      </w:r>
      <w:r w:rsidR="00A16B8C" w:rsidRPr="00C90AC9">
        <w:rPr>
          <w:rFonts w:eastAsiaTheme="minorHAnsi"/>
          <w:lang w:eastAsia="en-US"/>
        </w:rPr>
        <w:t xml:space="preserve">means that </w:t>
      </w:r>
      <w:proofErr w:type="gramStart"/>
      <w:r w:rsidR="00A16B8C" w:rsidRPr="00C90AC9">
        <w:rPr>
          <w:rFonts w:eastAsiaTheme="minorHAnsi"/>
          <w:lang w:eastAsia="en-US"/>
        </w:rPr>
        <w:t>they .</w:t>
      </w:r>
      <w:proofErr w:type="gramEnd"/>
      <w:r w:rsidR="00A16B8C" w:rsidRPr="00C90AC9">
        <w:rPr>
          <w:rFonts w:eastAsiaTheme="minorHAnsi"/>
          <w:lang w:eastAsia="en-US"/>
        </w:rPr>
        <w:t xml:space="preserve"> Due to the research methods and the diligence by which they were employed it is felt that the results garnered could be transferred to a wider population. However due to the availability of solar irradiance having a direct impact on the efficiency and utility of </w:t>
      </w:r>
      <w:r w:rsidR="006518C0" w:rsidRPr="00C90AC9">
        <w:rPr>
          <w:rFonts w:eastAsiaTheme="minorHAnsi"/>
          <w:lang w:eastAsia="en-US"/>
        </w:rPr>
        <w:t>STPs</w:t>
      </w:r>
      <w:r w:rsidR="00A16B8C" w:rsidRPr="00C90AC9">
        <w:rPr>
          <w:rFonts w:eastAsiaTheme="minorHAnsi"/>
          <w:lang w:eastAsia="en-US"/>
        </w:rPr>
        <w:t xml:space="preserve"> it is felt that the global location and thus the availability of solar irradiance would affect the conclusions drawn from this study. This is particularly true of the conclusions obtained from the focus groups as factors such as: irradiance; money; government intervention; </w:t>
      </w:r>
      <w:r w:rsidR="008E008E" w:rsidRPr="00C90AC9">
        <w:rPr>
          <w:rFonts w:eastAsiaTheme="minorHAnsi"/>
          <w:lang w:eastAsia="en-US"/>
        </w:rPr>
        <w:t>etc.</w:t>
      </w:r>
      <w:r w:rsidR="00A16B8C" w:rsidRPr="00C90AC9">
        <w:rPr>
          <w:rFonts w:eastAsiaTheme="minorHAnsi"/>
          <w:lang w:eastAsia="en-US"/>
        </w:rPr>
        <w:t xml:space="preserve"> will have varying impacts depending on the country the results are transferred to. </w:t>
      </w:r>
      <w:r w:rsidR="005D3791" w:rsidRPr="00C90AC9">
        <w:rPr>
          <w:rFonts w:eastAsiaTheme="minorHAnsi"/>
          <w:lang w:eastAsia="en-US"/>
        </w:rPr>
        <w:t>Therefore,</w:t>
      </w:r>
      <w:r w:rsidR="00A16B8C" w:rsidRPr="00C90AC9">
        <w:rPr>
          <w:rFonts w:eastAsiaTheme="minorHAnsi"/>
          <w:lang w:eastAsia="en-US"/>
        </w:rPr>
        <w:t xml:space="preserve"> it is with caution that transferable conclusions are made and it is recommended that the opinions of a greater number of peoples are investigated in additional countries.</w:t>
      </w:r>
    </w:p>
    <w:p w:rsidR="00A16B8C" w:rsidRPr="00C90AC9" w:rsidRDefault="00A16B8C" w:rsidP="003F295A">
      <w:pPr>
        <w:pStyle w:val="BodyText"/>
        <w:spacing w:line="360" w:lineRule="auto"/>
        <w:rPr>
          <w:rFonts w:eastAsiaTheme="minorHAnsi"/>
          <w:lang w:eastAsia="en-US"/>
        </w:rPr>
      </w:pPr>
      <w:r w:rsidRPr="00C90AC9">
        <w:rPr>
          <w:rFonts w:eastAsiaTheme="minorHAnsi"/>
          <w:lang w:eastAsia="en-US"/>
        </w:rPr>
        <w:t>A further limitation of this current study was the recruitment of participants for the focus groups. Due to the participants coming from a pool of people on a mailing list held at the University of Sheffield making concrete conclusions based on the direct transferability of this study alone is again advised with caution.</w:t>
      </w:r>
    </w:p>
    <w:p w:rsidR="00A16B8C" w:rsidRPr="00C90AC9" w:rsidRDefault="00A16B8C" w:rsidP="003F295A">
      <w:pPr>
        <w:pStyle w:val="BodyText"/>
        <w:spacing w:line="360" w:lineRule="auto"/>
        <w:rPr>
          <w:rFonts w:eastAsiaTheme="minorHAnsi"/>
          <w:lang w:eastAsia="en-US"/>
        </w:rPr>
      </w:pPr>
      <w:r w:rsidRPr="00C90AC9">
        <w:rPr>
          <w:rFonts w:eastAsiaTheme="minorHAnsi"/>
          <w:lang w:eastAsia="en-US"/>
        </w:rPr>
        <w:t xml:space="preserve">To understand a greater number of opinions concerning </w:t>
      </w:r>
      <w:r w:rsidR="006518C0" w:rsidRPr="00C90AC9">
        <w:rPr>
          <w:rFonts w:eastAsiaTheme="minorHAnsi"/>
          <w:lang w:eastAsia="en-US"/>
        </w:rPr>
        <w:t>STPs</w:t>
      </w:r>
      <w:r w:rsidRPr="00C90AC9">
        <w:rPr>
          <w:rFonts w:eastAsiaTheme="minorHAnsi"/>
          <w:lang w:eastAsia="en-US"/>
        </w:rPr>
        <w:t xml:space="preserve"> it is recommend</w:t>
      </w:r>
      <w:r w:rsidR="008E008E" w:rsidRPr="00C90AC9">
        <w:rPr>
          <w:rFonts w:eastAsiaTheme="minorHAnsi"/>
          <w:lang w:eastAsia="en-US"/>
        </w:rPr>
        <w:t>ed</w:t>
      </w:r>
      <w:r w:rsidR="005D3791" w:rsidRPr="00C90AC9">
        <w:rPr>
          <w:rFonts w:eastAsiaTheme="minorHAnsi"/>
          <w:lang w:eastAsia="en-US"/>
        </w:rPr>
        <w:t xml:space="preserve"> </w:t>
      </w:r>
      <w:r w:rsidRPr="00C90AC9">
        <w:rPr>
          <w:rFonts w:eastAsiaTheme="minorHAnsi"/>
          <w:lang w:eastAsia="en-US"/>
        </w:rPr>
        <w:t xml:space="preserve">that the results from these two qualitative studies are used to help construct a survey which can then be disseminated to a wider population and would then overcome the two of the above limitations. To overcome the final limitation (obtaining the opinions of </w:t>
      </w:r>
      <w:r w:rsidR="005D3791" w:rsidRPr="00C90AC9">
        <w:rPr>
          <w:rFonts w:eastAsiaTheme="minorHAnsi"/>
          <w:lang w:eastAsia="en-US"/>
        </w:rPr>
        <w:t>peoples</w:t>
      </w:r>
      <w:r w:rsidRPr="00C90AC9">
        <w:rPr>
          <w:rFonts w:eastAsiaTheme="minorHAnsi"/>
          <w:lang w:eastAsia="en-US"/>
        </w:rPr>
        <w:t xml:space="preserve"> with a different availability of solar irradiance and different social limitations </w:t>
      </w:r>
      <w:r w:rsidR="005D3791" w:rsidRPr="00C90AC9">
        <w:rPr>
          <w:rFonts w:eastAsiaTheme="minorHAnsi"/>
          <w:lang w:eastAsia="en-US"/>
        </w:rPr>
        <w:t>etc.</w:t>
      </w:r>
      <w:r w:rsidRPr="00C90AC9">
        <w:rPr>
          <w:rFonts w:eastAsiaTheme="minorHAnsi"/>
          <w:lang w:eastAsia="en-US"/>
        </w:rPr>
        <w:t>) it is recommended that the quantitative study is conducted not only in Sheffield, UK but also in a country which has higher (or lower) irradiance availability. In this way a comparison between the two cities could be made and conclusions based on the effects of the listed factors could be made.</w:t>
      </w:r>
    </w:p>
    <w:p w:rsidR="00A16B8C" w:rsidRPr="00C90AC9" w:rsidRDefault="00A16B8C" w:rsidP="00B06779">
      <w:pPr>
        <w:rPr>
          <w:rFonts w:eastAsiaTheme="minorHAnsi"/>
          <w:lang w:eastAsia="en-US"/>
        </w:rPr>
      </w:pPr>
    </w:p>
    <w:p w:rsidR="007F525B" w:rsidRPr="00C90AC9" w:rsidRDefault="00A16B8C" w:rsidP="00B06779">
      <w:pPr>
        <w:rPr>
          <w:rFonts w:eastAsiaTheme="minorHAnsi"/>
          <w:lang w:eastAsia="en-US"/>
        </w:rPr>
      </w:pPr>
      <w:r w:rsidRPr="00C90AC9">
        <w:rPr>
          <w:rFonts w:eastAsiaTheme="minorHAnsi"/>
          <w:lang w:eastAsia="en-US"/>
        </w:rPr>
        <w:br w:type="page"/>
      </w:r>
    </w:p>
    <w:p w:rsidR="00F67615" w:rsidRPr="00C90AC9" w:rsidRDefault="00F67615" w:rsidP="00F67615">
      <w:pPr>
        <w:pStyle w:val="Heading11"/>
        <w:ind w:left="720"/>
        <w:rPr>
          <w:sz w:val="72"/>
        </w:rPr>
      </w:pPr>
      <w:r w:rsidRPr="00C90AC9">
        <w:rPr>
          <w:sz w:val="72"/>
        </w:rPr>
        <w:lastRenderedPageBreak/>
        <w:t>Chapter 6</w:t>
      </w:r>
    </w:p>
    <w:p w:rsidR="00F67615" w:rsidRPr="00C90AC9" w:rsidRDefault="003F295A" w:rsidP="00F67615">
      <w:pPr>
        <w:pStyle w:val="Subtitle"/>
        <w:numPr>
          <w:ilvl w:val="0"/>
          <w:numId w:val="0"/>
        </w:numPr>
        <w:ind w:left="1146"/>
        <w:jc w:val="center"/>
        <w:rPr>
          <w:rStyle w:val="SubtleEmphasis"/>
          <w:rFonts w:ascii="Times New Roman" w:hAnsi="Times New Roman" w:cs="Times New Roman"/>
          <w:i w:val="0"/>
          <w:sz w:val="24"/>
        </w:rPr>
      </w:pPr>
      <w:r w:rsidRPr="00C90AC9">
        <w:rPr>
          <w:noProof/>
          <w:lang w:eastAsia="en-GB"/>
        </w:rPr>
        <mc:AlternateContent>
          <mc:Choice Requires="wps">
            <w:drawing>
              <wp:anchor distT="0" distB="0" distL="114300" distR="114300" simplePos="0" relativeHeight="251960320" behindDoc="0" locked="0" layoutInCell="1" allowOverlap="1" wp14:anchorId="3CC0087C" wp14:editId="2E124BA6">
                <wp:simplePos x="0" y="0"/>
                <wp:positionH relativeFrom="margin">
                  <wp:posOffset>857250</wp:posOffset>
                </wp:positionH>
                <wp:positionV relativeFrom="paragraph">
                  <wp:posOffset>62230</wp:posOffset>
                </wp:positionV>
                <wp:extent cx="4505325" cy="666750"/>
                <wp:effectExtent l="0" t="0" r="28575" b="19050"/>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5325" cy="666750"/>
                        </a:xfrm>
                        <a:prstGeom prst="rect">
                          <a:avLst/>
                        </a:prstGeom>
                        <a:solidFill>
                          <a:srgbClr val="4F81BD">
                            <a:alpha val="20000"/>
                          </a:srgbClr>
                        </a:solidFill>
                        <a:ln w="127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83AFAE" id="Rectangle 29" o:spid="_x0000_s1026" style="position:absolute;margin-left:67.5pt;margin-top:4.9pt;width:354.75pt;height:52.5pt;z-index:25196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" fillcolor="#4f81bd" strokecolor="#4f81bd" strokeweight="1pt">
                <v:fill opacity="13107f"/>
                <v:path arrowok="t"/>
                <w10:wrap anchorx="margin"/>
              </v:rect>
            </w:pict>
          </mc:Fallback>
        </mc:AlternateContent>
      </w:r>
    </w:p>
    <w:p w:rsidR="00F67615" w:rsidRPr="00C90AC9" w:rsidRDefault="00F67615" w:rsidP="00F67615">
      <w:pPr>
        <w:pStyle w:val="Subtitle"/>
        <w:numPr>
          <w:ilvl w:val="0"/>
          <w:numId w:val="0"/>
        </w:numPr>
        <w:ind w:left="1146"/>
        <w:jc w:val="center"/>
        <w:rPr>
          <w:rStyle w:val="SubtleEmphasis"/>
          <w:rFonts w:ascii="Times New Roman" w:hAnsi="Times New Roman" w:cs="Times New Roman"/>
          <w:i w:val="0"/>
          <w:sz w:val="24"/>
        </w:rPr>
      </w:pPr>
      <w:r w:rsidRPr="00C90AC9">
        <w:rPr>
          <w:rStyle w:val="SubtleEmphasis"/>
          <w:rFonts w:ascii="Times New Roman" w:hAnsi="Times New Roman" w:cs="Times New Roman"/>
          <w:i w:val="0"/>
          <w:sz w:val="24"/>
        </w:rPr>
        <w:t>Concluding remarks and future direction for research</w:t>
      </w:r>
    </w:p>
    <w:p w:rsidR="00F67615" w:rsidRPr="00C90AC9" w:rsidRDefault="00F67615" w:rsidP="00F67615">
      <w:pPr>
        <w:rPr>
          <w:lang w:eastAsia="en-US"/>
        </w:rPr>
      </w:pPr>
    </w:p>
    <w:p w:rsidR="00F67615" w:rsidRPr="00C90AC9" w:rsidRDefault="00F67615" w:rsidP="00F67615">
      <w:pPr>
        <w:rPr>
          <w:lang w:eastAsia="en-US"/>
        </w:rPr>
      </w:pPr>
    </w:p>
    <w:p w:rsidR="003F4BEE" w:rsidRPr="00C90AC9" w:rsidRDefault="007F525B" w:rsidP="00ED1094">
      <w:pPr>
        <w:pStyle w:val="ListParagraph"/>
        <w:spacing w:line="360" w:lineRule="auto"/>
        <w:ind w:left="0" w:firstLine="720"/>
        <w:rPr>
          <w:rFonts w:ascii="Times New Roman" w:hAnsi="Times New Roman" w:cs="Times New Roman"/>
        </w:rPr>
      </w:pPr>
      <w:r w:rsidRPr="00C90AC9">
        <w:rPr>
          <w:rFonts w:ascii="Times New Roman" w:hAnsi="Times New Roman" w:cs="Times New Roman"/>
        </w:rPr>
        <w:t xml:space="preserve">The work contained in this </w:t>
      </w:r>
      <w:r w:rsidR="003F4BEE" w:rsidRPr="00C90AC9">
        <w:rPr>
          <w:rFonts w:ascii="Times New Roman" w:hAnsi="Times New Roman" w:cs="Times New Roman"/>
        </w:rPr>
        <w:t>dissertation</w:t>
      </w:r>
      <w:r w:rsidRPr="00C90AC9">
        <w:rPr>
          <w:rFonts w:ascii="Times New Roman" w:hAnsi="Times New Roman" w:cs="Times New Roman"/>
        </w:rPr>
        <w:t xml:space="preserve"> assessed both a novel renewable technology (Solar Thermal Panels</w:t>
      </w:r>
      <w:r w:rsidR="00635D36" w:rsidRPr="00C90AC9">
        <w:rPr>
          <w:rFonts w:ascii="Times New Roman" w:hAnsi="Times New Roman" w:cs="Times New Roman"/>
        </w:rPr>
        <w:t>, STPs</w:t>
      </w:r>
      <w:r w:rsidRPr="00C90AC9">
        <w:rPr>
          <w:rFonts w:ascii="Times New Roman" w:hAnsi="Times New Roman" w:cs="Times New Roman"/>
        </w:rPr>
        <w:t xml:space="preserve">) in the UK as well as investigating the opinions of the </w:t>
      </w:r>
      <w:r w:rsidR="00E82522" w:rsidRPr="00C90AC9">
        <w:rPr>
          <w:rFonts w:ascii="Times New Roman" w:hAnsi="Times New Roman" w:cs="Times New Roman"/>
        </w:rPr>
        <w:t>main</w:t>
      </w:r>
      <w:r w:rsidRPr="00C90AC9">
        <w:rPr>
          <w:rFonts w:ascii="Times New Roman" w:hAnsi="Times New Roman" w:cs="Times New Roman"/>
        </w:rPr>
        <w:t xml:space="preserve"> actors who can influence the overall public acceptability of the technology and therefore </w:t>
      </w:r>
      <w:r w:rsidR="008606D1" w:rsidRPr="00C90AC9">
        <w:rPr>
          <w:rFonts w:ascii="Times New Roman" w:hAnsi="Times New Roman" w:cs="Times New Roman"/>
        </w:rPr>
        <w:t>its</w:t>
      </w:r>
      <w:r w:rsidRPr="00C90AC9">
        <w:rPr>
          <w:rFonts w:ascii="Times New Roman" w:hAnsi="Times New Roman" w:cs="Times New Roman"/>
        </w:rPr>
        <w:t xml:space="preserve"> ultimate success</w:t>
      </w:r>
      <w:r w:rsidR="00695EDC" w:rsidRPr="00C90AC9">
        <w:rPr>
          <w:rFonts w:ascii="Times New Roman" w:hAnsi="Times New Roman" w:cs="Times New Roman"/>
        </w:rPr>
        <w:t>. As well as conducting semi-structured interviews with</w:t>
      </w:r>
      <w:r w:rsidR="008606D1" w:rsidRPr="00C90AC9">
        <w:rPr>
          <w:rFonts w:ascii="Times New Roman" w:hAnsi="Times New Roman" w:cs="Times New Roman"/>
        </w:rPr>
        <w:t xml:space="preserve"> the </w:t>
      </w:r>
      <w:r w:rsidR="00E82522" w:rsidRPr="00C90AC9">
        <w:rPr>
          <w:rFonts w:ascii="Times New Roman" w:hAnsi="Times New Roman" w:cs="Times New Roman"/>
        </w:rPr>
        <w:t>main</w:t>
      </w:r>
      <w:r w:rsidR="008606D1" w:rsidRPr="00C90AC9">
        <w:rPr>
          <w:rFonts w:ascii="Times New Roman" w:hAnsi="Times New Roman" w:cs="Times New Roman"/>
        </w:rPr>
        <w:t xml:space="preserve"> actors in the STP market focus groups were conducted with 10 different focus groups with members of the public.</w:t>
      </w:r>
    </w:p>
    <w:p w:rsidR="003B102A" w:rsidRPr="00C90AC9" w:rsidRDefault="007F525B" w:rsidP="003F295A">
      <w:pPr>
        <w:pStyle w:val="ListParagraph"/>
        <w:spacing w:line="360" w:lineRule="auto"/>
        <w:ind w:left="0" w:firstLine="720"/>
        <w:rPr>
          <w:rFonts w:ascii="Times New Roman" w:hAnsi="Times New Roman" w:cs="Times New Roman"/>
        </w:rPr>
      </w:pPr>
      <w:r w:rsidRPr="00C90AC9">
        <w:rPr>
          <w:rFonts w:ascii="Times New Roman" w:hAnsi="Times New Roman" w:cs="Times New Roman"/>
        </w:rPr>
        <w:t xml:space="preserve">Chapter 3 described incorporating weather predictions from the MET Office with a solar thermal panel system that </w:t>
      </w:r>
      <w:r w:rsidR="008606D1" w:rsidRPr="00C90AC9">
        <w:rPr>
          <w:rFonts w:ascii="Times New Roman" w:hAnsi="Times New Roman" w:cs="Times New Roman"/>
        </w:rPr>
        <w:t>can</w:t>
      </w:r>
      <w:r w:rsidRPr="00C90AC9">
        <w:rPr>
          <w:rFonts w:ascii="Times New Roman" w:hAnsi="Times New Roman" w:cs="Times New Roman"/>
        </w:rPr>
        <w:t xml:space="preserve"> use the </w:t>
      </w:r>
      <w:r w:rsidR="008606D1" w:rsidRPr="00C90AC9">
        <w:rPr>
          <w:rFonts w:ascii="Times New Roman" w:hAnsi="Times New Roman" w:cs="Times New Roman"/>
        </w:rPr>
        <w:t>make predictions about the volume of hot water and cost savings available over the coming 48 Hrs based on weather reports issued by the MET Office.</w:t>
      </w:r>
      <w:r w:rsidR="00847437" w:rsidRPr="00C90AC9">
        <w:rPr>
          <w:rFonts w:ascii="Times New Roman" w:hAnsi="Times New Roman" w:cs="Times New Roman"/>
        </w:rPr>
        <w:t xml:space="preserve"> </w:t>
      </w:r>
      <w:r w:rsidR="008606D1" w:rsidRPr="00C90AC9">
        <w:rPr>
          <w:rFonts w:ascii="Times New Roman" w:hAnsi="Times New Roman" w:cs="Times New Roman"/>
        </w:rPr>
        <w:t>The</w:t>
      </w:r>
      <w:r w:rsidR="00847437" w:rsidRPr="00C90AC9">
        <w:rPr>
          <w:rFonts w:ascii="Times New Roman" w:hAnsi="Times New Roman" w:cs="Times New Roman"/>
        </w:rPr>
        <w:t xml:space="preserve"> resulting </w:t>
      </w:r>
      <w:proofErr w:type="spellStart"/>
      <w:r w:rsidR="00847437" w:rsidRPr="00C90AC9">
        <w:rPr>
          <w:rFonts w:ascii="Times New Roman" w:hAnsi="Times New Roman" w:cs="Times New Roman"/>
        </w:rPr>
        <w:t>Matlab</w:t>
      </w:r>
      <w:proofErr w:type="spellEnd"/>
      <w:r w:rsidR="008606D1" w:rsidRPr="00C90AC9">
        <w:rPr>
          <w:rFonts w:ascii="Times New Roman" w:hAnsi="Times New Roman" w:cs="Times New Roman"/>
        </w:rPr>
        <w:t xml:space="preserve"> system saw an improvement in efficiency and cost savings when employing the weather predictions to make a choice about which Tapping Cycle to use for the following day.</w:t>
      </w:r>
      <w:r w:rsidR="00847437" w:rsidRPr="00C90AC9">
        <w:rPr>
          <w:rFonts w:ascii="Times New Roman" w:hAnsi="Times New Roman" w:cs="Times New Roman"/>
        </w:rPr>
        <w:t xml:space="preserve"> </w:t>
      </w:r>
      <w:r w:rsidR="00711D9C" w:rsidRPr="00C90AC9">
        <w:rPr>
          <w:rFonts w:ascii="Times New Roman" w:hAnsi="Times New Roman" w:cs="Times New Roman"/>
        </w:rPr>
        <w:t xml:space="preserve">The </w:t>
      </w:r>
      <w:proofErr w:type="spellStart"/>
      <w:r w:rsidR="00711D9C" w:rsidRPr="00C90AC9">
        <w:rPr>
          <w:rFonts w:ascii="Times New Roman" w:hAnsi="Times New Roman" w:cs="Times New Roman"/>
        </w:rPr>
        <w:t>Matlab</w:t>
      </w:r>
      <w:proofErr w:type="spellEnd"/>
      <w:r w:rsidR="00711D9C" w:rsidRPr="00C90AC9">
        <w:rPr>
          <w:rFonts w:ascii="Times New Roman" w:hAnsi="Times New Roman" w:cs="Times New Roman"/>
        </w:rPr>
        <w:t xml:space="preserve"> program insured that on those days when the weather is good and there is a lot of solar irradiance the residents consumed the highest amount of hot water. They would do this by having baths rather than showers and this would utilise the hot water generated by the STP. Equally, on those days when there is not a lot of solar irradiance the residents would use the least amount of hot water (having showers rather than baths). </w:t>
      </w:r>
      <w:proofErr w:type="gramStart"/>
      <w:r w:rsidR="00711D9C" w:rsidRPr="00C90AC9">
        <w:rPr>
          <w:rFonts w:ascii="Times New Roman" w:hAnsi="Times New Roman" w:cs="Times New Roman"/>
        </w:rPr>
        <w:t>Typically</w:t>
      </w:r>
      <w:proofErr w:type="gramEnd"/>
      <w:r w:rsidR="00711D9C" w:rsidRPr="00C90AC9">
        <w:rPr>
          <w:rFonts w:ascii="Times New Roman" w:hAnsi="Times New Roman" w:cs="Times New Roman"/>
        </w:rPr>
        <w:t xml:space="preserve"> these were during the winter months when the </w:t>
      </w:r>
      <w:r w:rsidR="000450FC" w:rsidRPr="00C90AC9">
        <w:rPr>
          <w:rFonts w:ascii="Times New Roman" w:hAnsi="Times New Roman" w:cs="Times New Roman"/>
        </w:rPr>
        <w:t>sun</w:t>
      </w:r>
      <w:r w:rsidR="00711D9C" w:rsidRPr="00C90AC9">
        <w:rPr>
          <w:rFonts w:ascii="Times New Roman" w:hAnsi="Times New Roman" w:cs="Times New Roman"/>
        </w:rPr>
        <w:t xml:space="preserve"> is lower in the sky than during the summer months.</w:t>
      </w:r>
    </w:p>
    <w:p w:rsidR="0040021F" w:rsidRPr="00C90AC9" w:rsidRDefault="00711D9C" w:rsidP="003F295A">
      <w:pPr>
        <w:pStyle w:val="ListParagraph"/>
        <w:spacing w:line="360" w:lineRule="auto"/>
        <w:ind w:left="0" w:firstLine="720"/>
        <w:rPr>
          <w:rFonts w:ascii="Times New Roman" w:hAnsi="Times New Roman" w:cs="Times New Roman"/>
        </w:rPr>
      </w:pPr>
      <w:r w:rsidRPr="00C90AC9">
        <w:rPr>
          <w:rFonts w:ascii="Times New Roman" w:hAnsi="Times New Roman" w:cs="Times New Roman"/>
        </w:rPr>
        <w:t xml:space="preserve">It is predicted that the system described </w:t>
      </w:r>
      <w:r w:rsidR="008606D1" w:rsidRPr="00C90AC9">
        <w:rPr>
          <w:rFonts w:ascii="Times New Roman" w:hAnsi="Times New Roman" w:cs="Times New Roman"/>
        </w:rPr>
        <w:t>could be</w:t>
      </w:r>
      <w:r w:rsidR="00847437" w:rsidRPr="00C90AC9">
        <w:rPr>
          <w:rFonts w:ascii="Times New Roman" w:hAnsi="Times New Roman" w:cs="Times New Roman"/>
        </w:rPr>
        <w:t xml:space="preserve"> further</w:t>
      </w:r>
      <w:r w:rsidR="008606D1" w:rsidRPr="00C90AC9">
        <w:rPr>
          <w:rFonts w:ascii="Times New Roman" w:hAnsi="Times New Roman" w:cs="Times New Roman"/>
        </w:rPr>
        <w:t xml:space="preserve"> improved by res</w:t>
      </w:r>
      <w:r w:rsidR="00847437" w:rsidRPr="00C90AC9">
        <w:rPr>
          <w:rFonts w:ascii="Times New Roman" w:hAnsi="Times New Roman" w:cs="Times New Roman"/>
        </w:rPr>
        <w:t>earching</w:t>
      </w:r>
      <w:r w:rsidRPr="00C90AC9">
        <w:rPr>
          <w:rFonts w:ascii="Times New Roman" w:hAnsi="Times New Roman" w:cs="Times New Roman"/>
        </w:rPr>
        <w:t xml:space="preserve"> additional parameters such as incorporating the </w:t>
      </w:r>
      <w:r w:rsidR="008606D1" w:rsidRPr="00C90AC9">
        <w:rPr>
          <w:rFonts w:ascii="Times New Roman" w:hAnsi="Times New Roman" w:cs="Times New Roman"/>
        </w:rPr>
        <w:t>total volume of hot water consumed over a week</w:t>
      </w:r>
      <w:r w:rsidRPr="00C90AC9">
        <w:rPr>
          <w:rFonts w:ascii="Times New Roman" w:hAnsi="Times New Roman" w:cs="Times New Roman"/>
        </w:rPr>
        <w:t xml:space="preserve">. The decision about which </w:t>
      </w:r>
      <w:r w:rsidR="00D61146" w:rsidRPr="00C90AC9">
        <w:rPr>
          <w:rFonts w:ascii="Times New Roman" w:hAnsi="Times New Roman" w:cs="Times New Roman"/>
        </w:rPr>
        <w:t>Tapping Cycle</w:t>
      </w:r>
      <w:r w:rsidRPr="00C90AC9">
        <w:rPr>
          <w:rFonts w:ascii="Times New Roman" w:hAnsi="Times New Roman" w:cs="Times New Roman"/>
        </w:rPr>
        <w:t xml:space="preserve"> to utilise with this additional parameter incorporated would </w:t>
      </w:r>
      <w:r w:rsidR="0040021F" w:rsidRPr="00C90AC9">
        <w:rPr>
          <w:rFonts w:ascii="Times New Roman" w:hAnsi="Times New Roman" w:cs="Times New Roman"/>
        </w:rPr>
        <w:t>marshal the decision of the most appropriate consumption pattern.</w:t>
      </w:r>
      <w:r w:rsidRPr="00C90AC9">
        <w:rPr>
          <w:rFonts w:ascii="Times New Roman" w:hAnsi="Times New Roman" w:cs="Times New Roman"/>
        </w:rPr>
        <w:t xml:space="preserve">  In essence this would mean that the selection of the most advantageous </w:t>
      </w:r>
      <w:r w:rsidR="00D61146" w:rsidRPr="00C90AC9">
        <w:rPr>
          <w:rFonts w:ascii="Times New Roman" w:hAnsi="Times New Roman" w:cs="Times New Roman"/>
        </w:rPr>
        <w:t>Tapping Cycle</w:t>
      </w:r>
      <w:r w:rsidRPr="00C90AC9">
        <w:rPr>
          <w:rFonts w:ascii="Times New Roman" w:hAnsi="Times New Roman" w:cs="Times New Roman"/>
        </w:rPr>
        <w:t xml:space="preserve"> to utilise would be dependent on the volume of water already consumed that week.</w:t>
      </w:r>
    </w:p>
    <w:p w:rsidR="00711D9C" w:rsidRPr="00C90AC9" w:rsidRDefault="00711D9C" w:rsidP="003F295A">
      <w:pPr>
        <w:pStyle w:val="ListParagraph"/>
        <w:spacing w:line="360" w:lineRule="auto"/>
        <w:ind w:left="0" w:firstLine="720"/>
        <w:rPr>
          <w:rFonts w:ascii="Times New Roman" w:hAnsi="Times New Roman" w:cs="Times New Roman"/>
        </w:rPr>
      </w:pPr>
    </w:p>
    <w:p w:rsidR="0040021F" w:rsidRPr="00C90AC9" w:rsidRDefault="0040021F" w:rsidP="003F295A">
      <w:pPr>
        <w:pStyle w:val="ListParagraph"/>
        <w:spacing w:line="360" w:lineRule="auto"/>
        <w:ind w:left="0" w:firstLine="720"/>
        <w:rPr>
          <w:rFonts w:ascii="Times New Roman" w:hAnsi="Times New Roman" w:cs="Times New Roman"/>
        </w:rPr>
      </w:pPr>
      <w:r w:rsidRPr="00C90AC9">
        <w:rPr>
          <w:rFonts w:ascii="Times New Roman" w:hAnsi="Times New Roman" w:cs="Times New Roman"/>
        </w:rPr>
        <w:t xml:space="preserve">The qualitative studies determined that there was significant over and under estimating </w:t>
      </w:r>
      <w:r w:rsidR="00337B41" w:rsidRPr="00C90AC9">
        <w:rPr>
          <w:rFonts w:ascii="Times New Roman" w:hAnsi="Times New Roman" w:cs="Times New Roman"/>
        </w:rPr>
        <w:t xml:space="preserve">of </w:t>
      </w:r>
      <w:r w:rsidRPr="00C90AC9">
        <w:rPr>
          <w:rFonts w:ascii="Times New Roman" w:hAnsi="Times New Roman" w:cs="Times New Roman"/>
        </w:rPr>
        <w:t xml:space="preserve">the capabilities of </w:t>
      </w:r>
      <w:r w:rsidR="006518C0" w:rsidRPr="00C90AC9">
        <w:rPr>
          <w:rFonts w:ascii="Times New Roman" w:hAnsi="Times New Roman" w:cs="Times New Roman"/>
        </w:rPr>
        <w:t>STPs</w:t>
      </w:r>
      <w:r w:rsidRPr="00C90AC9">
        <w:rPr>
          <w:rFonts w:ascii="Times New Roman" w:hAnsi="Times New Roman" w:cs="Times New Roman"/>
        </w:rPr>
        <w:t xml:space="preserve"> which was resulting in poor decisions being made by consumers</w:t>
      </w:r>
      <w:r w:rsidR="00337B41" w:rsidRPr="00C90AC9">
        <w:rPr>
          <w:rFonts w:ascii="Times New Roman" w:hAnsi="Times New Roman" w:cs="Times New Roman"/>
        </w:rPr>
        <w:t xml:space="preserve"> with regard to adoption of the technology</w:t>
      </w:r>
      <w:r w:rsidRPr="00C90AC9">
        <w:rPr>
          <w:rFonts w:ascii="Times New Roman" w:hAnsi="Times New Roman" w:cs="Times New Roman"/>
        </w:rPr>
        <w:t>. This</w:t>
      </w:r>
      <w:r w:rsidR="00337B41" w:rsidRPr="00C90AC9">
        <w:rPr>
          <w:rFonts w:ascii="Times New Roman" w:hAnsi="Times New Roman" w:cs="Times New Roman"/>
        </w:rPr>
        <w:t>,</w:t>
      </w:r>
      <w:r w:rsidRPr="00C90AC9">
        <w:rPr>
          <w:rFonts w:ascii="Times New Roman" w:hAnsi="Times New Roman" w:cs="Times New Roman"/>
        </w:rPr>
        <w:t xml:space="preserve"> in turn</w:t>
      </w:r>
      <w:r w:rsidR="00337B41" w:rsidRPr="00C90AC9">
        <w:rPr>
          <w:rFonts w:ascii="Times New Roman" w:hAnsi="Times New Roman" w:cs="Times New Roman"/>
        </w:rPr>
        <w:t>,</w:t>
      </w:r>
      <w:r w:rsidRPr="00C90AC9">
        <w:rPr>
          <w:rFonts w:ascii="Times New Roman" w:hAnsi="Times New Roman" w:cs="Times New Roman"/>
        </w:rPr>
        <w:t xml:space="preserve"> was causing further misinformation to</w:t>
      </w:r>
      <w:r w:rsidR="0047560E" w:rsidRPr="00C90AC9">
        <w:rPr>
          <w:rFonts w:ascii="Times New Roman" w:hAnsi="Times New Roman" w:cs="Times New Roman"/>
        </w:rPr>
        <w:t xml:space="preserve"> </w:t>
      </w:r>
      <w:r w:rsidR="0047560E" w:rsidRPr="00C90AC9">
        <w:rPr>
          <w:rFonts w:ascii="Times New Roman" w:hAnsi="Times New Roman" w:cs="Times New Roman"/>
        </w:rPr>
        <w:lastRenderedPageBreak/>
        <w:t>propagate</w:t>
      </w:r>
      <w:r w:rsidR="00337B41" w:rsidRPr="00C90AC9">
        <w:rPr>
          <w:rFonts w:ascii="Times New Roman" w:hAnsi="Times New Roman" w:cs="Times New Roman"/>
        </w:rPr>
        <w:t xml:space="preserve"> and</w:t>
      </w:r>
      <w:r w:rsidR="0047560E" w:rsidRPr="00C90AC9">
        <w:rPr>
          <w:rFonts w:ascii="Times New Roman" w:hAnsi="Times New Roman" w:cs="Times New Roman"/>
        </w:rPr>
        <w:t xml:space="preserve"> i</w:t>
      </w:r>
      <w:r w:rsidRPr="00C90AC9">
        <w:rPr>
          <w:rFonts w:ascii="Times New Roman" w:hAnsi="Times New Roman" w:cs="Times New Roman"/>
        </w:rPr>
        <w:t>s</w:t>
      </w:r>
      <w:r w:rsidR="00337B41" w:rsidRPr="00C90AC9">
        <w:rPr>
          <w:rFonts w:ascii="Times New Roman" w:hAnsi="Times New Roman" w:cs="Times New Roman"/>
        </w:rPr>
        <w:t xml:space="preserve"> perceived as</w:t>
      </w:r>
      <w:r w:rsidRPr="00C90AC9">
        <w:rPr>
          <w:rFonts w:ascii="Times New Roman" w:hAnsi="Times New Roman" w:cs="Times New Roman"/>
        </w:rPr>
        <w:t xml:space="preserve"> limiting the adoption of </w:t>
      </w:r>
      <w:r w:rsidR="00337B41" w:rsidRPr="00C90AC9">
        <w:rPr>
          <w:rFonts w:ascii="Times New Roman" w:hAnsi="Times New Roman" w:cs="Times New Roman"/>
        </w:rPr>
        <w:t>STP</w:t>
      </w:r>
      <w:r w:rsidRPr="00C90AC9">
        <w:rPr>
          <w:rFonts w:ascii="Times New Roman" w:hAnsi="Times New Roman" w:cs="Times New Roman"/>
        </w:rPr>
        <w:t xml:space="preserve"> technology.</w:t>
      </w:r>
      <w:r w:rsidR="00847437" w:rsidRPr="00C90AC9">
        <w:rPr>
          <w:rFonts w:ascii="Times New Roman" w:hAnsi="Times New Roman" w:cs="Times New Roman"/>
        </w:rPr>
        <w:t xml:space="preserve"> </w:t>
      </w:r>
      <w:r w:rsidRPr="00C90AC9">
        <w:rPr>
          <w:rFonts w:ascii="Times New Roman" w:hAnsi="Times New Roman" w:cs="Times New Roman"/>
        </w:rPr>
        <w:t xml:space="preserve">To address this </w:t>
      </w:r>
      <w:r w:rsidR="00D74AF8" w:rsidRPr="00C90AC9">
        <w:rPr>
          <w:rFonts w:ascii="Times New Roman" w:hAnsi="Times New Roman" w:cs="Times New Roman"/>
        </w:rPr>
        <w:t>misinformation,</w:t>
      </w:r>
      <w:r w:rsidRPr="00C90AC9">
        <w:rPr>
          <w:rFonts w:ascii="Times New Roman" w:hAnsi="Times New Roman" w:cs="Times New Roman"/>
        </w:rPr>
        <w:t xml:space="preserve"> the </w:t>
      </w:r>
      <w:r w:rsidR="00E82522" w:rsidRPr="00C90AC9">
        <w:rPr>
          <w:rFonts w:ascii="Times New Roman" w:hAnsi="Times New Roman" w:cs="Times New Roman"/>
        </w:rPr>
        <w:t>main</w:t>
      </w:r>
      <w:r w:rsidRPr="00C90AC9">
        <w:rPr>
          <w:rFonts w:ascii="Times New Roman" w:hAnsi="Times New Roman" w:cs="Times New Roman"/>
        </w:rPr>
        <w:t xml:space="preserve"> actors suggested a regulatory body to oversee the industry which would not only provide consumers with an accredited source of information they could utilise to make more informed decisions but would also offer other </w:t>
      </w:r>
      <w:r w:rsidR="00E82522" w:rsidRPr="00C90AC9">
        <w:rPr>
          <w:rFonts w:ascii="Times New Roman" w:hAnsi="Times New Roman" w:cs="Times New Roman"/>
        </w:rPr>
        <w:t>main</w:t>
      </w:r>
      <w:r w:rsidRPr="00C90AC9">
        <w:rPr>
          <w:rFonts w:ascii="Times New Roman" w:hAnsi="Times New Roman" w:cs="Times New Roman"/>
        </w:rPr>
        <w:t xml:space="preserve"> actors with a valuable source of information so that they could be kept informed of recent advice emanating from other </w:t>
      </w:r>
      <w:r w:rsidR="00E82522" w:rsidRPr="00C90AC9">
        <w:rPr>
          <w:rFonts w:ascii="Times New Roman" w:hAnsi="Times New Roman" w:cs="Times New Roman"/>
        </w:rPr>
        <w:t>main</w:t>
      </w:r>
      <w:r w:rsidRPr="00C90AC9">
        <w:rPr>
          <w:rFonts w:ascii="Times New Roman" w:hAnsi="Times New Roman" w:cs="Times New Roman"/>
        </w:rPr>
        <w:t xml:space="preserve"> actors.</w:t>
      </w:r>
      <w:r w:rsidR="00847437" w:rsidRPr="00C90AC9">
        <w:rPr>
          <w:rFonts w:ascii="Times New Roman" w:hAnsi="Times New Roman" w:cs="Times New Roman"/>
        </w:rPr>
        <w:t xml:space="preserve"> </w:t>
      </w:r>
      <w:r w:rsidR="00D74AF8" w:rsidRPr="00C90AC9">
        <w:rPr>
          <w:rFonts w:ascii="Times New Roman" w:hAnsi="Times New Roman" w:cs="Times New Roman"/>
        </w:rPr>
        <w:t>Additionally,</w:t>
      </w:r>
      <w:r w:rsidRPr="00C90AC9">
        <w:rPr>
          <w:rFonts w:ascii="Times New Roman" w:hAnsi="Times New Roman" w:cs="Times New Roman"/>
        </w:rPr>
        <w:t xml:space="preserve"> the </w:t>
      </w:r>
      <w:r w:rsidR="00E82522" w:rsidRPr="00C90AC9">
        <w:rPr>
          <w:rFonts w:ascii="Times New Roman" w:hAnsi="Times New Roman" w:cs="Times New Roman"/>
        </w:rPr>
        <w:t>main</w:t>
      </w:r>
      <w:r w:rsidRPr="00C90AC9">
        <w:rPr>
          <w:rFonts w:ascii="Times New Roman" w:hAnsi="Times New Roman" w:cs="Times New Roman"/>
        </w:rPr>
        <w:t xml:space="preserve"> actors felt that this would assist the flow of information between other </w:t>
      </w:r>
      <w:r w:rsidR="00E82522" w:rsidRPr="00C90AC9">
        <w:rPr>
          <w:rFonts w:ascii="Times New Roman" w:hAnsi="Times New Roman" w:cs="Times New Roman"/>
        </w:rPr>
        <w:t>main</w:t>
      </w:r>
      <w:r w:rsidRPr="00C90AC9">
        <w:rPr>
          <w:rFonts w:ascii="Times New Roman" w:hAnsi="Times New Roman" w:cs="Times New Roman"/>
        </w:rPr>
        <w:t xml:space="preserve"> actors and on to the general public at large.</w:t>
      </w:r>
    </w:p>
    <w:p w:rsidR="00CD63F8" w:rsidRPr="00C90AC9" w:rsidRDefault="0040021F" w:rsidP="00ED1094">
      <w:pPr>
        <w:pStyle w:val="ListParagraph"/>
        <w:spacing w:line="360" w:lineRule="auto"/>
        <w:ind w:left="0"/>
        <w:rPr>
          <w:rFonts w:ascii="Times New Roman" w:hAnsi="Times New Roman" w:cs="Times New Roman"/>
        </w:rPr>
      </w:pPr>
      <w:r w:rsidRPr="00C90AC9">
        <w:rPr>
          <w:rFonts w:ascii="Times New Roman" w:hAnsi="Times New Roman" w:cs="Times New Roman"/>
        </w:rPr>
        <w:t xml:space="preserve">The general public made it clear that they were agnostic about the capability of </w:t>
      </w:r>
      <w:r w:rsidR="006518C0" w:rsidRPr="00C90AC9">
        <w:rPr>
          <w:rFonts w:ascii="Times New Roman" w:hAnsi="Times New Roman" w:cs="Times New Roman"/>
        </w:rPr>
        <w:t>STPs</w:t>
      </w:r>
      <w:r w:rsidRPr="00C90AC9">
        <w:rPr>
          <w:rFonts w:ascii="Times New Roman" w:hAnsi="Times New Roman" w:cs="Times New Roman"/>
        </w:rPr>
        <w:t xml:space="preserve"> to provide sufficient volumes of hot water and at sufficiently high temperatures</w:t>
      </w:r>
      <w:r w:rsidR="00847437" w:rsidRPr="00C90AC9">
        <w:rPr>
          <w:rFonts w:ascii="Times New Roman" w:hAnsi="Times New Roman" w:cs="Times New Roman"/>
        </w:rPr>
        <w:t xml:space="preserve"> particularly in the winter months and they were frustrated by the lack of individualised capability</w:t>
      </w:r>
      <w:r w:rsidR="00CD63F8" w:rsidRPr="00C90AC9">
        <w:rPr>
          <w:rFonts w:ascii="Times New Roman" w:hAnsi="Times New Roman" w:cs="Times New Roman"/>
        </w:rPr>
        <w:t xml:space="preserve"> for their homes</w:t>
      </w:r>
      <w:r w:rsidR="00847437" w:rsidRPr="00C90AC9">
        <w:rPr>
          <w:rFonts w:ascii="Times New Roman" w:hAnsi="Times New Roman" w:cs="Times New Roman"/>
        </w:rPr>
        <w:t xml:space="preserve">. </w:t>
      </w:r>
      <w:r w:rsidR="00CD63F8" w:rsidRPr="00C90AC9">
        <w:rPr>
          <w:rFonts w:ascii="Times New Roman" w:hAnsi="Times New Roman" w:cs="Times New Roman"/>
        </w:rPr>
        <w:t>Participants of the focus groups were aware of climate change and the need to reduce household carbon emissions but cost savings were of greater concern to them as these costs are more immediate and tangible.</w:t>
      </w:r>
    </w:p>
    <w:p w:rsidR="00635D36" w:rsidRPr="00C90AC9" w:rsidRDefault="006D752E" w:rsidP="00ED1094">
      <w:pPr>
        <w:pStyle w:val="ListParagraph"/>
        <w:spacing w:line="360" w:lineRule="auto"/>
        <w:ind w:left="0"/>
        <w:rPr>
          <w:rFonts w:ascii="Times New Roman" w:hAnsi="Times New Roman" w:cs="Times New Roman"/>
        </w:rPr>
      </w:pPr>
      <w:r w:rsidRPr="00C90AC9">
        <w:rPr>
          <w:rFonts w:ascii="Times New Roman" w:hAnsi="Times New Roman" w:cs="Times New Roman"/>
        </w:rPr>
        <w:t xml:space="preserve">Climate change and the effects of climate change was an explicit reason for some participants adopting STPs. Their “green credentials” meant that they had to adopt a domestic renewable energy technology and STPs was considered to be a good choice for them. </w:t>
      </w:r>
      <w:r w:rsidR="00847437" w:rsidRPr="00C90AC9">
        <w:rPr>
          <w:rFonts w:ascii="Times New Roman" w:hAnsi="Times New Roman" w:cs="Times New Roman"/>
        </w:rPr>
        <w:t xml:space="preserve">The payback period and the weekly cost savings were of particular interest to all participants except those that own </w:t>
      </w:r>
      <w:r w:rsidR="006518C0" w:rsidRPr="00C90AC9">
        <w:rPr>
          <w:rFonts w:ascii="Times New Roman" w:hAnsi="Times New Roman" w:cs="Times New Roman"/>
        </w:rPr>
        <w:t>STPs</w:t>
      </w:r>
      <w:r w:rsidR="00847437" w:rsidRPr="00C90AC9">
        <w:rPr>
          <w:rFonts w:ascii="Times New Roman" w:hAnsi="Times New Roman" w:cs="Times New Roman"/>
        </w:rPr>
        <w:t xml:space="preserve"> who were less interested in financial rewards and were happy to be generating their own domestic energy and additional felt that the </w:t>
      </w:r>
      <w:r w:rsidR="006518C0" w:rsidRPr="00C90AC9">
        <w:rPr>
          <w:rFonts w:ascii="Times New Roman" w:hAnsi="Times New Roman" w:cs="Times New Roman"/>
        </w:rPr>
        <w:t>STPs</w:t>
      </w:r>
      <w:r w:rsidR="00847437" w:rsidRPr="00C90AC9">
        <w:rPr>
          <w:rFonts w:ascii="Times New Roman" w:hAnsi="Times New Roman" w:cs="Times New Roman"/>
        </w:rPr>
        <w:t xml:space="preserve"> were “badges of green honour” to display to neighbours.</w:t>
      </w:r>
    </w:p>
    <w:p w:rsidR="006054A6" w:rsidRPr="00C90AC9" w:rsidRDefault="00635D36" w:rsidP="00ED1094">
      <w:pPr>
        <w:pStyle w:val="ListParagraph"/>
        <w:spacing w:line="360" w:lineRule="auto"/>
        <w:ind w:left="0"/>
        <w:rPr>
          <w:rFonts w:ascii="Times New Roman" w:hAnsi="Times New Roman" w:cs="Times New Roman"/>
        </w:rPr>
      </w:pPr>
      <w:r w:rsidRPr="00C90AC9">
        <w:rPr>
          <w:rFonts w:ascii="Times New Roman" w:hAnsi="Times New Roman" w:cs="Times New Roman"/>
        </w:rPr>
        <w:t xml:space="preserve">A lack of understanding concerning STP technology was recognised </w:t>
      </w:r>
      <w:r w:rsidR="006054A6" w:rsidRPr="00C90AC9">
        <w:rPr>
          <w:rFonts w:ascii="Times New Roman" w:hAnsi="Times New Roman" w:cs="Times New Roman"/>
        </w:rPr>
        <w:t xml:space="preserve">both with consumers as well as with the main actors in the STP market. This lack of understanding impacted the verifiable information which the main actors are disseminating to the general population as well as individuals who are left with a misaligned appreciation of the technology and its viability. Information which consumers obtain to better inform themselves about the specific viability of a new STP installation, is not congregant to their specific needs. Thus, consumers are non-them wiser about the viability of a new STP installation on their properties and are not inclined to pursue the adoption process further. </w:t>
      </w:r>
    </w:p>
    <w:p w:rsidR="006054A6" w:rsidRPr="00C90AC9" w:rsidRDefault="006054A6" w:rsidP="00ED1094">
      <w:pPr>
        <w:pStyle w:val="ListParagraph"/>
        <w:spacing w:line="360" w:lineRule="auto"/>
        <w:ind w:left="0"/>
        <w:rPr>
          <w:rFonts w:ascii="Times New Roman" w:hAnsi="Times New Roman" w:cs="Times New Roman"/>
        </w:rPr>
      </w:pPr>
      <w:r w:rsidRPr="00C90AC9">
        <w:rPr>
          <w:rFonts w:ascii="Times New Roman" w:hAnsi="Times New Roman" w:cs="Times New Roman"/>
        </w:rPr>
        <w:t>One method to reduce this misinformation was proposed by the main actors by the introduction of a standards body which would be independent of manufacturers thus allowing it to be impartial. The proposed standards body would be a source of their verifiable information for both consumers as well as other main actors providing</w:t>
      </w:r>
      <w:r w:rsidR="0000373F" w:rsidRPr="00C90AC9">
        <w:rPr>
          <w:rFonts w:ascii="Times New Roman" w:hAnsi="Times New Roman" w:cs="Times New Roman"/>
        </w:rPr>
        <w:t xml:space="preserve"> demonstrable advice</w:t>
      </w:r>
      <w:r w:rsidRPr="00C90AC9">
        <w:rPr>
          <w:rFonts w:ascii="Times New Roman" w:hAnsi="Times New Roman" w:cs="Times New Roman"/>
        </w:rPr>
        <w:t xml:space="preserve">. </w:t>
      </w:r>
    </w:p>
    <w:p w:rsidR="00EB18ED" w:rsidRPr="00C90AC9" w:rsidRDefault="00EB18ED" w:rsidP="00ED1094">
      <w:pPr>
        <w:pStyle w:val="ListParagraph"/>
        <w:spacing w:line="360" w:lineRule="auto"/>
        <w:ind w:left="0"/>
        <w:rPr>
          <w:rFonts w:ascii="Times New Roman" w:hAnsi="Times New Roman" w:cs="Times New Roman"/>
        </w:rPr>
      </w:pPr>
      <w:r w:rsidRPr="00C90AC9">
        <w:rPr>
          <w:rFonts w:ascii="Times New Roman" w:hAnsi="Times New Roman" w:cs="Times New Roman"/>
        </w:rPr>
        <w:t xml:space="preserve">A conclusion which can be drawn from both the semi-structured interviews as well as the focus groups was not only in need for an ombudsman overseeing the STP market but it was also the </w:t>
      </w:r>
      <w:r w:rsidRPr="00C90AC9">
        <w:rPr>
          <w:rFonts w:ascii="Times New Roman" w:hAnsi="Times New Roman" w:cs="Times New Roman"/>
        </w:rPr>
        <w:lastRenderedPageBreak/>
        <w:t>need for verifiable information to be effectively disseminated to the wider public. The focus groups conveyed a general positive opinion of STP technology. The operation of STP technology might not be fully understood by the general public or indeed by the main actors within the STP market, however the utility which STP technology could provide households was of far greater concern to the participants of the focus groups. In the focus groups held with participants who actually own STPs on their homes there was evidence that behavioural patterns concerning the use of hot water were modified depending on the predicted weather for that day. This would suggest that a system which tells the homeowner which days</w:t>
      </w:r>
      <w:r w:rsidR="00A80929" w:rsidRPr="00C90AC9">
        <w:rPr>
          <w:rFonts w:ascii="Times New Roman" w:hAnsi="Times New Roman" w:cs="Times New Roman"/>
        </w:rPr>
        <w:t xml:space="preserve"> to have showers which days to have balance, as the proposed system in chapter 3 details, would be adhered to by the homeowners. Future work should analyse this further as the efficiency gains made by the more efficient proposed system would be nullified by inconsistent adherence to the </w:t>
      </w:r>
      <w:r w:rsidR="00D61146" w:rsidRPr="00C90AC9">
        <w:rPr>
          <w:rFonts w:ascii="Times New Roman" w:hAnsi="Times New Roman" w:cs="Times New Roman"/>
        </w:rPr>
        <w:t>Tapping Cycle</w:t>
      </w:r>
      <w:r w:rsidR="00A80929" w:rsidRPr="00C90AC9">
        <w:rPr>
          <w:rFonts w:ascii="Times New Roman" w:hAnsi="Times New Roman" w:cs="Times New Roman"/>
        </w:rPr>
        <w:t xml:space="preserve">s. </w:t>
      </w:r>
    </w:p>
    <w:p w:rsidR="007F525B" w:rsidRPr="00C90AC9" w:rsidRDefault="006054A6" w:rsidP="00ED1094">
      <w:pPr>
        <w:pStyle w:val="ListParagraph"/>
        <w:spacing w:line="360" w:lineRule="auto"/>
        <w:ind w:left="0"/>
        <w:rPr>
          <w:rFonts w:ascii="Times New Roman" w:hAnsi="Times New Roman" w:cs="Times New Roman"/>
        </w:rPr>
      </w:pPr>
      <w:r w:rsidRPr="00C90AC9">
        <w:rPr>
          <w:rFonts w:ascii="Times New Roman" w:hAnsi="Times New Roman" w:cs="Times New Roman"/>
        </w:rPr>
        <w:t xml:space="preserve"> </w:t>
      </w:r>
      <w:r w:rsidR="007F525B" w:rsidRPr="00C90AC9">
        <w:rPr>
          <w:rFonts w:ascii="Times New Roman" w:hAnsi="Times New Roman" w:cs="Times New Roman"/>
          <w:b/>
        </w:rPr>
        <w:br w:type="page"/>
      </w:r>
    </w:p>
    <w:p w:rsidR="008972F9" w:rsidRPr="00C90AC9" w:rsidRDefault="008972F9" w:rsidP="008046BF">
      <w:pPr>
        <w:pStyle w:val="Title"/>
        <w:jc w:val="center"/>
        <w:rPr>
          <w:rFonts w:ascii="Times New Roman" w:hAnsi="Times New Roman" w:cs="Times New Roman"/>
          <w:sz w:val="56"/>
        </w:rPr>
      </w:pPr>
      <w:r w:rsidRPr="00C90AC9">
        <w:rPr>
          <w:rFonts w:ascii="Times New Roman" w:hAnsi="Times New Roman" w:cs="Times New Roman"/>
          <w:sz w:val="56"/>
        </w:rPr>
        <w:lastRenderedPageBreak/>
        <w:t>Appendix</w:t>
      </w:r>
    </w:p>
    <w:p w:rsidR="008972F9" w:rsidRPr="00C90AC9" w:rsidRDefault="00853BAF" w:rsidP="008046BF">
      <w:pPr>
        <w:pStyle w:val="ListParagraph"/>
        <w:ind w:left="0"/>
        <w:rPr>
          <w:rStyle w:val="SubtleEmphasis"/>
          <w:rFonts w:ascii="Times New Roman" w:hAnsi="Times New Roman" w:cs="Times New Roman"/>
          <w:szCs w:val="24"/>
        </w:rPr>
      </w:pPr>
      <w:r w:rsidRPr="00C90AC9">
        <w:rPr>
          <w:rStyle w:val="SubtleEmphasis"/>
          <w:rFonts w:ascii="Times New Roman" w:hAnsi="Times New Roman" w:cs="Times New Roman"/>
          <w:iCs/>
          <w:szCs w:val="24"/>
        </w:rPr>
        <w:t>7.</w:t>
      </w:r>
      <w:r w:rsidR="008972F9" w:rsidRPr="00C90AC9">
        <w:rPr>
          <w:rStyle w:val="SubtleEmphasis"/>
          <w:rFonts w:ascii="Times New Roman" w:hAnsi="Times New Roman" w:cs="Times New Roman"/>
          <w:iCs/>
          <w:szCs w:val="24"/>
        </w:rPr>
        <w:t>1.</w:t>
      </w:r>
      <w:r w:rsidR="008972F9" w:rsidRPr="00C90AC9">
        <w:rPr>
          <w:rStyle w:val="SubtleEmphasis"/>
          <w:rFonts w:ascii="Times New Roman" w:hAnsi="Times New Roman" w:cs="Times New Roman"/>
          <w:szCs w:val="24"/>
        </w:rPr>
        <w:tab/>
      </w:r>
      <w:r w:rsidR="008972F9" w:rsidRPr="00C90AC9">
        <w:rPr>
          <w:rStyle w:val="SubtleEmphasis"/>
          <w:rFonts w:ascii="Times New Roman" w:hAnsi="Times New Roman" w:cs="Times New Roman"/>
          <w:iCs/>
          <w:szCs w:val="24"/>
        </w:rPr>
        <w:t>Tapping Cycles</w:t>
      </w:r>
    </w:p>
    <w:p w:rsidR="008972F9" w:rsidRPr="00C90AC9" w:rsidRDefault="00853BAF" w:rsidP="008046BF">
      <w:pPr>
        <w:pStyle w:val="Heading2"/>
        <w:jc w:val="left"/>
        <w:rPr>
          <w:rFonts w:eastAsiaTheme="minorHAnsi"/>
          <w:sz w:val="24"/>
        </w:rPr>
      </w:pPr>
      <w:r w:rsidRPr="00C90AC9">
        <w:rPr>
          <w:rFonts w:eastAsiaTheme="minorHAnsi"/>
          <w:sz w:val="24"/>
        </w:rPr>
        <w:t>Table 7</w:t>
      </w:r>
      <w:r w:rsidR="008972F9" w:rsidRPr="00C90AC9">
        <w:rPr>
          <w:rFonts w:eastAsiaTheme="minorHAnsi"/>
          <w:sz w:val="24"/>
        </w:rPr>
        <w:t xml:space="preserve">.1. Tapping Cycle #1  </w:t>
      </w:r>
      <w:r w:rsidR="00E364F1" w:rsidRPr="00C90AC9">
        <w:rPr>
          <w:rFonts w:eastAsiaTheme="minorHAnsi"/>
          <w:sz w:val="24"/>
        </w:rPr>
        <w:fldChar w:fldCharType="begin"/>
      </w:r>
      <w:r w:rsidR="00E364F1" w:rsidRPr="00C90AC9">
        <w:rPr>
          <w:rFonts w:eastAsiaTheme="minorHAnsi"/>
          <w:sz w:val="24"/>
        </w:rPr>
        <w:instrText xml:space="preserve"> ADDIN EN.CITE &lt;EndNote&gt;&lt;Cite&gt;&lt;Author&gt;Commission&lt;/Author&gt;&lt;Year&gt;2002&lt;/Year&gt;&lt;RecNum&gt;250&lt;/RecNum&gt;&lt;DisplayText&gt;(Commission, 2002)&lt;/DisplayText&gt;&lt;record&gt;&lt;rec-number&gt;250&lt;/rec-number&gt;&lt;foreign-keys&gt;&lt;key app="EN" db-id="50wxdpzd9vd5r7e9t5b595djrfpttrxw9avp" timestamp="1525679612"&gt;250&lt;/key&gt;&lt;/foreign-keys&gt;&lt;ref-type name="Report"&gt;27&lt;/ref-type&gt;&lt;contributors&gt;&lt;authors&gt;&lt;author&gt;European Commission&lt;/author&gt;&lt;/authors&gt;&lt;secondary-authors&gt;&lt;author&gt;European Commission&lt;/author&gt;&lt;/secondary-authors&gt;&lt;/contributors&gt;&lt;titles&gt;&lt;title&gt;M/324 Mandate to CEN and CENELEC for the elaboration and adoption of measurement standards for household appliances: Water-heaters, hot water storage appliances and water heating systems&lt;/title&gt;&lt;secondary-title&gt;STANDARDISATION - Mandates&lt;/secondary-title&gt;&lt;/titles&gt;&lt;dates&gt;&lt;year&gt;2002&lt;/year&gt;&lt;/dates&gt;&lt;publisher&gt;European Commission&lt;/publisher&gt;&lt;urls&gt;&lt;/urls&gt;&lt;/record&gt;&lt;/Cite&gt;&lt;/EndNote&gt;</w:instrText>
      </w:r>
      <w:r w:rsidR="00E364F1" w:rsidRPr="00C90AC9">
        <w:rPr>
          <w:rFonts w:eastAsiaTheme="minorHAnsi"/>
          <w:sz w:val="24"/>
        </w:rPr>
        <w:fldChar w:fldCharType="separate"/>
      </w:r>
      <w:r w:rsidR="00E364F1" w:rsidRPr="00C90AC9">
        <w:rPr>
          <w:rFonts w:eastAsiaTheme="minorHAnsi"/>
          <w:sz w:val="24"/>
        </w:rPr>
        <w:t>(Commission, 2002)</w:t>
      </w:r>
      <w:r w:rsidR="00E364F1" w:rsidRPr="00C90AC9">
        <w:rPr>
          <w:rFonts w:eastAsiaTheme="minorHAnsi"/>
          <w:sz w:val="24"/>
        </w:rPr>
        <w:fldChar w:fldCharType="end"/>
      </w:r>
    </w:p>
    <w:tbl>
      <w:tblPr>
        <w:tblW w:w="9224" w:type="dxa"/>
        <w:tblInd w:w="-137" w:type="dxa"/>
        <w:tblLayout w:type="fixed"/>
        <w:tblCellMar>
          <w:left w:w="0" w:type="dxa"/>
          <w:right w:w="0" w:type="dxa"/>
        </w:tblCellMar>
        <w:tblLook w:val="0000" w:firstRow="0" w:lastRow="0" w:firstColumn="0" w:lastColumn="0" w:noHBand="0" w:noVBand="0"/>
      </w:tblPr>
      <w:tblGrid>
        <w:gridCol w:w="346"/>
        <w:gridCol w:w="1224"/>
        <w:gridCol w:w="945"/>
        <w:gridCol w:w="1465"/>
        <w:gridCol w:w="1984"/>
        <w:gridCol w:w="1701"/>
        <w:gridCol w:w="1559"/>
      </w:tblGrid>
      <w:tr w:rsidR="008972F9" w:rsidRPr="00C90AC9" w:rsidTr="008972F9">
        <w:trPr>
          <w:cantSplit/>
          <w:trHeight w:hRule="exact" w:val="510"/>
        </w:trPr>
        <w:tc>
          <w:tcPr>
            <w:tcW w:w="9224" w:type="dxa"/>
            <w:gridSpan w:val="7"/>
            <w:vMerge w:val="restart"/>
            <w:tcBorders>
              <w:top w:val="single" w:sz="4" w:space="0" w:color="auto"/>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 xml:space="preserve">EU reference </w:t>
            </w:r>
            <w:r w:rsidR="002C001C" w:rsidRPr="00C90AC9">
              <w:rPr>
                <w:rFonts w:eastAsia="Calibri"/>
                <w:lang w:eastAsia="en-US"/>
              </w:rPr>
              <w:t>Tapping</w:t>
            </w:r>
            <w:r w:rsidRPr="00C90AC9">
              <w:rPr>
                <w:rFonts w:eastAsia="Calibri"/>
                <w:lang w:eastAsia="en-US"/>
              </w:rPr>
              <w:t xml:space="preserve"> </w:t>
            </w:r>
            <w:r w:rsidR="002C001C" w:rsidRPr="00C90AC9">
              <w:rPr>
                <w:rFonts w:eastAsia="Calibri"/>
                <w:lang w:eastAsia="en-US"/>
              </w:rPr>
              <w:t>Cycle</w:t>
            </w:r>
            <w:r w:rsidRPr="00C90AC9">
              <w:rPr>
                <w:rFonts w:eastAsia="Calibri"/>
                <w:lang w:eastAsia="en-US"/>
              </w:rPr>
              <w:t xml:space="preserve"> #1, Low</w:t>
            </w:r>
          </w:p>
        </w:tc>
      </w:tr>
      <w:tr w:rsidR="008972F9" w:rsidRPr="00C90AC9" w:rsidTr="00BF635E">
        <w:trPr>
          <w:cantSplit/>
          <w:trHeight w:val="481"/>
        </w:trPr>
        <w:tc>
          <w:tcPr>
            <w:tcW w:w="9224" w:type="dxa"/>
            <w:gridSpan w:val="7"/>
            <w:vMerge/>
            <w:tcBorders>
              <w:top w:val="single" w:sz="4" w:space="0" w:color="auto"/>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p>
        </w:tc>
      </w:tr>
      <w:tr w:rsidR="008972F9" w:rsidRPr="00C90AC9" w:rsidTr="008972F9">
        <w:trPr>
          <w:trHeight w:val="736"/>
        </w:trPr>
        <w:tc>
          <w:tcPr>
            <w:tcW w:w="346"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w:t>
            </w:r>
          </w:p>
        </w:tc>
        <w:tc>
          <w:tcPr>
            <w:tcW w:w="1224"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Time of day hr.</w:t>
            </w:r>
            <w:r w:rsidR="008E008E" w:rsidRPr="00C90AC9">
              <w:rPr>
                <w:rFonts w:eastAsia="Calibri"/>
                <w:lang w:eastAsia="en-US"/>
              </w:rPr>
              <w:t xml:space="preserve"> </w:t>
            </w:r>
            <w:r w:rsidRPr="00C90AC9">
              <w:rPr>
                <w:rFonts w:eastAsia="Calibri"/>
                <w:lang w:eastAsia="en-US"/>
              </w:rPr>
              <w:t>min start</w:t>
            </w:r>
          </w:p>
        </w:tc>
        <w:tc>
          <w:tcPr>
            <w:tcW w:w="945"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Energy (kWh)</w:t>
            </w:r>
          </w:p>
        </w:tc>
        <w:tc>
          <w:tcPr>
            <w:tcW w:w="1465"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Type</w:t>
            </w:r>
          </w:p>
        </w:tc>
        <w:tc>
          <w:tcPr>
            <w:tcW w:w="1984"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 xml:space="preserve"> Temperature   desired(K), to be achieved during </w:t>
            </w:r>
            <w:r w:rsidR="00D61146" w:rsidRPr="00C90AC9">
              <w:rPr>
                <w:rFonts w:eastAsia="Calibri"/>
                <w:lang w:eastAsia="en-US"/>
              </w:rPr>
              <w:t>Tapping</w:t>
            </w:r>
          </w:p>
        </w:tc>
        <w:tc>
          <w:tcPr>
            <w:tcW w:w="1701"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 xml:space="preserve">Min. </w:t>
            </w:r>
            <w:r w:rsidRPr="00C90AC9">
              <w:rPr>
                <w:rFonts w:eastAsia="Calibri"/>
                <w:lang w:eastAsia="en-US"/>
              </w:rPr>
              <w:t></w:t>
            </w:r>
            <w:proofErr w:type="gramStart"/>
            <w:r w:rsidRPr="00C90AC9">
              <w:rPr>
                <w:rFonts w:eastAsia="Calibri"/>
                <w:lang w:eastAsia="en-US"/>
              </w:rPr>
              <w:t>Temperature  (</w:t>
            </w:r>
            <w:proofErr w:type="gramEnd"/>
            <w:r w:rsidRPr="00C90AC9">
              <w:rPr>
                <w:rFonts w:eastAsia="Calibri"/>
                <w:lang w:eastAsia="en-US"/>
              </w:rPr>
              <w:t>K)</w:t>
            </w:r>
          </w:p>
        </w:tc>
        <w:tc>
          <w:tcPr>
            <w:tcW w:w="1559"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 xml:space="preserve">Flow rate, S=specific </w:t>
            </w:r>
            <w:proofErr w:type="gramStart"/>
            <w:r w:rsidRPr="00C90AC9">
              <w:rPr>
                <w:rFonts w:eastAsia="Calibri"/>
                <w:lang w:eastAsia="en-US"/>
              </w:rPr>
              <w:t xml:space="preserve">rate,   </w:t>
            </w:r>
            <w:proofErr w:type="gramEnd"/>
            <w:r w:rsidRPr="00C90AC9">
              <w:rPr>
                <w:rFonts w:eastAsia="Calibri"/>
                <w:lang w:eastAsia="en-US"/>
              </w:rPr>
              <w:t xml:space="preserve">      R= 2/3 * S</w:t>
            </w:r>
          </w:p>
        </w:tc>
      </w:tr>
      <w:tr w:rsidR="008972F9" w:rsidRPr="00C90AC9" w:rsidTr="008972F9">
        <w:trPr>
          <w:trHeight w:hRule="exact" w:val="397"/>
        </w:trPr>
        <w:tc>
          <w:tcPr>
            <w:tcW w:w="346" w:type="dxa"/>
            <w:tcBorders>
              <w:top w:val="double" w:sz="4" w:space="0" w:color="auto"/>
              <w:left w:val="single" w:sz="4" w:space="0" w:color="auto"/>
              <w:bottom w:val="single" w:sz="4" w:space="0" w:color="auto"/>
              <w:right w:val="single" w:sz="4" w:space="0" w:color="auto"/>
            </w:tcBorders>
            <w:vAlign w:val="center"/>
          </w:tcPr>
          <w:p w:rsidR="008972F9" w:rsidRPr="00C90AC9" w:rsidRDefault="008972F9" w:rsidP="008046BF">
            <w:pPr>
              <w:jc w:val="center"/>
              <w:rPr>
                <w:rFonts w:eastAsia="Times New Roman"/>
              </w:rPr>
            </w:pPr>
            <w:r w:rsidRPr="00C90AC9">
              <w:rPr>
                <w:rFonts w:eastAsia="Times New Roman"/>
              </w:rPr>
              <w:t>1</w:t>
            </w:r>
          </w:p>
        </w:tc>
        <w:tc>
          <w:tcPr>
            <w:tcW w:w="1224" w:type="dxa"/>
            <w:tcBorders>
              <w:top w:val="double" w:sz="4" w:space="0" w:color="auto"/>
              <w:left w:val="nil"/>
              <w:bottom w:val="single" w:sz="4" w:space="0" w:color="auto"/>
              <w:right w:val="nil"/>
            </w:tcBorders>
            <w:vAlign w:val="center"/>
          </w:tcPr>
          <w:p w:rsidR="008972F9" w:rsidRPr="00C90AC9" w:rsidRDefault="008972F9" w:rsidP="008046BF">
            <w:pPr>
              <w:jc w:val="center"/>
              <w:rPr>
                <w:rFonts w:eastAsia="Calibri"/>
                <w:lang w:eastAsia="en-US"/>
              </w:rPr>
            </w:pPr>
            <w:r w:rsidRPr="00C90AC9">
              <w:rPr>
                <w:rFonts w:eastAsia="Calibri"/>
                <w:lang w:eastAsia="en-US"/>
              </w:rPr>
              <w:t>07.00</w:t>
            </w:r>
          </w:p>
        </w:tc>
        <w:tc>
          <w:tcPr>
            <w:tcW w:w="945" w:type="dxa"/>
            <w:tcBorders>
              <w:top w:val="double" w:sz="4" w:space="0" w:color="auto"/>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0.105</w:t>
            </w:r>
          </w:p>
        </w:tc>
        <w:tc>
          <w:tcPr>
            <w:tcW w:w="1465" w:type="dxa"/>
            <w:tcBorders>
              <w:top w:val="double" w:sz="4" w:space="0" w:color="auto"/>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Theme="minorHAnsi"/>
                <w:lang w:eastAsia="en-US"/>
              </w:rPr>
              <w:t>S</w:t>
            </w:r>
            <w:r w:rsidRPr="00C90AC9">
              <w:rPr>
                <w:rFonts w:eastAsia="Calibri"/>
                <w:lang w:eastAsia="en-US"/>
              </w:rPr>
              <w:t>mall</w:t>
            </w:r>
          </w:p>
        </w:tc>
        <w:tc>
          <w:tcPr>
            <w:tcW w:w="1984" w:type="dxa"/>
            <w:tcBorders>
              <w:top w:val="double" w:sz="4" w:space="0" w:color="auto"/>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p>
        </w:tc>
        <w:tc>
          <w:tcPr>
            <w:tcW w:w="1701" w:type="dxa"/>
            <w:tcBorders>
              <w:top w:val="double" w:sz="4" w:space="0" w:color="auto"/>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15</w:t>
            </w:r>
          </w:p>
        </w:tc>
        <w:tc>
          <w:tcPr>
            <w:tcW w:w="1559" w:type="dxa"/>
            <w:tcBorders>
              <w:top w:val="double" w:sz="4" w:space="0" w:color="auto"/>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972F9">
        <w:trPr>
          <w:trHeight w:hRule="exact" w:val="397"/>
        </w:trPr>
        <w:tc>
          <w:tcPr>
            <w:tcW w:w="346"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2</w:t>
            </w:r>
          </w:p>
        </w:tc>
        <w:tc>
          <w:tcPr>
            <w:tcW w:w="1224" w:type="dxa"/>
            <w:tcBorders>
              <w:top w:val="single" w:sz="4" w:space="0" w:color="auto"/>
              <w:left w:val="nil"/>
              <w:bottom w:val="single" w:sz="4" w:space="0" w:color="auto"/>
              <w:right w:val="nil"/>
            </w:tcBorders>
            <w:vAlign w:val="center"/>
          </w:tcPr>
          <w:p w:rsidR="008972F9" w:rsidRPr="00C90AC9" w:rsidRDefault="008972F9" w:rsidP="008046BF">
            <w:pPr>
              <w:jc w:val="center"/>
              <w:rPr>
                <w:rFonts w:eastAsia="Calibri"/>
                <w:lang w:eastAsia="en-US"/>
              </w:rPr>
            </w:pPr>
            <w:r w:rsidRPr="00C90AC9">
              <w:rPr>
                <w:rFonts w:eastAsia="Calibri"/>
                <w:lang w:eastAsia="en-US"/>
              </w:rPr>
              <w:t>07.30</w:t>
            </w:r>
          </w:p>
        </w:tc>
        <w:tc>
          <w:tcPr>
            <w:tcW w:w="945"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0.105</w:t>
            </w:r>
          </w:p>
        </w:tc>
        <w:tc>
          <w:tcPr>
            <w:tcW w:w="1465"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Theme="minorHAnsi"/>
                <w:lang w:eastAsia="en-US"/>
              </w:rPr>
              <w:t>S</w:t>
            </w:r>
            <w:r w:rsidRPr="00C90AC9">
              <w:rPr>
                <w:rFonts w:eastAsia="Calibri"/>
                <w:lang w:eastAsia="en-US"/>
              </w:rPr>
              <w:t>mall</w:t>
            </w:r>
          </w:p>
        </w:tc>
        <w:tc>
          <w:tcPr>
            <w:tcW w:w="1984"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15</w:t>
            </w:r>
          </w:p>
        </w:tc>
        <w:tc>
          <w:tcPr>
            <w:tcW w:w="1559"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972F9">
        <w:trPr>
          <w:trHeight w:hRule="exact" w:val="397"/>
        </w:trPr>
        <w:tc>
          <w:tcPr>
            <w:tcW w:w="346"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3</w:t>
            </w:r>
          </w:p>
        </w:tc>
        <w:tc>
          <w:tcPr>
            <w:tcW w:w="1224" w:type="dxa"/>
            <w:tcBorders>
              <w:top w:val="single" w:sz="4" w:space="0" w:color="auto"/>
              <w:left w:val="nil"/>
              <w:bottom w:val="single" w:sz="4" w:space="0" w:color="auto"/>
              <w:right w:val="nil"/>
            </w:tcBorders>
            <w:vAlign w:val="center"/>
          </w:tcPr>
          <w:p w:rsidR="008972F9" w:rsidRPr="00C90AC9" w:rsidRDefault="008972F9" w:rsidP="008046BF">
            <w:pPr>
              <w:jc w:val="center"/>
              <w:rPr>
                <w:rFonts w:eastAsia="Calibri"/>
                <w:lang w:eastAsia="en-US"/>
              </w:rPr>
            </w:pPr>
            <w:r w:rsidRPr="00C90AC9">
              <w:rPr>
                <w:rFonts w:eastAsia="Calibri"/>
                <w:lang w:eastAsia="en-US"/>
              </w:rPr>
              <w:t>08.30</w:t>
            </w:r>
          </w:p>
        </w:tc>
        <w:tc>
          <w:tcPr>
            <w:tcW w:w="945"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0.105</w:t>
            </w:r>
          </w:p>
        </w:tc>
        <w:tc>
          <w:tcPr>
            <w:tcW w:w="1465"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Theme="minorHAnsi"/>
                <w:lang w:eastAsia="en-US"/>
              </w:rPr>
              <w:t>S</w:t>
            </w:r>
            <w:r w:rsidRPr="00C90AC9">
              <w:rPr>
                <w:rFonts w:eastAsia="Calibri"/>
                <w:lang w:eastAsia="en-US"/>
              </w:rPr>
              <w:t>mall</w:t>
            </w:r>
          </w:p>
        </w:tc>
        <w:tc>
          <w:tcPr>
            <w:tcW w:w="1984"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15</w:t>
            </w:r>
          </w:p>
        </w:tc>
        <w:tc>
          <w:tcPr>
            <w:tcW w:w="1559"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972F9">
        <w:trPr>
          <w:trHeight w:hRule="exact" w:val="397"/>
        </w:trPr>
        <w:tc>
          <w:tcPr>
            <w:tcW w:w="346"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4</w:t>
            </w:r>
          </w:p>
        </w:tc>
        <w:tc>
          <w:tcPr>
            <w:tcW w:w="1224" w:type="dxa"/>
            <w:tcBorders>
              <w:top w:val="single" w:sz="4" w:space="0" w:color="auto"/>
              <w:left w:val="nil"/>
              <w:bottom w:val="single" w:sz="4" w:space="0" w:color="auto"/>
              <w:right w:val="nil"/>
            </w:tcBorders>
            <w:vAlign w:val="center"/>
          </w:tcPr>
          <w:p w:rsidR="008972F9" w:rsidRPr="00C90AC9" w:rsidRDefault="008972F9" w:rsidP="008046BF">
            <w:pPr>
              <w:jc w:val="center"/>
              <w:rPr>
                <w:rFonts w:eastAsia="Calibri"/>
                <w:lang w:eastAsia="en-US"/>
              </w:rPr>
            </w:pPr>
            <w:r w:rsidRPr="00C90AC9">
              <w:rPr>
                <w:rFonts w:eastAsia="Calibri"/>
                <w:lang w:eastAsia="en-US"/>
              </w:rPr>
              <w:t>09.30</w:t>
            </w:r>
          </w:p>
        </w:tc>
        <w:tc>
          <w:tcPr>
            <w:tcW w:w="945"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0.105</w:t>
            </w:r>
          </w:p>
        </w:tc>
        <w:tc>
          <w:tcPr>
            <w:tcW w:w="1465"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Theme="minorHAnsi"/>
                <w:lang w:eastAsia="en-US"/>
              </w:rPr>
              <w:t>S</w:t>
            </w:r>
            <w:r w:rsidRPr="00C90AC9">
              <w:rPr>
                <w:rFonts w:eastAsia="Calibri"/>
                <w:lang w:eastAsia="en-US"/>
              </w:rPr>
              <w:t>mall</w:t>
            </w:r>
          </w:p>
        </w:tc>
        <w:tc>
          <w:tcPr>
            <w:tcW w:w="1984"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15</w:t>
            </w:r>
          </w:p>
        </w:tc>
        <w:tc>
          <w:tcPr>
            <w:tcW w:w="1559"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972F9">
        <w:trPr>
          <w:trHeight w:hRule="exact" w:val="397"/>
        </w:trPr>
        <w:tc>
          <w:tcPr>
            <w:tcW w:w="346"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5</w:t>
            </w:r>
          </w:p>
        </w:tc>
        <w:tc>
          <w:tcPr>
            <w:tcW w:w="1224" w:type="dxa"/>
            <w:tcBorders>
              <w:top w:val="single" w:sz="4" w:space="0" w:color="auto"/>
              <w:left w:val="nil"/>
              <w:bottom w:val="single" w:sz="4" w:space="0" w:color="auto"/>
              <w:right w:val="nil"/>
            </w:tcBorders>
            <w:vAlign w:val="center"/>
          </w:tcPr>
          <w:p w:rsidR="008972F9" w:rsidRPr="00C90AC9" w:rsidRDefault="008972F9" w:rsidP="008046BF">
            <w:pPr>
              <w:jc w:val="center"/>
              <w:rPr>
                <w:rFonts w:eastAsia="Calibri"/>
                <w:lang w:eastAsia="en-US"/>
              </w:rPr>
            </w:pPr>
            <w:r w:rsidRPr="00C90AC9">
              <w:rPr>
                <w:rFonts w:eastAsia="Calibri"/>
                <w:lang w:eastAsia="en-US"/>
              </w:rPr>
              <w:t>11.30</w:t>
            </w:r>
          </w:p>
        </w:tc>
        <w:tc>
          <w:tcPr>
            <w:tcW w:w="945"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0.105</w:t>
            </w:r>
          </w:p>
        </w:tc>
        <w:tc>
          <w:tcPr>
            <w:tcW w:w="1465"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Theme="minorHAnsi"/>
                <w:lang w:eastAsia="en-US"/>
              </w:rPr>
              <w:t>S</w:t>
            </w:r>
            <w:r w:rsidRPr="00C90AC9">
              <w:rPr>
                <w:rFonts w:eastAsia="Calibri"/>
                <w:lang w:eastAsia="en-US"/>
              </w:rPr>
              <w:t>mall</w:t>
            </w:r>
          </w:p>
        </w:tc>
        <w:tc>
          <w:tcPr>
            <w:tcW w:w="1984"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15</w:t>
            </w:r>
          </w:p>
        </w:tc>
        <w:tc>
          <w:tcPr>
            <w:tcW w:w="1559"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972F9">
        <w:trPr>
          <w:trHeight w:hRule="exact" w:val="397"/>
        </w:trPr>
        <w:tc>
          <w:tcPr>
            <w:tcW w:w="346"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6</w:t>
            </w:r>
          </w:p>
        </w:tc>
        <w:tc>
          <w:tcPr>
            <w:tcW w:w="1224" w:type="dxa"/>
            <w:tcBorders>
              <w:top w:val="single" w:sz="4" w:space="0" w:color="auto"/>
              <w:left w:val="nil"/>
              <w:bottom w:val="single" w:sz="4" w:space="0" w:color="auto"/>
              <w:right w:val="nil"/>
            </w:tcBorders>
            <w:vAlign w:val="center"/>
          </w:tcPr>
          <w:p w:rsidR="008972F9" w:rsidRPr="00C90AC9" w:rsidRDefault="008972F9" w:rsidP="008046BF">
            <w:pPr>
              <w:jc w:val="center"/>
              <w:rPr>
                <w:rFonts w:eastAsia="Calibri"/>
                <w:lang w:eastAsia="en-US"/>
              </w:rPr>
            </w:pPr>
            <w:r w:rsidRPr="00C90AC9">
              <w:rPr>
                <w:rFonts w:eastAsia="Calibri"/>
                <w:lang w:eastAsia="en-US"/>
              </w:rPr>
              <w:t>11.45</w:t>
            </w:r>
          </w:p>
        </w:tc>
        <w:tc>
          <w:tcPr>
            <w:tcW w:w="945"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0.105</w:t>
            </w:r>
          </w:p>
        </w:tc>
        <w:tc>
          <w:tcPr>
            <w:tcW w:w="1465"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Theme="minorHAnsi"/>
                <w:lang w:eastAsia="en-US"/>
              </w:rPr>
              <w:t>S</w:t>
            </w:r>
            <w:r w:rsidRPr="00C90AC9">
              <w:rPr>
                <w:rFonts w:eastAsia="Calibri"/>
                <w:lang w:eastAsia="en-US"/>
              </w:rPr>
              <w:t>mall</w:t>
            </w:r>
          </w:p>
        </w:tc>
        <w:tc>
          <w:tcPr>
            <w:tcW w:w="1984"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15</w:t>
            </w:r>
          </w:p>
        </w:tc>
        <w:tc>
          <w:tcPr>
            <w:tcW w:w="1559"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972F9">
        <w:trPr>
          <w:trHeight w:hRule="exact" w:val="397"/>
        </w:trPr>
        <w:tc>
          <w:tcPr>
            <w:tcW w:w="346"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7</w:t>
            </w:r>
          </w:p>
        </w:tc>
        <w:tc>
          <w:tcPr>
            <w:tcW w:w="1224" w:type="dxa"/>
            <w:tcBorders>
              <w:top w:val="single" w:sz="4" w:space="0" w:color="auto"/>
              <w:left w:val="nil"/>
              <w:bottom w:val="single" w:sz="4" w:space="0" w:color="auto"/>
              <w:right w:val="nil"/>
            </w:tcBorders>
            <w:vAlign w:val="center"/>
          </w:tcPr>
          <w:p w:rsidR="008972F9" w:rsidRPr="00C90AC9" w:rsidRDefault="008972F9" w:rsidP="008046BF">
            <w:pPr>
              <w:jc w:val="center"/>
              <w:rPr>
                <w:rFonts w:eastAsia="Calibri"/>
                <w:lang w:eastAsia="en-US"/>
              </w:rPr>
            </w:pPr>
            <w:r w:rsidRPr="00C90AC9">
              <w:rPr>
                <w:rFonts w:eastAsia="Calibri"/>
                <w:lang w:eastAsia="en-US"/>
              </w:rPr>
              <w:t>12.45</w:t>
            </w:r>
          </w:p>
        </w:tc>
        <w:tc>
          <w:tcPr>
            <w:tcW w:w="945"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0.315</w:t>
            </w:r>
          </w:p>
        </w:tc>
        <w:tc>
          <w:tcPr>
            <w:tcW w:w="1465"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Theme="minorHAnsi"/>
                <w:lang w:eastAsia="en-US"/>
              </w:rPr>
              <w:t>D</w:t>
            </w:r>
            <w:r w:rsidRPr="00C90AC9">
              <w:rPr>
                <w:rFonts w:eastAsia="Calibri"/>
                <w:lang w:eastAsia="en-US"/>
              </w:rPr>
              <w:t>ishwasher</w:t>
            </w:r>
          </w:p>
        </w:tc>
        <w:tc>
          <w:tcPr>
            <w:tcW w:w="1984"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45</w:t>
            </w:r>
          </w:p>
        </w:tc>
        <w:tc>
          <w:tcPr>
            <w:tcW w:w="1701"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0</w:t>
            </w:r>
          </w:p>
        </w:tc>
        <w:tc>
          <w:tcPr>
            <w:tcW w:w="1559"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R</w:t>
            </w:r>
          </w:p>
        </w:tc>
      </w:tr>
      <w:tr w:rsidR="008972F9" w:rsidRPr="00C90AC9" w:rsidTr="008972F9">
        <w:trPr>
          <w:trHeight w:hRule="exact" w:val="397"/>
        </w:trPr>
        <w:tc>
          <w:tcPr>
            <w:tcW w:w="346"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8</w:t>
            </w:r>
          </w:p>
        </w:tc>
        <w:tc>
          <w:tcPr>
            <w:tcW w:w="1224" w:type="dxa"/>
            <w:tcBorders>
              <w:top w:val="single" w:sz="4" w:space="0" w:color="auto"/>
              <w:left w:val="nil"/>
              <w:bottom w:val="single" w:sz="4" w:space="0" w:color="auto"/>
              <w:right w:val="nil"/>
            </w:tcBorders>
            <w:vAlign w:val="center"/>
          </w:tcPr>
          <w:p w:rsidR="008972F9" w:rsidRPr="00C90AC9" w:rsidRDefault="008972F9" w:rsidP="008046BF">
            <w:pPr>
              <w:jc w:val="center"/>
              <w:rPr>
                <w:rFonts w:eastAsia="Calibri"/>
                <w:lang w:eastAsia="en-US"/>
              </w:rPr>
            </w:pPr>
            <w:r w:rsidRPr="00C90AC9">
              <w:rPr>
                <w:rFonts w:eastAsia="Calibri"/>
                <w:lang w:eastAsia="en-US"/>
              </w:rPr>
              <w:t>18.00</w:t>
            </w:r>
          </w:p>
        </w:tc>
        <w:tc>
          <w:tcPr>
            <w:tcW w:w="945"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0.105</w:t>
            </w:r>
          </w:p>
        </w:tc>
        <w:tc>
          <w:tcPr>
            <w:tcW w:w="1465"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Theme="minorHAnsi"/>
                <w:lang w:eastAsia="en-US"/>
              </w:rPr>
              <w:t>S</w:t>
            </w:r>
            <w:r w:rsidRPr="00C90AC9">
              <w:rPr>
                <w:rFonts w:eastAsia="Calibri"/>
                <w:lang w:eastAsia="en-US"/>
              </w:rPr>
              <w:t>mall</w:t>
            </w:r>
          </w:p>
        </w:tc>
        <w:tc>
          <w:tcPr>
            <w:tcW w:w="1984"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15</w:t>
            </w:r>
          </w:p>
        </w:tc>
        <w:tc>
          <w:tcPr>
            <w:tcW w:w="1559"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972F9">
        <w:trPr>
          <w:trHeight w:hRule="exact" w:val="397"/>
        </w:trPr>
        <w:tc>
          <w:tcPr>
            <w:tcW w:w="346"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9</w:t>
            </w:r>
          </w:p>
        </w:tc>
        <w:tc>
          <w:tcPr>
            <w:tcW w:w="1224" w:type="dxa"/>
            <w:tcBorders>
              <w:top w:val="single" w:sz="4" w:space="0" w:color="auto"/>
              <w:left w:val="nil"/>
              <w:bottom w:val="single" w:sz="4" w:space="0" w:color="auto"/>
              <w:right w:val="nil"/>
            </w:tcBorders>
            <w:vAlign w:val="center"/>
          </w:tcPr>
          <w:p w:rsidR="008972F9" w:rsidRPr="00C90AC9" w:rsidRDefault="008972F9" w:rsidP="008046BF">
            <w:pPr>
              <w:jc w:val="center"/>
              <w:rPr>
                <w:rFonts w:eastAsia="Calibri"/>
                <w:lang w:eastAsia="en-US"/>
              </w:rPr>
            </w:pPr>
            <w:r w:rsidRPr="00C90AC9">
              <w:rPr>
                <w:rFonts w:eastAsia="Calibri"/>
                <w:lang w:eastAsia="en-US"/>
              </w:rPr>
              <w:t>18.15</w:t>
            </w:r>
          </w:p>
        </w:tc>
        <w:tc>
          <w:tcPr>
            <w:tcW w:w="945"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0.105</w:t>
            </w:r>
          </w:p>
        </w:tc>
        <w:tc>
          <w:tcPr>
            <w:tcW w:w="1465"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Theme="minorHAnsi"/>
                <w:lang w:eastAsia="en-US"/>
              </w:rPr>
              <w:t>C</w:t>
            </w:r>
            <w:r w:rsidRPr="00C90AC9">
              <w:rPr>
                <w:rFonts w:eastAsia="Calibri"/>
                <w:lang w:eastAsia="en-US"/>
              </w:rPr>
              <w:t>lean</w:t>
            </w:r>
          </w:p>
        </w:tc>
        <w:tc>
          <w:tcPr>
            <w:tcW w:w="1984"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30</w:t>
            </w:r>
          </w:p>
        </w:tc>
        <w:tc>
          <w:tcPr>
            <w:tcW w:w="1559"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R</w:t>
            </w:r>
          </w:p>
        </w:tc>
      </w:tr>
      <w:tr w:rsidR="008972F9" w:rsidRPr="00C90AC9" w:rsidTr="008972F9">
        <w:trPr>
          <w:trHeight w:hRule="exact" w:val="397"/>
        </w:trPr>
        <w:tc>
          <w:tcPr>
            <w:tcW w:w="346"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10</w:t>
            </w:r>
          </w:p>
        </w:tc>
        <w:tc>
          <w:tcPr>
            <w:tcW w:w="1224" w:type="dxa"/>
            <w:tcBorders>
              <w:top w:val="single" w:sz="4" w:space="0" w:color="auto"/>
              <w:left w:val="nil"/>
              <w:bottom w:val="single" w:sz="4" w:space="0" w:color="auto"/>
              <w:right w:val="nil"/>
            </w:tcBorders>
            <w:vAlign w:val="center"/>
          </w:tcPr>
          <w:p w:rsidR="008972F9" w:rsidRPr="00C90AC9" w:rsidRDefault="008972F9" w:rsidP="008046BF">
            <w:pPr>
              <w:jc w:val="center"/>
              <w:rPr>
                <w:rFonts w:eastAsia="Calibri"/>
                <w:lang w:eastAsia="en-US"/>
              </w:rPr>
            </w:pPr>
            <w:r w:rsidRPr="00C90AC9">
              <w:rPr>
                <w:rFonts w:eastAsia="Calibri"/>
                <w:lang w:eastAsia="en-US"/>
              </w:rPr>
              <w:t>20.30</w:t>
            </w:r>
          </w:p>
        </w:tc>
        <w:tc>
          <w:tcPr>
            <w:tcW w:w="945"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0.420</w:t>
            </w:r>
          </w:p>
        </w:tc>
        <w:tc>
          <w:tcPr>
            <w:tcW w:w="1465"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Dishwasher</w:t>
            </w:r>
          </w:p>
        </w:tc>
        <w:tc>
          <w:tcPr>
            <w:tcW w:w="1984"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45</w:t>
            </w:r>
          </w:p>
        </w:tc>
        <w:tc>
          <w:tcPr>
            <w:tcW w:w="1701"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0</w:t>
            </w:r>
          </w:p>
        </w:tc>
        <w:tc>
          <w:tcPr>
            <w:tcW w:w="1559"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R</w:t>
            </w:r>
          </w:p>
        </w:tc>
      </w:tr>
      <w:tr w:rsidR="008972F9" w:rsidRPr="00C90AC9" w:rsidTr="008972F9">
        <w:trPr>
          <w:trHeight w:hRule="exact" w:val="397"/>
        </w:trPr>
        <w:tc>
          <w:tcPr>
            <w:tcW w:w="346"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11</w:t>
            </w:r>
          </w:p>
        </w:tc>
        <w:tc>
          <w:tcPr>
            <w:tcW w:w="1224" w:type="dxa"/>
            <w:tcBorders>
              <w:top w:val="single" w:sz="4" w:space="0" w:color="auto"/>
              <w:left w:val="nil"/>
              <w:bottom w:val="single" w:sz="4" w:space="0" w:color="auto"/>
              <w:right w:val="nil"/>
            </w:tcBorders>
            <w:vAlign w:val="center"/>
          </w:tcPr>
          <w:p w:rsidR="008972F9" w:rsidRPr="00C90AC9" w:rsidRDefault="008972F9" w:rsidP="008046BF">
            <w:pPr>
              <w:jc w:val="center"/>
              <w:rPr>
                <w:rFonts w:eastAsia="Calibri"/>
                <w:lang w:eastAsia="en-US"/>
              </w:rPr>
            </w:pPr>
            <w:r w:rsidRPr="00C90AC9">
              <w:rPr>
                <w:rFonts w:eastAsia="Calibri"/>
                <w:lang w:eastAsia="en-US"/>
              </w:rPr>
              <w:t>21.30</w:t>
            </w:r>
          </w:p>
        </w:tc>
        <w:tc>
          <w:tcPr>
            <w:tcW w:w="945"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0.525</w:t>
            </w:r>
          </w:p>
        </w:tc>
        <w:tc>
          <w:tcPr>
            <w:tcW w:w="1465"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Theme="minorHAnsi"/>
                <w:lang w:eastAsia="en-US"/>
              </w:rPr>
              <w:t>L</w:t>
            </w:r>
            <w:r w:rsidRPr="00C90AC9">
              <w:rPr>
                <w:rFonts w:eastAsia="Calibri"/>
                <w:lang w:eastAsia="en-US"/>
              </w:rPr>
              <w:t>arge</w:t>
            </w:r>
          </w:p>
        </w:tc>
        <w:tc>
          <w:tcPr>
            <w:tcW w:w="1984"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30</w:t>
            </w:r>
          </w:p>
        </w:tc>
        <w:tc>
          <w:tcPr>
            <w:tcW w:w="1559" w:type="dxa"/>
            <w:tcBorders>
              <w:top w:val="nil"/>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972F9">
        <w:trPr>
          <w:trHeight w:hRule="exact" w:val="397"/>
        </w:trPr>
        <w:tc>
          <w:tcPr>
            <w:tcW w:w="1570" w:type="dxa"/>
            <w:gridSpan w:val="2"/>
            <w:tcBorders>
              <w:top w:val="single" w:sz="4" w:space="0" w:color="auto"/>
              <w:left w:val="single" w:sz="4" w:space="0" w:color="auto"/>
              <w:bottom w:val="single" w:sz="4" w:space="0" w:color="auto"/>
              <w:right w:val="single" w:sz="4" w:space="0" w:color="000000"/>
            </w:tcBorders>
            <w:vAlign w:val="center"/>
          </w:tcPr>
          <w:p w:rsidR="008972F9" w:rsidRPr="00C90AC9" w:rsidRDefault="008972F9" w:rsidP="008046BF">
            <w:pPr>
              <w:jc w:val="center"/>
              <w:rPr>
                <w:rFonts w:eastAsia="Calibri"/>
                <w:lang w:eastAsia="en-US"/>
              </w:rPr>
            </w:pPr>
            <w:r w:rsidRPr="00C90AC9">
              <w:rPr>
                <w:rFonts w:eastAsia="Calibri"/>
                <w:lang w:eastAsia="en-US"/>
              </w:rPr>
              <w:t>Total</w:t>
            </w:r>
          </w:p>
        </w:tc>
        <w:tc>
          <w:tcPr>
            <w:tcW w:w="2410" w:type="dxa"/>
            <w:gridSpan w:val="2"/>
            <w:tcBorders>
              <w:top w:val="single" w:sz="4" w:space="0" w:color="auto"/>
              <w:left w:val="nil"/>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2</w:t>
            </w:r>
            <w:r w:rsidRPr="00C90AC9">
              <w:rPr>
                <w:rFonts w:eastAsiaTheme="minorHAnsi"/>
                <w:lang w:eastAsia="en-US"/>
              </w:rPr>
              <w:t>.</w:t>
            </w:r>
            <w:r w:rsidRPr="00C90AC9">
              <w:rPr>
                <w:rFonts w:eastAsia="Calibri"/>
                <w:lang w:eastAsia="en-US"/>
              </w:rPr>
              <w:t>1</w:t>
            </w:r>
          </w:p>
        </w:tc>
        <w:tc>
          <w:tcPr>
            <w:tcW w:w="5244" w:type="dxa"/>
            <w:gridSpan w:val="3"/>
            <w:tcBorders>
              <w:top w:val="single" w:sz="4" w:space="0" w:color="auto"/>
              <w:left w:val="nil"/>
              <w:bottom w:val="single" w:sz="4" w:space="0" w:color="auto"/>
              <w:right w:val="single" w:sz="4" w:space="0" w:color="auto"/>
            </w:tcBorders>
            <w:vAlign w:val="center"/>
          </w:tcPr>
          <w:p w:rsidR="008972F9" w:rsidRPr="00C90AC9" w:rsidRDefault="008972F9" w:rsidP="008046BF">
            <w:pPr>
              <w:jc w:val="center"/>
              <w:rPr>
                <w:rFonts w:eastAsia="Calibri"/>
                <w:color w:val="808080"/>
                <w:lang w:eastAsia="en-US"/>
              </w:rPr>
            </w:pPr>
            <w:r w:rsidRPr="00C90AC9">
              <w:rPr>
                <w:rFonts w:eastAsiaTheme="minorHAnsi"/>
                <w:lang w:eastAsia="en-US"/>
              </w:rPr>
              <w:t>E</w:t>
            </w:r>
            <w:r w:rsidRPr="00C90AC9">
              <w:rPr>
                <w:rFonts w:eastAsia="Calibri"/>
                <w:lang w:eastAsia="en-US"/>
              </w:rPr>
              <w:t>quivalent hot water litres at 60ºC</w:t>
            </w:r>
            <w:r w:rsidRPr="00C90AC9">
              <w:rPr>
                <w:rFonts w:eastAsiaTheme="minorHAnsi"/>
                <w:lang w:eastAsia="en-US"/>
              </w:rPr>
              <w:t>=36</w:t>
            </w:r>
          </w:p>
        </w:tc>
      </w:tr>
    </w:tbl>
    <w:p w:rsidR="008972F9" w:rsidRPr="00C90AC9" w:rsidRDefault="008972F9" w:rsidP="00B06779">
      <w:pPr>
        <w:pStyle w:val="Caption"/>
        <w:rPr>
          <w:rFonts w:eastAsiaTheme="minorHAnsi"/>
          <w:b w:val="0"/>
          <w:color w:val="auto"/>
          <w:sz w:val="22"/>
          <w:lang w:eastAsia="en-US"/>
        </w:rPr>
      </w:pPr>
      <w:r w:rsidRPr="00C90AC9">
        <w:rPr>
          <w:rFonts w:eastAsiaTheme="minorHAnsi"/>
          <w:b w:val="0"/>
          <w:color w:val="auto"/>
          <w:sz w:val="22"/>
          <w:lang w:eastAsia="en-US"/>
        </w:rPr>
        <w:t>S-measurement at specific flow rate      R-measurement at a minimum of 2/3 of the specific flow rate</w:t>
      </w:r>
    </w:p>
    <w:p w:rsidR="008972F9" w:rsidRPr="00C90AC9" w:rsidRDefault="008972F9" w:rsidP="00B06779">
      <w:pPr>
        <w:rPr>
          <w:rFonts w:eastAsiaTheme="minorHAnsi"/>
          <w:lang w:eastAsia="en-US"/>
        </w:rPr>
      </w:pPr>
    </w:p>
    <w:p w:rsidR="008972F9" w:rsidRPr="00C90AC9" w:rsidRDefault="008972F9" w:rsidP="00B06779">
      <w:pPr>
        <w:rPr>
          <w:rFonts w:eastAsiaTheme="minorHAnsi"/>
          <w:lang w:eastAsia="en-US"/>
        </w:rPr>
      </w:pPr>
    </w:p>
    <w:p w:rsidR="008972F9" w:rsidRPr="00C90AC9" w:rsidRDefault="008972F9" w:rsidP="00B06779">
      <w:pPr>
        <w:rPr>
          <w:rFonts w:eastAsiaTheme="minorHAnsi"/>
          <w:lang w:eastAsia="en-US"/>
        </w:rPr>
      </w:pPr>
      <w:r w:rsidRPr="00C90AC9">
        <w:rPr>
          <w:rFonts w:eastAsiaTheme="minorHAnsi"/>
          <w:lang w:eastAsia="en-US"/>
        </w:rPr>
        <w:br w:type="page"/>
      </w:r>
    </w:p>
    <w:p w:rsidR="008972F9" w:rsidRPr="00C90AC9" w:rsidRDefault="00853BAF" w:rsidP="00B06779">
      <w:pPr>
        <w:pStyle w:val="BodyText"/>
        <w:rPr>
          <w:rFonts w:eastAsiaTheme="minorHAnsi"/>
          <w:lang w:eastAsia="en-US"/>
        </w:rPr>
      </w:pPr>
      <w:r w:rsidRPr="00C90AC9">
        <w:rPr>
          <w:rFonts w:eastAsiaTheme="minorHAnsi"/>
          <w:lang w:eastAsia="en-US"/>
        </w:rPr>
        <w:lastRenderedPageBreak/>
        <w:t>Table 7.2.</w:t>
      </w:r>
      <w:r w:rsidR="008972F9" w:rsidRPr="00C90AC9">
        <w:rPr>
          <w:rFonts w:eastAsiaTheme="minorHAnsi"/>
          <w:lang w:eastAsia="en-US"/>
        </w:rPr>
        <w:t xml:space="preserve"> Tapping Cycle #2, Medium </w:t>
      </w:r>
      <w:r w:rsidR="003F4BEE" w:rsidRPr="00C90AC9">
        <w:rPr>
          <w:rFonts w:eastAsiaTheme="minorHAnsi"/>
          <w:lang w:eastAsia="en-US"/>
        </w:rPr>
        <w:t xml:space="preserve"> </w:t>
      </w:r>
      <w:r w:rsidR="00E364F1" w:rsidRPr="00C90AC9">
        <w:rPr>
          <w:rFonts w:eastAsiaTheme="minorHAnsi"/>
          <w:lang w:eastAsia="en-US"/>
        </w:rPr>
        <w:fldChar w:fldCharType="begin"/>
      </w:r>
      <w:r w:rsidR="00E364F1" w:rsidRPr="00C90AC9">
        <w:rPr>
          <w:rFonts w:eastAsiaTheme="minorHAnsi"/>
          <w:lang w:eastAsia="en-US"/>
        </w:rPr>
        <w:instrText xml:space="preserve"> ADDIN EN.CITE &lt;EndNote&gt;&lt;Cite&gt;&lt;Author&gt;Commission&lt;/Author&gt;&lt;Year&gt;2002&lt;/Year&gt;&lt;RecNum&gt;250&lt;/RecNum&gt;&lt;DisplayText&gt;(Commission, 2002)&lt;/DisplayText&gt;&lt;record&gt;&lt;rec-number&gt;250&lt;/rec-number&gt;&lt;foreign-keys&gt;&lt;key app="EN" db-id="50wxdpzd9vd5r7e9t5b595djrfpttrxw9avp" timestamp="1525679612"&gt;250&lt;/key&gt;&lt;/foreign-keys&gt;&lt;ref-type name="Report"&gt;27&lt;/ref-type&gt;&lt;contributors&gt;&lt;authors&gt;&lt;author&gt;European Commission&lt;/author&gt;&lt;/authors&gt;&lt;secondary-authors&gt;&lt;author&gt;European Commission&lt;/author&gt;&lt;/secondary-authors&gt;&lt;/contributors&gt;&lt;titles&gt;&lt;title&gt;M/324 Mandate to CEN and CENELEC for the elaboration and adoption of measurement standards for household appliances: Water-heaters, hot water storage appliances and water heating systems&lt;/title&gt;&lt;secondary-title&gt;STANDARDISATION - Mandates&lt;/secondary-title&gt;&lt;/titles&gt;&lt;dates&gt;&lt;year&gt;2002&lt;/year&gt;&lt;/dates&gt;&lt;publisher&gt;European Commission&lt;/publisher&gt;&lt;urls&gt;&lt;/urls&gt;&lt;/record&gt;&lt;/Cite&gt;&lt;/EndNote&gt;</w:instrText>
      </w:r>
      <w:r w:rsidR="00E364F1" w:rsidRPr="00C90AC9">
        <w:rPr>
          <w:rFonts w:eastAsiaTheme="minorHAnsi"/>
          <w:lang w:eastAsia="en-US"/>
        </w:rPr>
        <w:fldChar w:fldCharType="separate"/>
      </w:r>
      <w:r w:rsidR="00E364F1" w:rsidRPr="00C90AC9">
        <w:rPr>
          <w:rFonts w:eastAsiaTheme="minorHAnsi"/>
          <w:lang w:eastAsia="en-US"/>
        </w:rPr>
        <w:t>(Commission, 2002)</w:t>
      </w:r>
      <w:r w:rsidR="00E364F1" w:rsidRPr="00C90AC9">
        <w:rPr>
          <w:rFonts w:eastAsiaTheme="minorHAnsi"/>
          <w:lang w:eastAsia="en-US"/>
        </w:rPr>
        <w:fldChar w:fldCharType="end"/>
      </w:r>
    </w:p>
    <w:tbl>
      <w:tblPr>
        <w:tblW w:w="9640" w:type="dxa"/>
        <w:tblInd w:w="-137" w:type="dxa"/>
        <w:tblLayout w:type="fixed"/>
        <w:tblCellMar>
          <w:left w:w="0" w:type="dxa"/>
          <w:right w:w="0" w:type="dxa"/>
        </w:tblCellMar>
        <w:tblLook w:val="0000" w:firstRow="0" w:lastRow="0" w:firstColumn="0" w:lastColumn="0" w:noHBand="0" w:noVBand="0"/>
      </w:tblPr>
      <w:tblGrid>
        <w:gridCol w:w="343"/>
        <w:gridCol w:w="1076"/>
        <w:gridCol w:w="1427"/>
        <w:gridCol w:w="1275"/>
        <w:gridCol w:w="2127"/>
        <w:gridCol w:w="1701"/>
        <w:gridCol w:w="1691"/>
      </w:tblGrid>
      <w:tr w:rsidR="008972F9" w:rsidRPr="00C90AC9" w:rsidTr="008046BF">
        <w:trPr>
          <w:trHeight w:hRule="exact" w:val="397"/>
        </w:trPr>
        <w:tc>
          <w:tcPr>
            <w:tcW w:w="9640" w:type="dxa"/>
            <w:gridSpan w:val="7"/>
            <w:vMerge w:val="restart"/>
            <w:tcBorders>
              <w:top w:val="single" w:sz="4" w:space="0" w:color="auto"/>
              <w:left w:val="single" w:sz="4" w:space="0" w:color="auto"/>
              <w:bottom w:val="single" w:sz="4" w:space="0" w:color="auto"/>
              <w:right w:val="single" w:sz="4" w:space="0" w:color="auto"/>
            </w:tcBorders>
            <w:vAlign w:val="center"/>
          </w:tcPr>
          <w:p w:rsidR="008972F9" w:rsidRPr="00C90AC9" w:rsidRDefault="008972F9" w:rsidP="00BF635E">
            <w:pPr>
              <w:jc w:val="center"/>
              <w:rPr>
                <w:rFonts w:eastAsia="Calibri"/>
                <w:lang w:eastAsia="en-US"/>
              </w:rPr>
            </w:pPr>
            <w:r w:rsidRPr="00C90AC9">
              <w:rPr>
                <w:rFonts w:eastAsia="Calibri"/>
                <w:lang w:eastAsia="en-US"/>
              </w:rPr>
              <w:t>EU reference Tapping Cycle #2, Medium</w:t>
            </w:r>
          </w:p>
        </w:tc>
      </w:tr>
      <w:tr w:rsidR="008972F9" w:rsidRPr="00C90AC9" w:rsidTr="008046BF">
        <w:trPr>
          <w:trHeight w:hRule="exact" w:val="397"/>
        </w:trPr>
        <w:tc>
          <w:tcPr>
            <w:tcW w:w="9640" w:type="dxa"/>
            <w:gridSpan w:val="7"/>
            <w:vMerge/>
            <w:tcBorders>
              <w:top w:val="single" w:sz="4" w:space="0" w:color="auto"/>
              <w:left w:val="single" w:sz="4" w:space="0" w:color="auto"/>
              <w:bottom w:val="single" w:sz="4" w:space="0" w:color="auto"/>
              <w:right w:val="single" w:sz="4" w:space="0" w:color="auto"/>
            </w:tcBorders>
            <w:vAlign w:val="center"/>
          </w:tcPr>
          <w:p w:rsidR="008972F9" w:rsidRPr="00C90AC9" w:rsidRDefault="008972F9" w:rsidP="00B06779">
            <w:pPr>
              <w:rPr>
                <w:rFonts w:eastAsia="Calibri"/>
                <w:lang w:eastAsia="en-US"/>
              </w:rPr>
            </w:pPr>
          </w:p>
        </w:tc>
      </w:tr>
      <w:tr w:rsidR="008972F9" w:rsidRPr="00C90AC9" w:rsidTr="008046BF">
        <w:trPr>
          <w:trHeight w:hRule="exact" w:val="1985"/>
        </w:trPr>
        <w:tc>
          <w:tcPr>
            <w:tcW w:w="343"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w:t>
            </w:r>
          </w:p>
        </w:tc>
        <w:tc>
          <w:tcPr>
            <w:tcW w:w="1076"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Time of day hr.</w:t>
            </w:r>
            <w:r w:rsidR="008E008E" w:rsidRPr="00C90AC9">
              <w:rPr>
                <w:rFonts w:eastAsia="Calibri"/>
                <w:lang w:eastAsia="en-US"/>
              </w:rPr>
              <w:t xml:space="preserve"> </w:t>
            </w:r>
            <w:r w:rsidRPr="00C90AC9">
              <w:rPr>
                <w:rFonts w:eastAsia="Calibri"/>
                <w:lang w:eastAsia="en-US"/>
              </w:rPr>
              <w:t>min start</w:t>
            </w:r>
          </w:p>
        </w:tc>
        <w:tc>
          <w:tcPr>
            <w:tcW w:w="1427"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Energy (kWh)</w:t>
            </w:r>
          </w:p>
        </w:tc>
        <w:tc>
          <w:tcPr>
            <w:tcW w:w="1275"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Type</w:t>
            </w:r>
          </w:p>
        </w:tc>
        <w:tc>
          <w:tcPr>
            <w:tcW w:w="2127"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 xml:space="preserve"> Temperature   desired(K), to be achieved during </w:t>
            </w:r>
            <w:r w:rsidR="00D61146" w:rsidRPr="00C90AC9">
              <w:rPr>
                <w:rFonts w:eastAsia="Calibri"/>
                <w:lang w:eastAsia="en-US"/>
              </w:rPr>
              <w:t>Tapping</w:t>
            </w:r>
          </w:p>
        </w:tc>
        <w:tc>
          <w:tcPr>
            <w:tcW w:w="1701"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 xml:space="preserve">Min. </w:t>
            </w:r>
            <w:r w:rsidRPr="00C90AC9">
              <w:rPr>
                <w:rFonts w:eastAsia="Calibri"/>
                <w:lang w:eastAsia="en-US"/>
              </w:rPr>
              <w:t></w:t>
            </w:r>
            <w:proofErr w:type="gramStart"/>
            <w:r w:rsidRPr="00C90AC9">
              <w:rPr>
                <w:rFonts w:eastAsia="Calibri"/>
                <w:lang w:eastAsia="en-US"/>
              </w:rPr>
              <w:t>Temperature  (</w:t>
            </w:r>
            <w:proofErr w:type="gramEnd"/>
            <w:r w:rsidRPr="00C90AC9">
              <w:rPr>
                <w:rFonts w:eastAsia="Calibri"/>
                <w:lang w:eastAsia="en-US"/>
              </w:rPr>
              <w:t>K)</w:t>
            </w:r>
          </w:p>
        </w:tc>
        <w:tc>
          <w:tcPr>
            <w:tcW w:w="1691"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 xml:space="preserve">Flow rate, S=specific </w:t>
            </w:r>
            <w:proofErr w:type="gramStart"/>
            <w:r w:rsidRPr="00C90AC9">
              <w:rPr>
                <w:rFonts w:eastAsia="Calibri"/>
                <w:lang w:eastAsia="en-US"/>
              </w:rPr>
              <w:t xml:space="preserve">rate,   </w:t>
            </w:r>
            <w:proofErr w:type="gramEnd"/>
            <w:r w:rsidRPr="00C90AC9">
              <w:rPr>
                <w:rFonts w:eastAsia="Calibri"/>
                <w:lang w:eastAsia="en-US"/>
              </w:rPr>
              <w:t xml:space="preserve">      R= 2/3 * S</w:t>
            </w:r>
          </w:p>
        </w:tc>
      </w:tr>
      <w:tr w:rsidR="008972F9" w:rsidRPr="00C90AC9" w:rsidTr="008046BF">
        <w:trPr>
          <w:trHeight w:hRule="exact" w:val="397"/>
        </w:trPr>
        <w:tc>
          <w:tcPr>
            <w:tcW w:w="343" w:type="dxa"/>
            <w:tcBorders>
              <w:top w:val="doub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Times New Roman"/>
              </w:rPr>
            </w:pPr>
            <w:r w:rsidRPr="00C90AC9">
              <w:rPr>
                <w:rFonts w:eastAsia="Times New Roman"/>
              </w:rPr>
              <w:t>1</w:t>
            </w:r>
          </w:p>
        </w:tc>
        <w:tc>
          <w:tcPr>
            <w:tcW w:w="1076" w:type="dxa"/>
            <w:tcBorders>
              <w:top w:val="doub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07.00</w:t>
            </w:r>
          </w:p>
        </w:tc>
        <w:tc>
          <w:tcPr>
            <w:tcW w:w="1427" w:type="dxa"/>
            <w:tcBorders>
              <w:top w:val="doub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75" w:type="dxa"/>
            <w:tcBorders>
              <w:top w:val="doub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7" w:type="dxa"/>
            <w:tcBorders>
              <w:top w:val="doub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p>
        </w:tc>
        <w:tc>
          <w:tcPr>
            <w:tcW w:w="1701" w:type="dxa"/>
            <w:tcBorders>
              <w:top w:val="doub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691" w:type="dxa"/>
            <w:tcBorders>
              <w:top w:val="doub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2</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07.15</w:t>
            </w:r>
          </w:p>
        </w:tc>
        <w:tc>
          <w:tcPr>
            <w:tcW w:w="1427" w:type="dxa"/>
            <w:tcBorders>
              <w:top w:val="nil"/>
              <w:left w:val="single" w:sz="4" w:space="0" w:color="auto"/>
              <w:bottom w:val="sing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1.400</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Shower</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30</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3</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07.30</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4</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08.01</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5</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08.15</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6</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08.30</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7</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08.45</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8</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09.00</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9</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09.30</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10</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10.30</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Floor</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30</w:t>
            </w: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11</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11.30</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12</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11.45</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13</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12.45</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0.315</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Dishwasher</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45</w:t>
            </w: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R</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14</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14.30</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15.30</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16</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16.30</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17</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18.00</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18</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18.15</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Clean</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30</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R</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19</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18.30</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Clean</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30</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R</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20</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19.00</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21</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20.30</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0.735</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Dishwasher</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45</w:t>
            </w: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R</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22</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21.15</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97"/>
        </w:trPr>
        <w:tc>
          <w:tcPr>
            <w:tcW w:w="343"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23</w:t>
            </w:r>
          </w:p>
        </w:tc>
        <w:tc>
          <w:tcPr>
            <w:tcW w:w="1076" w:type="dxa"/>
            <w:tcBorders>
              <w:top w:val="single" w:sz="4" w:space="0" w:color="auto"/>
              <w:left w:val="nil"/>
              <w:bottom w:val="single" w:sz="4" w:space="0" w:color="auto"/>
              <w:right w:val="nil"/>
            </w:tcBorders>
            <w:vAlign w:val="bottom"/>
          </w:tcPr>
          <w:p w:rsidR="008972F9" w:rsidRPr="00C90AC9" w:rsidRDefault="008972F9" w:rsidP="008046BF">
            <w:pPr>
              <w:jc w:val="center"/>
              <w:rPr>
                <w:rFonts w:eastAsia="Calibri"/>
                <w:lang w:eastAsia="en-US"/>
              </w:rPr>
            </w:pPr>
            <w:r w:rsidRPr="00C90AC9">
              <w:rPr>
                <w:rFonts w:eastAsia="Calibri"/>
                <w:lang w:eastAsia="en-US"/>
              </w:rPr>
              <w:t>21.30</w:t>
            </w:r>
          </w:p>
        </w:tc>
        <w:tc>
          <w:tcPr>
            <w:tcW w:w="1427" w:type="dxa"/>
            <w:tcBorders>
              <w:top w:val="nil"/>
              <w:left w:val="single" w:sz="4" w:space="0" w:color="auto"/>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1.400</w:t>
            </w:r>
          </w:p>
        </w:tc>
        <w:tc>
          <w:tcPr>
            <w:tcW w:w="1275"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Shower</w:t>
            </w:r>
          </w:p>
        </w:tc>
        <w:tc>
          <w:tcPr>
            <w:tcW w:w="2127"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p>
        </w:tc>
        <w:tc>
          <w:tcPr>
            <w:tcW w:w="170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30</w:t>
            </w:r>
          </w:p>
        </w:tc>
        <w:tc>
          <w:tcPr>
            <w:tcW w:w="1691" w:type="dxa"/>
            <w:tcBorders>
              <w:top w:val="nil"/>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97"/>
        </w:trPr>
        <w:tc>
          <w:tcPr>
            <w:tcW w:w="1419" w:type="dxa"/>
            <w:gridSpan w:val="2"/>
            <w:tcBorders>
              <w:top w:val="single" w:sz="4" w:space="0" w:color="auto"/>
              <w:left w:val="single" w:sz="4" w:space="0" w:color="auto"/>
              <w:bottom w:val="single" w:sz="4" w:space="0" w:color="auto"/>
              <w:right w:val="single" w:sz="4" w:space="0" w:color="000000"/>
            </w:tcBorders>
            <w:vAlign w:val="bottom"/>
          </w:tcPr>
          <w:p w:rsidR="008972F9" w:rsidRPr="00C90AC9" w:rsidRDefault="008972F9" w:rsidP="008046BF">
            <w:pPr>
              <w:jc w:val="center"/>
              <w:rPr>
                <w:rFonts w:eastAsia="Calibri"/>
                <w:lang w:eastAsia="en-US"/>
              </w:rPr>
            </w:pPr>
            <w:r w:rsidRPr="00C90AC9">
              <w:rPr>
                <w:rFonts w:eastAsiaTheme="minorHAnsi"/>
                <w:lang w:eastAsia="en-US"/>
              </w:rPr>
              <w:t>T</w:t>
            </w:r>
            <w:r w:rsidRPr="00C90AC9">
              <w:rPr>
                <w:rFonts w:eastAsia="Calibri"/>
                <w:lang w:eastAsia="en-US"/>
              </w:rPr>
              <w:t>otal</w:t>
            </w:r>
          </w:p>
        </w:tc>
        <w:tc>
          <w:tcPr>
            <w:tcW w:w="2702" w:type="dxa"/>
            <w:gridSpan w:val="2"/>
            <w:tcBorders>
              <w:top w:val="single" w:sz="4" w:space="0" w:color="auto"/>
              <w:left w:val="nil"/>
              <w:bottom w:val="single" w:sz="4" w:space="0" w:color="auto"/>
              <w:right w:val="single" w:sz="4" w:space="0" w:color="auto"/>
            </w:tcBorders>
            <w:vAlign w:val="bottom"/>
          </w:tcPr>
          <w:p w:rsidR="008972F9" w:rsidRPr="00C90AC9" w:rsidRDefault="008972F9" w:rsidP="008046BF">
            <w:pPr>
              <w:jc w:val="center"/>
              <w:rPr>
                <w:rFonts w:eastAsia="Calibri"/>
                <w:color w:val="808080"/>
                <w:lang w:eastAsia="en-US"/>
              </w:rPr>
            </w:pPr>
            <w:r w:rsidRPr="00C90AC9">
              <w:rPr>
                <w:rFonts w:eastAsia="Calibri"/>
                <w:lang w:eastAsia="en-US"/>
              </w:rPr>
              <w:t>5,845</w:t>
            </w:r>
          </w:p>
        </w:tc>
        <w:tc>
          <w:tcPr>
            <w:tcW w:w="5519" w:type="dxa"/>
            <w:gridSpan w:val="3"/>
            <w:tcBorders>
              <w:top w:val="single" w:sz="4" w:space="0" w:color="auto"/>
              <w:left w:val="nil"/>
              <w:bottom w:val="single" w:sz="4" w:space="0" w:color="auto"/>
              <w:right w:val="single" w:sz="4" w:space="0" w:color="auto"/>
            </w:tcBorders>
            <w:vAlign w:val="center"/>
          </w:tcPr>
          <w:p w:rsidR="008972F9" w:rsidRPr="00C90AC9" w:rsidRDefault="008972F9" w:rsidP="008046BF">
            <w:pPr>
              <w:jc w:val="center"/>
              <w:rPr>
                <w:rFonts w:eastAsia="Calibri"/>
                <w:color w:val="808080"/>
                <w:lang w:eastAsia="en-US"/>
              </w:rPr>
            </w:pPr>
            <w:r w:rsidRPr="00C90AC9">
              <w:rPr>
                <w:rFonts w:eastAsiaTheme="minorHAnsi"/>
                <w:lang w:eastAsia="en-US"/>
              </w:rPr>
              <w:t>E</w:t>
            </w:r>
            <w:r w:rsidRPr="00C90AC9">
              <w:rPr>
                <w:rFonts w:eastAsia="Calibri"/>
                <w:lang w:eastAsia="en-US"/>
              </w:rPr>
              <w:t>quivalent hot water litres at 60ºC</w:t>
            </w:r>
            <w:r w:rsidRPr="00C90AC9">
              <w:rPr>
                <w:rFonts w:eastAsiaTheme="minorHAnsi"/>
                <w:lang w:eastAsia="en-US"/>
              </w:rPr>
              <w:t>=100.2</w:t>
            </w:r>
          </w:p>
        </w:tc>
      </w:tr>
    </w:tbl>
    <w:p w:rsidR="008972F9" w:rsidRPr="00C90AC9" w:rsidRDefault="008972F9" w:rsidP="00B06779">
      <w:pPr>
        <w:pStyle w:val="BodyText"/>
        <w:rPr>
          <w:rFonts w:eastAsiaTheme="minorHAnsi"/>
          <w:lang w:eastAsia="en-US"/>
        </w:rPr>
      </w:pPr>
      <w:r w:rsidRPr="00C90AC9">
        <w:rPr>
          <w:rFonts w:eastAsiaTheme="minorHAnsi"/>
          <w:sz w:val="22"/>
          <w:lang w:eastAsia="en-US"/>
        </w:rPr>
        <w:t>S-measurement at specific flow rate      R-measurement at a minimum of 2/3 of the specific flow rate</w:t>
      </w:r>
      <w:r w:rsidRPr="00C90AC9">
        <w:rPr>
          <w:rFonts w:eastAsiaTheme="minorHAnsi"/>
          <w:lang w:eastAsia="en-US"/>
        </w:rPr>
        <w:br/>
      </w:r>
    </w:p>
    <w:p w:rsidR="0054009B" w:rsidRPr="00C90AC9" w:rsidRDefault="0054009B" w:rsidP="00B06779">
      <w:pPr>
        <w:pStyle w:val="BodyText"/>
        <w:rPr>
          <w:rFonts w:eastAsiaTheme="minorHAnsi"/>
          <w:lang w:eastAsia="en-US"/>
        </w:rPr>
      </w:pPr>
    </w:p>
    <w:p w:rsidR="008972F9" w:rsidRPr="00C90AC9" w:rsidRDefault="00853BAF" w:rsidP="00B06779">
      <w:pPr>
        <w:pStyle w:val="BodyText"/>
        <w:rPr>
          <w:rFonts w:eastAsiaTheme="minorHAnsi"/>
          <w:lang w:eastAsia="en-US"/>
        </w:rPr>
      </w:pPr>
      <w:r w:rsidRPr="00C90AC9">
        <w:rPr>
          <w:rFonts w:eastAsiaTheme="minorHAnsi"/>
          <w:lang w:eastAsia="en-US"/>
        </w:rPr>
        <w:lastRenderedPageBreak/>
        <w:t>Table 7.3.</w:t>
      </w:r>
      <w:r w:rsidR="008972F9" w:rsidRPr="00C90AC9">
        <w:rPr>
          <w:rFonts w:eastAsiaTheme="minorHAnsi"/>
          <w:lang w:eastAsia="en-US"/>
        </w:rPr>
        <w:t xml:space="preserve"> Tapping Cycle #3 </w:t>
      </w:r>
      <w:r w:rsidR="00E364F1" w:rsidRPr="00C90AC9">
        <w:rPr>
          <w:rFonts w:eastAsiaTheme="minorHAnsi"/>
          <w:lang w:eastAsia="en-US"/>
        </w:rPr>
        <w:fldChar w:fldCharType="begin"/>
      </w:r>
      <w:r w:rsidR="00E364F1" w:rsidRPr="00C90AC9">
        <w:rPr>
          <w:rFonts w:eastAsiaTheme="minorHAnsi"/>
          <w:lang w:eastAsia="en-US"/>
        </w:rPr>
        <w:instrText xml:space="preserve"> ADDIN EN.CITE &lt;EndNote&gt;&lt;Cite&gt;&lt;Author&gt;Commission&lt;/Author&gt;&lt;Year&gt;2002&lt;/Year&gt;&lt;RecNum&gt;250&lt;/RecNum&gt;&lt;DisplayText&gt;(Commission, 2002)&lt;/DisplayText&gt;&lt;record&gt;&lt;rec-number&gt;250&lt;/rec-number&gt;&lt;foreign-keys&gt;&lt;key app="EN" db-id="50wxdpzd9vd5r7e9t5b595djrfpttrxw9avp" timestamp="1525679612"&gt;250&lt;/key&gt;&lt;/foreign-keys&gt;&lt;ref-type name="Report"&gt;27&lt;/ref-type&gt;&lt;contributors&gt;&lt;authors&gt;&lt;author&gt;European Commission&lt;/author&gt;&lt;/authors&gt;&lt;secondary-authors&gt;&lt;author&gt;European Commission&lt;/author&gt;&lt;/secondary-authors&gt;&lt;/contributors&gt;&lt;titles&gt;&lt;title&gt;M/324 Mandate to CEN and CENELEC for the elaboration and adoption of measurement standards for household appliances: Water-heaters, hot water storage appliances and water heating systems&lt;/title&gt;&lt;secondary-title&gt;STANDARDISATION - Mandates&lt;/secondary-title&gt;&lt;/titles&gt;&lt;dates&gt;&lt;year&gt;2002&lt;/year&gt;&lt;/dates&gt;&lt;publisher&gt;European Commission&lt;/publisher&gt;&lt;urls&gt;&lt;/urls&gt;&lt;/record&gt;&lt;/Cite&gt;&lt;/EndNote&gt;</w:instrText>
      </w:r>
      <w:r w:rsidR="00E364F1" w:rsidRPr="00C90AC9">
        <w:rPr>
          <w:rFonts w:eastAsiaTheme="minorHAnsi"/>
          <w:lang w:eastAsia="en-US"/>
        </w:rPr>
        <w:fldChar w:fldCharType="separate"/>
      </w:r>
      <w:r w:rsidR="00E364F1" w:rsidRPr="00C90AC9">
        <w:rPr>
          <w:rFonts w:eastAsiaTheme="minorHAnsi"/>
          <w:lang w:eastAsia="en-US"/>
        </w:rPr>
        <w:t>(Commission, 2002)</w:t>
      </w:r>
      <w:r w:rsidR="00E364F1" w:rsidRPr="00C90AC9">
        <w:rPr>
          <w:rFonts w:eastAsiaTheme="minorHAnsi"/>
          <w:lang w:eastAsia="en-US"/>
        </w:rPr>
        <w:fldChar w:fldCharType="end"/>
      </w:r>
    </w:p>
    <w:tbl>
      <w:tblPr>
        <w:tblW w:w="9366" w:type="dxa"/>
        <w:tblInd w:w="5" w:type="dxa"/>
        <w:tblLayout w:type="fixed"/>
        <w:tblCellMar>
          <w:left w:w="0" w:type="dxa"/>
          <w:right w:w="0" w:type="dxa"/>
        </w:tblCellMar>
        <w:tblLook w:val="0000" w:firstRow="0" w:lastRow="0" w:firstColumn="0" w:lastColumn="0" w:noHBand="0" w:noVBand="0"/>
      </w:tblPr>
      <w:tblGrid>
        <w:gridCol w:w="426"/>
        <w:gridCol w:w="850"/>
        <w:gridCol w:w="1134"/>
        <w:gridCol w:w="1286"/>
        <w:gridCol w:w="2126"/>
        <w:gridCol w:w="1843"/>
        <w:gridCol w:w="1701"/>
      </w:tblGrid>
      <w:tr w:rsidR="008972F9" w:rsidRPr="00C90AC9" w:rsidTr="008046BF">
        <w:trPr>
          <w:trHeight w:hRule="exact" w:val="284"/>
        </w:trPr>
        <w:tc>
          <w:tcPr>
            <w:tcW w:w="9366" w:type="dxa"/>
            <w:gridSpan w:val="7"/>
            <w:tcBorders>
              <w:top w:val="single" w:sz="4" w:space="0" w:color="auto"/>
              <w:left w:val="single" w:sz="4" w:space="0" w:color="auto"/>
              <w:bottom w:val="single" w:sz="4" w:space="0" w:color="auto"/>
              <w:right w:val="single" w:sz="4" w:space="0" w:color="auto"/>
            </w:tcBorders>
            <w:vAlign w:val="center"/>
          </w:tcPr>
          <w:p w:rsidR="008972F9" w:rsidRPr="00C90AC9" w:rsidRDefault="00BF635E" w:rsidP="008046BF">
            <w:pPr>
              <w:jc w:val="center"/>
              <w:rPr>
                <w:rFonts w:eastAsia="Calibri"/>
                <w:lang w:eastAsia="en-US"/>
              </w:rPr>
            </w:pPr>
            <w:r w:rsidRPr="00C90AC9">
              <w:rPr>
                <w:rFonts w:eastAsia="Calibri"/>
                <w:lang w:eastAsia="en-US"/>
              </w:rPr>
              <w:t xml:space="preserve">EU reference </w:t>
            </w:r>
            <w:r w:rsidRPr="00C90AC9">
              <w:rPr>
                <w:rFonts w:eastAsiaTheme="minorHAnsi"/>
                <w:lang w:eastAsia="en-US"/>
              </w:rPr>
              <w:t>Tapping Cycle #3</w:t>
            </w:r>
          </w:p>
        </w:tc>
      </w:tr>
      <w:tr w:rsidR="008972F9" w:rsidRPr="00C90AC9" w:rsidTr="008046BF">
        <w:trPr>
          <w:trHeight w:hRule="exact" w:val="1711"/>
        </w:trPr>
        <w:tc>
          <w:tcPr>
            <w:tcW w:w="426"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w:t>
            </w:r>
          </w:p>
        </w:tc>
        <w:tc>
          <w:tcPr>
            <w:tcW w:w="850"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Time of day hr.</w:t>
            </w:r>
            <w:r w:rsidR="008E008E" w:rsidRPr="00C90AC9">
              <w:rPr>
                <w:rFonts w:eastAsia="Calibri"/>
                <w:lang w:eastAsia="en-US"/>
              </w:rPr>
              <w:t xml:space="preserve"> </w:t>
            </w:r>
            <w:r w:rsidRPr="00C90AC9">
              <w:rPr>
                <w:rFonts w:eastAsia="Calibri"/>
                <w:lang w:eastAsia="en-US"/>
              </w:rPr>
              <w:t>min start</w:t>
            </w:r>
          </w:p>
        </w:tc>
        <w:tc>
          <w:tcPr>
            <w:tcW w:w="1134"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Energy (kWh)</w:t>
            </w:r>
          </w:p>
        </w:tc>
        <w:tc>
          <w:tcPr>
            <w:tcW w:w="1286"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Type</w:t>
            </w:r>
          </w:p>
        </w:tc>
        <w:tc>
          <w:tcPr>
            <w:tcW w:w="2126"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 xml:space="preserve"> Temperature   desired(K), to be achieved during </w:t>
            </w:r>
            <w:r w:rsidR="00D61146" w:rsidRPr="00C90AC9">
              <w:rPr>
                <w:rFonts w:eastAsia="Calibri"/>
                <w:lang w:eastAsia="en-US"/>
              </w:rPr>
              <w:t>Tapping</w:t>
            </w:r>
          </w:p>
        </w:tc>
        <w:tc>
          <w:tcPr>
            <w:tcW w:w="1843"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 xml:space="preserve">Min. </w:t>
            </w:r>
            <w:r w:rsidRPr="00C90AC9">
              <w:rPr>
                <w:rFonts w:eastAsia="Calibri"/>
                <w:lang w:eastAsia="en-US"/>
              </w:rPr>
              <w:t></w:t>
            </w:r>
            <w:proofErr w:type="gramStart"/>
            <w:r w:rsidRPr="00C90AC9">
              <w:rPr>
                <w:rFonts w:eastAsia="Calibri"/>
                <w:lang w:eastAsia="en-US"/>
              </w:rPr>
              <w:t>Temperature  (</w:t>
            </w:r>
            <w:proofErr w:type="gramEnd"/>
            <w:r w:rsidRPr="00C90AC9">
              <w:rPr>
                <w:rFonts w:eastAsia="Calibri"/>
                <w:lang w:eastAsia="en-US"/>
              </w:rPr>
              <w:t>K)</w:t>
            </w:r>
          </w:p>
        </w:tc>
        <w:tc>
          <w:tcPr>
            <w:tcW w:w="1701"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8046BF">
            <w:pPr>
              <w:jc w:val="center"/>
              <w:rPr>
                <w:rFonts w:eastAsia="Calibri"/>
                <w:lang w:eastAsia="en-US"/>
              </w:rPr>
            </w:pPr>
            <w:r w:rsidRPr="00C90AC9">
              <w:rPr>
                <w:rFonts w:eastAsia="Calibri"/>
                <w:lang w:eastAsia="en-US"/>
              </w:rPr>
              <w:t xml:space="preserve">Flow rate, S=specific </w:t>
            </w:r>
            <w:proofErr w:type="gramStart"/>
            <w:r w:rsidRPr="00C90AC9">
              <w:rPr>
                <w:rFonts w:eastAsia="Calibri"/>
                <w:lang w:eastAsia="en-US"/>
              </w:rPr>
              <w:t xml:space="preserve">rate,   </w:t>
            </w:r>
            <w:proofErr w:type="gramEnd"/>
            <w:r w:rsidRPr="00C90AC9">
              <w:rPr>
                <w:rFonts w:eastAsia="Calibri"/>
                <w:lang w:eastAsia="en-US"/>
              </w:rPr>
              <w:t xml:space="preserve">      R= 2/3 * S</w:t>
            </w:r>
          </w:p>
        </w:tc>
      </w:tr>
      <w:tr w:rsidR="008972F9" w:rsidRPr="00C90AC9" w:rsidTr="008046BF">
        <w:trPr>
          <w:trHeight w:hRule="exact" w:val="340"/>
        </w:trPr>
        <w:tc>
          <w:tcPr>
            <w:tcW w:w="426" w:type="dxa"/>
            <w:tcBorders>
              <w:top w:val="double" w:sz="4" w:space="0" w:color="auto"/>
              <w:left w:val="single" w:sz="4" w:space="0" w:color="auto"/>
              <w:bottom w:val="single" w:sz="4" w:space="0" w:color="auto"/>
              <w:right w:val="single" w:sz="4" w:space="0" w:color="auto"/>
            </w:tcBorders>
            <w:shd w:val="clear" w:color="auto" w:fill="FFFFFF" w:themeFill="background1"/>
          </w:tcPr>
          <w:p w:rsidR="008972F9" w:rsidRPr="00C90AC9" w:rsidRDefault="008972F9" w:rsidP="008046BF">
            <w:pPr>
              <w:jc w:val="center"/>
              <w:rPr>
                <w:rFonts w:eastAsia="Times New Roman"/>
              </w:rPr>
            </w:pPr>
            <w:r w:rsidRPr="00C90AC9">
              <w:rPr>
                <w:rFonts w:eastAsia="Times New Roman"/>
              </w:rPr>
              <w:t>1</w:t>
            </w:r>
          </w:p>
        </w:tc>
        <w:tc>
          <w:tcPr>
            <w:tcW w:w="850" w:type="dxa"/>
            <w:tcBorders>
              <w:top w:val="double" w:sz="4" w:space="0" w:color="auto"/>
              <w:left w:val="nil"/>
              <w:bottom w:val="single" w:sz="4" w:space="0" w:color="auto"/>
              <w:right w:val="nil"/>
            </w:tcBorders>
            <w:shd w:val="clear" w:color="auto" w:fill="FFFFFF" w:themeFill="background1"/>
          </w:tcPr>
          <w:p w:rsidR="008972F9" w:rsidRPr="00C90AC9" w:rsidRDefault="008972F9" w:rsidP="008046BF">
            <w:pPr>
              <w:jc w:val="center"/>
              <w:rPr>
                <w:rFonts w:eastAsia="Times New Roman"/>
              </w:rPr>
            </w:pPr>
            <w:r w:rsidRPr="00C90AC9">
              <w:rPr>
                <w:rFonts w:eastAsia="Times New Roman"/>
              </w:rPr>
              <w:t>07.00</w:t>
            </w:r>
          </w:p>
        </w:tc>
        <w:tc>
          <w:tcPr>
            <w:tcW w:w="1134" w:type="dxa"/>
            <w:tcBorders>
              <w:top w:val="doub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86" w:type="dxa"/>
            <w:tcBorders>
              <w:top w:val="doub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6" w:type="dxa"/>
            <w:tcBorders>
              <w:top w:val="doub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p>
        </w:tc>
        <w:tc>
          <w:tcPr>
            <w:tcW w:w="1843" w:type="dxa"/>
            <w:tcBorders>
              <w:top w:val="doub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701" w:type="dxa"/>
            <w:tcBorders>
              <w:top w:val="doub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40"/>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72F9" w:rsidRPr="00C90AC9" w:rsidRDefault="008972F9" w:rsidP="008046BF">
            <w:pPr>
              <w:jc w:val="center"/>
              <w:rPr>
                <w:rFonts w:eastAsia="Calibri"/>
                <w:lang w:eastAsia="en-US"/>
              </w:rPr>
            </w:pPr>
            <w:r w:rsidRPr="00C90AC9">
              <w:rPr>
                <w:rFonts w:eastAsia="Calibri"/>
                <w:lang w:eastAsia="en-US"/>
              </w:rPr>
              <w:t>2</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07.05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72F9" w:rsidRPr="00C90AC9" w:rsidRDefault="008972F9" w:rsidP="008046BF">
            <w:pPr>
              <w:jc w:val="center"/>
              <w:rPr>
                <w:rFonts w:eastAsia="Calibri"/>
                <w:lang w:eastAsia="en-US"/>
              </w:rPr>
            </w:pPr>
            <w:r w:rsidRPr="00C90AC9">
              <w:rPr>
                <w:rFonts w:eastAsia="Calibri"/>
                <w:lang w:eastAsia="en-US"/>
              </w:rPr>
              <w:t>1.400</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Shower</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30</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40"/>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3</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07.30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40"/>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4</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07.45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40"/>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5</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08.05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3.605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Bath</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30</w:t>
            </w: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40"/>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6</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08.25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40"/>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7</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08.30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40"/>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8</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08.45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97"/>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9</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09.00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40"/>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10</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09.30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40"/>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11</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10.30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Floor</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30</w:t>
            </w: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40"/>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12</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11.30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40"/>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13</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11.45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40"/>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14</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12.45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0.315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Dishwasher</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45</w:t>
            </w: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R</w:t>
            </w:r>
          </w:p>
        </w:tc>
      </w:tr>
      <w:tr w:rsidR="008972F9" w:rsidRPr="00C90AC9" w:rsidTr="008046BF">
        <w:trPr>
          <w:trHeight w:hRule="exact" w:val="340"/>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14.30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40"/>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16</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15.30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40"/>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17</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16.30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40"/>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18</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18.00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40"/>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19</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18.15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Clean</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30</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R</w:t>
            </w:r>
          </w:p>
        </w:tc>
      </w:tr>
      <w:tr w:rsidR="008972F9" w:rsidRPr="00C90AC9" w:rsidTr="008046BF">
        <w:trPr>
          <w:trHeight w:hRule="exact" w:val="454"/>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20</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18.30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Clean</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30</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R</w:t>
            </w:r>
          </w:p>
        </w:tc>
      </w:tr>
      <w:tr w:rsidR="008972F9" w:rsidRPr="00C90AC9" w:rsidTr="008046BF">
        <w:trPr>
          <w:trHeight w:hRule="exact" w:val="454"/>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21</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19.00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40"/>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22</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20.30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0.735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Dishwasher</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45</w:t>
            </w: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R</w:t>
            </w:r>
          </w:p>
        </w:tc>
      </w:tr>
      <w:tr w:rsidR="008972F9" w:rsidRPr="00C90AC9" w:rsidTr="008046BF">
        <w:trPr>
          <w:trHeight w:hRule="exact" w:val="340"/>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23</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21.00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3.605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Bath</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30</w:t>
            </w: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340"/>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24</w:t>
            </w:r>
          </w:p>
        </w:tc>
        <w:tc>
          <w:tcPr>
            <w:tcW w:w="850" w:type="dxa"/>
            <w:tcBorders>
              <w:top w:val="single" w:sz="4" w:space="0" w:color="auto"/>
              <w:left w:val="nil"/>
              <w:bottom w:val="single" w:sz="4" w:space="0" w:color="auto"/>
              <w:right w:val="nil"/>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21.30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0.105</w:t>
            </w:r>
          </w:p>
        </w:tc>
        <w:tc>
          <w:tcPr>
            <w:tcW w:w="128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Small</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p>
        </w:tc>
        <w:tc>
          <w:tcPr>
            <w:tcW w:w="1843"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15</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rsidR="008972F9" w:rsidRPr="00C90AC9" w:rsidRDefault="008972F9" w:rsidP="008046BF">
            <w:pPr>
              <w:jc w:val="center"/>
              <w:rPr>
                <w:rFonts w:eastAsia="Calibri"/>
                <w:lang w:eastAsia="en-US"/>
              </w:rPr>
            </w:pPr>
            <w:r w:rsidRPr="00C90AC9">
              <w:rPr>
                <w:rFonts w:eastAsia="Calibri"/>
                <w:lang w:eastAsia="en-US"/>
              </w:rPr>
              <w:t>S</w:t>
            </w:r>
          </w:p>
        </w:tc>
      </w:tr>
      <w:tr w:rsidR="008972F9" w:rsidRPr="00C90AC9" w:rsidTr="008046BF">
        <w:trPr>
          <w:trHeight w:hRule="exact" w:val="437"/>
        </w:trPr>
        <w:tc>
          <w:tcPr>
            <w:tcW w:w="1276" w:type="dxa"/>
            <w:gridSpan w:val="2"/>
            <w:tcBorders>
              <w:top w:val="single" w:sz="4" w:space="0" w:color="auto"/>
              <w:left w:val="single" w:sz="4" w:space="0" w:color="auto"/>
              <w:bottom w:val="single" w:sz="4" w:space="0" w:color="auto"/>
              <w:right w:val="single" w:sz="4" w:space="0" w:color="000000"/>
            </w:tcBorders>
            <w:vAlign w:val="bottom"/>
          </w:tcPr>
          <w:p w:rsidR="008972F9" w:rsidRPr="00C90AC9" w:rsidRDefault="008972F9" w:rsidP="008046BF">
            <w:pPr>
              <w:jc w:val="center"/>
              <w:rPr>
                <w:rFonts w:eastAsia="Calibri"/>
                <w:lang w:eastAsia="en-US"/>
              </w:rPr>
            </w:pPr>
            <w:r w:rsidRPr="00C90AC9">
              <w:rPr>
                <w:rFonts w:eastAsia="Calibri"/>
                <w:lang w:eastAsia="en-US"/>
              </w:rPr>
              <w:t>Total</w:t>
            </w:r>
          </w:p>
        </w:tc>
        <w:tc>
          <w:tcPr>
            <w:tcW w:w="2420" w:type="dxa"/>
            <w:gridSpan w:val="2"/>
            <w:tcBorders>
              <w:top w:val="single" w:sz="4" w:space="0" w:color="auto"/>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11.655</w:t>
            </w:r>
          </w:p>
        </w:tc>
        <w:tc>
          <w:tcPr>
            <w:tcW w:w="5670" w:type="dxa"/>
            <w:gridSpan w:val="3"/>
            <w:tcBorders>
              <w:top w:val="single" w:sz="4" w:space="0" w:color="auto"/>
              <w:left w:val="nil"/>
              <w:bottom w:val="single" w:sz="4" w:space="0" w:color="auto"/>
              <w:right w:val="single" w:sz="4" w:space="0" w:color="auto"/>
            </w:tcBorders>
            <w:vAlign w:val="bottom"/>
          </w:tcPr>
          <w:p w:rsidR="008972F9" w:rsidRPr="00C90AC9" w:rsidRDefault="008972F9" w:rsidP="008046BF">
            <w:pPr>
              <w:jc w:val="center"/>
              <w:rPr>
                <w:rFonts w:eastAsia="Calibri"/>
                <w:lang w:eastAsia="en-US"/>
              </w:rPr>
            </w:pPr>
            <w:r w:rsidRPr="00C90AC9">
              <w:rPr>
                <w:rFonts w:eastAsia="Calibri"/>
                <w:lang w:eastAsia="en-US"/>
              </w:rPr>
              <w:t>Equivalent hot water litres at 60ºC</w:t>
            </w:r>
            <w:r w:rsidRPr="00C90AC9">
              <w:rPr>
                <w:rFonts w:eastAsiaTheme="minorHAnsi"/>
                <w:lang w:eastAsia="en-US"/>
              </w:rPr>
              <w:t>= 199.8</w:t>
            </w:r>
          </w:p>
        </w:tc>
      </w:tr>
    </w:tbl>
    <w:p w:rsidR="008972F9" w:rsidRPr="00C90AC9" w:rsidRDefault="008972F9" w:rsidP="00B06779">
      <w:pPr>
        <w:pStyle w:val="BodyText"/>
        <w:rPr>
          <w:rFonts w:eastAsiaTheme="minorHAnsi"/>
          <w:sz w:val="22"/>
          <w:lang w:eastAsia="en-US"/>
        </w:rPr>
      </w:pPr>
      <w:r w:rsidRPr="00C90AC9">
        <w:rPr>
          <w:rFonts w:eastAsiaTheme="minorHAnsi"/>
          <w:sz w:val="22"/>
          <w:lang w:eastAsia="en-US"/>
        </w:rPr>
        <w:t>S-measurement at specific flow rate      R-measurement at a minimum of 2/3 of the specific flow rate</w:t>
      </w:r>
    </w:p>
    <w:p w:rsidR="008972F9" w:rsidRPr="00C90AC9" w:rsidRDefault="008972F9" w:rsidP="00B06779">
      <w:pPr>
        <w:rPr>
          <w:rFonts w:eastAsiaTheme="minorHAnsi"/>
          <w:lang w:eastAsia="en-US"/>
        </w:rPr>
      </w:pPr>
    </w:p>
    <w:p w:rsidR="008972F9" w:rsidRPr="00C90AC9" w:rsidRDefault="008972F9" w:rsidP="00B06779">
      <w:pPr>
        <w:rPr>
          <w:rFonts w:eastAsiaTheme="minorHAnsi"/>
          <w:lang w:eastAsia="en-US"/>
        </w:rPr>
      </w:pPr>
    </w:p>
    <w:p w:rsidR="00BF635E" w:rsidRPr="00C90AC9" w:rsidRDefault="00BF635E" w:rsidP="00B06779">
      <w:pPr>
        <w:rPr>
          <w:rFonts w:eastAsiaTheme="minorHAnsi"/>
          <w:lang w:eastAsia="en-US"/>
        </w:rPr>
      </w:pPr>
    </w:p>
    <w:p w:rsidR="003F4BEE" w:rsidRPr="00C90AC9" w:rsidRDefault="003F4BEE" w:rsidP="00B06779">
      <w:pPr>
        <w:rPr>
          <w:rFonts w:eastAsiaTheme="minorHAnsi"/>
          <w:lang w:eastAsia="en-US"/>
        </w:rPr>
      </w:pPr>
    </w:p>
    <w:p w:rsidR="0054009B" w:rsidRPr="00C90AC9" w:rsidRDefault="0054009B" w:rsidP="00B06779">
      <w:pPr>
        <w:rPr>
          <w:rFonts w:eastAsiaTheme="minorHAnsi"/>
          <w:lang w:eastAsia="en-US"/>
        </w:rPr>
      </w:pPr>
    </w:p>
    <w:p w:rsidR="008972F9" w:rsidRPr="00C90AC9" w:rsidRDefault="00853BAF" w:rsidP="00B06779">
      <w:pPr>
        <w:pStyle w:val="BodyText"/>
        <w:rPr>
          <w:rFonts w:eastAsiaTheme="minorHAnsi"/>
          <w:lang w:eastAsia="en-US"/>
        </w:rPr>
      </w:pPr>
      <w:r w:rsidRPr="00C90AC9">
        <w:rPr>
          <w:rFonts w:eastAsiaTheme="minorHAnsi"/>
          <w:lang w:eastAsia="en-US"/>
        </w:rPr>
        <w:lastRenderedPageBreak/>
        <w:t>Table 7</w:t>
      </w:r>
      <w:r w:rsidR="008972F9" w:rsidRPr="00C90AC9">
        <w:rPr>
          <w:rFonts w:eastAsiaTheme="minorHAnsi"/>
          <w:lang w:eastAsia="en-US"/>
        </w:rPr>
        <w:t>.4. The various weather symbols predicted by the MET Office for the next (0Hrs) from 19/02/2014 00:00:00 – 26/06/2015 23:50:00</w:t>
      </w:r>
    </w:p>
    <w:tbl>
      <w:tblPr>
        <w:tblpPr w:leftFromText="180" w:rightFromText="180" w:vertAnchor="text" w:horzAnchor="margin" w:tblpXSpec="center" w:tblpY="119"/>
        <w:tblW w:w="7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1"/>
        <w:gridCol w:w="1409"/>
        <w:gridCol w:w="1502"/>
        <w:gridCol w:w="1698"/>
        <w:gridCol w:w="1660"/>
      </w:tblGrid>
      <w:tr w:rsidR="008972F9" w:rsidRPr="00C90AC9" w:rsidTr="004B00CC">
        <w:trPr>
          <w:trHeight w:hRule="exact" w:val="1931"/>
        </w:trPr>
        <w:tc>
          <w:tcPr>
            <w:tcW w:w="1171" w:type="dxa"/>
            <w:tcBorders>
              <w:top w:val="single" w:sz="4" w:space="0" w:color="auto"/>
              <w:left w:val="single" w:sz="4" w:space="0" w:color="auto"/>
              <w:bottom w:val="double" w:sz="4" w:space="0" w:color="auto"/>
              <w:right w:val="single" w:sz="4" w:space="0" w:color="auto"/>
            </w:tcBorders>
            <w:shd w:val="clear" w:color="auto" w:fill="auto"/>
            <w:vAlign w:val="center"/>
          </w:tcPr>
          <w:p w:rsidR="008972F9" w:rsidRPr="00C90AC9" w:rsidRDefault="008972F9" w:rsidP="004B00CC">
            <w:pPr>
              <w:jc w:val="center"/>
              <w:rPr>
                <w:rFonts w:eastAsia="Times New Roman"/>
              </w:rPr>
            </w:pPr>
            <w:r w:rsidRPr="00C90AC9">
              <w:rPr>
                <w:rFonts w:eastAsia="Times New Roman"/>
              </w:rPr>
              <w:t>Symbol number</w:t>
            </w:r>
          </w:p>
        </w:tc>
        <w:tc>
          <w:tcPr>
            <w:tcW w:w="1409" w:type="dxa"/>
            <w:tcBorders>
              <w:top w:val="single" w:sz="4" w:space="0" w:color="auto"/>
              <w:left w:val="single" w:sz="4" w:space="0" w:color="auto"/>
              <w:bottom w:val="double" w:sz="4" w:space="0" w:color="auto"/>
              <w:right w:val="single" w:sz="4" w:space="0" w:color="auto"/>
            </w:tcBorders>
            <w:shd w:val="clear" w:color="auto" w:fill="auto"/>
            <w:vAlign w:val="center"/>
          </w:tcPr>
          <w:p w:rsidR="008972F9" w:rsidRPr="00C90AC9" w:rsidRDefault="008972F9" w:rsidP="004B00CC">
            <w:pPr>
              <w:jc w:val="center"/>
              <w:rPr>
                <w:rFonts w:eastAsia="Times New Roman"/>
              </w:rPr>
            </w:pPr>
            <w:r w:rsidRPr="00C90AC9">
              <w:rPr>
                <w:rFonts w:eastAsia="Times New Roman"/>
              </w:rPr>
              <w:t>Average of Direct Irradiation (W/m</w:t>
            </w:r>
            <w:r w:rsidRPr="00C90AC9">
              <w:rPr>
                <w:rFonts w:eastAsia="Times New Roman"/>
                <w:vertAlign w:val="superscript"/>
              </w:rPr>
              <w:t>2</w:t>
            </w:r>
            <w:r w:rsidRPr="00C90AC9">
              <w:rPr>
                <w:rFonts w:eastAsia="Times New Roman"/>
              </w:rPr>
              <w:t>)</w:t>
            </w:r>
          </w:p>
        </w:tc>
        <w:tc>
          <w:tcPr>
            <w:tcW w:w="1502" w:type="dxa"/>
            <w:tcBorders>
              <w:top w:val="single" w:sz="4" w:space="0" w:color="auto"/>
              <w:left w:val="single" w:sz="4" w:space="0" w:color="auto"/>
              <w:bottom w:val="double" w:sz="4" w:space="0" w:color="auto"/>
              <w:right w:val="single" w:sz="4" w:space="0" w:color="auto"/>
            </w:tcBorders>
            <w:shd w:val="clear" w:color="auto" w:fill="auto"/>
            <w:vAlign w:val="center"/>
          </w:tcPr>
          <w:p w:rsidR="008972F9" w:rsidRPr="00C90AC9" w:rsidRDefault="008972F9" w:rsidP="004B00CC">
            <w:pPr>
              <w:jc w:val="center"/>
              <w:rPr>
                <w:rFonts w:eastAsia="Times New Roman"/>
              </w:rPr>
            </w:pPr>
            <w:r w:rsidRPr="00C90AC9">
              <w:rPr>
                <w:rFonts w:eastAsia="Times New Roman"/>
              </w:rPr>
              <w:t>Average of Diffuse Irradiation (W/m</w:t>
            </w:r>
            <w:r w:rsidRPr="00C90AC9">
              <w:rPr>
                <w:rFonts w:eastAsia="Times New Roman"/>
                <w:vertAlign w:val="superscript"/>
              </w:rPr>
              <w:t>2</w:t>
            </w:r>
            <w:r w:rsidRPr="00C90AC9">
              <w:rPr>
                <w:rFonts w:eastAsia="Times New Roman"/>
              </w:rPr>
              <w:t>)</w:t>
            </w:r>
          </w:p>
        </w:tc>
        <w:tc>
          <w:tcPr>
            <w:tcW w:w="1698" w:type="dxa"/>
            <w:tcBorders>
              <w:top w:val="single" w:sz="4" w:space="0" w:color="auto"/>
              <w:left w:val="single" w:sz="4" w:space="0" w:color="auto"/>
              <w:bottom w:val="double" w:sz="4" w:space="0" w:color="auto"/>
              <w:right w:val="single" w:sz="4" w:space="0" w:color="auto"/>
            </w:tcBorders>
            <w:shd w:val="clear" w:color="auto" w:fill="auto"/>
            <w:vAlign w:val="center"/>
          </w:tcPr>
          <w:p w:rsidR="008972F9" w:rsidRPr="00C90AC9" w:rsidRDefault="008972F9" w:rsidP="004B00CC">
            <w:pPr>
              <w:jc w:val="center"/>
              <w:rPr>
                <w:rFonts w:eastAsia="Times New Roman"/>
              </w:rPr>
            </w:pPr>
            <w:r w:rsidRPr="00C90AC9">
              <w:rPr>
                <w:rFonts w:eastAsia="Times New Roman"/>
              </w:rPr>
              <w:t>Number of times symbol used by the MET Office in data set</w:t>
            </w:r>
          </w:p>
        </w:tc>
        <w:tc>
          <w:tcPr>
            <w:tcW w:w="1660" w:type="dxa"/>
            <w:tcBorders>
              <w:top w:val="single" w:sz="4" w:space="0" w:color="auto"/>
              <w:left w:val="single" w:sz="4" w:space="0" w:color="auto"/>
              <w:bottom w:val="double" w:sz="4" w:space="0" w:color="auto"/>
              <w:right w:val="single" w:sz="4" w:space="0" w:color="auto"/>
            </w:tcBorders>
            <w:shd w:val="clear" w:color="auto" w:fill="auto"/>
            <w:vAlign w:val="center"/>
          </w:tcPr>
          <w:p w:rsidR="008972F9" w:rsidRPr="00C90AC9" w:rsidRDefault="008972F9" w:rsidP="004B00CC">
            <w:pPr>
              <w:jc w:val="center"/>
              <w:rPr>
                <w:rFonts w:eastAsia="Times New Roman"/>
              </w:rPr>
            </w:pPr>
            <w:r w:rsidRPr="00C90AC9">
              <w:rPr>
                <w:rFonts w:eastAsia="Times New Roman"/>
              </w:rPr>
              <w:t>Percentage of total (%)</w:t>
            </w:r>
          </w:p>
        </w:tc>
      </w:tr>
      <w:tr w:rsidR="008972F9" w:rsidRPr="00C90AC9" w:rsidTr="004B00CC">
        <w:trPr>
          <w:trHeight w:hRule="exact" w:val="405"/>
        </w:trPr>
        <w:tc>
          <w:tcPr>
            <w:tcW w:w="1171" w:type="dxa"/>
            <w:tcBorders>
              <w:top w:val="double" w:sz="4" w:space="0" w:color="auto"/>
            </w:tcBorders>
            <w:vAlign w:val="center"/>
          </w:tcPr>
          <w:p w:rsidR="008972F9" w:rsidRPr="00C90AC9" w:rsidRDefault="008972F9" w:rsidP="004B00CC">
            <w:pPr>
              <w:jc w:val="center"/>
              <w:rPr>
                <w:rFonts w:eastAsia="Times New Roman"/>
              </w:rPr>
            </w:pPr>
            <w:r w:rsidRPr="00C90AC9">
              <w:rPr>
                <w:rFonts w:eastAsia="Times New Roman"/>
              </w:rPr>
              <w:t>0</w:t>
            </w:r>
          </w:p>
        </w:tc>
        <w:tc>
          <w:tcPr>
            <w:tcW w:w="1409" w:type="dxa"/>
            <w:tcBorders>
              <w:top w:val="double" w:sz="4" w:space="0" w:color="auto"/>
            </w:tcBorders>
            <w:vAlign w:val="center"/>
          </w:tcPr>
          <w:p w:rsidR="008972F9" w:rsidRPr="00C90AC9" w:rsidRDefault="008972F9" w:rsidP="004B00CC">
            <w:pPr>
              <w:jc w:val="center"/>
              <w:rPr>
                <w:rFonts w:eastAsiaTheme="minorHAnsi"/>
                <w:lang w:eastAsia="en-US"/>
              </w:rPr>
            </w:pPr>
            <w:r w:rsidRPr="00C90AC9">
              <w:rPr>
                <w:rFonts w:eastAsiaTheme="minorHAnsi"/>
                <w:lang w:eastAsia="en-US"/>
              </w:rPr>
              <w:t>57.67</w:t>
            </w:r>
          </w:p>
        </w:tc>
        <w:tc>
          <w:tcPr>
            <w:tcW w:w="1502" w:type="dxa"/>
            <w:tcBorders>
              <w:top w:val="double" w:sz="4" w:space="0" w:color="auto"/>
            </w:tcBorders>
            <w:vAlign w:val="center"/>
          </w:tcPr>
          <w:p w:rsidR="008972F9" w:rsidRPr="00C90AC9" w:rsidRDefault="008972F9" w:rsidP="004B00CC">
            <w:pPr>
              <w:jc w:val="center"/>
              <w:rPr>
                <w:rFonts w:eastAsiaTheme="minorHAnsi"/>
                <w:lang w:eastAsia="en-US"/>
              </w:rPr>
            </w:pPr>
            <w:r w:rsidRPr="00C90AC9">
              <w:rPr>
                <w:rFonts w:eastAsiaTheme="minorHAnsi"/>
                <w:lang w:eastAsia="en-US"/>
              </w:rPr>
              <w:t>40.79</w:t>
            </w:r>
          </w:p>
        </w:tc>
        <w:tc>
          <w:tcPr>
            <w:tcW w:w="1698" w:type="dxa"/>
            <w:tcBorders>
              <w:top w:val="double" w:sz="4" w:space="0" w:color="auto"/>
            </w:tcBorders>
            <w:vAlign w:val="center"/>
          </w:tcPr>
          <w:p w:rsidR="008972F9" w:rsidRPr="00C90AC9" w:rsidRDefault="008972F9" w:rsidP="004B00CC">
            <w:pPr>
              <w:jc w:val="center"/>
              <w:rPr>
                <w:rFonts w:eastAsiaTheme="minorHAnsi"/>
                <w:lang w:eastAsia="en-US"/>
              </w:rPr>
            </w:pPr>
            <w:r w:rsidRPr="00C90AC9">
              <w:rPr>
                <w:rFonts w:eastAsiaTheme="minorHAnsi"/>
                <w:lang w:eastAsia="en-US"/>
              </w:rPr>
              <w:t>89460</w:t>
            </w:r>
          </w:p>
        </w:tc>
        <w:tc>
          <w:tcPr>
            <w:tcW w:w="1660" w:type="dxa"/>
            <w:tcBorders>
              <w:top w:val="double" w:sz="4" w:space="0" w:color="auto"/>
            </w:tcBorders>
            <w:vAlign w:val="center"/>
          </w:tcPr>
          <w:p w:rsidR="008972F9" w:rsidRPr="00C90AC9" w:rsidRDefault="008972F9" w:rsidP="004B00CC">
            <w:pPr>
              <w:jc w:val="center"/>
              <w:rPr>
                <w:rFonts w:eastAsiaTheme="minorHAnsi"/>
                <w:lang w:eastAsia="en-US"/>
              </w:rPr>
            </w:pPr>
            <w:r w:rsidRPr="00C90AC9">
              <w:rPr>
                <w:rFonts w:eastAsiaTheme="minorHAnsi"/>
                <w:lang w:eastAsia="en-US"/>
              </w:rPr>
              <w:t>12.60</w:t>
            </w:r>
          </w:p>
        </w:tc>
      </w:tr>
      <w:tr w:rsidR="008972F9" w:rsidRPr="00C90AC9" w:rsidTr="004B00CC">
        <w:trPr>
          <w:trHeight w:hRule="exact" w:val="405"/>
        </w:trPr>
        <w:tc>
          <w:tcPr>
            <w:tcW w:w="1171" w:type="dxa"/>
            <w:vAlign w:val="center"/>
          </w:tcPr>
          <w:p w:rsidR="008972F9" w:rsidRPr="00C90AC9" w:rsidRDefault="008972F9" w:rsidP="004B00CC">
            <w:pPr>
              <w:jc w:val="center"/>
              <w:rPr>
                <w:rFonts w:eastAsia="Times New Roman"/>
              </w:rPr>
            </w:pPr>
            <w:r w:rsidRPr="00C90AC9">
              <w:rPr>
                <w:rFonts w:eastAsia="Times New Roman"/>
              </w:rPr>
              <w:t>1</w:t>
            </w:r>
          </w:p>
        </w:tc>
        <w:tc>
          <w:tcPr>
            <w:tcW w:w="1409"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155.02</w:t>
            </w:r>
          </w:p>
        </w:tc>
        <w:tc>
          <w:tcPr>
            <w:tcW w:w="1502"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87.84</w:t>
            </w:r>
          </w:p>
        </w:tc>
        <w:tc>
          <w:tcPr>
            <w:tcW w:w="1698"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63000</w:t>
            </w:r>
          </w:p>
        </w:tc>
        <w:tc>
          <w:tcPr>
            <w:tcW w:w="1660"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8.87</w:t>
            </w:r>
          </w:p>
        </w:tc>
      </w:tr>
      <w:tr w:rsidR="008972F9" w:rsidRPr="00C90AC9" w:rsidTr="004B00CC">
        <w:trPr>
          <w:trHeight w:hRule="exact" w:val="405"/>
        </w:trPr>
        <w:tc>
          <w:tcPr>
            <w:tcW w:w="1171" w:type="dxa"/>
            <w:vAlign w:val="center"/>
          </w:tcPr>
          <w:p w:rsidR="008972F9" w:rsidRPr="00C90AC9" w:rsidRDefault="008972F9" w:rsidP="004B00CC">
            <w:pPr>
              <w:jc w:val="center"/>
              <w:rPr>
                <w:rFonts w:eastAsia="Times New Roman"/>
              </w:rPr>
            </w:pPr>
            <w:r w:rsidRPr="00C90AC9">
              <w:rPr>
                <w:rFonts w:eastAsia="Times New Roman"/>
              </w:rPr>
              <w:t>2</w:t>
            </w:r>
          </w:p>
        </w:tc>
        <w:tc>
          <w:tcPr>
            <w:tcW w:w="1409"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38.31</w:t>
            </w:r>
          </w:p>
        </w:tc>
        <w:tc>
          <w:tcPr>
            <w:tcW w:w="1502"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45.24</w:t>
            </w:r>
          </w:p>
        </w:tc>
        <w:tc>
          <w:tcPr>
            <w:tcW w:w="1698"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56700</w:t>
            </w:r>
          </w:p>
        </w:tc>
        <w:tc>
          <w:tcPr>
            <w:tcW w:w="1660"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7.99</w:t>
            </w:r>
          </w:p>
        </w:tc>
      </w:tr>
      <w:tr w:rsidR="008972F9" w:rsidRPr="00C90AC9" w:rsidTr="004B00CC">
        <w:trPr>
          <w:trHeight w:hRule="exact" w:val="405"/>
        </w:trPr>
        <w:tc>
          <w:tcPr>
            <w:tcW w:w="1171" w:type="dxa"/>
            <w:vAlign w:val="center"/>
          </w:tcPr>
          <w:p w:rsidR="008972F9" w:rsidRPr="00C90AC9" w:rsidRDefault="008972F9" w:rsidP="004B00CC">
            <w:pPr>
              <w:jc w:val="center"/>
              <w:rPr>
                <w:rFonts w:eastAsia="Times New Roman"/>
              </w:rPr>
            </w:pPr>
            <w:r w:rsidRPr="00C90AC9">
              <w:rPr>
                <w:rFonts w:eastAsia="Times New Roman"/>
              </w:rPr>
              <w:t>3</w:t>
            </w:r>
          </w:p>
        </w:tc>
        <w:tc>
          <w:tcPr>
            <w:tcW w:w="1409"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102.69</w:t>
            </w:r>
          </w:p>
        </w:tc>
        <w:tc>
          <w:tcPr>
            <w:tcW w:w="1502"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102.47</w:t>
            </w:r>
          </w:p>
        </w:tc>
        <w:tc>
          <w:tcPr>
            <w:tcW w:w="1698"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66960</w:t>
            </w:r>
          </w:p>
        </w:tc>
        <w:tc>
          <w:tcPr>
            <w:tcW w:w="1660"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9.43</w:t>
            </w:r>
          </w:p>
        </w:tc>
      </w:tr>
      <w:tr w:rsidR="008972F9" w:rsidRPr="00C90AC9" w:rsidTr="004B00CC">
        <w:trPr>
          <w:trHeight w:hRule="exact" w:val="405"/>
        </w:trPr>
        <w:tc>
          <w:tcPr>
            <w:tcW w:w="1171" w:type="dxa"/>
            <w:vAlign w:val="center"/>
          </w:tcPr>
          <w:p w:rsidR="008972F9" w:rsidRPr="00C90AC9" w:rsidRDefault="008972F9" w:rsidP="004B00CC">
            <w:pPr>
              <w:jc w:val="center"/>
              <w:rPr>
                <w:rFonts w:eastAsia="Times New Roman"/>
              </w:rPr>
            </w:pPr>
            <w:r w:rsidRPr="00C90AC9">
              <w:rPr>
                <w:rFonts w:eastAsia="Times New Roman"/>
              </w:rPr>
              <w:t>5</w:t>
            </w:r>
          </w:p>
        </w:tc>
        <w:tc>
          <w:tcPr>
            <w:tcW w:w="1409"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72.38</w:t>
            </w:r>
          </w:p>
        </w:tc>
        <w:tc>
          <w:tcPr>
            <w:tcW w:w="1502"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105.01</w:t>
            </w:r>
          </w:p>
        </w:tc>
        <w:tc>
          <w:tcPr>
            <w:tcW w:w="1698"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3240</w:t>
            </w:r>
          </w:p>
        </w:tc>
        <w:tc>
          <w:tcPr>
            <w:tcW w:w="1660"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0.46</w:t>
            </w:r>
          </w:p>
        </w:tc>
      </w:tr>
      <w:tr w:rsidR="008972F9" w:rsidRPr="00C90AC9" w:rsidTr="004B00CC">
        <w:trPr>
          <w:trHeight w:hRule="exact" w:val="405"/>
        </w:trPr>
        <w:tc>
          <w:tcPr>
            <w:tcW w:w="1171" w:type="dxa"/>
            <w:vAlign w:val="center"/>
          </w:tcPr>
          <w:p w:rsidR="008972F9" w:rsidRPr="00C90AC9" w:rsidRDefault="008972F9" w:rsidP="004B00CC">
            <w:pPr>
              <w:jc w:val="center"/>
              <w:rPr>
                <w:rFonts w:eastAsia="Times New Roman"/>
              </w:rPr>
            </w:pPr>
            <w:r w:rsidRPr="00C90AC9">
              <w:rPr>
                <w:rFonts w:eastAsia="Times New Roman"/>
              </w:rPr>
              <w:t>6</w:t>
            </w:r>
          </w:p>
        </w:tc>
        <w:tc>
          <w:tcPr>
            <w:tcW w:w="1409"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145.96</w:t>
            </w:r>
          </w:p>
        </w:tc>
        <w:tc>
          <w:tcPr>
            <w:tcW w:w="1502"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146.68</w:t>
            </w:r>
          </w:p>
        </w:tc>
        <w:tc>
          <w:tcPr>
            <w:tcW w:w="1698"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1980</w:t>
            </w:r>
          </w:p>
        </w:tc>
        <w:tc>
          <w:tcPr>
            <w:tcW w:w="1660"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0.28</w:t>
            </w:r>
          </w:p>
        </w:tc>
      </w:tr>
      <w:tr w:rsidR="008972F9" w:rsidRPr="00C90AC9" w:rsidTr="004B00CC">
        <w:trPr>
          <w:trHeight w:hRule="exact" w:val="405"/>
        </w:trPr>
        <w:tc>
          <w:tcPr>
            <w:tcW w:w="1171" w:type="dxa"/>
            <w:vAlign w:val="center"/>
          </w:tcPr>
          <w:p w:rsidR="008972F9" w:rsidRPr="00C90AC9" w:rsidRDefault="008972F9" w:rsidP="004B00CC">
            <w:pPr>
              <w:jc w:val="center"/>
              <w:rPr>
                <w:rFonts w:eastAsia="Times New Roman"/>
              </w:rPr>
            </w:pPr>
            <w:r w:rsidRPr="00C90AC9">
              <w:rPr>
                <w:rFonts w:eastAsia="Times New Roman"/>
              </w:rPr>
              <w:t>7</w:t>
            </w:r>
          </w:p>
        </w:tc>
        <w:tc>
          <w:tcPr>
            <w:tcW w:w="1409"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42.34</w:t>
            </w:r>
          </w:p>
        </w:tc>
        <w:tc>
          <w:tcPr>
            <w:tcW w:w="1502"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73.74</w:t>
            </w:r>
          </w:p>
        </w:tc>
        <w:tc>
          <w:tcPr>
            <w:tcW w:w="1698"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236160</w:t>
            </w:r>
          </w:p>
        </w:tc>
        <w:tc>
          <w:tcPr>
            <w:tcW w:w="1660"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33.27</w:t>
            </w:r>
          </w:p>
        </w:tc>
      </w:tr>
      <w:tr w:rsidR="008972F9" w:rsidRPr="00C90AC9" w:rsidTr="004B00CC">
        <w:trPr>
          <w:trHeight w:hRule="exact" w:val="405"/>
        </w:trPr>
        <w:tc>
          <w:tcPr>
            <w:tcW w:w="1171" w:type="dxa"/>
            <w:vAlign w:val="center"/>
          </w:tcPr>
          <w:p w:rsidR="008972F9" w:rsidRPr="00C90AC9" w:rsidRDefault="008972F9" w:rsidP="004B00CC">
            <w:pPr>
              <w:jc w:val="center"/>
              <w:rPr>
                <w:rFonts w:eastAsia="Times New Roman"/>
              </w:rPr>
            </w:pPr>
            <w:r w:rsidRPr="00C90AC9">
              <w:rPr>
                <w:rFonts w:eastAsia="Times New Roman"/>
              </w:rPr>
              <w:t>8</w:t>
            </w:r>
          </w:p>
        </w:tc>
        <w:tc>
          <w:tcPr>
            <w:tcW w:w="1409"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39.75</w:t>
            </w:r>
          </w:p>
        </w:tc>
        <w:tc>
          <w:tcPr>
            <w:tcW w:w="1502"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83.04</w:t>
            </w:r>
          </w:p>
        </w:tc>
        <w:tc>
          <w:tcPr>
            <w:tcW w:w="1698"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58860</w:t>
            </w:r>
          </w:p>
        </w:tc>
        <w:tc>
          <w:tcPr>
            <w:tcW w:w="1660"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8.29</w:t>
            </w:r>
          </w:p>
        </w:tc>
      </w:tr>
      <w:tr w:rsidR="008972F9" w:rsidRPr="00C90AC9" w:rsidTr="004B00CC">
        <w:trPr>
          <w:trHeight w:hRule="exact" w:val="405"/>
        </w:trPr>
        <w:tc>
          <w:tcPr>
            <w:tcW w:w="1171" w:type="dxa"/>
            <w:vAlign w:val="center"/>
          </w:tcPr>
          <w:p w:rsidR="008972F9" w:rsidRPr="00C90AC9" w:rsidRDefault="008972F9" w:rsidP="004B00CC">
            <w:pPr>
              <w:jc w:val="center"/>
              <w:rPr>
                <w:rFonts w:eastAsia="Times New Roman"/>
              </w:rPr>
            </w:pPr>
            <w:r w:rsidRPr="00C90AC9">
              <w:rPr>
                <w:rFonts w:eastAsia="Times New Roman"/>
              </w:rPr>
              <w:t>9</w:t>
            </w:r>
          </w:p>
        </w:tc>
        <w:tc>
          <w:tcPr>
            <w:tcW w:w="1409"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30.91</w:t>
            </w:r>
          </w:p>
        </w:tc>
        <w:tc>
          <w:tcPr>
            <w:tcW w:w="1502"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26.23</w:t>
            </w:r>
          </w:p>
        </w:tc>
        <w:tc>
          <w:tcPr>
            <w:tcW w:w="1698"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10612</w:t>
            </w:r>
          </w:p>
        </w:tc>
        <w:tc>
          <w:tcPr>
            <w:tcW w:w="1660"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1.50</w:t>
            </w:r>
          </w:p>
        </w:tc>
      </w:tr>
      <w:tr w:rsidR="008972F9" w:rsidRPr="00C90AC9" w:rsidTr="004B00CC">
        <w:trPr>
          <w:trHeight w:hRule="exact" w:val="405"/>
        </w:trPr>
        <w:tc>
          <w:tcPr>
            <w:tcW w:w="1171" w:type="dxa"/>
            <w:vAlign w:val="center"/>
          </w:tcPr>
          <w:p w:rsidR="008972F9" w:rsidRPr="00C90AC9" w:rsidRDefault="008972F9" w:rsidP="004B00CC">
            <w:pPr>
              <w:jc w:val="center"/>
              <w:rPr>
                <w:rFonts w:eastAsia="Times New Roman"/>
              </w:rPr>
            </w:pPr>
            <w:r w:rsidRPr="00C90AC9">
              <w:rPr>
                <w:rFonts w:eastAsia="Times New Roman"/>
              </w:rPr>
              <w:t>10</w:t>
            </w:r>
          </w:p>
        </w:tc>
        <w:tc>
          <w:tcPr>
            <w:tcW w:w="1409"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32.91</w:t>
            </w:r>
          </w:p>
        </w:tc>
        <w:tc>
          <w:tcPr>
            <w:tcW w:w="1502"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49.97</w:t>
            </w:r>
          </w:p>
        </w:tc>
        <w:tc>
          <w:tcPr>
            <w:tcW w:w="1698"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14040</w:t>
            </w:r>
          </w:p>
        </w:tc>
        <w:tc>
          <w:tcPr>
            <w:tcW w:w="1660"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1.98</w:t>
            </w:r>
          </w:p>
        </w:tc>
      </w:tr>
      <w:tr w:rsidR="008972F9" w:rsidRPr="00C90AC9" w:rsidTr="004B00CC">
        <w:trPr>
          <w:trHeight w:hRule="exact" w:val="405"/>
        </w:trPr>
        <w:tc>
          <w:tcPr>
            <w:tcW w:w="1171" w:type="dxa"/>
            <w:vAlign w:val="center"/>
          </w:tcPr>
          <w:p w:rsidR="008972F9" w:rsidRPr="00C90AC9" w:rsidRDefault="008972F9" w:rsidP="004B00CC">
            <w:pPr>
              <w:jc w:val="center"/>
              <w:rPr>
                <w:rFonts w:eastAsia="Times New Roman"/>
              </w:rPr>
            </w:pPr>
            <w:r w:rsidRPr="00C90AC9">
              <w:rPr>
                <w:rFonts w:eastAsia="Times New Roman"/>
              </w:rPr>
              <w:t>12</w:t>
            </w:r>
          </w:p>
        </w:tc>
        <w:tc>
          <w:tcPr>
            <w:tcW w:w="1409"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29.65</w:t>
            </w:r>
          </w:p>
        </w:tc>
        <w:tc>
          <w:tcPr>
            <w:tcW w:w="1502"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59.18</w:t>
            </w:r>
          </w:p>
        </w:tc>
        <w:tc>
          <w:tcPr>
            <w:tcW w:w="1698"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45360</w:t>
            </w:r>
          </w:p>
        </w:tc>
        <w:tc>
          <w:tcPr>
            <w:tcW w:w="1660"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6.39</w:t>
            </w:r>
          </w:p>
        </w:tc>
      </w:tr>
      <w:tr w:rsidR="008972F9" w:rsidRPr="00C90AC9" w:rsidTr="004B00CC">
        <w:trPr>
          <w:trHeight w:hRule="exact" w:val="405"/>
        </w:trPr>
        <w:tc>
          <w:tcPr>
            <w:tcW w:w="1171" w:type="dxa"/>
            <w:vAlign w:val="center"/>
          </w:tcPr>
          <w:p w:rsidR="008972F9" w:rsidRPr="00C90AC9" w:rsidRDefault="008972F9" w:rsidP="004B00CC">
            <w:pPr>
              <w:jc w:val="center"/>
              <w:rPr>
                <w:rFonts w:eastAsia="Times New Roman"/>
              </w:rPr>
            </w:pPr>
            <w:r w:rsidRPr="00C90AC9">
              <w:rPr>
                <w:rFonts w:eastAsia="Times New Roman"/>
              </w:rPr>
              <w:t>13</w:t>
            </w:r>
          </w:p>
        </w:tc>
        <w:tc>
          <w:tcPr>
            <w:tcW w:w="1409"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10.35</w:t>
            </w:r>
          </w:p>
        </w:tc>
        <w:tc>
          <w:tcPr>
            <w:tcW w:w="1502"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17.16</w:t>
            </w:r>
          </w:p>
        </w:tc>
        <w:tc>
          <w:tcPr>
            <w:tcW w:w="1698"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5220</w:t>
            </w:r>
          </w:p>
        </w:tc>
        <w:tc>
          <w:tcPr>
            <w:tcW w:w="1660"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0.74</w:t>
            </w:r>
          </w:p>
        </w:tc>
      </w:tr>
      <w:tr w:rsidR="008972F9" w:rsidRPr="00C90AC9" w:rsidTr="004B00CC">
        <w:trPr>
          <w:trHeight w:hRule="exact" w:val="405"/>
        </w:trPr>
        <w:tc>
          <w:tcPr>
            <w:tcW w:w="1171" w:type="dxa"/>
            <w:vAlign w:val="center"/>
          </w:tcPr>
          <w:p w:rsidR="008972F9" w:rsidRPr="00C90AC9" w:rsidRDefault="008972F9" w:rsidP="004B00CC">
            <w:pPr>
              <w:jc w:val="center"/>
              <w:rPr>
                <w:rFonts w:eastAsia="Times New Roman"/>
              </w:rPr>
            </w:pPr>
            <w:r w:rsidRPr="00C90AC9">
              <w:rPr>
                <w:rFonts w:eastAsia="Times New Roman"/>
              </w:rPr>
              <w:t>14</w:t>
            </w:r>
          </w:p>
        </w:tc>
        <w:tc>
          <w:tcPr>
            <w:tcW w:w="1409"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26.70</w:t>
            </w:r>
          </w:p>
        </w:tc>
        <w:tc>
          <w:tcPr>
            <w:tcW w:w="1502"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53.87</w:t>
            </w:r>
          </w:p>
        </w:tc>
        <w:tc>
          <w:tcPr>
            <w:tcW w:w="1698"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9360</w:t>
            </w:r>
          </w:p>
        </w:tc>
        <w:tc>
          <w:tcPr>
            <w:tcW w:w="1660"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1.32</w:t>
            </w:r>
          </w:p>
        </w:tc>
      </w:tr>
      <w:tr w:rsidR="008972F9" w:rsidRPr="00C90AC9" w:rsidTr="004B00CC">
        <w:trPr>
          <w:trHeight w:hRule="exact" w:val="405"/>
        </w:trPr>
        <w:tc>
          <w:tcPr>
            <w:tcW w:w="1171" w:type="dxa"/>
            <w:vAlign w:val="center"/>
          </w:tcPr>
          <w:p w:rsidR="008972F9" w:rsidRPr="00C90AC9" w:rsidRDefault="008972F9" w:rsidP="004B00CC">
            <w:pPr>
              <w:jc w:val="center"/>
              <w:rPr>
                <w:rFonts w:eastAsia="Times New Roman"/>
              </w:rPr>
            </w:pPr>
            <w:r w:rsidRPr="00C90AC9">
              <w:rPr>
                <w:rFonts w:eastAsia="Times New Roman"/>
              </w:rPr>
              <w:t>15</w:t>
            </w:r>
          </w:p>
        </w:tc>
        <w:tc>
          <w:tcPr>
            <w:tcW w:w="1409"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27.16</w:t>
            </w:r>
          </w:p>
        </w:tc>
        <w:tc>
          <w:tcPr>
            <w:tcW w:w="1502"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54.16</w:t>
            </w:r>
          </w:p>
        </w:tc>
        <w:tc>
          <w:tcPr>
            <w:tcW w:w="1698"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40680</w:t>
            </w:r>
          </w:p>
        </w:tc>
        <w:tc>
          <w:tcPr>
            <w:tcW w:w="1660"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5.73</w:t>
            </w:r>
          </w:p>
        </w:tc>
      </w:tr>
      <w:tr w:rsidR="008972F9" w:rsidRPr="00C90AC9" w:rsidTr="004B00CC">
        <w:trPr>
          <w:trHeight w:hRule="exact" w:val="405"/>
        </w:trPr>
        <w:tc>
          <w:tcPr>
            <w:tcW w:w="1171" w:type="dxa"/>
            <w:vAlign w:val="center"/>
          </w:tcPr>
          <w:p w:rsidR="008972F9" w:rsidRPr="00C90AC9" w:rsidRDefault="008972F9" w:rsidP="004B00CC">
            <w:pPr>
              <w:jc w:val="center"/>
              <w:rPr>
                <w:rFonts w:eastAsia="Times New Roman"/>
              </w:rPr>
            </w:pPr>
            <w:r w:rsidRPr="00C90AC9">
              <w:rPr>
                <w:rFonts w:eastAsia="Times New Roman"/>
              </w:rPr>
              <w:t>16</w:t>
            </w:r>
          </w:p>
        </w:tc>
        <w:tc>
          <w:tcPr>
            <w:tcW w:w="1409"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103.41</w:t>
            </w:r>
          </w:p>
        </w:tc>
        <w:tc>
          <w:tcPr>
            <w:tcW w:w="1502"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30.96</w:t>
            </w:r>
          </w:p>
        </w:tc>
        <w:tc>
          <w:tcPr>
            <w:tcW w:w="1698"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540</w:t>
            </w:r>
          </w:p>
        </w:tc>
        <w:tc>
          <w:tcPr>
            <w:tcW w:w="1660"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0.08</w:t>
            </w:r>
          </w:p>
        </w:tc>
      </w:tr>
      <w:tr w:rsidR="008972F9" w:rsidRPr="00C90AC9" w:rsidTr="004B00CC">
        <w:trPr>
          <w:trHeight w:hRule="exact" w:val="405"/>
        </w:trPr>
        <w:tc>
          <w:tcPr>
            <w:tcW w:w="1171" w:type="dxa"/>
            <w:vAlign w:val="center"/>
          </w:tcPr>
          <w:p w:rsidR="008972F9" w:rsidRPr="00C90AC9" w:rsidRDefault="008972F9" w:rsidP="004B00CC">
            <w:pPr>
              <w:jc w:val="center"/>
              <w:rPr>
                <w:rFonts w:eastAsia="Times New Roman"/>
              </w:rPr>
            </w:pPr>
            <w:r w:rsidRPr="00C90AC9">
              <w:rPr>
                <w:rFonts w:eastAsia="Times New Roman"/>
              </w:rPr>
              <w:t>17</w:t>
            </w:r>
          </w:p>
        </w:tc>
        <w:tc>
          <w:tcPr>
            <w:tcW w:w="1409"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149.15</w:t>
            </w:r>
          </w:p>
        </w:tc>
        <w:tc>
          <w:tcPr>
            <w:tcW w:w="1502"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87.76</w:t>
            </w:r>
          </w:p>
        </w:tc>
        <w:tc>
          <w:tcPr>
            <w:tcW w:w="1698"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180</w:t>
            </w:r>
          </w:p>
        </w:tc>
        <w:tc>
          <w:tcPr>
            <w:tcW w:w="1660"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0.03</w:t>
            </w:r>
          </w:p>
        </w:tc>
      </w:tr>
      <w:tr w:rsidR="008972F9" w:rsidRPr="00C90AC9" w:rsidTr="004B00CC">
        <w:trPr>
          <w:trHeight w:hRule="exact" w:val="405"/>
        </w:trPr>
        <w:tc>
          <w:tcPr>
            <w:tcW w:w="1171" w:type="dxa"/>
            <w:vAlign w:val="center"/>
          </w:tcPr>
          <w:p w:rsidR="008972F9" w:rsidRPr="00C90AC9" w:rsidRDefault="008972F9" w:rsidP="004B00CC">
            <w:pPr>
              <w:jc w:val="center"/>
              <w:rPr>
                <w:rFonts w:eastAsia="Times New Roman"/>
              </w:rPr>
            </w:pPr>
            <w:r w:rsidRPr="00C90AC9">
              <w:rPr>
                <w:rFonts w:eastAsia="Times New Roman"/>
              </w:rPr>
              <w:t>18</w:t>
            </w:r>
          </w:p>
        </w:tc>
        <w:tc>
          <w:tcPr>
            <w:tcW w:w="1409"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36.75</w:t>
            </w:r>
          </w:p>
        </w:tc>
        <w:tc>
          <w:tcPr>
            <w:tcW w:w="1502"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35.15</w:t>
            </w:r>
          </w:p>
        </w:tc>
        <w:tc>
          <w:tcPr>
            <w:tcW w:w="1698"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3960</w:t>
            </w:r>
          </w:p>
        </w:tc>
        <w:tc>
          <w:tcPr>
            <w:tcW w:w="1660"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0.56</w:t>
            </w:r>
          </w:p>
        </w:tc>
      </w:tr>
      <w:tr w:rsidR="008972F9" w:rsidRPr="00C90AC9" w:rsidTr="004B00CC">
        <w:trPr>
          <w:trHeight w:hRule="exact" w:val="405"/>
        </w:trPr>
        <w:tc>
          <w:tcPr>
            <w:tcW w:w="1171" w:type="dxa"/>
            <w:vAlign w:val="center"/>
          </w:tcPr>
          <w:p w:rsidR="008972F9" w:rsidRPr="00C90AC9" w:rsidRDefault="008972F9" w:rsidP="004B00CC">
            <w:pPr>
              <w:jc w:val="center"/>
              <w:rPr>
                <w:rFonts w:eastAsia="Times New Roman"/>
              </w:rPr>
            </w:pPr>
            <w:r w:rsidRPr="00C90AC9">
              <w:rPr>
                <w:rFonts w:eastAsia="Times New Roman"/>
              </w:rPr>
              <w:t>20</w:t>
            </w:r>
          </w:p>
        </w:tc>
        <w:tc>
          <w:tcPr>
            <w:tcW w:w="1409"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1.02</w:t>
            </w:r>
          </w:p>
        </w:tc>
        <w:tc>
          <w:tcPr>
            <w:tcW w:w="1502"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3.10</w:t>
            </w:r>
          </w:p>
        </w:tc>
        <w:tc>
          <w:tcPr>
            <w:tcW w:w="1698"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180</w:t>
            </w:r>
          </w:p>
        </w:tc>
        <w:tc>
          <w:tcPr>
            <w:tcW w:w="1660"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0.03</w:t>
            </w:r>
          </w:p>
        </w:tc>
      </w:tr>
      <w:tr w:rsidR="008972F9" w:rsidRPr="00C90AC9" w:rsidTr="004B00CC">
        <w:trPr>
          <w:trHeight w:hRule="exact" w:val="405"/>
        </w:trPr>
        <w:tc>
          <w:tcPr>
            <w:tcW w:w="1171" w:type="dxa"/>
            <w:vAlign w:val="center"/>
          </w:tcPr>
          <w:p w:rsidR="008972F9" w:rsidRPr="00C90AC9" w:rsidRDefault="008972F9" w:rsidP="004B00CC">
            <w:pPr>
              <w:jc w:val="center"/>
              <w:rPr>
                <w:rFonts w:eastAsia="Times New Roman"/>
              </w:rPr>
            </w:pPr>
            <w:r w:rsidRPr="00C90AC9">
              <w:rPr>
                <w:rFonts w:eastAsia="Times New Roman"/>
              </w:rPr>
              <w:t>22</w:t>
            </w:r>
          </w:p>
        </w:tc>
        <w:tc>
          <w:tcPr>
            <w:tcW w:w="1409"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0.56</w:t>
            </w:r>
          </w:p>
        </w:tc>
        <w:tc>
          <w:tcPr>
            <w:tcW w:w="1502"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3.83</w:t>
            </w:r>
          </w:p>
        </w:tc>
        <w:tc>
          <w:tcPr>
            <w:tcW w:w="1698"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180</w:t>
            </w:r>
          </w:p>
        </w:tc>
        <w:tc>
          <w:tcPr>
            <w:tcW w:w="1660"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0.03</w:t>
            </w:r>
          </w:p>
        </w:tc>
      </w:tr>
      <w:tr w:rsidR="008972F9" w:rsidRPr="00C90AC9" w:rsidTr="004B00CC">
        <w:trPr>
          <w:trHeight w:hRule="exact" w:val="405"/>
        </w:trPr>
        <w:tc>
          <w:tcPr>
            <w:tcW w:w="1171" w:type="dxa"/>
            <w:vAlign w:val="center"/>
          </w:tcPr>
          <w:p w:rsidR="008972F9" w:rsidRPr="00C90AC9" w:rsidRDefault="008972F9" w:rsidP="004B00CC">
            <w:pPr>
              <w:jc w:val="center"/>
              <w:rPr>
                <w:rFonts w:eastAsia="Times New Roman"/>
              </w:rPr>
            </w:pPr>
            <w:r w:rsidRPr="00C90AC9">
              <w:rPr>
                <w:rFonts w:eastAsia="Times New Roman"/>
              </w:rPr>
              <w:t>24</w:t>
            </w:r>
          </w:p>
        </w:tc>
        <w:tc>
          <w:tcPr>
            <w:tcW w:w="1409"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5.68</w:t>
            </w:r>
          </w:p>
        </w:tc>
        <w:tc>
          <w:tcPr>
            <w:tcW w:w="1502"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7.38</w:t>
            </w:r>
          </w:p>
        </w:tc>
        <w:tc>
          <w:tcPr>
            <w:tcW w:w="1698"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180</w:t>
            </w:r>
          </w:p>
        </w:tc>
        <w:tc>
          <w:tcPr>
            <w:tcW w:w="1660"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0.30</w:t>
            </w:r>
          </w:p>
        </w:tc>
      </w:tr>
      <w:tr w:rsidR="008972F9" w:rsidRPr="00C90AC9" w:rsidTr="004B00CC">
        <w:trPr>
          <w:trHeight w:hRule="exact" w:val="405"/>
        </w:trPr>
        <w:tc>
          <w:tcPr>
            <w:tcW w:w="1171" w:type="dxa"/>
            <w:vAlign w:val="center"/>
          </w:tcPr>
          <w:p w:rsidR="008972F9" w:rsidRPr="00C90AC9" w:rsidRDefault="008972F9" w:rsidP="004B00CC">
            <w:pPr>
              <w:jc w:val="center"/>
              <w:rPr>
                <w:rFonts w:eastAsia="Times New Roman"/>
              </w:rPr>
            </w:pPr>
            <w:r w:rsidRPr="00C90AC9">
              <w:rPr>
                <w:rFonts w:eastAsia="Times New Roman"/>
              </w:rPr>
              <w:t>27</w:t>
            </w:r>
          </w:p>
        </w:tc>
        <w:tc>
          <w:tcPr>
            <w:tcW w:w="1409"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2.57</w:t>
            </w:r>
          </w:p>
        </w:tc>
        <w:tc>
          <w:tcPr>
            <w:tcW w:w="1502"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29.37</w:t>
            </w:r>
          </w:p>
        </w:tc>
        <w:tc>
          <w:tcPr>
            <w:tcW w:w="1698"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720</w:t>
            </w:r>
          </w:p>
        </w:tc>
        <w:tc>
          <w:tcPr>
            <w:tcW w:w="1660" w:type="dxa"/>
            <w:vAlign w:val="center"/>
          </w:tcPr>
          <w:p w:rsidR="008972F9" w:rsidRPr="00C90AC9" w:rsidRDefault="008972F9" w:rsidP="004B00CC">
            <w:pPr>
              <w:jc w:val="center"/>
              <w:rPr>
                <w:rFonts w:eastAsiaTheme="minorHAnsi"/>
                <w:lang w:eastAsia="en-US"/>
              </w:rPr>
            </w:pPr>
            <w:r w:rsidRPr="00C90AC9">
              <w:rPr>
                <w:rFonts w:eastAsiaTheme="minorHAnsi"/>
                <w:lang w:eastAsia="en-US"/>
              </w:rPr>
              <w:t>0.10</w:t>
            </w:r>
          </w:p>
        </w:tc>
      </w:tr>
      <w:tr w:rsidR="008972F9" w:rsidRPr="00C90AC9" w:rsidTr="004B00CC">
        <w:trPr>
          <w:trHeight w:hRule="exact" w:val="405"/>
        </w:trPr>
        <w:tc>
          <w:tcPr>
            <w:tcW w:w="1171" w:type="dxa"/>
            <w:tcBorders>
              <w:bottom w:val="single" w:sz="4" w:space="0" w:color="auto"/>
            </w:tcBorders>
            <w:vAlign w:val="center"/>
          </w:tcPr>
          <w:p w:rsidR="008972F9" w:rsidRPr="00C90AC9" w:rsidRDefault="008972F9" w:rsidP="004B00CC">
            <w:pPr>
              <w:jc w:val="center"/>
              <w:rPr>
                <w:rFonts w:eastAsia="Times New Roman"/>
              </w:rPr>
            </w:pPr>
            <w:r w:rsidRPr="00C90AC9">
              <w:rPr>
                <w:rFonts w:eastAsia="Times New Roman"/>
              </w:rPr>
              <w:t>30</w:t>
            </w:r>
          </w:p>
        </w:tc>
        <w:tc>
          <w:tcPr>
            <w:tcW w:w="1409" w:type="dxa"/>
            <w:tcBorders>
              <w:bottom w:val="single" w:sz="4" w:space="0" w:color="auto"/>
            </w:tcBorders>
            <w:vAlign w:val="center"/>
          </w:tcPr>
          <w:p w:rsidR="008972F9" w:rsidRPr="00C90AC9" w:rsidRDefault="008972F9" w:rsidP="004B00CC">
            <w:pPr>
              <w:jc w:val="center"/>
              <w:rPr>
                <w:rFonts w:eastAsiaTheme="minorHAnsi"/>
                <w:lang w:eastAsia="en-US"/>
              </w:rPr>
            </w:pPr>
            <w:r w:rsidRPr="00C90AC9">
              <w:rPr>
                <w:rFonts w:eastAsiaTheme="minorHAnsi"/>
                <w:lang w:eastAsia="en-US"/>
              </w:rPr>
              <w:t>76.12</w:t>
            </w:r>
          </w:p>
        </w:tc>
        <w:tc>
          <w:tcPr>
            <w:tcW w:w="1502" w:type="dxa"/>
            <w:tcBorders>
              <w:bottom w:val="single" w:sz="4" w:space="0" w:color="auto"/>
            </w:tcBorders>
            <w:vAlign w:val="center"/>
          </w:tcPr>
          <w:p w:rsidR="008972F9" w:rsidRPr="00C90AC9" w:rsidRDefault="008972F9" w:rsidP="004B00CC">
            <w:pPr>
              <w:jc w:val="center"/>
              <w:rPr>
                <w:rFonts w:eastAsiaTheme="minorHAnsi"/>
                <w:lang w:eastAsia="en-US"/>
              </w:rPr>
            </w:pPr>
            <w:r w:rsidRPr="00C90AC9">
              <w:rPr>
                <w:rFonts w:eastAsiaTheme="minorHAnsi"/>
                <w:lang w:eastAsia="en-US"/>
              </w:rPr>
              <w:t>82.31</w:t>
            </w:r>
          </w:p>
        </w:tc>
        <w:tc>
          <w:tcPr>
            <w:tcW w:w="1698" w:type="dxa"/>
            <w:tcBorders>
              <w:bottom w:val="single" w:sz="4" w:space="0" w:color="auto"/>
            </w:tcBorders>
            <w:vAlign w:val="center"/>
          </w:tcPr>
          <w:p w:rsidR="008972F9" w:rsidRPr="00C90AC9" w:rsidRDefault="008972F9" w:rsidP="004B00CC">
            <w:pPr>
              <w:jc w:val="center"/>
              <w:rPr>
                <w:rFonts w:eastAsiaTheme="minorHAnsi"/>
                <w:lang w:eastAsia="en-US"/>
              </w:rPr>
            </w:pPr>
            <w:r w:rsidRPr="00C90AC9">
              <w:rPr>
                <w:rFonts w:eastAsiaTheme="minorHAnsi"/>
                <w:lang w:eastAsia="en-US"/>
              </w:rPr>
              <w:t>2160</w:t>
            </w:r>
          </w:p>
        </w:tc>
        <w:tc>
          <w:tcPr>
            <w:tcW w:w="1660" w:type="dxa"/>
            <w:tcBorders>
              <w:bottom w:val="single" w:sz="4" w:space="0" w:color="auto"/>
            </w:tcBorders>
            <w:vAlign w:val="center"/>
          </w:tcPr>
          <w:p w:rsidR="008972F9" w:rsidRPr="00C90AC9" w:rsidRDefault="008972F9" w:rsidP="004B00CC">
            <w:pPr>
              <w:jc w:val="center"/>
              <w:rPr>
                <w:rFonts w:eastAsiaTheme="minorHAnsi"/>
                <w:lang w:eastAsia="en-US"/>
              </w:rPr>
            </w:pPr>
            <w:r w:rsidRPr="00C90AC9">
              <w:rPr>
                <w:rFonts w:eastAsiaTheme="minorHAnsi"/>
                <w:lang w:eastAsia="en-US"/>
              </w:rPr>
              <w:t>0.05</w:t>
            </w:r>
          </w:p>
        </w:tc>
      </w:tr>
      <w:tr w:rsidR="008972F9" w:rsidRPr="00C90AC9" w:rsidTr="004B00CC">
        <w:trPr>
          <w:trHeight w:hRule="exact" w:val="643"/>
        </w:trPr>
        <w:tc>
          <w:tcPr>
            <w:tcW w:w="2580" w:type="dxa"/>
            <w:gridSpan w:val="2"/>
            <w:tcBorders>
              <w:left w:val="nil"/>
              <w:bottom w:val="nil"/>
              <w:right w:val="nil"/>
            </w:tcBorders>
            <w:vAlign w:val="center"/>
          </w:tcPr>
          <w:p w:rsidR="008972F9" w:rsidRPr="00C90AC9" w:rsidRDefault="008972F9" w:rsidP="003F4BEE">
            <w:pPr>
              <w:jc w:val="center"/>
              <w:rPr>
                <w:rFonts w:eastAsia="Times New Roman"/>
              </w:rPr>
            </w:pPr>
          </w:p>
        </w:tc>
        <w:tc>
          <w:tcPr>
            <w:tcW w:w="1502" w:type="dxa"/>
            <w:tcBorders>
              <w:left w:val="nil"/>
              <w:bottom w:val="single" w:sz="4" w:space="0" w:color="auto"/>
              <w:right w:val="nil"/>
            </w:tcBorders>
            <w:vAlign w:val="center"/>
          </w:tcPr>
          <w:p w:rsidR="008972F9" w:rsidRPr="00C90AC9" w:rsidRDefault="008972F9" w:rsidP="003F4BEE">
            <w:pPr>
              <w:jc w:val="center"/>
              <w:rPr>
                <w:rFonts w:eastAsia="Times New Roman"/>
              </w:rPr>
            </w:pPr>
          </w:p>
        </w:tc>
        <w:tc>
          <w:tcPr>
            <w:tcW w:w="1698" w:type="dxa"/>
            <w:tcBorders>
              <w:left w:val="nil"/>
              <w:bottom w:val="single" w:sz="4" w:space="0" w:color="auto"/>
              <w:right w:val="nil"/>
            </w:tcBorders>
            <w:vAlign w:val="center"/>
          </w:tcPr>
          <w:p w:rsidR="008972F9" w:rsidRPr="00C90AC9" w:rsidRDefault="008972F9" w:rsidP="003F4BEE">
            <w:pPr>
              <w:jc w:val="center"/>
              <w:rPr>
                <w:rFonts w:eastAsia="Times New Roman"/>
              </w:rPr>
            </w:pPr>
          </w:p>
        </w:tc>
        <w:tc>
          <w:tcPr>
            <w:tcW w:w="1660" w:type="dxa"/>
            <w:tcBorders>
              <w:left w:val="nil"/>
              <w:bottom w:val="single" w:sz="4" w:space="0" w:color="auto"/>
              <w:right w:val="nil"/>
            </w:tcBorders>
            <w:vAlign w:val="center"/>
          </w:tcPr>
          <w:p w:rsidR="008972F9" w:rsidRPr="00C90AC9" w:rsidRDefault="008972F9" w:rsidP="003F4BEE">
            <w:pPr>
              <w:jc w:val="center"/>
              <w:rPr>
                <w:rFonts w:eastAsia="Times New Roman"/>
              </w:rPr>
            </w:pPr>
          </w:p>
        </w:tc>
      </w:tr>
      <w:tr w:rsidR="008972F9" w:rsidRPr="00C90AC9" w:rsidTr="004B00CC">
        <w:trPr>
          <w:trHeight w:hRule="exact" w:val="478"/>
        </w:trPr>
        <w:tc>
          <w:tcPr>
            <w:tcW w:w="2580" w:type="dxa"/>
            <w:gridSpan w:val="2"/>
            <w:tcBorders>
              <w:top w:val="nil"/>
              <w:left w:val="nil"/>
              <w:bottom w:val="nil"/>
            </w:tcBorders>
            <w:vAlign w:val="center"/>
          </w:tcPr>
          <w:p w:rsidR="008972F9" w:rsidRPr="00C90AC9" w:rsidRDefault="008972F9" w:rsidP="003F4BEE">
            <w:pPr>
              <w:jc w:val="center"/>
              <w:rPr>
                <w:rFonts w:eastAsia="Times New Roman"/>
              </w:rPr>
            </w:pPr>
          </w:p>
        </w:tc>
        <w:tc>
          <w:tcPr>
            <w:tcW w:w="1502" w:type="dxa"/>
            <w:tcBorders>
              <w:top w:val="single" w:sz="4" w:space="0" w:color="auto"/>
            </w:tcBorders>
            <w:shd w:val="clear" w:color="auto" w:fill="FFFFFF" w:themeFill="background1"/>
            <w:vAlign w:val="center"/>
          </w:tcPr>
          <w:p w:rsidR="008972F9" w:rsidRPr="00C90AC9" w:rsidRDefault="008972F9" w:rsidP="004B00CC">
            <w:pPr>
              <w:jc w:val="center"/>
              <w:rPr>
                <w:rFonts w:eastAsia="Times New Roman"/>
              </w:rPr>
            </w:pPr>
            <w:r w:rsidRPr="00C90AC9">
              <w:rPr>
                <w:rFonts w:eastAsia="Times New Roman"/>
              </w:rPr>
              <w:t>Total</w:t>
            </w:r>
          </w:p>
        </w:tc>
        <w:tc>
          <w:tcPr>
            <w:tcW w:w="1698" w:type="dxa"/>
            <w:tcBorders>
              <w:top w:val="single" w:sz="4" w:space="0" w:color="auto"/>
            </w:tcBorders>
            <w:shd w:val="clear" w:color="auto" w:fill="FFFFFF" w:themeFill="background1"/>
            <w:vAlign w:val="center"/>
          </w:tcPr>
          <w:p w:rsidR="008972F9" w:rsidRPr="00C90AC9" w:rsidRDefault="008972F9" w:rsidP="004B00CC">
            <w:pPr>
              <w:jc w:val="center"/>
              <w:rPr>
                <w:rFonts w:eastAsia="Times New Roman"/>
              </w:rPr>
            </w:pPr>
            <w:r w:rsidRPr="00C90AC9">
              <w:rPr>
                <w:rFonts w:eastAsia="Times New Roman"/>
              </w:rPr>
              <w:t>709732</w:t>
            </w:r>
          </w:p>
        </w:tc>
        <w:tc>
          <w:tcPr>
            <w:tcW w:w="1660" w:type="dxa"/>
            <w:tcBorders>
              <w:top w:val="single" w:sz="4" w:space="0" w:color="auto"/>
            </w:tcBorders>
            <w:shd w:val="clear" w:color="auto" w:fill="FFFFFF" w:themeFill="background1"/>
            <w:vAlign w:val="center"/>
          </w:tcPr>
          <w:p w:rsidR="008972F9" w:rsidRPr="00C90AC9" w:rsidRDefault="008972F9" w:rsidP="004B00CC">
            <w:pPr>
              <w:jc w:val="center"/>
              <w:rPr>
                <w:rFonts w:eastAsia="Times New Roman"/>
              </w:rPr>
            </w:pPr>
            <w:r w:rsidRPr="00C90AC9">
              <w:rPr>
                <w:rFonts w:eastAsia="Times New Roman"/>
              </w:rPr>
              <w:t>100%</w:t>
            </w:r>
          </w:p>
          <w:p w:rsidR="003F4BEE" w:rsidRPr="00C90AC9" w:rsidRDefault="003F4BEE" w:rsidP="004B00CC">
            <w:pPr>
              <w:jc w:val="center"/>
              <w:rPr>
                <w:rFonts w:eastAsia="Times New Roman"/>
              </w:rPr>
            </w:pPr>
          </w:p>
          <w:p w:rsidR="003F4BEE" w:rsidRPr="00C90AC9" w:rsidRDefault="003F4BEE" w:rsidP="004B00CC">
            <w:pPr>
              <w:jc w:val="center"/>
              <w:rPr>
                <w:rFonts w:eastAsia="Times New Roman"/>
              </w:rPr>
            </w:pPr>
          </w:p>
        </w:tc>
      </w:tr>
    </w:tbl>
    <w:p w:rsidR="008972F9" w:rsidRPr="00C90AC9" w:rsidRDefault="008972F9" w:rsidP="00B06779">
      <w:pPr>
        <w:rPr>
          <w:rFonts w:eastAsiaTheme="minorHAnsi"/>
          <w:lang w:eastAsia="en-US"/>
        </w:rPr>
      </w:pPr>
      <w:r w:rsidRPr="00C90AC9">
        <w:rPr>
          <w:rFonts w:eastAsiaTheme="minorHAnsi"/>
          <w:lang w:eastAsia="en-US"/>
        </w:rPr>
        <w:br w:type="page"/>
      </w:r>
    </w:p>
    <w:p w:rsidR="008972F9" w:rsidRPr="00C90AC9" w:rsidRDefault="00853BAF" w:rsidP="00B06779">
      <w:pPr>
        <w:pStyle w:val="BodyText"/>
        <w:rPr>
          <w:rFonts w:eastAsiaTheme="minorHAnsi"/>
          <w:lang w:eastAsia="en-US"/>
        </w:rPr>
      </w:pPr>
      <w:r w:rsidRPr="00C90AC9">
        <w:rPr>
          <w:rFonts w:eastAsiaTheme="minorHAnsi"/>
          <w:lang w:eastAsia="en-US"/>
        </w:rPr>
        <w:lastRenderedPageBreak/>
        <w:t>Table 7</w:t>
      </w:r>
      <w:r w:rsidR="008972F9" w:rsidRPr="00C90AC9">
        <w:rPr>
          <w:rFonts w:eastAsiaTheme="minorHAnsi"/>
          <w:lang w:eastAsia="en-US"/>
        </w:rPr>
        <w:t>.5. The various weather symbols predicted by the MET Office for the day after tomorrow (24 hours) from 19/02/2014 – 26/06/2015</w:t>
      </w:r>
      <w:r w:rsidR="003F4BEE" w:rsidRPr="00C90AC9">
        <w:rPr>
          <w:rFonts w:eastAsiaTheme="minorHAnsi"/>
          <w:lang w:eastAsia="en-US"/>
        </w:rPr>
        <w:t xml:space="preserve"> </w:t>
      </w:r>
    </w:p>
    <w:tbl>
      <w:tblPr>
        <w:tblW w:w="7252" w:type="dxa"/>
        <w:jc w:val="center"/>
        <w:tblLook w:val="04A0" w:firstRow="1" w:lastRow="0" w:firstColumn="1" w:lastColumn="0" w:noHBand="0" w:noVBand="1"/>
      </w:tblPr>
      <w:tblGrid>
        <w:gridCol w:w="1142"/>
        <w:gridCol w:w="1373"/>
        <w:gridCol w:w="1464"/>
        <w:gridCol w:w="1636"/>
        <w:gridCol w:w="19"/>
        <w:gridCol w:w="1618"/>
      </w:tblGrid>
      <w:tr w:rsidR="008972F9" w:rsidRPr="00C90AC9" w:rsidTr="008972F9">
        <w:trPr>
          <w:trHeight w:hRule="exact" w:val="2049"/>
          <w:jc w:val="center"/>
        </w:trPr>
        <w:tc>
          <w:tcPr>
            <w:tcW w:w="1142"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Symbol number</w:t>
            </w:r>
          </w:p>
        </w:tc>
        <w:tc>
          <w:tcPr>
            <w:tcW w:w="1373"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Average of Direct Irradiation (W/m</w:t>
            </w:r>
            <w:r w:rsidRPr="00C90AC9">
              <w:rPr>
                <w:rFonts w:eastAsia="Times New Roman"/>
                <w:vertAlign w:val="superscript"/>
              </w:rPr>
              <w:t>2</w:t>
            </w:r>
            <w:r w:rsidRPr="00C90AC9">
              <w:rPr>
                <w:rFonts w:eastAsia="Times New Roman"/>
              </w:rPr>
              <w:t>)</w:t>
            </w:r>
          </w:p>
        </w:tc>
        <w:tc>
          <w:tcPr>
            <w:tcW w:w="1464"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Average of Diffuse Irradiation (W/m</w:t>
            </w:r>
            <w:r w:rsidRPr="00C90AC9">
              <w:rPr>
                <w:rFonts w:eastAsia="Times New Roman"/>
                <w:vertAlign w:val="superscript"/>
              </w:rPr>
              <w:t>2</w:t>
            </w:r>
            <w:r w:rsidRPr="00C90AC9">
              <w:rPr>
                <w:rFonts w:eastAsia="Times New Roman"/>
              </w:rPr>
              <w:t>)</w:t>
            </w:r>
          </w:p>
        </w:tc>
        <w:tc>
          <w:tcPr>
            <w:tcW w:w="1655" w:type="dxa"/>
            <w:gridSpan w:val="2"/>
            <w:tcBorders>
              <w:top w:val="single" w:sz="4" w:space="0" w:color="auto"/>
              <w:left w:val="single" w:sz="4" w:space="0" w:color="auto"/>
              <w:bottom w:val="doub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Number of times symbol used by the MET Office in data set</w:t>
            </w:r>
          </w:p>
        </w:tc>
        <w:tc>
          <w:tcPr>
            <w:tcW w:w="1618" w:type="dxa"/>
            <w:tcBorders>
              <w:top w:val="single" w:sz="4" w:space="0" w:color="auto"/>
              <w:left w:val="single" w:sz="4" w:space="0" w:color="auto"/>
              <w:bottom w:val="doub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Percentage of total (%)</w:t>
            </w:r>
          </w:p>
        </w:tc>
      </w:tr>
      <w:tr w:rsidR="008972F9" w:rsidRPr="00C90AC9" w:rsidTr="008972F9">
        <w:trPr>
          <w:trHeight w:hRule="exact" w:val="340"/>
          <w:jc w:val="center"/>
        </w:trPr>
        <w:tc>
          <w:tcPr>
            <w:tcW w:w="1142" w:type="dxa"/>
            <w:tcBorders>
              <w:top w:val="doub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0</w:t>
            </w:r>
          </w:p>
        </w:tc>
        <w:tc>
          <w:tcPr>
            <w:tcW w:w="1373" w:type="dxa"/>
            <w:tcBorders>
              <w:top w:val="doub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58.36</w:t>
            </w:r>
          </w:p>
        </w:tc>
        <w:tc>
          <w:tcPr>
            <w:tcW w:w="1464" w:type="dxa"/>
            <w:tcBorders>
              <w:top w:val="doub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41.51</w:t>
            </w:r>
          </w:p>
        </w:tc>
        <w:tc>
          <w:tcPr>
            <w:tcW w:w="1655" w:type="dxa"/>
            <w:gridSpan w:val="2"/>
            <w:tcBorders>
              <w:top w:val="doub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74160</w:t>
            </w:r>
          </w:p>
        </w:tc>
        <w:tc>
          <w:tcPr>
            <w:tcW w:w="1618" w:type="dxa"/>
            <w:tcBorders>
              <w:top w:val="doub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10.45</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1</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170.51</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102.55</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64080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9.03</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2</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36.30</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43.93</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55620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7.83</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3</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103.57</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106.53</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61920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8.72</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5</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0.61</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4.02</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180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0.03</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6</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0.36</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37.84</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360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0.05</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7</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41.41</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67.66</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255780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36.03</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8</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30.92</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70.43</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59940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8.44</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9</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36.40</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34.69</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9720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1.37</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10</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60.35</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66.41</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21420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3.02</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12</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23.80</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56.32</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44820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6.31</w:t>
            </w:r>
          </w:p>
        </w:tc>
      </w:tr>
      <w:tr w:rsidR="008972F9" w:rsidRPr="00C90AC9" w:rsidTr="00A1072E">
        <w:trPr>
          <w:trHeight w:hRule="exact" w:val="9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13</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29.62</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46.10</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3240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0.46</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14</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45.10</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62.70</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9000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1.27</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15</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22.84</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67.04</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42480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5.98</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16</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30.69</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33.68</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900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0.13</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17</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50.38</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39.28</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180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0.03</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18</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2.45</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15.20</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1620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0.23</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19</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0.42</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2.98</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180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0.03</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20</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0.61</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3.99</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180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0.03</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22</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0.74</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5.55</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360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0.05</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23</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189.80</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52.72</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360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0.05</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24</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20.73</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22.95</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2520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0.35</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25</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308.87</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85.53</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180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0.03</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27</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0.67</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9.43</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540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0.08</w:t>
            </w:r>
          </w:p>
        </w:tc>
      </w:tr>
      <w:tr w:rsidR="008972F9" w:rsidRPr="00C90AC9" w:rsidTr="008972F9">
        <w:trPr>
          <w:trHeight w:hRule="exact" w:val="340"/>
          <w:jc w:val="center"/>
        </w:trPr>
        <w:tc>
          <w:tcPr>
            <w:tcW w:w="1142" w:type="dxa"/>
            <w:tcBorders>
              <w:top w:val="single" w:sz="4" w:space="0" w:color="auto"/>
              <w:left w:val="single" w:sz="4" w:space="0" w:color="auto"/>
              <w:bottom w:val="single" w:sz="4" w:space="0" w:color="auto"/>
              <w:right w:val="single" w:sz="4" w:space="0" w:color="auto"/>
            </w:tcBorders>
            <w:vAlign w:val="center"/>
          </w:tcPr>
          <w:p w:rsidR="008972F9" w:rsidRPr="00C90AC9" w:rsidRDefault="008972F9" w:rsidP="003F4BEE">
            <w:pPr>
              <w:jc w:val="center"/>
              <w:rPr>
                <w:rFonts w:eastAsia="Times New Roman"/>
              </w:rPr>
            </w:pPr>
            <w:r w:rsidRPr="00C90AC9">
              <w:rPr>
                <w:rFonts w:eastAsia="Times New Roman"/>
              </w:rPr>
              <w:t>30</w:t>
            </w:r>
          </w:p>
        </w:tc>
        <w:tc>
          <w:tcPr>
            <w:tcW w:w="1373"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1.54</w:t>
            </w:r>
          </w:p>
        </w:tc>
        <w:tc>
          <w:tcPr>
            <w:tcW w:w="1464"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9.08</w:t>
            </w:r>
          </w:p>
        </w:tc>
        <w:tc>
          <w:tcPr>
            <w:tcW w:w="1655" w:type="dxa"/>
            <w:gridSpan w:val="2"/>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180</w:t>
            </w:r>
          </w:p>
        </w:tc>
        <w:tc>
          <w:tcPr>
            <w:tcW w:w="1618" w:type="dxa"/>
            <w:tcBorders>
              <w:top w:val="single" w:sz="4" w:space="0" w:color="auto"/>
              <w:left w:val="single" w:sz="4" w:space="0" w:color="auto"/>
              <w:bottom w:val="single" w:sz="4" w:space="0" w:color="auto"/>
              <w:right w:val="single" w:sz="4" w:space="0" w:color="auto"/>
            </w:tcBorders>
            <w:vAlign w:val="bottom"/>
          </w:tcPr>
          <w:p w:rsidR="008972F9" w:rsidRPr="00C90AC9" w:rsidRDefault="008972F9" w:rsidP="003F4BEE">
            <w:pPr>
              <w:jc w:val="center"/>
              <w:rPr>
                <w:rFonts w:eastAsiaTheme="minorHAnsi"/>
                <w:lang w:eastAsia="en-US"/>
              </w:rPr>
            </w:pPr>
            <w:r w:rsidRPr="00C90AC9">
              <w:rPr>
                <w:rFonts w:eastAsiaTheme="minorHAnsi"/>
                <w:lang w:eastAsia="en-US"/>
              </w:rPr>
              <w:t>0.03</w:t>
            </w:r>
          </w:p>
        </w:tc>
      </w:tr>
      <w:tr w:rsidR="008972F9" w:rsidRPr="00C90AC9" w:rsidTr="008972F9">
        <w:trPr>
          <w:trHeight w:hRule="exact" w:val="340"/>
          <w:jc w:val="center"/>
        </w:trPr>
        <w:tc>
          <w:tcPr>
            <w:tcW w:w="2515" w:type="dxa"/>
            <w:gridSpan w:val="2"/>
            <w:tcBorders>
              <w:top w:val="single" w:sz="4" w:space="0" w:color="auto"/>
            </w:tcBorders>
            <w:vAlign w:val="center"/>
          </w:tcPr>
          <w:p w:rsidR="008972F9" w:rsidRPr="00C90AC9" w:rsidRDefault="008972F9" w:rsidP="003F4BEE">
            <w:pPr>
              <w:jc w:val="center"/>
              <w:rPr>
                <w:rFonts w:eastAsia="Times New Roman"/>
              </w:rPr>
            </w:pPr>
          </w:p>
        </w:tc>
        <w:tc>
          <w:tcPr>
            <w:tcW w:w="1464" w:type="dxa"/>
            <w:tcBorders>
              <w:top w:val="single" w:sz="4" w:space="0" w:color="auto"/>
              <w:bottom w:val="single" w:sz="4" w:space="0" w:color="auto"/>
            </w:tcBorders>
            <w:vAlign w:val="center"/>
          </w:tcPr>
          <w:p w:rsidR="008972F9" w:rsidRPr="00C90AC9" w:rsidRDefault="008972F9" w:rsidP="003F4BEE">
            <w:pPr>
              <w:jc w:val="center"/>
              <w:rPr>
                <w:rFonts w:eastAsia="Times New Roman"/>
              </w:rPr>
            </w:pPr>
          </w:p>
        </w:tc>
        <w:tc>
          <w:tcPr>
            <w:tcW w:w="1655" w:type="dxa"/>
            <w:gridSpan w:val="2"/>
            <w:tcBorders>
              <w:top w:val="single" w:sz="4" w:space="0" w:color="auto"/>
              <w:bottom w:val="single" w:sz="4" w:space="0" w:color="auto"/>
            </w:tcBorders>
            <w:vAlign w:val="center"/>
          </w:tcPr>
          <w:p w:rsidR="008972F9" w:rsidRPr="00C90AC9" w:rsidRDefault="008972F9" w:rsidP="003F4BEE">
            <w:pPr>
              <w:jc w:val="center"/>
              <w:rPr>
                <w:rFonts w:eastAsia="Times New Roman"/>
              </w:rPr>
            </w:pPr>
          </w:p>
        </w:tc>
        <w:tc>
          <w:tcPr>
            <w:tcW w:w="1618" w:type="dxa"/>
            <w:tcBorders>
              <w:top w:val="single" w:sz="4" w:space="0" w:color="auto"/>
              <w:bottom w:val="single" w:sz="4" w:space="0" w:color="auto"/>
            </w:tcBorders>
            <w:vAlign w:val="center"/>
          </w:tcPr>
          <w:p w:rsidR="008972F9" w:rsidRPr="00C90AC9" w:rsidRDefault="008972F9" w:rsidP="003F4BEE">
            <w:pPr>
              <w:jc w:val="center"/>
              <w:rPr>
                <w:rFonts w:eastAsia="Times New Roman"/>
              </w:rPr>
            </w:pPr>
          </w:p>
        </w:tc>
      </w:tr>
      <w:tr w:rsidR="008972F9" w:rsidRPr="00C90AC9" w:rsidTr="008972F9">
        <w:trPr>
          <w:trHeight w:hRule="exact" w:val="340"/>
          <w:jc w:val="center"/>
        </w:trPr>
        <w:tc>
          <w:tcPr>
            <w:tcW w:w="2515" w:type="dxa"/>
            <w:gridSpan w:val="2"/>
            <w:tcBorders>
              <w:right w:val="single" w:sz="4" w:space="0" w:color="auto"/>
            </w:tcBorders>
            <w:vAlign w:val="center"/>
          </w:tcPr>
          <w:p w:rsidR="008972F9" w:rsidRPr="00C90AC9" w:rsidRDefault="008972F9" w:rsidP="003F4BEE">
            <w:pPr>
              <w:jc w:val="center"/>
              <w:rPr>
                <w:rFonts w:eastAsia="Times New Roman"/>
              </w:rPr>
            </w:pPr>
          </w:p>
        </w:tc>
        <w:tc>
          <w:tcPr>
            <w:tcW w:w="146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3F4BEE">
            <w:pPr>
              <w:jc w:val="center"/>
              <w:rPr>
                <w:rFonts w:eastAsia="Times New Roman"/>
              </w:rPr>
            </w:pPr>
            <w:r w:rsidRPr="00C90AC9">
              <w:rPr>
                <w:rFonts w:eastAsia="Times New Roman"/>
              </w:rPr>
              <w:t>Total</w:t>
            </w:r>
          </w:p>
        </w:tc>
        <w:tc>
          <w:tcPr>
            <w:tcW w:w="163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3F4BEE">
            <w:pPr>
              <w:jc w:val="center"/>
              <w:rPr>
                <w:rFonts w:eastAsiaTheme="minorHAnsi"/>
                <w:lang w:eastAsia="en-US"/>
              </w:rPr>
            </w:pPr>
            <w:r w:rsidRPr="00C90AC9">
              <w:rPr>
                <w:rFonts w:eastAsiaTheme="minorHAnsi"/>
                <w:lang w:eastAsia="en-US"/>
              </w:rPr>
              <w:t>709920</w:t>
            </w:r>
          </w:p>
        </w:tc>
        <w:tc>
          <w:tcPr>
            <w:tcW w:w="1637"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8972F9" w:rsidRPr="00C90AC9" w:rsidRDefault="008972F9" w:rsidP="003F4BEE">
            <w:pPr>
              <w:jc w:val="center"/>
              <w:rPr>
                <w:rFonts w:eastAsia="Times New Roman"/>
              </w:rPr>
            </w:pPr>
            <w:r w:rsidRPr="00C90AC9">
              <w:rPr>
                <w:rFonts w:eastAsia="Times New Roman"/>
              </w:rPr>
              <w:t>100%</w:t>
            </w:r>
          </w:p>
        </w:tc>
      </w:tr>
      <w:tr w:rsidR="008972F9" w:rsidRPr="00C90AC9" w:rsidTr="008972F9">
        <w:trPr>
          <w:gridAfter w:val="4"/>
          <w:wAfter w:w="4737" w:type="dxa"/>
          <w:jc w:val="center"/>
        </w:trPr>
        <w:tc>
          <w:tcPr>
            <w:tcW w:w="2515" w:type="dxa"/>
            <w:gridSpan w:val="2"/>
            <w:tcBorders>
              <w:top w:val="nil"/>
              <w:left w:val="nil"/>
              <w:bottom w:val="nil"/>
              <w:right w:val="nil"/>
            </w:tcBorders>
            <w:vAlign w:val="center"/>
          </w:tcPr>
          <w:p w:rsidR="008972F9" w:rsidRPr="00C90AC9" w:rsidRDefault="008972F9" w:rsidP="00B06779">
            <w:pPr>
              <w:rPr>
                <w:rFonts w:eastAsia="Times New Roman"/>
              </w:rPr>
            </w:pPr>
          </w:p>
        </w:tc>
      </w:tr>
    </w:tbl>
    <w:p w:rsidR="008972F9" w:rsidRPr="00C90AC9" w:rsidRDefault="008972F9" w:rsidP="00B06779">
      <w:pPr>
        <w:rPr>
          <w:rFonts w:eastAsiaTheme="minorHAnsi"/>
          <w:lang w:eastAsia="en-US"/>
        </w:rPr>
      </w:pPr>
    </w:p>
    <w:p w:rsidR="008972F9" w:rsidRPr="00C90AC9" w:rsidRDefault="008972F9" w:rsidP="00B06779">
      <w:pPr>
        <w:rPr>
          <w:rFonts w:eastAsiaTheme="minorHAnsi"/>
          <w:lang w:eastAsia="en-US"/>
        </w:rPr>
      </w:pPr>
    </w:p>
    <w:p w:rsidR="008972F9" w:rsidRPr="00C90AC9" w:rsidRDefault="008972F9" w:rsidP="00B06779">
      <w:pPr>
        <w:rPr>
          <w:rFonts w:eastAsiaTheme="minorHAnsi"/>
          <w:lang w:eastAsia="en-US"/>
        </w:rPr>
      </w:pPr>
    </w:p>
    <w:p w:rsidR="00853BAF" w:rsidRPr="00C90AC9" w:rsidRDefault="00853BAF">
      <w:pPr>
        <w:rPr>
          <w:rFonts w:eastAsiaTheme="minorHAnsi"/>
          <w:lang w:eastAsia="en-US"/>
        </w:rPr>
      </w:pPr>
      <w:r w:rsidRPr="00C90AC9">
        <w:rPr>
          <w:rFonts w:eastAsiaTheme="minorHAnsi"/>
          <w:lang w:eastAsia="en-US"/>
        </w:rPr>
        <w:br w:type="page"/>
      </w:r>
    </w:p>
    <w:p w:rsidR="008972F9" w:rsidRPr="00C90AC9" w:rsidRDefault="008972F9" w:rsidP="00B06779">
      <w:pPr>
        <w:pStyle w:val="BodyText"/>
        <w:rPr>
          <w:rFonts w:eastAsiaTheme="minorHAnsi"/>
          <w:lang w:eastAsia="en-US"/>
        </w:rPr>
      </w:pPr>
      <w:r w:rsidRPr="00C90AC9">
        <w:rPr>
          <w:rFonts w:eastAsiaTheme="minorHAnsi"/>
          <w:lang w:eastAsia="en-US"/>
        </w:rPr>
        <w:lastRenderedPageBreak/>
        <w:t xml:space="preserve">Table </w:t>
      </w:r>
      <w:r w:rsidR="00853BAF" w:rsidRPr="00C90AC9">
        <w:rPr>
          <w:rFonts w:eastAsiaTheme="minorHAnsi"/>
          <w:lang w:eastAsia="en-US"/>
        </w:rPr>
        <w:t>7</w:t>
      </w:r>
      <w:r w:rsidRPr="00C90AC9">
        <w:rPr>
          <w:rFonts w:eastAsiaTheme="minorHAnsi"/>
          <w:lang w:eastAsia="en-US"/>
        </w:rPr>
        <w:t xml:space="preserve">.6. The three Tapping Cycles, the auxiliary heat required by a 90% efficient boiler per °K throughout a </w:t>
      </w:r>
      <w:r w:rsidR="00D74AF8" w:rsidRPr="00C90AC9">
        <w:rPr>
          <w:rFonts w:eastAsiaTheme="minorHAnsi"/>
          <w:lang w:eastAsia="en-US"/>
        </w:rPr>
        <w:t>24-hour</w:t>
      </w:r>
      <w:r w:rsidRPr="00C90AC9">
        <w:rPr>
          <w:rFonts w:eastAsiaTheme="minorHAnsi"/>
          <w:lang w:eastAsia="en-US"/>
        </w:rPr>
        <w:t xml:space="preserve"> period and the associated cost </w:t>
      </w:r>
    </w:p>
    <w:tbl>
      <w:tblPr>
        <w:tblW w:w="10410" w:type="dxa"/>
        <w:tblInd w:w="-318" w:type="dxa"/>
        <w:tblLook w:val="04A0" w:firstRow="1" w:lastRow="0" w:firstColumn="1" w:lastColumn="0" w:noHBand="0" w:noVBand="1"/>
      </w:tblPr>
      <w:tblGrid>
        <w:gridCol w:w="763"/>
        <w:gridCol w:w="1130"/>
        <w:gridCol w:w="1085"/>
        <w:gridCol w:w="889"/>
        <w:gridCol w:w="1095"/>
        <w:gridCol w:w="1134"/>
        <w:gridCol w:w="1134"/>
        <w:gridCol w:w="1054"/>
        <w:gridCol w:w="1084"/>
        <w:gridCol w:w="1053"/>
      </w:tblGrid>
      <w:tr w:rsidR="00E4253A" w:rsidRPr="00C90AC9" w:rsidTr="00E4253A">
        <w:trPr>
          <w:trHeight w:val="1929"/>
        </w:trPr>
        <w:tc>
          <w:tcPr>
            <w:tcW w:w="763"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8972F9" w:rsidRPr="00C90AC9" w:rsidRDefault="008972F9" w:rsidP="003F4BEE">
            <w:pPr>
              <w:jc w:val="center"/>
              <w:rPr>
                <w:rFonts w:eastAsia="Times New Roman"/>
                <w:sz w:val="22"/>
              </w:rPr>
            </w:pPr>
            <w:r w:rsidRPr="00C90AC9">
              <w:rPr>
                <w:rFonts w:eastAsia="Times New Roman"/>
                <w:sz w:val="22"/>
              </w:rPr>
              <w:t>Time</w:t>
            </w:r>
          </w:p>
        </w:tc>
        <w:tc>
          <w:tcPr>
            <w:tcW w:w="1130"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8972F9" w:rsidRPr="00C90AC9" w:rsidRDefault="008972F9" w:rsidP="003F4BEE">
            <w:pPr>
              <w:jc w:val="center"/>
              <w:rPr>
                <w:rFonts w:eastAsia="Times New Roman"/>
                <w:sz w:val="22"/>
              </w:rPr>
            </w:pPr>
            <w:r w:rsidRPr="00C90AC9">
              <w:rPr>
                <w:rFonts w:eastAsia="Times New Roman"/>
                <w:sz w:val="22"/>
              </w:rPr>
              <w:t>Tapping Cycle #1 (Volume, Litres)</w:t>
            </w:r>
          </w:p>
        </w:tc>
        <w:tc>
          <w:tcPr>
            <w:tcW w:w="1085"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8972F9" w:rsidRPr="00C90AC9" w:rsidRDefault="008972F9" w:rsidP="003F4BEE">
            <w:pPr>
              <w:jc w:val="center"/>
              <w:rPr>
                <w:rFonts w:eastAsia="Times New Roman"/>
                <w:sz w:val="22"/>
              </w:rPr>
            </w:pPr>
            <w:r w:rsidRPr="00C90AC9">
              <w:rPr>
                <w:rFonts w:eastAsia="Times New Roman"/>
                <w:sz w:val="22"/>
              </w:rPr>
              <w:t>Auxiliary Heat Required / °C (W)</w:t>
            </w:r>
          </w:p>
        </w:tc>
        <w:tc>
          <w:tcPr>
            <w:tcW w:w="889"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8972F9" w:rsidRPr="00C90AC9" w:rsidRDefault="008972F9" w:rsidP="003F4BEE">
            <w:pPr>
              <w:jc w:val="center"/>
              <w:rPr>
                <w:rFonts w:eastAsia="Times New Roman"/>
                <w:sz w:val="22"/>
              </w:rPr>
            </w:pPr>
            <w:r w:rsidRPr="00C90AC9">
              <w:rPr>
                <w:rFonts w:eastAsia="Times New Roman"/>
                <w:sz w:val="22"/>
              </w:rPr>
              <w:t>Cost of gas / °C (@5.02 p/kWh)</w:t>
            </w:r>
          </w:p>
        </w:tc>
        <w:tc>
          <w:tcPr>
            <w:tcW w:w="1095"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8972F9" w:rsidRPr="00C90AC9" w:rsidRDefault="008972F9" w:rsidP="003F4BEE">
            <w:pPr>
              <w:jc w:val="center"/>
              <w:rPr>
                <w:rFonts w:eastAsia="Times New Roman"/>
                <w:sz w:val="22"/>
              </w:rPr>
            </w:pPr>
            <w:r w:rsidRPr="00C90AC9">
              <w:rPr>
                <w:rFonts w:eastAsia="Times New Roman"/>
                <w:sz w:val="22"/>
              </w:rPr>
              <w:t>Tapping Cycle #2 (Volume, Litres)</w:t>
            </w:r>
          </w:p>
        </w:tc>
        <w:tc>
          <w:tcPr>
            <w:tcW w:w="1134"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8972F9" w:rsidRPr="00C90AC9" w:rsidRDefault="008972F9" w:rsidP="003F4BEE">
            <w:pPr>
              <w:jc w:val="center"/>
              <w:rPr>
                <w:rFonts w:eastAsia="Times New Roman"/>
                <w:sz w:val="22"/>
              </w:rPr>
            </w:pPr>
            <w:r w:rsidRPr="00C90AC9">
              <w:rPr>
                <w:rFonts w:eastAsia="Times New Roman"/>
                <w:sz w:val="22"/>
              </w:rPr>
              <w:t>Auxiliary Heat Required / °C (W)</w:t>
            </w:r>
          </w:p>
        </w:tc>
        <w:tc>
          <w:tcPr>
            <w:tcW w:w="1134"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8972F9" w:rsidRPr="00C90AC9" w:rsidRDefault="008972F9" w:rsidP="003F4BEE">
            <w:pPr>
              <w:jc w:val="center"/>
              <w:rPr>
                <w:rFonts w:eastAsia="Times New Roman"/>
                <w:sz w:val="22"/>
              </w:rPr>
            </w:pPr>
            <w:r w:rsidRPr="00C90AC9">
              <w:rPr>
                <w:rFonts w:eastAsia="Times New Roman"/>
                <w:sz w:val="22"/>
              </w:rPr>
              <w:t>Cost of gas / °C (@5.0200 p/kWh)</w:t>
            </w:r>
          </w:p>
        </w:tc>
        <w:tc>
          <w:tcPr>
            <w:tcW w:w="1054"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8972F9" w:rsidRPr="00C90AC9" w:rsidRDefault="008972F9" w:rsidP="003F4BEE">
            <w:pPr>
              <w:jc w:val="center"/>
              <w:rPr>
                <w:rFonts w:eastAsia="Times New Roman"/>
                <w:sz w:val="22"/>
              </w:rPr>
            </w:pPr>
            <w:r w:rsidRPr="00C90AC9">
              <w:rPr>
                <w:rFonts w:eastAsia="Times New Roman"/>
                <w:sz w:val="22"/>
              </w:rPr>
              <w:t>Tapping Cycle #3 (Volume, Litres)</w:t>
            </w:r>
          </w:p>
        </w:tc>
        <w:tc>
          <w:tcPr>
            <w:tcW w:w="1073"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8972F9" w:rsidRPr="00C90AC9" w:rsidRDefault="00D74AF8" w:rsidP="003F4BEE">
            <w:pPr>
              <w:jc w:val="center"/>
              <w:rPr>
                <w:rFonts w:eastAsia="Times New Roman"/>
                <w:sz w:val="22"/>
              </w:rPr>
            </w:pPr>
            <w:r w:rsidRPr="00C90AC9">
              <w:rPr>
                <w:rFonts w:eastAsia="Times New Roman"/>
                <w:sz w:val="22"/>
              </w:rPr>
              <w:t>Auxiliary Heat Required</w:t>
            </w:r>
            <w:proofErr w:type="gramStart"/>
            <w:r w:rsidR="008972F9" w:rsidRPr="00C90AC9">
              <w:rPr>
                <w:rFonts w:eastAsia="Times New Roman"/>
                <w:sz w:val="22"/>
              </w:rPr>
              <w:t>/</w:t>
            </w:r>
            <w:r w:rsidRPr="00C90AC9">
              <w:rPr>
                <w:rFonts w:eastAsia="Times New Roman"/>
                <w:sz w:val="22"/>
              </w:rPr>
              <w:t xml:space="preserve"> </w:t>
            </w:r>
            <w:r w:rsidR="008972F9" w:rsidRPr="00C90AC9">
              <w:rPr>
                <w:rFonts w:eastAsia="Times New Roman"/>
                <w:sz w:val="22"/>
              </w:rPr>
              <w:t xml:space="preserve"> °</w:t>
            </w:r>
            <w:proofErr w:type="gramEnd"/>
            <w:r w:rsidR="008972F9" w:rsidRPr="00C90AC9">
              <w:rPr>
                <w:rFonts w:eastAsia="Times New Roman"/>
                <w:sz w:val="22"/>
              </w:rPr>
              <w:t>C (W)</w:t>
            </w:r>
          </w:p>
        </w:tc>
        <w:tc>
          <w:tcPr>
            <w:tcW w:w="1053"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8972F9" w:rsidRPr="00C90AC9" w:rsidRDefault="008972F9" w:rsidP="003F4BEE">
            <w:pPr>
              <w:jc w:val="center"/>
              <w:rPr>
                <w:rFonts w:eastAsia="Times New Roman"/>
                <w:sz w:val="22"/>
              </w:rPr>
            </w:pPr>
            <w:r w:rsidRPr="00C90AC9">
              <w:rPr>
                <w:rFonts w:eastAsia="Times New Roman"/>
                <w:sz w:val="22"/>
              </w:rPr>
              <w:t>Cost of gas / °</w:t>
            </w:r>
            <w:proofErr w:type="gramStart"/>
            <w:r w:rsidRPr="00C90AC9">
              <w:rPr>
                <w:rFonts w:eastAsia="Times New Roman"/>
                <w:sz w:val="22"/>
              </w:rPr>
              <w:t>C  (</w:t>
            </w:r>
            <w:proofErr w:type="gramEnd"/>
            <w:r w:rsidRPr="00C90AC9">
              <w:rPr>
                <w:rFonts w:eastAsia="Times New Roman"/>
                <w:sz w:val="22"/>
              </w:rPr>
              <w:t>@</w:t>
            </w:r>
            <w:r w:rsidR="00D74AF8" w:rsidRPr="00C90AC9">
              <w:rPr>
                <w:rFonts w:eastAsia="Times New Roman"/>
                <w:sz w:val="22"/>
              </w:rPr>
              <w:t xml:space="preserve"> </w:t>
            </w:r>
            <w:r w:rsidRPr="00C90AC9">
              <w:rPr>
                <w:rFonts w:eastAsia="Times New Roman"/>
                <w:sz w:val="22"/>
              </w:rPr>
              <w:t>5.0200 p/kWh)</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07:00</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07:05</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24</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3912</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19.6</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07:15</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27</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22.1</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07:30</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07:45</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08:00</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08:05</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62</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10106</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50.7</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08:15</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08:30</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5</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815</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4.1</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08:45</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09:00</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09:30</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10:30</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11:30</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11:45</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12:45</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6</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978</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4.9</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14:30</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6</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978</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4.9</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15:30</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16:30</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18:00</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18:15</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18:30</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19:00</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20:30</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8</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1304</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6.5</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6</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3912</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4.9</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13</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2119</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10.6</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21:00</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62</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10106</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50.7</w:t>
            </w:r>
          </w:p>
        </w:tc>
      </w:tr>
      <w:tr w:rsidR="00E4253A" w:rsidRPr="00C90AC9" w:rsidTr="00E4253A">
        <w:trPr>
          <w:trHeight w:hRule="exact" w:val="397"/>
        </w:trPr>
        <w:tc>
          <w:tcPr>
            <w:tcW w:w="763" w:type="dxa"/>
            <w:tcBorders>
              <w:top w:val="nil"/>
              <w:left w:val="single" w:sz="8" w:space="0" w:color="auto"/>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21:15</w:t>
            </w:r>
          </w:p>
        </w:tc>
        <w:tc>
          <w:tcPr>
            <w:tcW w:w="1130"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8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889"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95"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13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134" w:type="dxa"/>
            <w:tcBorders>
              <w:top w:val="nil"/>
              <w:left w:val="nil"/>
              <w:bottom w:val="single" w:sz="8"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c>
          <w:tcPr>
            <w:tcW w:w="1054"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7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c>
          <w:tcPr>
            <w:tcW w:w="1053" w:type="dxa"/>
            <w:tcBorders>
              <w:top w:val="nil"/>
              <w:left w:val="nil"/>
              <w:bottom w:val="single" w:sz="8"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0</w:t>
            </w:r>
          </w:p>
        </w:tc>
      </w:tr>
      <w:tr w:rsidR="00E4253A" w:rsidRPr="00C90AC9" w:rsidTr="00E4253A">
        <w:trPr>
          <w:trHeight w:hRule="exact" w:val="397"/>
        </w:trPr>
        <w:tc>
          <w:tcPr>
            <w:tcW w:w="763" w:type="dxa"/>
            <w:tcBorders>
              <w:top w:val="nil"/>
              <w:left w:val="single" w:sz="8" w:space="0" w:color="auto"/>
              <w:bottom w:val="double" w:sz="6"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21:30</w:t>
            </w:r>
          </w:p>
        </w:tc>
        <w:tc>
          <w:tcPr>
            <w:tcW w:w="1130" w:type="dxa"/>
            <w:tcBorders>
              <w:top w:val="nil"/>
              <w:left w:val="nil"/>
              <w:bottom w:val="double" w:sz="6"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10</w:t>
            </w:r>
          </w:p>
        </w:tc>
        <w:tc>
          <w:tcPr>
            <w:tcW w:w="1085" w:type="dxa"/>
            <w:tcBorders>
              <w:top w:val="nil"/>
              <w:left w:val="nil"/>
              <w:bottom w:val="double" w:sz="6"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1629</w:t>
            </w:r>
          </w:p>
        </w:tc>
        <w:tc>
          <w:tcPr>
            <w:tcW w:w="889" w:type="dxa"/>
            <w:tcBorders>
              <w:top w:val="nil"/>
              <w:left w:val="nil"/>
              <w:bottom w:val="double" w:sz="6"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8.2</w:t>
            </w:r>
          </w:p>
        </w:tc>
        <w:tc>
          <w:tcPr>
            <w:tcW w:w="1095" w:type="dxa"/>
            <w:tcBorders>
              <w:top w:val="nil"/>
              <w:left w:val="nil"/>
              <w:bottom w:val="double" w:sz="6"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27</w:t>
            </w:r>
          </w:p>
        </w:tc>
        <w:tc>
          <w:tcPr>
            <w:tcW w:w="1134" w:type="dxa"/>
            <w:tcBorders>
              <w:top w:val="nil"/>
              <w:left w:val="nil"/>
              <w:bottom w:val="double" w:sz="6"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21991.5</w:t>
            </w:r>
          </w:p>
        </w:tc>
        <w:tc>
          <w:tcPr>
            <w:tcW w:w="1134" w:type="dxa"/>
            <w:tcBorders>
              <w:top w:val="nil"/>
              <w:left w:val="nil"/>
              <w:bottom w:val="double" w:sz="6"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22.1</w:t>
            </w:r>
          </w:p>
        </w:tc>
        <w:tc>
          <w:tcPr>
            <w:tcW w:w="1054" w:type="dxa"/>
            <w:tcBorders>
              <w:top w:val="nil"/>
              <w:left w:val="nil"/>
              <w:bottom w:val="double" w:sz="6"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w:t>
            </w:r>
          </w:p>
        </w:tc>
        <w:tc>
          <w:tcPr>
            <w:tcW w:w="1073" w:type="dxa"/>
            <w:tcBorders>
              <w:top w:val="nil"/>
              <w:left w:val="nil"/>
              <w:bottom w:val="double" w:sz="6"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326</w:t>
            </w:r>
          </w:p>
        </w:tc>
        <w:tc>
          <w:tcPr>
            <w:tcW w:w="1053" w:type="dxa"/>
            <w:tcBorders>
              <w:top w:val="nil"/>
              <w:left w:val="nil"/>
              <w:bottom w:val="double" w:sz="6" w:space="0" w:color="auto"/>
              <w:right w:val="single" w:sz="8"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w:t>
            </w:r>
          </w:p>
        </w:tc>
      </w:tr>
      <w:tr w:rsidR="00E4253A" w:rsidRPr="00C90AC9" w:rsidTr="00E4253A">
        <w:trPr>
          <w:trHeight w:hRule="exact" w:val="397"/>
        </w:trPr>
        <w:tc>
          <w:tcPr>
            <w:tcW w:w="763" w:type="dxa"/>
            <w:tcBorders>
              <w:top w:val="nil"/>
              <w:left w:val="double" w:sz="6" w:space="0" w:color="auto"/>
              <w:bottom w:val="double" w:sz="6"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Total</w:t>
            </w:r>
          </w:p>
        </w:tc>
        <w:tc>
          <w:tcPr>
            <w:tcW w:w="1130" w:type="dxa"/>
            <w:tcBorders>
              <w:top w:val="nil"/>
              <w:left w:val="nil"/>
              <w:bottom w:val="double" w:sz="6"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36</w:t>
            </w:r>
          </w:p>
        </w:tc>
        <w:tc>
          <w:tcPr>
            <w:tcW w:w="1085" w:type="dxa"/>
            <w:tcBorders>
              <w:top w:val="nil"/>
              <w:left w:val="nil"/>
              <w:bottom w:val="double" w:sz="6"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5867</w:t>
            </w:r>
          </w:p>
        </w:tc>
        <w:tc>
          <w:tcPr>
            <w:tcW w:w="889" w:type="dxa"/>
            <w:tcBorders>
              <w:top w:val="nil"/>
              <w:left w:val="nil"/>
              <w:bottom w:val="double" w:sz="6"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29.1</w:t>
            </w:r>
          </w:p>
        </w:tc>
        <w:tc>
          <w:tcPr>
            <w:tcW w:w="1095" w:type="dxa"/>
            <w:tcBorders>
              <w:top w:val="nil"/>
              <w:left w:val="nil"/>
              <w:bottom w:val="double" w:sz="6"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98</w:t>
            </w:r>
          </w:p>
        </w:tc>
        <w:tc>
          <w:tcPr>
            <w:tcW w:w="1134" w:type="dxa"/>
            <w:tcBorders>
              <w:top w:val="nil"/>
              <w:left w:val="nil"/>
              <w:bottom w:val="double" w:sz="6"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29163.5</w:t>
            </w:r>
          </w:p>
        </w:tc>
        <w:tc>
          <w:tcPr>
            <w:tcW w:w="1134" w:type="dxa"/>
            <w:tcBorders>
              <w:top w:val="nil"/>
              <w:left w:val="nil"/>
              <w:bottom w:val="double" w:sz="6"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79.6</w:t>
            </w:r>
          </w:p>
        </w:tc>
        <w:tc>
          <w:tcPr>
            <w:tcW w:w="1054" w:type="dxa"/>
            <w:tcBorders>
              <w:top w:val="nil"/>
              <w:left w:val="nil"/>
              <w:bottom w:val="double" w:sz="6"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204</w:t>
            </w:r>
          </w:p>
        </w:tc>
        <w:tc>
          <w:tcPr>
            <w:tcW w:w="1073" w:type="dxa"/>
            <w:tcBorders>
              <w:top w:val="nil"/>
              <w:left w:val="nil"/>
              <w:bottom w:val="double" w:sz="6"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33252</w:t>
            </w:r>
          </w:p>
        </w:tc>
        <w:tc>
          <w:tcPr>
            <w:tcW w:w="1053" w:type="dxa"/>
            <w:tcBorders>
              <w:top w:val="nil"/>
              <w:left w:val="nil"/>
              <w:bottom w:val="double" w:sz="6" w:space="0" w:color="auto"/>
              <w:right w:val="double" w:sz="6" w:space="0" w:color="auto"/>
            </w:tcBorders>
            <w:shd w:val="clear" w:color="auto" w:fill="auto"/>
            <w:noWrap/>
            <w:vAlign w:val="center"/>
            <w:hideMark/>
          </w:tcPr>
          <w:p w:rsidR="008972F9" w:rsidRPr="00C90AC9" w:rsidRDefault="008972F9" w:rsidP="003F4BEE">
            <w:pPr>
              <w:jc w:val="center"/>
              <w:rPr>
                <w:rFonts w:eastAsia="Times New Roman"/>
              </w:rPr>
            </w:pPr>
            <w:r w:rsidRPr="00C90AC9">
              <w:rPr>
                <w:rFonts w:eastAsia="Times New Roman"/>
              </w:rPr>
              <w:t>166.2</w:t>
            </w:r>
          </w:p>
        </w:tc>
      </w:tr>
    </w:tbl>
    <w:p w:rsidR="008972F9" w:rsidRPr="00C90AC9" w:rsidRDefault="008972F9" w:rsidP="00B06779">
      <w:pPr>
        <w:rPr>
          <w:rFonts w:eastAsiaTheme="minorHAnsi"/>
          <w:lang w:eastAsia="en-US"/>
        </w:rPr>
      </w:pPr>
    </w:p>
    <w:p w:rsidR="006D39FA" w:rsidRPr="00C90AC9" w:rsidRDefault="008972F9" w:rsidP="00B06779">
      <w:pPr>
        <w:pStyle w:val="BodyText"/>
        <w:rPr>
          <w:rFonts w:eastAsiaTheme="minorHAnsi"/>
          <w:lang w:eastAsia="en-US"/>
        </w:rPr>
      </w:pPr>
      <w:r w:rsidRPr="00C90AC9">
        <w:rPr>
          <w:rFonts w:eastAsiaTheme="minorHAnsi"/>
          <w:lang w:eastAsia="en-US"/>
        </w:rPr>
        <w:lastRenderedPageBreak/>
        <w:t xml:space="preserve">Table </w:t>
      </w:r>
      <w:r w:rsidR="00853BAF" w:rsidRPr="00C90AC9">
        <w:rPr>
          <w:rFonts w:eastAsiaTheme="minorHAnsi"/>
          <w:lang w:eastAsia="en-US"/>
        </w:rPr>
        <w:t xml:space="preserve">7.7. </w:t>
      </w:r>
      <w:proofErr w:type="spellStart"/>
      <w:r w:rsidRPr="00C90AC9">
        <w:rPr>
          <w:rFonts w:eastAsiaTheme="minorHAnsi"/>
          <w:lang w:eastAsia="en-US"/>
        </w:rPr>
        <w:t>Baxi</w:t>
      </w:r>
      <w:proofErr w:type="spellEnd"/>
      <w:r w:rsidRPr="00C90AC9">
        <w:rPr>
          <w:rFonts w:eastAsiaTheme="minorHAnsi"/>
          <w:lang w:eastAsia="en-US"/>
        </w:rPr>
        <w:t xml:space="preserve"> and </w:t>
      </w:r>
      <w:proofErr w:type="spellStart"/>
      <w:r w:rsidRPr="00C90AC9">
        <w:rPr>
          <w:rFonts w:eastAsiaTheme="minorHAnsi"/>
          <w:lang w:eastAsia="en-US"/>
        </w:rPr>
        <w:t>Akverterm</w:t>
      </w:r>
      <w:proofErr w:type="spellEnd"/>
      <w:r w:rsidRPr="00C90AC9">
        <w:rPr>
          <w:rFonts w:eastAsiaTheme="minorHAnsi"/>
          <w:lang w:eastAsia="en-US"/>
        </w:rPr>
        <w:t xml:space="preserve"> product specifications of </w:t>
      </w:r>
      <w:r w:rsidR="006518C0" w:rsidRPr="00C90AC9">
        <w:rPr>
          <w:rFonts w:eastAsiaTheme="minorHAnsi"/>
          <w:lang w:eastAsia="en-US"/>
        </w:rPr>
        <w:t>STPs</w:t>
      </w:r>
      <w:r w:rsidRPr="00C90AC9">
        <w:rPr>
          <w:rFonts w:eastAsiaTheme="minorHAnsi"/>
          <w:lang w:eastAsia="en-US"/>
        </w:rPr>
        <w:t xml:space="preserve"> </w:t>
      </w:r>
      <w:r w:rsidR="00040467" w:rsidRPr="00C90AC9">
        <w:rPr>
          <w:rFonts w:eastAsiaTheme="minorHAnsi"/>
          <w:lang w:eastAsia="en-US"/>
        </w:rPr>
        <w:fldChar w:fldCharType="begin"/>
      </w:r>
      <w:r w:rsidR="00040467" w:rsidRPr="00C90AC9">
        <w:rPr>
          <w:rFonts w:eastAsiaTheme="minorHAnsi"/>
          <w:lang w:eastAsia="en-US"/>
        </w:rPr>
        <w:instrText xml:space="preserve"> ADDIN EN.CITE &lt;EndNote&gt;&lt;Cite&gt;&lt;Author&gt;Baxi&lt;/Author&gt;&lt;Year&gt;2015&lt;/Year&gt;&lt;RecNum&gt;273&lt;/RecNum&gt;&lt;DisplayText&gt;(Baxi, 2015)&lt;/DisplayText&gt;&lt;record&gt;&lt;rec-number&gt;273&lt;/rec-number&gt;&lt;foreign-keys&gt;&lt;key app="EN" db-id="50wxdpzd9vd5r7e9t5b595djrfpttrxw9avp" timestamp="1526194921"&gt;273&lt;/key&gt;&lt;/foreign-keys&gt;&lt;ref-type name="Report"&gt;27&lt;/ref-type&gt;&lt;contributors&gt;&lt;authors&gt;&lt;author&gt;Baxi&lt;/author&gt;&lt;/authors&gt;&lt;/contributors&gt;&lt;titles&gt;&lt;title&gt;Megaflo eco, unvented hot water cylinders&lt;/title&gt;&lt;/titles&gt;&lt;dates&gt;&lt;year&gt;2015&lt;/year&gt;&lt;/dates&gt;&lt;urls&gt;&lt;/urls&gt;&lt;/record&gt;&lt;/Cite&gt;&lt;/EndNote&gt;</w:instrText>
      </w:r>
      <w:r w:rsidR="00040467" w:rsidRPr="00C90AC9">
        <w:rPr>
          <w:rFonts w:eastAsiaTheme="minorHAnsi"/>
          <w:lang w:eastAsia="en-US"/>
        </w:rPr>
        <w:fldChar w:fldCharType="separate"/>
      </w:r>
      <w:r w:rsidR="00040467" w:rsidRPr="00C90AC9">
        <w:rPr>
          <w:rFonts w:eastAsiaTheme="minorHAnsi"/>
          <w:lang w:eastAsia="en-US"/>
        </w:rPr>
        <w:t>(Baxi, 2015)</w:t>
      </w:r>
      <w:r w:rsidR="00040467" w:rsidRPr="00C90AC9">
        <w:rPr>
          <w:rFonts w:eastAsiaTheme="minorHAnsi"/>
          <w:lang w:eastAsia="en-US"/>
        </w:rPr>
        <w:fldChar w:fldCharType="end"/>
      </w:r>
      <w:r w:rsidR="00072D29" w:rsidRPr="00C90AC9">
        <w:rPr>
          <w:rFonts w:eastAsiaTheme="minorHAnsi"/>
          <w:lang w:eastAsia="en-US"/>
        </w:rPr>
        <w:t xml:space="preserve"> </w:t>
      </w:r>
      <w:r w:rsidR="00040467" w:rsidRPr="00C90AC9">
        <w:rPr>
          <w:rFonts w:eastAsiaTheme="minorHAnsi"/>
          <w:lang w:eastAsia="en-US"/>
        </w:rPr>
        <w:fldChar w:fldCharType="begin"/>
      </w:r>
      <w:r w:rsidR="00040467" w:rsidRPr="00C90AC9">
        <w:rPr>
          <w:rFonts w:eastAsiaTheme="minorHAnsi"/>
          <w:lang w:eastAsia="en-US"/>
        </w:rPr>
        <w:instrText xml:space="preserve"> ADDIN EN.CITE &lt;EndNote&gt;&lt;Cite&gt;&lt;Author&gt;Akva&lt;/Author&gt;&lt;Year&gt;2015&lt;/Year&gt;&lt;RecNum&gt;275&lt;/RecNum&gt;&lt;DisplayText&gt;(Akva, 2015)&lt;/DisplayText&gt;&lt;record&gt;&lt;rec-number&gt;275&lt;/rec-number&gt;&lt;foreign-keys&gt;&lt;key app="EN" db-id="50wxdpzd9vd5r7e9t5b595djrfpttrxw9avp" timestamp="1526195142"&gt;275&lt;/key&gt;&lt;/foreign-keys&gt;&lt;ref-type name="Report"&gt;27&lt;/ref-type&gt;&lt;contributors&gt;&lt;authors&gt;&lt;author&gt;Akva&lt;/author&gt;&lt;/authors&gt;&lt;/contributors&gt;&lt;titles&gt;&lt;title&gt;Akva Solar Thermal Stores&lt;/title&gt;&lt;/titles&gt;&lt;dates&gt;&lt;year&gt;2015&lt;/year&gt;&lt;/dates&gt;&lt;urls&gt;&lt;/urls&gt;&lt;/record&gt;&lt;/Cite&gt;&lt;/EndNote&gt;</w:instrText>
      </w:r>
      <w:r w:rsidR="00040467" w:rsidRPr="00C90AC9">
        <w:rPr>
          <w:rFonts w:eastAsiaTheme="minorHAnsi"/>
          <w:lang w:eastAsia="en-US"/>
        </w:rPr>
        <w:fldChar w:fldCharType="separate"/>
      </w:r>
      <w:r w:rsidR="00040467" w:rsidRPr="00C90AC9">
        <w:rPr>
          <w:rFonts w:eastAsiaTheme="minorHAnsi"/>
          <w:lang w:eastAsia="en-US"/>
        </w:rPr>
        <w:t>(Akva, 2015)</w:t>
      </w:r>
      <w:r w:rsidR="00040467" w:rsidRPr="00C90AC9">
        <w:rPr>
          <w:rFonts w:eastAsiaTheme="minorHAnsi"/>
          <w:lang w:eastAsia="en-US"/>
        </w:rPr>
        <w:fldChar w:fldCharType="end"/>
      </w:r>
    </w:p>
    <w:tbl>
      <w:tblPr>
        <w:tblpPr w:leftFromText="180" w:rightFromText="180" w:vertAnchor="text" w:horzAnchor="margin" w:tblpY="149"/>
        <w:tblOverlap w:val="neve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2"/>
        <w:gridCol w:w="2669"/>
        <w:gridCol w:w="1559"/>
        <w:gridCol w:w="1276"/>
        <w:gridCol w:w="1559"/>
        <w:gridCol w:w="1242"/>
      </w:tblGrid>
      <w:tr w:rsidR="002E5A37" w:rsidRPr="00C90AC9" w:rsidTr="00040467">
        <w:trPr>
          <w:trHeight w:hRule="exact" w:val="2414"/>
        </w:trPr>
        <w:tc>
          <w:tcPr>
            <w:tcW w:w="1442" w:type="dxa"/>
            <w:tcBorders>
              <w:top w:val="single" w:sz="4" w:space="0" w:color="auto"/>
              <w:left w:val="single" w:sz="4" w:space="0" w:color="auto"/>
              <w:bottom w:val="double" w:sz="4" w:space="0" w:color="auto"/>
              <w:right w:val="single" w:sz="4" w:space="0" w:color="auto"/>
            </w:tcBorders>
            <w:vAlign w:val="center"/>
          </w:tcPr>
          <w:p w:rsidR="002E5A37" w:rsidRPr="00C90AC9" w:rsidRDefault="002E5A37" w:rsidP="00040467">
            <w:pPr>
              <w:jc w:val="center"/>
              <w:rPr>
                <w:rFonts w:eastAsiaTheme="minorHAnsi"/>
                <w:lang w:eastAsia="en-US"/>
              </w:rPr>
            </w:pPr>
            <w:r w:rsidRPr="00C90AC9">
              <w:rPr>
                <w:rFonts w:eastAsiaTheme="minorHAnsi"/>
                <w:lang w:eastAsia="en-US"/>
              </w:rPr>
              <w:t>Company</w:t>
            </w:r>
          </w:p>
        </w:tc>
        <w:tc>
          <w:tcPr>
            <w:tcW w:w="2669" w:type="dxa"/>
            <w:tcBorders>
              <w:top w:val="single" w:sz="4" w:space="0" w:color="auto"/>
              <w:left w:val="single" w:sz="4" w:space="0" w:color="auto"/>
              <w:bottom w:val="double" w:sz="4" w:space="0" w:color="auto"/>
              <w:right w:val="single" w:sz="4" w:space="0" w:color="auto"/>
            </w:tcBorders>
            <w:vAlign w:val="center"/>
          </w:tcPr>
          <w:p w:rsidR="002E5A37" w:rsidRPr="00C90AC9" w:rsidRDefault="002E5A37" w:rsidP="00040467">
            <w:pPr>
              <w:jc w:val="center"/>
              <w:rPr>
                <w:rFonts w:eastAsiaTheme="minorHAnsi"/>
                <w:lang w:eastAsia="en-US"/>
              </w:rPr>
            </w:pPr>
            <w:r w:rsidRPr="00C90AC9">
              <w:rPr>
                <w:rFonts w:eastAsiaTheme="minorHAnsi"/>
                <w:lang w:eastAsia="en-US"/>
              </w:rPr>
              <w:t>Model Number</w:t>
            </w:r>
          </w:p>
        </w:tc>
        <w:tc>
          <w:tcPr>
            <w:tcW w:w="1559" w:type="dxa"/>
            <w:tcBorders>
              <w:top w:val="single" w:sz="4" w:space="0" w:color="auto"/>
              <w:left w:val="single" w:sz="4" w:space="0" w:color="auto"/>
              <w:bottom w:val="double" w:sz="4" w:space="0" w:color="auto"/>
              <w:right w:val="single" w:sz="4" w:space="0" w:color="auto"/>
            </w:tcBorders>
            <w:vAlign w:val="center"/>
          </w:tcPr>
          <w:p w:rsidR="002E5A37" w:rsidRPr="00C90AC9" w:rsidRDefault="002E5A37" w:rsidP="00040467">
            <w:pPr>
              <w:jc w:val="center"/>
              <w:rPr>
                <w:rFonts w:eastAsiaTheme="minorHAnsi"/>
                <w:lang w:eastAsia="en-US"/>
              </w:rPr>
            </w:pPr>
            <w:r w:rsidRPr="00C90AC9">
              <w:rPr>
                <w:rFonts w:eastAsiaTheme="minorHAnsi"/>
                <w:lang w:eastAsia="en-US"/>
              </w:rPr>
              <w:t xml:space="preserve">Capacity, </w:t>
            </w:r>
            <w:proofErr w:type="spellStart"/>
            <w:r w:rsidRPr="00C90AC9">
              <w:rPr>
                <w:rFonts w:eastAsiaTheme="minorHAnsi"/>
                <w:lang w:eastAsia="en-US"/>
              </w:rPr>
              <w:t>V</w:t>
            </w:r>
            <w:r w:rsidRPr="00C90AC9">
              <w:rPr>
                <w:rFonts w:eastAsiaTheme="minorHAnsi"/>
                <w:vertAlign w:val="subscript"/>
                <w:lang w:eastAsia="en-US"/>
              </w:rPr>
              <w:t>tank</w:t>
            </w:r>
            <w:proofErr w:type="spellEnd"/>
            <w:r w:rsidRPr="00C90AC9">
              <w:rPr>
                <w:rFonts w:eastAsiaTheme="minorHAnsi"/>
                <w:lang w:eastAsia="en-US"/>
              </w:rPr>
              <w:t xml:space="preserve"> (</w:t>
            </w:r>
            <w:proofErr w:type="spellStart"/>
            <w:r w:rsidRPr="00C90AC9">
              <w:rPr>
                <w:rFonts w:eastAsiaTheme="minorHAnsi"/>
                <w:lang w:eastAsia="en-US"/>
              </w:rPr>
              <w:t>lt</w:t>
            </w:r>
            <w:proofErr w:type="spellEnd"/>
            <w:r w:rsidRPr="00C90AC9">
              <w:rPr>
                <w:rFonts w:eastAsiaTheme="minorHAnsi"/>
                <w:lang w:eastAsia="en-US"/>
              </w:rPr>
              <w:t>)</w:t>
            </w:r>
          </w:p>
        </w:tc>
        <w:tc>
          <w:tcPr>
            <w:tcW w:w="1276" w:type="dxa"/>
            <w:tcBorders>
              <w:top w:val="single" w:sz="4" w:space="0" w:color="auto"/>
              <w:left w:val="single" w:sz="4" w:space="0" w:color="auto"/>
              <w:bottom w:val="double" w:sz="4" w:space="0" w:color="auto"/>
              <w:right w:val="single" w:sz="4" w:space="0" w:color="auto"/>
            </w:tcBorders>
            <w:vAlign w:val="center"/>
          </w:tcPr>
          <w:p w:rsidR="002E5A37" w:rsidRPr="00C90AC9" w:rsidRDefault="002E5A37" w:rsidP="00040467">
            <w:pPr>
              <w:jc w:val="center"/>
              <w:rPr>
                <w:rFonts w:eastAsiaTheme="minorHAnsi"/>
                <w:lang w:eastAsia="en-US"/>
              </w:rPr>
            </w:pPr>
            <w:r w:rsidRPr="00C90AC9">
              <w:rPr>
                <w:rFonts w:eastAsiaTheme="minorHAnsi"/>
                <w:lang w:eastAsia="en-US"/>
              </w:rPr>
              <w:t xml:space="preserve">Height, </w:t>
            </w:r>
            <w:proofErr w:type="spellStart"/>
            <w:r w:rsidRPr="00C90AC9">
              <w:rPr>
                <w:rFonts w:eastAsiaTheme="minorHAnsi"/>
                <w:lang w:eastAsia="en-US"/>
              </w:rPr>
              <w:t>H</w:t>
            </w:r>
            <w:r w:rsidRPr="00C90AC9">
              <w:rPr>
                <w:rFonts w:eastAsiaTheme="minorHAnsi"/>
                <w:vertAlign w:val="subscript"/>
                <w:lang w:eastAsia="en-US"/>
              </w:rPr>
              <w:t>tank</w:t>
            </w:r>
            <w:proofErr w:type="spellEnd"/>
            <w:r w:rsidRPr="00C90AC9">
              <w:rPr>
                <w:rFonts w:eastAsiaTheme="minorHAnsi"/>
                <w:vertAlign w:val="subscript"/>
                <w:lang w:eastAsia="en-US"/>
              </w:rPr>
              <w:t xml:space="preserve">, </w:t>
            </w:r>
            <w:r w:rsidRPr="00C90AC9">
              <w:rPr>
                <w:rFonts w:eastAsiaTheme="minorHAnsi"/>
                <w:lang w:eastAsia="en-US"/>
              </w:rPr>
              <w:t>(mm)</w:t>
            </w:r>
          </w:p>
        </w:tc>
        <w:tc>
          <w:tcPr>
            <w:tcW w:w="1559" w:type="dxa"/>
            <w:tcBorders>
              <w:top w:val="single" w:sz="4" w:space="0" w:color="auto"/>
              <w:left w:val="single" w:sz="4" w:space="0" w:color="auto"/>
              <w:bottom w:val="double" w:sz="4" w:space="0" w:color="auto"/>
              <w:right w:val="single" w:sz="4" w:space="0" w:color="auto"/>
            </w:tcBorders>
            <w:vAlign w:val="center"/>
          </w:tcPr>
          <w:p w:rsidR="002E5A37" w:rsidRPr="00C90AC9" w:rsidRDefault="002E5A37" w:rsidP="00040467">
            <w:pPr>
              <w:jc w:val="center"/>
              <w:rPr>
                <w:rFonts w:eastAsiaTheme="minorHAnsi"/>
                <w:lang w:eastAsia="en-US"/>
              </w:rPr>
            </w:pPr>
            <w:r w:rsidRPr="00C90AC9">
              <w:rPr>
                <w:rFonts w:eastAsiaTheme="minorHAnsi"/>
                <w:lang w:eastAsia="en-US"/>
              </w:rPr>
              <w:t>Diameter, D (mm)</w:t>
            </w:r>
          </w:p>
        </w:tc>
        <w:tc>
          <w:tcPr>
            <w:tcW w:w="1242" w:type="dxa"/>
            <w:tcBorders>
              <w:top w:val="single" w:sz="4" w:space="0" w:color="auto"/>
              <w:left w:val="single" w:sz="4" w:space="0" w:color="auto"/>
              <w:bottom w:val="double" w:sz="4" w:space="0" w:color="auto"/>
              <w:right w:val="single" w:sz="4" w:space="0" w:color="auto"/>
            </w:tcBorders>
            <w:vAlign w:val="center"/>
          </w:tcPr>
          <w:p w:rsidR="002E5A37" w:rsidRPr="00C90AC9" w:rsidRDefault="002E5A37" w:rsidP="00040467">
            <w:pPr>
              <w:jc w:val="center"/>
              <w:rPr>
                <w:rFonts w:eastAsiaTheme="minorHAnsi"/>
                <w:lang w:eastAsia="en-US"/>
              </w:rPr>
            </w:pPr>
            <w:r w:rsidRPr="00C90AC9">
              <w:rPr>
                <w:rFonts w:eastAsiaTheme="minorHAnsi"/>
                <w:lang w:eastAsia="en-US"/>
              </w:rPr>
              <w:t xml:space="preserve">Area tank, </w:t>
            </w:r>
            <w:proofErr w:type="spellStart"/>
            <w:r w:rsidRPr="00C90AC9">
              <w:rPr>
                <w:rFonts w:eastAsiaTheme="minorHAnsi"/>
                <w:lang w:eastAsia="en-US"/>
              </w:rPr>
              <w:t>A</w:t>
            </w:r>
            <w:r w:rsidRPr="00C90AC9">
              <w:rPr>
                <w:rFonts w:eastAsiaTheme="minorHAnsi"/>
                <w:vertAlign w:val="subscript"/>
                <w:lang w:eastAsia="en-US"/>
              </w:rPr>
              <w:t>tank</w:t>
            </w:r>
            <w:proofErr w:type="spellEnd"/>
            <w:r w:rsidRPr="00C90AC9">
              <w:rPr>
                <w:rFonts w:eastAsiaTheme="minorHAnsi"/>
                <w:vertAlign w:val="subscript"/>
                <w:lang w:eastAsia="en-US"/>
              </w:rPr>
              <w:t xml:space="preserve"> </w:t>
            </w:r>
            <w:r w:rsidRPr="00C90AC9">
              <w:rPr>
                <w:rFonts w:eastAsiaTheme="minorHAnsi"/>
                <w:lang w:eastAsia="en-US"/>
              </w:rPr>
              <w:t>(m</w:t>
            </w:r>
            <w:r w:rsidRPr="00C90AC9">
              <w:rPr>
                <w:rFonts w:eastAsiaTheme="minorHAnsi"/>
                <w:vertAlign w:val="superscript"/>
                <w:lang w:eastAsia="en-US"/>
              </w:rPr>
              <w:t>2</w:t>
            </w:r>
            <w:r w:rsidRPr="00C90AC9">
              <w:rPr>
                <w:rFonts w:eastAsiaTheme="minorHAnsi"/>
                <w:lang w:eastAsia="en-US"/>
              </w:rPr>
              <w:t>)</w:t>
            </w:r>
          </w:p>
        </w:tc>
      </w:tr>
      <w:tr w:rsidR="002E5A37" w:rsidRPr="00C90AC9" w:rsidTr="002E5A37">
        <w:trPr>
          <w:trHeight w:hRule="exact" w:val="510"/>
        </w:trPr>
        <w:tc>
          <w:tcPr>
            <w:tcW w:w="1442" w:type="dxa"/>
            <w:tcBorders>
              <w:top w:val="double" w:sz="4" w:space="0" w:color="auto"/>
            </w:tcBorders>
            <w:vAlign w:val="center"/>
          </w:tcPr>
          <w:p w:rsidR="002E5A37" w:rsidRPr="00C90AC9" w:rsidRDefault="002E5A37" w:rsidP="00040467">
            <w:pPr>
              <w:jc w:val="center"/>
              <w:rPr>
                <w:rFonts w:eastAsiaTheme="minorHAnsi"/>
                <w:lang w:eastAsia="en-US"/>
              </w:rPr>
            </w:pPr>
            <w:proofErr w:type="spellStart"/>
            <w:r w:rsidRPr="00C90AC9">
              <w:rPr>
                <w:rFonts w:eastAsiaTheme="minorHAnsi"/>
                <w:lang w:eastAsia="en-US"/>
              </w:rPr>
              <w:t>Baxi</w:t>
            </w:r>
            <w:proofErr w:type="spellEnd"/>
          </w:p>
        </w:tc>
        <w:tc>
          <w:tcPr>
            <w:tcW w:w="2669" w:type="dxa"/>
            <w:tcBorders>
              <w:top w:val="double" w:sz="4" w:space="0" w:color="auto"/>
            </w:tcBorders>
            <w:vAlign w:val="center"/>
          </w:tcPr>
          <w:p w:rsidR="002E5A37" w:rsidRPr="00C90AC9" w:rsidRDefault="002E5A37" w:rsidP="00040467">
            <w:pPr>
              <w:jc w:val="center"/>
              <w:rPr>
                <w:rFonts w:eastAsiaTheme="minorHAnsi"/>
                <w:lang w:eastAsia="en-US"/>
              </w:rPr>
            </w:pPr>
            <w:proofErr w:type="spellStart"/>
            <w:r w:rsidRPr="00C90AC9">
              <w:rPr>
                <w:rFonts w:eastAsiaTheme="minorHAnsi"/>
                <w:lang w:eastAsia="en-US"/>
              </w:rPr>
              <w:t>Megaflo</w:t>
            </w:r>
            <w:proofErr w:type="spellEnd"/>
            <w:r w:rsidRPr="00C90AC9">
              <w:rPr>
                <w:rFonts w:eastAsiaTheme="minorHAnsi"/>
                <w:lang w:eastAsia="en-US"/>
              </w:rPr>
              <w:t xml:space="preserve"> Eco 190</w:t>
            </w:r>
          </w:p>
        </w:tc>
        <w:tc>
          <w:tcPr>
            <w:tcW w:w="1559" w:type="dxa"/>
            <w:tcBorders>
              <w:top w:val="double" w:sz="4" w:space="0" w:color="auto"/>
            </w:tcBorders>
            <w:vAlign w:val="center"/>
          </w:tcPr>
          <w:p w:rsidR="002E5A37" w:rsidRPr="00C90AC9" w:rsidRDefault="002E5A37" w:rsidP="00040467">
            <w:pPr>
              <w:jc w:val="center"/>
              <w:rPr>
                <w:rFonts w:eastAsiaTheme="minorHAnsi"/>
                <w:lang w:eastAsia="en-US"/>
              </w:rPr>
            </w:pPr>
            <w:r w:rsidRPr="00C90AC9">
              <w:rPr>
                <w:rFonts w:eastAsiaTheme="minorHAnsi"/>
                <w:lang w:eastAsia="en-US"/>
              </w:rPr>
              <w:t>190</w:t>
            </w:r>
          </w:p>
        </w:tc>
        <w:tc>
          <w:tcPr>
            <w:tcW w:w="1276" w:type="dxa"/>
            <w:tcBorders>
              <w:top w:val="double" w:sz="4" w:space="0" w:color="auto"/>
            </w:tcBorders>
            <w:vAlign w:val="center"/>
          </w:tcPr>
          <w:p w:rsidR="002E5A37" w:rsidRPr="00C90AC9" w:rsidRDefault="002E5A37" w:rsidP="00040467">
            <w:pPr>
              <w:jc w:val="center"/>
              <w:rPr>
                <w:rFonts w:eastAsiaTheme="minorHAnsi"/>
                <w:lang w:eastAsia="en-US"/>
              </w:rPr>
            </w:pPr>
            <w:r w:rsidRPr="00C90AC9">
              <w:rPr>
                <w:rFonts w:eastAsiaTheme="minorHAnsi"/>
                <w:lang w:eastAsia="en-US"/>
              </w:rPr>
              <w:t>1401</w:t>
            </w:r>
          </w:p>
        </w:tc>
        <w:tc>
          <w:tcPr>
            <w:tcW w:w="1559" w:type="dxa"/>
            <w:tcBorders>
              <w:top w:val="double" w:sz="4" w:space="0" w:color="auto"/>
            </w:tcBorders>
            <w:vAlign w:val="center"/>
          </w:tcPr>
          <w:p w:rsidR="002E5A37" w:rsidRPr="00C90AC9" w:rsidRDefault="002E5A37" w:rsidP="00040467">
            <w:pPr>
              <w:jc w:val="center"/>
              <w:rPr>
                <w:rFonts w:eastAsiaTheme="minorHAnsi"/>
                <w:lang w:eastAsia="en-US"/>
              </w:rPr>
            </w:pPr>
            <w:r w:rsidRPr="00C90AC9">
              <w:rPr>
                <w:rFonts w:eastAsiaTheme="minorHAnsi"/>
                <w:lang w:eastAsia="en-US"/>
              </w:rPr>
              <w:t>276</w:t>
            </w:r>
          </w:p>
        </w:tc>
        <w:tc>
          <w:tcPr>
            <w:tcW w:w="1242" w:type="dxa"/>
            <w:tcBorders>
              <w:top w:val="double" w:sz="4" w:space="0" w:color="auto"/>
            </w:tcBorders>
            <w:vAlign w:val="center"/>
          </w:tcPr>
          <w:p w:rsidR="002E5A37" w:rsidRPr="00C90AC9" w:rsidRDefault="002E5A37" w:rsidP="00040467">
            <w:pPr>
              <w:jc w:val="center"/>
              <w:rPr>
                <w:rFonts w:eastAsiaTheme="minorHAnsi"/>
                <w:lang w:eastAsia="en-US"/>
              </w:rPr>
            </w:pPr>
            <w:r w:rsidRPr="00C90AC9">
              <w:rPr>
                <w:rFonts w:eastAsiaTheme="minorHAnsi"/>
                <w:lang w:eastAsia="en-US"/>
              </w:rPr>
              <w:t>0.2392</w:t>
            </w:r>
          </w:p>
        </w:tc>
      </w:tr>
      <w:tr w:rsidR="002E5A37" w:rsidRPr="00C90AC9" w:rsidTr="002E5A37">
        <w:trPr>
          <w:trHeight w:hRule="exact" w:val="510"/>
        </w:trPr>
        <w:tc>
          <w:tcPr>
            <w:tcW w:w="1442" w:type="dxa"/>
            <w:vAlign w:val="center"/>
          </w:tcPr>
          <w:p w:rsidR="002E5A37" w:rsidRPr="00C90AC9" w:rsidRDefault="002E5A37" w:rsidP="00040467">
            <w:pPr>
              <w:jc w:val="center"/>
              <w:rPr>
                <w:rFonts w:eastAsiaTheme="minorHAnsi"/>
                <w:lang w:eastAsia="en-US"/>
              </w:rPr>
            </w:pPr>
            <w:proofErr w:type="spellStart"/>
            <w:r w:rsidRPr="00C90AC9">
              <w:rPr>
                <w:rFonts w:eastAsiaTheme="minorHAnsi"/>
                <w:lang w:eastAsia="en-US"/>
              </w:rPr>
              <w:t>Baxi</w:t>
            </w:r>
            <w:proofErr w:type="spellEnd"/>
          </w:p>
        </w:tc>
        <w:tc>
          <w:tcPr>
            <w:tcW w:w="2669" w:type="dxa"/>
            <w:vAlign w:val="center"/>
          </w:tcPr>
          <w:p w:rsidR="002E5A37" w:rsidRPr="00C90AC9" w:rsidRDefault="002E5A37" w:rsidP="00040467">
            <w:pPr>
              <w:jc w:val="center"/>
              <w:rPr>
                <w:rFonts w:eastAsiaTheme="minorHAnsi"/>
                <w:lang w:eastAsia="en-US"/>
              </w:rPr>
            </w:pPr>
            <w:proofErr w:type="spellStart"/>
            <w:r w:rsidRPr="00C90AC9">
              <w:rPr>
                <w:rFonts w:eastAsiaTheme="minorHAnsi"/>
                <w:lang w:eastAsia="en-US"/>
              </w:rPr>
              <w:t>Megaflo</w:t>
            </w:r>
            <w:proofErr w:type="spellEnd"/>
            <w:r w:rsidRPr="00C90AC9">
              <w:rPr>
                <w:rFonts w:eastAsiaTheme="minorHAnsi"/>
                <w:lang w:eastAsia="en-US"/>
              </w:rPr>
              <w:t xml:space="preserve"> Eco 210</w:t>
            </w:r>
          </w:p>
        </w:tc>
        <w:tc>
          <w:tcPr>
            <w:tcW w:w="1559" w:type="dxa"/>
            <w:vAlign w:val="center"/>
          </w:tcPr>
          <w:p w:rsidR="002E5A37" w:rsidRPr="00C90AC9" w:rsidRDefault="002E5A37" w:rsidP="00040467">
            <w:pPr>
              <w:jc w:val="center"/>
              <w:rPr>
                <w:rFonts w:eastAsiaTheme="minorHAnsi"/>
                <w:lang w:eastAsia="en-US"/>
              </w:rPr>
            </w:pPr>
            <w:r w:rsidRPr="00C90AC9">
              <w:rPr>
                <w:rFonts w:eastAsiaTheme="minorHAnsi"/>
                <w:lang w:eastAsia="en-US"/>
              </w:rPr>
              <w:t>210</w:t>
            </w:r>
          </w:p>
        </w:tc>
        <w:tc>
          <w:tcPr>
            <w:tcW w:w="1276" w:type="dxa"/>
            <w:vAlign w:val="center"/>
          </w:tcPr>
          <w:p w:rsidR="002E5A37" w:rsidRPr="00C90AC9" w:rsidRDefault="002E5A37" w:rsidP="00040467">
            <w:pPr>
              <w:jc w:val="center"/>
              <w:rPr>
                <w:rFonts w:eastAsiaTheme="minorHAnsi"/>
                <w:lang w:eastAsia="en-US"/>
              </w:rPr>
            </w:pPr>
            <w:r w:rsidRPr="00C90AC9">
              <w:rPr>
                <w:rFonts w:eastAsiaTheme="minorHAnsi"/>
                <w:lang w:eastAsia="en-US"/>
              </w:rPr>
              <w:t>1502</w:t>
            </w:r>
          </w:p>
        </w:tc>
        <w:tc>
          <w:tcPr>
            <w:tcW w:w="1559" w:type="dxa"/>
            <w:vAlign w:val="center"/>
          </w:tcPr>
          <w:p w:rsidR="002E5A37" w:rsidRPr="00C90AC9" w:rsidRDefault="002E5A37" w:rsidP="00040467">
            <w:pPr>
              <w:jc w:val="center"/>
              <w:rPr>
                <w:rFonts w:eastAsiaTheme="minorHAnsi"/>
                <w:lang w:eastAsia="en-US"/>
              </w:rPr>
            </w:pPr>
            <w:r w:rsidRPr="00C90AC9">
              <w:rPr>
                <w:rFonts w:eastAsiaTheme="minorHAnsi"/>
                <w:lang w:eastAsia="en-US"/>
              </w:rPr>
              <w:t>276</w:t>
            </w:r>
          </w:p>
        </w:tc>
        <w:tc>
          <w:tcPr>
            <w:tcW w:w="1242" w:type="dxa"/>
            <w:vAlign w:val="center"/>
          </w:tcPr>
          <w:p w:rsidR="002E5A37" w:rsidRPr="00C90AC9" w:rsidRDefault="002E5A37" w:rsidP="00040467">
            <w:pPr>
              <w:jc w:val="center"/>
              <w:rPr>
                <w:rFonts w:eastAsiaTheme="minorHAnsi"/>
                <w:lang w:eastAsia="en-US"/>
              </w:rPr>
            </w:pPr>
            <w:r w:rsidRPr="00C90AC9">
              <w:rPr>
                <w:rFonts w:eastAsiaTheme="minorHAnsi"/>
                <w:lang w:eastAsia="en-US"/>
              </w:rPr>
              <w:t>0.2392</w:t>
            </w:r>
          </w:p>
        </w:tc>
      </w:tr>
      <w:tr w:rsidR="002E5A37" w:rsidRPr="00C90AC9" w:rsidTr="002E5A37">
        <w:trPr>
          <w:trHeight w:hRule="exact" w:val="510"/>
        </w:trPr>
        <w:tc>
          <w:tcPr>
            <w:tcW w:w="1442" w:type="dxa"/>
            <w:vAlign w:val="center"/>
          </w:tcPr>
          <w:p w:rsidR="002E5A37" w:rsidRPr="00C90AC9" w:rsidRDefault="002E5A37" w:rsidP="00040467">
            <w:pPr>
              <w:jc w:val="center"/>
              <w:rPr>
                <w:rFonts w:eastAsiaTheme="minorHAnsi"/>
                <w:lang w:eastAsia="en-US"/>
              </w:rPr>
            </w:pPr>
            <w:proofErr w:type="spellStart"/>
            <w:r w:rsidRPr="00C90AC9">
              <w:rPr>
                <w:rFonts w:eastAsiaTheme="minorHAnsi"/>
                <w:lang w:eastAsia="en-US"/>
              </w:rPr>
              <w:t>Baxi</w:t>
            </w:r>
            <w:proofErr w:type="spellEnd"/>
          </w:p>
        </w:tc>
        <w:tc>
          <w:tcPr>
            <w:tcW w:w="2669" w:type="dxa"/>
            <w:vAlign w:val="center"/>
          </w:tcPr>
          <w:p w:rsidR="002E5A37" w:rsidRPr="00C90AC9" w:rsidRDefault="002E5A37" w:rsidP="00040467">
            <w:pPr>
              <w:jc w:val="center"/>
              <w:rPr>
                <w:rFonts w:eastAsiaTheme="minorHAnsi"/>
                <w:lang w:eastAsia="en-US"/>
              </w:rPr>
            </w:pPr>
            <w:proofErr w:type="spellStart"/>
            <w:r w:rsidRPr="00C90AC9">
              <w:rPr>
                <w:rFonts w:eastAsiaTheme="minorHAnsi"/>
                <w:lang w:eastAsia="en-US"/>
              </w:rPr>
              <w:t>Megaflo</w:t>
            </w:r>
            <w:proofErr w:type="spellEnd"/>
            <w:r w:rsidRPr="00C90AC9">
              <w:rPr>
                <w:rFonts w:eastAsiaTheme="minorHAnsi"/>
                <w:lang w:eastAsia="en-US"/>
              </w:rPr>
              <w:t xml:space="preserve"> Eco 250</w:t>
            </w:r>
          </w:p>
        </w:tc>
        <w:tc>
          <w:tcPr>
            <w:tcW w:w="1559" w:type="dxa"/>
            <w:vAlign w:val="center"/>
          </w:tcPr>
          <w:p w:rsidR="002E5A37" w:rsidRPr="00C90AC9" w:rsidRDefault="002E5A37" w:rsidP="00040467">
            <w:pPr>
              <w:jc w:val="center"/>
              <w:rPr>
                <w:rFonts w:eastAsiaTheme="minorHAnsi"/>
                <w:lang w:eastAsia="en-US"/>
              </w:rPr>
            </w:pPr>
            <w:r w:rsidRPr="00C90AC9">
              <w:rPr>
                <w:rFonts w:eastAsiaTheme="minorHAnsi"/>
                <w:lang w:eastAsia="en-US"/>
              </w:rPr>
              <w:t>250</w:t>
            </w:r>
          </w:p>
        </w:tc>
        <w:tc>
          <w:tcPr>
            <w:tcW w:w="1276" w:type="dxa"/>
            <w:vAlign w:val="center"/>
          </w:tcPr>
          <w:p w:rsidR="002E5A37" w:rsidRPr="00C90AC9" w:rsidRDefault="002E5A37" w:rsidP="00040467">
            <w:pPr>
              <w:jc w:val="center"/>
              <w:rPr>
                <w:rFonts w:eastAsiaTheme="minorHAnsi"/>
                <w:lang w:eastAsia="en-US"/>
              </w:rPr>
            </w:pPr>
            <w:r w:rsidRPr="00C90AC9">
              <w:rPr>
                <w:rFonts w:eastAsiaTheme="minorHAnsi"/>
                <w:lang w:eastAsia="en-US"/>
              </w:rPr>
              <w:t>1760</w:t>
            </w:r>
          </w:p>
        </w:tc>
        <w:tc>
          <w:tcPr>
            <w:tcW w:w="1559" w:type="dxa"/>
            <w:vAlign w:val="center"/>
          </w:tcPr>
          <w:p w:rsidR="002E5A37" w:rsidRPr="00C90AC9" w:rsidRDefault="002E5A37" w:rsidP="00040467">
            <w:pPr>
              <w:jc w:val="center"/>
              <w:rPr>
                <w:rFonts w:eastAsiaTheme="minorHAnsi"/>
                <w:lang w:eastAsia="en-US"/>
              </w:rPr>
            </w:pPr>
            <w:r w:rsidRPr="00C90AC9">
              <w:rPr>
                <w:rFonts w:eastAsiaTheme="minorHAnsi"/>
                <w:lang w:eastAsia="en-US"/>
              </w:rPr>
              <w:t>276</w:t>
            </w:r>
          </w:p>
        </w:tc>
        <w:tc>
          <w:tcPr>
            <w:tcW w:w="1242" w:type="dxa"/>
            <w:vAlign w:val="center"/>
          </w:tcPr>
          <w:p w:rsidR="002E5A37" w:rsidRPr="00C90AC9" w:rsidRDefault="002E5A37" w:rsidP="00040467">
            <w:pPr>
              <w:jc w:val="center"/>
              <w:rPr>
                <w:rFonts w:eastAsiaTheme="minorHAnsi"/>
                <w:lang w:eastAsia="en-US"/>
              </w:rPr>
            </w:pPr>
            <w:r w:rsidRPr="00C90AC9">
              <w:rPr>
                <w:rFonts w:eastAsiaTheme="minorHAnsi"/>
                <w:lang w:eastAsia="en-US"/>
              </w:rPr>
              <w:t>0.2392</w:t>
            </w:r>
          </w:p>
        </w:tc>
      </w:tr>
      <w:tr w:rsidR="002E5A37" w:rsidRPr="00C90AC9" w:rsidTr="002E5A37">
        <w:trPr>
          <w:trHeight w:hRule="exact" w:val="751"/>
        </w:trPr>
        <w:tc>
          <w:tcPr>
            <w:tcW w:w="1442" w:type="dxa"/>
            <w:vAlign w:val="center"/>
          </w:tcPr>
          <w:p w:rsidR="002E5A37" w:rsidRPr="00C90AC9" w:rsidRDefault="002E5A37" w:rsidP="00040467">
            <w:pPr>
              <w:jc w:val="center"/>
              <w:rPr>
                <w:rFonts w:eastAsiaTheme="minorHAnsi"/>
                <w:lang w:eastAsia="en-US"/>
              </w:rPr>
            </w:pPr>
            <w:proofErr w:type="spellStart"/>
            <w:r w:rsidRPr="00C90AC9">
              <w:rPr>
                <w:rFonts w:eastAsiaTheme="minorHAnsi"/>
                <w:lang w:eastAsia="en-US"/>
              </w:rPr>
              <w:t>Akverterm</w:t>
            </w:r>
            <w:proofErr w:type="spellEnd"/>
          </w:p>
        </w:tc>
        <w:tc>
          <w:tcPr>
            <w:tcW w:w="2669" w:type="dxa"/>
            <w:vAlign w:val="center"/>
          </w:tcPr>
          <w:p w:rsidR="002E5A37" w:rsidRPr="00C90AC9" w:rsidRDefault="002E5A37" w:rsidP="00040467">
            <w:pPr>
              <w:jc w:val="center"/>
              <w:rPr>
                <w:rFonts w:eastAsiaTheme="minorHAnsi"/>
                <w:lang w:eastAsia="en-US"/>
              </w:rPr>
            </w:pPr>
            <w:proofErr w:type="spellStart"/>
            <w:r w:rsidRPr="00C90AC9">
              <w:rPr>
                <w:rFonts w:eastAsiaTheme="minorHAnsi"/>
                <w:lang w:eastAsia="en-US"/>
              </w:rPr>
              <w:t>Akverterm</w:t>
            </w:r>
            <w:proofErr w:type="spellEnd"/>
            <w:r w:rsidRPr="00C90AC9">
              <w:rPr>
                <w:rFonts w:eastAsiaTheme="minorHAnsi"/>
                <w:lang w:eastAsia="en-US"/>
              </w:rPr>
              <w:t xml:space="preserve"> </w:t>
            </w:r>
            <w:proofErr w:type="spellStart"/>
            <w:r w:rsidRPr="00C90AC9">
              <w:rPr>
                <w:rFonts w:eastAsiaTheme="minorHAnsi"/>
                <w:lang w:eastAsia="en-US"/>
              </w:rPr>
              <w:t>Akva</w:t>
            </w:r>
            <w:proofErr w:type="spellEnd"/>
            <w:r w:rsidRPr="00C90AC9">
              <w:rPr>
                <w:rFonts w:eastAsiaTheme="minorHAnsi"/>
                <w:lang w:eastAsia="en-US"/>
              </w:rPr>
              <w:t xml:space="preserve"> Solar300</w:t>
            </w:r>
          </w:p>
        </w:tc>
        <w:tc>
          <w:tcPr>
            <w:tcW w:w="1559" w:type="dxa"/>
            <w:vAlign w:val="center"/>
          </w:tcPr>
          <w:p w:rsidR="002E5A37" w:rsidRPr="00C90AC9" w:rsidRDefault="002E5A37" w:rsidP="00040467">
            <w:pPr>
              <w:jc w:val="center"/>
              <w:rPr>
                <w:rFonts w:eastAsiaTheme="minorHAnsi"/>
                <w:lang w:eastAsia="en-US"/>
              </w:rPr>
            </w:pPr>
            <w:r w:rsidRPr="00C90AC9">
              <w:rPr>
                <w:rFonts w:eastAsiaTheme="minorHAnsi"/>
                <w:lang w:eastAsia="en-US"/>
              </w:rPr>
              <w:t>300</w:t>
            </w:r>
          </w:p>
        </w:tc>
        <w:tc>
          <w:tcPr>
            <w:tcW w:w="1276" w:type="dxa"/>
            <w:vAlign w:val="center"/>
          </w:tcPr>
          <w:p w:rsidR="002E5A37" w:rsidRPr="00C90AC9" w:rsidRDefault="002E5A37" w:rsidP="00040467">
            <w:pPr>
              <w:jc w:val="center"/>
              <w:rPr>
                <w:rFonts w:eastAsiaTheme="minorHAnsi"/>
                <w:lang w:eastAsia="en-US"/>
              </w:rPr>
            </w:pPr>
            <w:r w:rsidRPr="00C90AC9">
              <w:rPr>
                <w:rFonts w:eastAsiaTheme="minorHAnsi"/>
                <w:lang w:eastAsia="en-US"/>
              </w:rPr>
              <w:t>2050</w:t>
            </w:r>
          </w:p>
        </w:tc>
        <w:tc>
          <w:tcPr>
            <w:tcW w:w="1559" w:type="dxa"/>
            <w:vAlign w:val="center"/>
          </w:tcPr>
          <w:p w:rsidR="002E5A37" w:rsidRPr="00C90AC9" w:rsidRDefault="002E5A37" w:rsidP="00040467">
            <w:pPr>
              <w:jc w:val="center"/>
              <w:rPr>
                <w:rFonts w:eastAsiaTheme="minorHAnsi"/>
                <w:lang w:eastAsia="en-US"/>
              </w:rPr>
            </w:pPr>
            <w:r w:rsidRPr="00C90AC9">
              <w:rPr>
                <w:rFonts w:eastAsiaTheme="minorHAnsi"/>
                <w:lang w:eastAsia="en-US"/>
              </w:rPr>
              <w:t>650</w:t>
            </w:r>
          </w:p>
        </w:tc>
        <w:tc>
          <w:tcPr>
            <w:tcW w:w="1242" w:type="dxa"/>
            <w:vAlign w:val="center"/>
          </w:tcPr>
          <w:p w:rsidR="002E5A37" w:rsidRPr="00C90AC9" w:rsidRDefault="002E5A37" w:rsidP="00040467">
            <w:pPr>
              <w:jc w:val="center"/>
              <w:rPr>
                <w:rFonts w:eastAsiaTheme="minorHAnsi"/>
                <w:lang w:eastAsia="en-US"/>
              </w:rPr>
            </w:pPr>
            <w:r w:rsidRPr="00C90AC9">
              <w:rPr>
                <w:rFonts w:eastAsiaTheme="minorHAnsi"/>
                <w:lang w:eastAsia="en-US"/>
              </w:rPr>
              <w:t>1.323</w:t>
            </w:r>
          </w:p>
        </w:tc>
      </w:tr>
      <w:tr w:rsidR="002E5A37" w:rsidRPr="00C90AC9" w:rsidTr="002E5A37">
        <w:trPr>
          <w:trHeight w:hRule="exact" w:val="673"/>
        </w:trPr>
        <w:tc>
          <w:tcPr>
            <w:tcW w:w="1442" w:type="dxa"/>
            <w:tcBorders>
              <w:bottom w:val="single" w:sz="4" w:space="0" w:color="auto"/>
            </w:tcBorders>
            <w:vAlign w:val="center"/>
          </w:tcPr>
          <w:p w:rsidR="002E5A37" w:rsidRPr="00C90AC9" w:rsidRDefault="002E5A37" w:rsidP="00040467">
            <w:pPr>
              <w:jc w:val="center"/>
              <w:rPr>
                <w:rFonts w:eastAsiaTheme="minorHAnsi"/>
                <w:lang w:eastAsia="en-US"/>
              </w:rPr>
            </w:pPr>
            <w:proofErr w:type="spellStart"/>
            <w:r w:rsidRPr="00C90AC9">
              <w:rPr>
                <w:rFonts w:eastAsiaTheme="minorHAnsi"/>
                <w:lang w:eastAsia="en-US"/>
              </w:rPr>
              <w:t>Akverterm</w:t>
            </w:r>
            <w:proofErr w:type="spellEnd"/>
          </w:p>
        </w:tc>
        <w:tc>
          <w:tcPr>
            <w:tcW w:w="2669" w:type="dxa"/>
            <w:tcBorders>
              <w:bottom w:val="single" w:sz="4" w:space="0" w:color="auto"/>
            </w:tcBorders>
            <w:vAlign w:val="center"/>
          </w:tcPr>
          <w:p w:rsidR="002E5A37" w:rsidRPr="00C90AC9" w:rsidRDefault="002E5A37" w:rsidP="00040467">
            <w:pPr>
              <w:jc w:val="center"/>
              <w:rPr>
                <w:rFonts w:eastAsiaTheme="minorHAnsi"/>
                <w:lang w:eastAsia="en-US"/>
              </w:rPr>
            </w:pPr>
            <w:proofErr w:type="spellStart"/>
            <w:r w:rsidRPr="00C90AC9">
              <w:rPr>
                <w:rFonts w:eastAsiaTheme="minorHAnsi"/>
                <w:lang w:eastAsia="en-US"/>
              </w:rPr>
              <w:t>Akverterm</w:t>
            </w:r>
            <w:proofErr w:type="spellEnd"/>
            <w:r w:rsidRPr="00C90AC9">
              <w:rPr>
                <w:rFonts w:eastAsiaTheme="minorHAnsi"/>
                <w:lang w:eastAsia="en-US"/>
              </w:rPr>
              <w:t xml:space="preserve"> </w:t>
            </w:r>
            <w:proofErr w:type="spellStart"/>
            <w:r w:rsidRPr="00C90AC9">
              <w:rPr>
                <w:rFonts w:eastAsiaTheme="minorHAnsi"/>
                <w:lang w:eastAsia="en-US"/>
              </w:rPr>
              <w:t>Akva</w:t>
            </w:r>
            <w:proofErr w:type="spellEnd"/>
            <w:r w:rsidRPr="00C90AC9">
              <w:rPr>
                <w:rFonts w:eastAsiaTheme="minorHAnsi"/>
                <w:lang w:eastAsia="en-US"/>
              </w:rPr>
              <w:t xml:space="preserve"> Solar500</w:t>
            </w:r>
          </w:p>
        </w:tc>
        <w:tc>
          <w:tcPr>
            <w:tcW w:w="1559" w:type="dxa"/>
            <w:tcBorders>
              <w:bottom w:val="single" w:sz="4" w:space="0" w:color="auto"/>
            </w:tcBorders>
            <w:vAlign w:val="center"/>
          </w:tcPr>
          <w:p w:rsidR="002E5A37" w:rsidRPr="00C90AC9" w:rsidRDefault="002E5A37" w:rsidP="00040467">
            <w:pPr>
              <w:jc w:val="center"/>
              <w:rPr>
                <w:rFonts w:eastAsiaTheme="minorHAnsi"/>
                <w:lang w:eastAsia="en-US"/>
              </w:rPr>
            </w:pPr>
            <w:r w:rsidRPr="00C90AC9">
              <w:rPr>
                <w:rFonts w:eastAsiaTheme="minorHAnsi"/>
                <w:lang w:eastAsia="en-US"/>
              </w:rPr>
              <w:t>500</w:t>
            </w:r>
          </w:p>
        </w:tc>
        <w:tc>
          <w:tcPr>
            <w:tcW w:w="1276" w:type="dxa"/>
            <w:tcBorders>
              <w:bottom w:val="single" w:sz="4" w:space="0" w:color="auto"/>
            </w:tcBorders>
            <w:vAlign w:val="center"/>
          </w:tcPr>
          <w:p w:rsidR="002E5A37" w:rsidRPr="00C90AC9" w:rsidRDefault="002E5A37" w:rsidP="00040467">
            <w:pPr>
              <w:jc w:val="center"/>
              <w:rPr>
                <w:rFonts w:eastAsiaTheme="minorHAnsi"/>
                <w:lang w:eastAsia="en-US"/>
              </w:rPr>
            </w:pPr>
            <w:r w:rsidRPr="00C90AC9">
              <w:rPr>
                <w:rFonts w:eastAsiaTheme="minorHAnsi"/>
                <w:lang w:eastAsia="en-US"/>
              </w:rPr>
              <w:t>2050</w:t>
            </w:r>
          </w:p>
        </w:tc>
        <w:tc>
          <w:tcPr>
            <w:tcW w:w="1559" w:type="dxa"/>
            <w:tcBorders>
              <w:bottom w:val="single" w:sz="4" w:space="0" w:color="auto"/>
            </w:tcBorders>
            <w:vAlign w:val="center"/>
          </w:tcPr>
          <w:p w:rsidR="002E5A37" w:rsidRPr="00C90AC9" w:rsidRDefault="002E5A37" w:rsidP="00040467">
            <w:pPr>
              <w:jc w:val="center"/>
              <w:rPr>
                <w:rFonts w:eastAsiaTheme="minorHAnsi"/>
                <w:lang w:eastAsia="en-US"/>
              </w:rPr>
            </w:pPr>
            <w:r w:rsidRPr="00C90AC9">
              <w:rPr>
                <w:rFonts w:eastAsiaTheme="minorHAnsi"/>
                <w:lang w:eastAsia="en-US"/>
              </w:rPr>
              <w:t>800</w:t>
            </w:r>
          </w:p>
        </w:tc>
        <w:tc>
          <w:tcPr>
            <w:tcW w:w="1242" w:type="dxa"/>
            <w:tcBorders>
              <w:bottom w:val="single" w:sz="4" w:space="0" w:color="auto"/>
            </w:tcBorders>
            <w:vAlign w:val="center"/>
          </w:tcPr>
          <w:p w:rsidR="002E5A37" w:rsidRPr="00C90AC9" w:rsidRDefault="002E5A37" w:rsidP="00040467">
            <w:pPr>
              <w:jc w:val="center"/>
              <w:rPr>
                <w:rFonts w:eastAsiaTheme="minorHAnsi"/>
                <w:lang w:eastAsia="en-US"/>
              </w:rPr>
            </w:pPr>
            <w:r w:rsidRPr="00C90AC9">
              <w:rPr>
                <w:rFonts w:eastAsiaTheme="minorHAnsi"/>
                <w:lang w:eastAsia="en-US"/>
              </w:rPr>
              <w:t>2.01</w:t>
            </w:r>
          </w:p>
        </w:tc>
      </w:tr>
      <w:tr w:rsidR="002E5A37" w:rsidRPr="00C90AC9" w:rsidTr="002E5A37">
        <w:trPr>
          <w:trHeight w:hRule="exact" w:val="756"/>
        </w:trPr>
        <w:tc>
          <w:tcPr>
            <w:tcW w:w="1442" w:type="dxa"/>
            <w:vAlign w:val="center"/>
          </w:tcPr>
          <w:p w:rsidR="002E5A37" w:rsidRPr="00C90AC9" w:rsidRDefault="002E5A37" w:rsidP="00040467">
            <w:pPr>
              <w:jc w:val="center"/>
              <w:rPr>
                <w:rFonts w:eastAsiaTheme="minorHAnsi"/>
                <w:lang w:eastAsia="en-US"/>
              </w:rPr>
            </w:pPr>
            <w:proofErr w:type="spellStart"/>
            <w:r w:rsidRPr="00C90AC9">
              <w:rPr>
                <w:rFonts w:eastAsiaTheme="minorHAnsi"/>
                <w:lang w:eastAsia="en-US"/>
              </w:rPr>
              <w:t>Akverterm</w:t>
            </w:r>
            <w:proofErr w:type="spellEnd"/>
          </w:p>
        </w:tc>
        <w:tc>
          <w:tcPr>
            <w:tcW w:w="2669" w:type="dxa"/>
            <w:vAlign w:val="center"/>
          </w:tcPr>
          <w:p w:rsidR="002E5A37" w:rsidRPr="00C90AC9" w:rsidRDefault="002E5A37" w:rsidP="00040467">
            <w:pPr>
              <w:jc w:val="center"/>
              <w:rPr>
                <w:rFonts w:eastAsiaTheme="minorHAnsi"/>
                <w:lang w:eastAsia="en-US"/>
              </w:rPr>
            </w:pPr>
            <w:proofErr w:type="spellStart"/>
            <w:r w:rsidRPr="00C90AC9">
              <w:rPr>
                <w:rFonts w:eastAsiaTheme="minorHAnsi"/>
                <w:lang w:eastAsia="en-US"/>
              </w:rPr>
              <w:t>Akverterm</w:t>
            </w:r>
            <w:proofErr w:type="spellEnd"/>
            <w:r w:rsidRPr="00C90AC9">
              <w:rPr>
                <w:rFonts w:eastAsiaTheme="minorHAnsi"/>
                <w:lang w:eastAsia="en-US"/>
              </w:rPr>
              <w:t xml:space="preserve"> </w:t>
            </w:r>
            <w:proofErr w:type="spellStart"/>
            <w:r w:rsidRPr="00C90AC9">
              <w:rPr>
                <w:rFonts w:eastAsiaTheme="minorHAnsi"/>
                <w:lang w:eastAsia="en-US"/>
              </w:rPr>
              <w:t>Akva</w:t>
            </w:r>
            <w:proofErr w:type="spellEnd"/>
            <w:r w:rsidRPr="00C90AC9">
              <w:rPr>
                <w:rFonts w:eastAsiaTheme="minorHAnsi"/>
                <w:lang w:eastAsia="en-US"/>
              </w:rPr>
              <w:t xml:space="preserve"> Solar750</w:t>
            </w:r>
          </w:p>
        </w:tc>
        <w:tc>
          <w:tcPr>
            <w:tcW w:w="1559" w:type="dxa"/>
            <w:vAlign w:val="center"/>
          </w:tcPr>
          <w:p w:rsidR="002E5A37" w:rsidRPr="00C90AC9" w:rsidRDefault="002E5A37" w:rsidP="00040467">
            <w:pPr>
              <w:jc w:val="center"/>
              <w:rPr>
                <w:rFonts w:eastAsiaTheme="minorHAnsi"/>
                <w:lang w:eastAsia="en-US"/>
              </w:rPr>
            </w:pPr>
            <w:r w:rsidRPr="00C90AC9">
              <w:rPr>
                <w:rFonts w:eastAsiaTheme="minorHAnsi"/>
                <w:lang w:eastAsia="en-US"/>
              </w:rPr>
              <w:t>750</w:t>
            </w:r>
          </w:p>
        </w:tc>
        <w:tc>
          <w:tcPr>
            <w:tcW w:w="1276" w:type="dxa"/>
            <w:vAlign w:val="center"/>
          </w:tcPr>
          <w:p w:rsidR="002E5A37" w:rsidRPr="00C90AC9" w:rsidRDefault="002E5A37" w:rsidP="00040467">
            <w:pPr>
              <w:jc w:val="center"/>
              <w:rPr>
                <w:rFonts w:eastAsiaTheme="minorHAnsi"/>
                <w:lang w:eastAsia="en-US"/>
              </w:rPr>
            </w:pPr>
            <w:r w:rsidRPr="00C90AC9">
              <w:rPr>
                <w:rFonts w:eastAsiaTheme="minorHAnsi"/>
                <w:lang w:eastAsia="en-US"/>
              </w:rPr>
              <w:t>2100</w:t>
            </w:r>
          </w:p>
        </w:tc>
        <w:tc>
          <w:tcPr>
            <w:tcW w:w="1559" w:type="dxa"/>
            <w:vAlign w:val="center"/>
          </w:tcPr>
          <w:p w:rsidR="002E5A37" w:rsidRPr="00C90AC9" w:rsidRDefault="002E5A37" w:rsidP="00040467">
            <w:pPr>
              <w:jc w:val="center"/>
              <w:rPr>
                <w:rFonts w:eastAsiaTheme="minorHAnsi"/>
                <w:lang w:eastAsia="en-US"/>
              </w:rPr>
            </w:pPr>
            <w:r w:rsidRPr="00C90AC9">
              <w:rPr>
                <w:rFonts w:eastAsiaTheme="minorHAnsi"/>
                <w:lang w:eastAsia="en-US"/>
              </w:rPr>
              <w:t>950</w:t>
            </w:r>
          </w:p>
        </w:tc>
        <w:tc>
          <w:tcPr>
            <w:tcW w:w="1242" w:type="dxa"/>
            <w:vAlign w:val="center"/>
          </w:tcPr>
          <w:p w:rsidR="002E5A37" w:rsidRPr="00C90AC9" w:rsidRDefault="002E5A37" w:rsidP="00040467">
            <w:pPr>
              <w:jc w:val="center"/>
              <w:rPr>
                <w:rFonts w:eastAsiaTheme="minorHAnsi"/>
                <w:lang w:eastAsia="en-US"/>
              </w:rPr>
            </w:pPr>
            <w:r w:rsidRPr="00C90AC9">
              <w:rPr>
                <w:rFonts w:eastAsiaTheme="minorHAnsi"/>
                <w:lang w:eastAsia="en-US"/>
              </w:rPr>
              <w:t>2.83</w:t>
            </w:r>
          </w:p>
        </w:tc>
      </w:tr>
    </w:tbl>
    <w:p w:rsidR="008972F9" w:rsidRPr="00C90AC9" w:rsidRDefault="008972F9" w:rsidP="00B06779">
      <w:pPr>
        <w:rPr>
          <w:rFonts w:eastAsiaTheme="minorHAnsi"/>
          <w:lang w:eastAsia="en-US"/>
        </w:rPr>
      </w:pPr>
    </w:p>
    <w:p w:rsidR="008972F9" w:rsidRPr="00C90AC9" w:rsidRDefault="00853BAF" w:rsidP="00B06779">
      <w:pPr>
        <w:pStyle w:val="BodyText"/>
        <w:rPr>
          <w:rFonts w:eastAsiaTheme="minorHAnsi"/>
          <w:lang w:eastAsia="en-US"/>
        </w:rPr>
      </w:pPr>
      <w:r w:rsidRPr="00C90AC9">
        <w:rPr>
          <w:rFonts w:eastAsiaTheme="minorHAnsi"/>
          <w:lang w:eastAsia="en-US"/>
        </w:rPr>
        <w:t>Table 7.8</w:t>
      </w:r>
      <w:r w:rsidR="008972F9" w:rsidRPr="00C90AC9">
        <w:rPr>
          <w:rFonts w:eastAsiaTheme="minorHAnsi"/>
          <w:lang w:eastAsia="en-US"/>
        </w:rPr>
        <w:t xml:space="preserve">. </w:t>
      </w:r>
      <w:proofErr w:type="spellStart"/>
      <w:r w:rsidR="008972F9" w:rsidRPr="00C90AC9">
        <w:rPr>
          <w:rFonts w:eastAsiaTheme="minorHAnsi"/>
          <w:lang w:eastAsia="en-US"/>
        </w:rPr>
        <w:t>KingSpan</w:t>
      </w:r>
      <w:proofErr w:type="spellEnd"/>
      <w:r w:rsidR="008972F9" w:rsidRPr="00C90AC9">
        <w:rPr>
          <w:rFonts w:eastAsiaTheme="minorHAnsi"/>
          <w:lang w:eastAsia="en-US"/>
        </w:rPr>
        <w:t xml:space="preserve"> and Worcester Bosch specifications of hot water tanks </w:t>
      </w:r>
    </w:p>
    <w:tbl>
      <w:tblPr>
        <w:tblpPr w:leftFromText="180" w:rightFromText="180" w:vertAnchor="page" w:horzAnchor="margin" w:tblpY="9406"/>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18"/>
        <w:gridCol w:w="1381"/>
        <w:gridCol w:w="1199"/>
        <w:gridCol w:w="1280"/>
        <w:gridCol w:w="1272"/>
        <w:gridCol w:w="1814"/>
      </w:tblGrid>
      <w:tr w:rsidR="00E31D2A" w:rsidRPr="00C90AC9" w:rsidTr="00E31D2A">
        <w:trPr>
          <w:trHeight w:hRule="exact" w:val="1852"/>
        </w:trPr>
        <w:tc>
          <w:tcPr>
            <w:tcW w:w="1242" w:type="dxa"/>
            <w:tcBorders>
              <w:top w:val="single" w:sz="4" w:space="0" w:color="auto"/>
              <w:left w:val="single" w:sz="4" w:space="0" w:color="auto"/>
              <w:bottom w:val="double" w:sz="4" w:space="0" w:color="auto"/>
              <w:right w:val="single" w:sz="4" w:space="0" w:color="auto"/>
            </w:tcBorders>
            <w:shd w:val="clear" w:color="auto" w:fill="FFFFFF" w:themeFill="background1"/>
            <w:vAlign w:val="center"/>
          </w:tcPr>
          <w:p w:rsidR="00E31D2A" w:rsidRPr="00C90AC9" w:rsidRDefault="00E31D2A" w:rsidP="00E31D2A">
            <w:pPr>
              <w:jc w:val="center"/>
            </w:pPr>
            <w:bookmarkStart w:id="69" w:name="_Toc447173098"/>
            <w:r w:rsidRPr="00C90AC9">
              <w:t>Company</w:t>
            </w:r>
          </w:p>
        </w:tc>
        <w:tc>
          <w:tcPr>
            <w:tcW w:w="1418" w:type="dxa"/>
            <w:tcBorders>
              <w:top w:val="single" w:sz="4" w:space="0" w:color="auto"/>
              <w:left w:val="single" w:sz="4" w:space="0" w:color="auto"/>
              <w:bottom w:val="double" w:sz="4" w:space="0" w:color="auto"/>
              <w:right w:val="single" w:sz="4" w:space="0" w:color="auto"/>
            </w:tcBorders>
            <w:shd w:val="clear" w:color="auto" w:fill="FFFFFF" w:themeFill="background1"/>
            <w:vAlign w:val="center"/>
          </w:tcPr>
          <w:p w:rsidR="00E31D2A" w:rsidRPr="00C90AC9" w:rsidRDefault="00E31D2A" w:rsidP="00E31D2A">
            <w:pPr>
              <w:jc w:val="center"/>
            </w:pPr>
            <w:r w:rsidRPr="00C90AC9">
              <w:t>Model Number</w:t>
            </w:r>
          </w:p>
        </w:tc>
        <w:tc>
          <w:tcPr>
            <w:tcW w:w="1381" w:type="dxa"/>
            <w:tcBorders>
              <w:top w:val="single" w:sz="4" w:space="0" w:color="auto"/>
              <w:left w:val="single" w:sz="4" w:space="0" w:color="auto"/>
              <w:bottom w:val="double" w:sz="4" w:space="0" w:color="auto"/>
              <w:right w:val="single" w:sz="4" w:space="0" w:color="auto"/>
            </w:tcBorders>
            <w:shd w:val="clear" w:color="auto" w:fill="FFFFFF" w:themeFill="background1"/>
            <w:vAlign w:val="center"/>
          </w:tcPr>
          <w:p w:rsidR="00E31D2A" w:rsidRPr="00C90AC9" w:rsidRDefault="00E31D2A" w:rsidP="00E31D2A">
            <w:pPr>
              <w:jc w:val="center"/>
            </w:pPr>
            <w:r w:rsidRPr="00C90AC9">
              <w:t>Dimensions (mm)</w:t>
            </w:r>
          </w:p>
        </w:tc>
        <w:tc>
          <w:tcPr>
            <w:tcW w:w="1199" w:type="dxa"/>
            <w:tcBorders>
              <w:top w:val="single" w:sz="4" w:space="0" w:color="auto"/>
              <w:left w:val="single" w:sz="4" w:space="0" w:color="auto"/>
              <w:bottom w:val="double" w:sz="4" w:space="0" w:color="auto"/>
              <w:right w:val="single" w:sz="4" w:space="0" w:color="auto"/>
            </w:tcBorders>
            <w:shd w:val="clear" w:color="auto" w:fill="FFFFFF" w:themeFill="background1"/>
            <w:vAlign w:val="center"/>
          </w:tcPr>
          <w:p w:rsidR="00E31D2A" w:rsidRPr="00C90AC9" w:rsidRDefault="00E31D2A" w:rsidP="00E31D2A">
            <w:pPr>
              <w:jc w:val="center"/>
            </w:pPr>
            <w:r w:rsidRPr="00C90AC9">
              <w:t xml:space="preserve">Volume of liquid, </w:t>
            </w:r>
            <w:proofErr w:type="spellStart"/>
            <w:r w:rsidRPr="00C90AC9">
              <w:t>V</w:t>
            </w:r>
            <w:r w:rsidRPr="00C90AC9">
              <w:rPr>
                <w:vertAlign w:val="subscript"/>
              </w:rPr>
              <w:t>plate</w:t>
            </w:r>
            <w:proofErr w:type="spellEnd"/>
            <w:r w:rsidRPr="00C90AC9">
              <w:rPr>
                <w:vertAlign w:val="subscript"/>
              </w:rPr>
              <w:t xml:space="preserve">, </w:t>
            </w:r>
            <w:r w:rsidRPr="00C90AC9">
              <w:t>(</w:t>
            </w:r>
            <w:proofErr w:type="spellStart"/>
            <w:r w:rsidRPr="00C90AC9">
              <w:t>lt</w:t>
            </w:r>
            <w:proofErr w:type="spellEnd"/>
            <w:r w:rsidRPr="00C90AC9">
              <w:t>)</w:t>
            </w:r>
          </w:p>
        </w:tc>
        <w:tc>
          <w:tcPr>
            <w:tcW w:w="1280" w:type="dxa"/>
            <w:tcBorders>
              <w:top w:val="single" w:sz="4" w:space="0" w:color="auto"/>
              <w:left w:val="single" w:sz="4" w:space="0" w:color="auto"/>
              <w:bottom w:val="double" w:sz="4" w:space="0" w:color="auto"/>
              <w:right w:val="single" w:sz="4" w:space="0" w:color="auto"/>
            </w:tcBorders>
            <w:shd w:val="clear" w:color="auto" w:fill="FFFFFF" w:themeFill="background1"/>
            <w:vAlign w:val="center"/>
          </w:tcPr>
          <w:p w:rsidR="00E31D2A" w:rsidRPr="00C90AC9" w:rsidRDefault="00E31D2A" w:rsidP="00E31D2A">
            <w:pPr>
              <w:jc w:val="center"/>
            </w:pPr>
            <w:r w:rsidRPr="00C90AC9">
              <w:t xml:space="preserve">Heat Loss </w:t>
            </w:r>
            <w:proofErr w:type="gramStart"/>
            <w:r w:rsidRPr="00C90AC9">
              <w:t>Coefficient  (</w:t>
            </w:r>
            <w:proofErr w:type="gramEnd"/>
            <w:r w:rsidRPr="00C90AC9">
              <w:t>w/m</w:t>
            </w:r>
            <w:r w:rsidRPr="00C90AC9">
              <w:rPr>
                <w:vertAlign w:val="superscript"/>
              </w:rPr>
              <w:t>2</w:t>
            </w:r>
            <w:r w:rsidRPr="00C90AC9">
              <w:t>)</w:t>
            </w:r>
          </w:p>
        </w:tc>
        <w:tc>
          <w:tcPr>
            <w:tcW w:w="1272" w:type="dxa"/>
            <w:tcBorders>
              <w:top w:val="single" w:sz="4" w:space="0" w:color="auto"/>
              <w:left w:val="single" w:sz="4" w:space="0" w:color="auto"/>
              <w:bottom w:val="double" w:sz="4" w:space="0" w:color="auto"/>
              <w:right w:val="single" w:sz="4" w:space="0" w:color="auto"/>
            </w:tcBorders>
            <w:shd w:val="clear" w:color="auto" w:fill="FFFFFF" w:themeFill="background1"/>
            <w:vAlign w:val="center"/>
          </w:tcPr>
          <w:p w:rsidR="00E31D2A" w:rsidRPr="00C90AC9" w:rsidRDefault="00E31D2A" w:rsidP="00E31D2A">
            <w:pPr>
              <w:jc w:val="center"/>
            </w:pPr>
            <w:r w:rsidRPr="00C90AC9">
              <w:t xml:space="preserve">Zero Loss Collector Efficiency </w:t>
            </w:r>
            <m:oMath>
              <m:sSub>
                <m:sSubPr>
                  <m:ctrlPr>
                    <w:rPr>
                      <w:rFonts w:ascii="Cambria Math" w:hAnsi="Cambria Math"/>
                      <w:i/>
                    </w:rPr>
                  </m:ctrlPr>
                </m:sSubPr>
                <m:e>
                  <m:r>
                    <w:rPr>
                      <w:rFonts w:ascii="Cambria Math" w:hAnsi="Cambria Math"/>
                    </w:rPr>
                    <m:t>(η</m:t>
                  </m:r>
                </m:e>
                <m:sub>
                  <m:r>
                    <w:rPr>
                      <w:rFonts w:ascii="Cambria Math" w:hAnsi="Cambria Math"/>
                    </w:rPr>
                    <m:t>o</m:t>
                  </m:r>
                </m:sub>
              </m:sSub>
              <m:r>
                <w:rPr>
                  <w:rFonts w:ascii="Cambria Math" w:hAnsi="Cambria Math"/>
                </w:rPr>
                <m:t>)</m:t>
              </m:r>
            </m:oMath>
          </w:p>
        </w:tc>
        <w:tc>
          <w:tcPr>
            <w:tcW w:w="1814" w:type="dxa"/>
            <w:tcBorders>
              <w:top w:val="single" w:sz="4" w:space="0" w:color="auto"/>
              <w:left w:val="single" w:sz="4" w:space="0" w:color="auto"/>
              <w:bottom w:val="double" w:sz="4" w:space="0" w:color="auto"/>
              <w:right w:val="single" w:sz="4" w:space="0" w:color="auto"/>
            </w:tcBorders>
            <w:shd w:val="clear" w:color="auto" w:fill="FFFFFF" w:themeFill="background1"/>
            <w:vAlign w:val="center"/>
          </w:tcPr>
          <w:p w:rsidR="00E31D2A" w:rsidRPr="00C90AC9" w:rsidRDefault="00E31D2A" w:rsidP="00E31D2A">
            <w:pPr>
              <w:jc w:val="center"/>
            </w:pPr>
            <w:r w:rsidRPr="00C90AC9">
              <w:t>Glass Transmissivity (-)</w:t>
            </w:r>
          </w:p>
        </w:tc>
      </w:tr>
      <w:tr w:rsidR="00E31D2A" w:rsidRPr="00C90AC9" w:rsidTr="00E31D2A">
        <w:trPr>
          <w:trHeight w:hRule="exact" w:val="737"/>
        </w:trPr>
        <w:tc>
          <w:tcPr>
            <w:tcW w:w="1242" w:type="dxa"/>
            <w:tcBorders>
              <w:top w:val="double" w:sz="4" w:space="0" w:color="auto"/>
            </w:tcBorders>
            <w:vAlign w:val="center"/>
          </w:tcPr>
          <w:p w:rsidR="00E31D2A" w:rsidRPr="00C90AC9" w:rsidRDefault="00E31D2A" w:rsidP="00E31D2A">
            <w:pPr>
              <w:jc w:val="center"/>
            </w:pPr>
            <w:r w:rsidRPr="00C90AC9">
              <w:t>Kingspan</w:t>
            </w:r>
          </w:p>
        </w:tc>
        <w:tc>
          <w:tcPr>
            <w:tcW w:w="1418" w:type="dxa"/>
            <w:tcBorders>
              <w:top w:val="double" w:sz="4" w:space="0" w:color="auto"/>
            </w:tcBorders>
            <w:vAlign w:val="center"/>
          </w:tcPr>
          <w:p w:rsidR="00E31D2A" w:rsidRPr="00C90AC9" w:rsidRDefault="00E31D2A" w:rsidP="00E31D2A">
            <w:pPr>
              <w:jc w:val="center"/>
            </w:pPr>
            <w:r w:rsidRPr="00C90AC9">
              <w:t>Solar 1808</w:t>
            </w:r>
          </w:p>
        </w:tc>
        <w:tc>
          <w:tcPr>
            <w:tcW w:w="1381" w:type="dxa"/>
            <w:tcBorders>
              <w:top w:val="double" w:sz="4" w:space="0" w:color="auto"/>
            </w:tcBorders>
            <w:vAlign w:val="center"/>
          </w:tcPr>
          <w:p w:rsidR="00E31D2A" w:rsidRPr="00C90AC9" w:rsidRDefault="00E31D2A" w:rsidP="00E31D2A">
            <w:pPr>
              <w:jc w:val="center"/>
            </w:pPr>
            <w:r w:rsidRPr="00C90AC9">
              <w:t>1946 x 946 x 105</w:t>
            </w:r>
          </w:p>
        </w:tc>
        <w:tc>
          <w:tcPr>
            <w:tcW w:w="1199" w:type="dxa"/>
            <w:tcBorders>
              <w:top w:val="double" w:sz="4" w:space="0" w:color="auto"/>
            </w:tcBorders>
            <w:vAlign w:val="center"/>
          </w:tcPr>
          <w:p w:rsidR="00E31D2A" w:rsidRPr="00C90AC9" w:rsidRDefault="00E31D2A" w:rsidP="00E31D2A">
            <w:pPr>
              <w:jc w:val="center"/>
            </w:pPr>
            <w:r w:rsidRPr="00C90AC9">
              <w:t>1.27</w:t>
            </w:r>
          </w:p>
        </w:tc>
        <w:tc>
          <w:tcPr>
            <w:tcW w:w="1280" w:type="dxa"/>
            <w:tcBorders>
              <w:top w:val="double" w:sz="4" w:space="0" w:color="auto"/>
            </w:tcBorders>
            <w:vAlign w:val="center"/>
          </w:tcPr>
          <w:p w:rsidR="00E31D2A" w:rsidRPr="00C90AC9" w:rsidRDefault="00E31D2A" w:rsidP="00E31D2A">
            <w:pPr>
              <w:jc w:val="center"/>
            </w:pPr>
            <w:r w:rsidRPr="00C90AC9">
              <w:t>3.472</w:t>
            </w:r>
          </w:p>
        </w:tc>
        <w:tc>
          <w:tcPr>
            <w:tcW w:w="1272" w:type="dxa"/>
            <w:tcBorders>
              <w:top w:val="double" w:sz="4" w:space="0" w:color="auto"/>
            </w:tcBorders>
            <w:vAlign w:val="center"/>
          </w:tcPr>
          <w:p w:rsidR="00E31D2A" w:rsidRPr="00C90AC9" w:rsidRDefault="00E31D2A" w:rsidP="00E31D2A">
            <w:pPr>
              <w:jc w:val="center"/>
            </w:pPr>
            <w:r w:rsidRPr="00C90AC9">
              <w:t>0.75</w:t>
            </w:r>
          </w:p>
        </w:tc>
        <w:tc>
          <w:tcPr>
            <w:tcW w:w="1814" w:type="dxa"/>
            <w:tcBorders>
              <w:top w:val="double" w:sz="4" w:space="0" w:color="auto"/>
            </w:tcBorders>
            <w:vAlign w:val="center"/>
          </w:tcPr>
          <w:p w:rsidR="00E31D2A" w:rsidRPr="00C90AC9" w:rsidRDefault="00E31D2A" w:rsidP="00E31D2A">
            <w:pPr>
              <w:jc w:val="center"/>
            </w:pPr>
            <w:r w:rsidRPr="00C90AC9">
              <w:t>91%</w:t>
            </w:r>
          </w:p>
        </w:tc>
      </w:tr>
      <w:tr w:rsidR="00E31D2A" w:rsidRPr="00C90AC9" w:rsidTr="00E31D2A">
        <w:trPr>
          <w:trHeight w:hRule="exact" w:val="737"/>
        </w:trPr>
        <w:tc>
          <w:tcPr>
            <w:tcW w:w="1242" w:type="dxa"/>
            <w:vAlign w:val="center"/>
          </w:tcPr>
          <w:p w:rsidR="00E31D2A" w:rsidRPr="00C90AC9" w:rsidRDefault="00E31D2A" w:rsidP="00E31D2A">
            <w:pPr>
              <w:jc w:val="center"/>
            </w:pPr>
            <w:r w:rsidRPr="00C90AC9">
              <w:t>Kingspan</w:t>
            </w:r>
          </w:p>
        </w:tc>
        <w:tc>
          <w:tcPr>
            <w:tcW w:w="1418" w:type="dxa"/>
            <w:vAlign w:val="center"/>
          </w:tcPr>
          <w:p w:rsidR="00E31D2A" w:rsidRPr="00C90AC9" w:rsidRDefault="00E31D2A" w:rsidP="00E31D2A">
            <w:pPr>
              <w:jc w:val="center"/>
            </w:pPr>
            <w:r w:rsidRPr="00C90AC9">
              <w:t>Solar 2108</w:t>
            </w:r>
          </w:p>
        </w:tc>
        <w:tc>
          <w:tcPr>
            <w:tcW w:w="1381" w:type="dxa"/>
            <w:vAlign w:val="center"/>
          </w:tcPr>
          <w:p w:rsidR="00E31D2A" w:rsidRPr="00C90AC9" w:rsidRDefault="00E31D2A" w:rsidP="00E31D2A">
            <w:pPr>
              <w:jc w:val="center"/>
            </w:pPr>
            <w:r w:rsidRPr="00C90AC9">
              <w:t>2006 x 1059 x 105</w:t>
            </w:r>
          </w:p>
        </w:tc>
        <w:tc>
          <w:tcPr>
            <w:tcW w:w="1199" w:type="dxa"/>
            <w:vAlign w:val="center"/>
          </w:tcPr>
          <w:p w:rsidR="00E31D2A" w:rsidRPr="00C90AC9" w:rsidRDefault="00E31D2A" w:rsidP="00E31D2A">
            <w:pPr>
              <w:jc w:val="center"/>
            </w:pPr>
            <w:r w:rsidRPr="00C90AC9">
              <w:t>1.7</w:t>
            </w:r>
          </w:p>
        </w:tc>
        <w:tc>
          <w:tcPr>
            <w:tcW w:w="1280" w:type="dxa"/>
            <w:vAlign w:val="center"/>
          </w:tcPr>
          <w:p w:rsidR="00E31D2A" w:rsidRPr="00C90AC9" w:rsidRDefault="00E31D2A" w:rsidP="00E31D2A">
            <w:pPr>
              <w:jc w:val="center"/>
            </w:pPr>
            <w:r w:rsidRPr="00C90AC9">
              <w:t>3.472</w:t>
            </w:r>
          </w:p>
        </w:tc>
        <w:tc>
          <w:tcPr>
            <w:tcW w:w="1272" w:type="dxa"/>
            <w:vAlign w:val="center"/>
          </w:tcPr>
          <w:p w:rsidR="00E31D2A" w:rsidRPr="00C90AC9" w:rsidRDefault="00E31D2A" w:rsidP="00E31D2A">
            <w:pPr>
              <w:jc w:val="center"/>
            </w:pPr>
            <w:r w:rsidRPr="00C90AC9">
              <w:t>0.75</w:t>
            </w:r>
          </w:p>
        </w:tc>
        <w:tc>
          <w:tcPr>
            <w:tcW w:w="1814" w:type="dxa"/>
            <w:vAlign w:val="center"/>
          </w:tcPr>
          <w:p w:rsidR="00E31D2A" w:rsidRPr="00C90AC9" w:rsidRDefault="00E31D2A" w:rsidP="00E31D2A">
            <w:pPr>
              <w:jc w:val="center"/>
            </w:pPr>
            <w:r w:rsidRPr="00C90AC9">
              <w:t>91%</w:t>
            </w:r>
          </w:p>
        </w:tc>
      </w:tr>
      <w:tr w:rsidR="00E31D2A" w:rsidRPr="00C90AC9" w:rsidTr="00E31D2A">
        <w:trPr>
          <w:trHeight w:hRule="exact" w:val="737"/>
        </w:trPr>
        <w:tc>
          <w:tcPr>
            <w:tcW w:w="1242" w:type="dxa"/>
            <w:vAlign w:val="center"/>
          </w:tcPr>
          <w:p w:rsidR="00E31D2A" w:rsidRPr="00C90AC9" w:rsidRDefault="00E31D2A" w:rsidP="00E31D2A">
            <w:pPr>
              <w:jc w:val="center"/>
            </w:pPr>
            <w:r w:rsidRPr="00C90AC9">
              <w:t>Worcester Bosch</w:t>
            </w:r>
          </w:p>
        </w:tc>
        <w:tc>
          <w:tcPr>
            <w:tcW w:w="1418" w:type="dxa"/>
            <w:vAlign w:val="center"/>
          </w:tcPr>
          <w:p w:rsidR="00E31D2A" w:rsidRPr="00C90AC9" w:rsidRDefault="00E31D2A" w:rsidP="00E31D2A">
            <w:pPr>
              <w:jc w:val="center"/>
            </w:pPr>
            <w:proofErr w:type="spellStart"/>
            <w:r w:rsidRPr="00C90AC9">
              <w:t>Greenskies</w:t>
            </w:r>
            <w:proofErr w:type="spellEnd"/>
            <w:r w:rsidRPr="00C90AC9">
              <w:t xml:space="preserve"> FKC-1S</w:t>
            </w:r>
          </w:p>
        </w:tc>
        <w:tc>
          <w:tcPr>
            <w:tcW w:w="1381" w:type="dxa"/>
            <w:vAlign w:val="center"/>
          </w:tcPr>
          <w:p w:rsidR="00E31D2A" w:rsidRPr="00C90AC9" w:rsidRDefault="00E31D2A" w:rsidP="00E31D2A">
            <w:pPr>
              <w:jc w:val="center"/>
            </w:pPr>
            <w:r w:rsidRPr="00C90AC9">
              <w:t>2057 x 1382 x 101</w:t>
            </w:r>
          </w:p>
        </w:tc>
        <w:tc>
          <w:tcPr>
            <w:tcW w:w="1199" w:type="dxa"/>
            <w:vAlign w:val="center"/>
          </w:tcPr>
          <w:p w:rsidR="00E31D2A" w:rsidRPr="00C90AC9" w:rsidRDefault="00E31D2A" w:rsidP="00E31D2A">
            <w:pPr>
              <w:jc w:val="center"/>
            </w:pPr>
            <w:r w:rsidRPr="00C90AC9">
              <w:t>0.86</w:t>
            </w:r>
          </w:p>
        </w:tc>
        <w:tc>
          <w:tcPr>
            <w:tcW w:w="1280" w:type="dxa"/>
            <w:vAlign w:val="center"/>
          </w:tcPr>
          <w:p w:rsidR="00E31D2A" w:rsidRPr="00C90AC9" w:rsidRDefault="00E31D2A" w:rsidP="00E31D2A">
            <w:pPr>
              <w:jc w:val="center"/>
            </w:pPr>
            <w:r w:rsidRPr="00C90AC9">
              <w:t>3.472</w:t>
            </w:r>
          </w:p>
        </w:tc>
        <w:tc>
          <w:tcPr>
            <w:tcW w:w="1272" w:type="dxa"/>
            <w:vAlign w:val="center"/>
          </w:tcPr>
          <w:p w:rsidR="00E31D2A" w:rsidRPr="00C90AC9" w:rsidRDefault="00E31D2A" w:rsidP="00E31D2A">
            <w:pPr>
              <w:jc w:val="center"/>
            </w:pPr>
            <w:r w:rsidRPr="00C90AC9">
              <w:t>0.64</w:t>
            </w:r>
          </w:p>
        </w:tc>
        <w:tc>
          <w:tcPr>
            <w:tcW w:w="1814" w:type="dxa"/>
            <w:vAlign w:val="center"/>
          </w:tcPr>
          <w:p w:rsidR="00E31D2A" w:rsidRPr="00C90AC9" w:rsidRDefault="00E31D2A" w:rsidP="00E31D2A">
            <w:pPr>
              <w:jc w:val="center"/>
            </w:pPr>
            <w:r w:rsidRPr="00C90AC9">
              <w:t>91.5 ± 0.5</w:t>
            </w:r>
          </w:p>
        </w:tc>
      </w:tr>
      <w:tr w:rsidR="00E31D2A" w:rsidRPr="00C90AC9" w:rsidTr="00E31D2A">
        <w:trPr>
          <w:trHeight w:hRule="exact" w:val="737"/>
        </w:trPr>
        <w:tc>
          <w:tcPr>
            <w:tcW w:w="1242" w:type="dxa"/>
            <w:vAlign w:val="center"/>
          </w:tcPr>
          <w:p w:rsidR="00E31D2A" w:rsidRPr="00C90AC9" w:rsidRDefault="00E31D2A" w:rsidP="00E31D2A">
            <w:pPr>
              <w:jc w:val="center"/>
            </w:pPr>
            <w:r w:rsidRPr="00C90AC9">
              <w:t>Worcester Bosch</w:t>
            </w:r>
          </w:p>
        </w:tc>
        <w:tc>
          <w:tcPr>
            <w:tcW w:w="1418" w:type="dxa"/>
            <w:vAlign w:val="center"/>
          </w:tcPr>
          <w:p w:rsidR="00E31D2A" w:rsidRPr="00C90AC9" w:rsidRDefault="00E31D2A" w:rsidP="00E31D2A">
            <w:pPr>
              <w:jc w:val="center"/>
            </w:pPr>
            <w:proofErr w:type="spellStart"/>
            <w:r w:rsidRPr="00C90AC9">
              <w:t>Greenskies</w:t>
            </w:r>
            <w:proofErr w:type="spellEnd"/>
            <w:r w:rsidRPr="00C90AC9">
              <w:t xml:space="preserve"> FKC-1W</w:t>
            </w:r>
          </w:p>
        </w:tc>
        <w:tc>
          <w:tcPr>
            <w:tcW w:w="1381" w:type="dxa"/>
            <w:vAlign w:val="center"/>
          </w:tcPr>
          <w:p w:rsidR="00E31D2A" w:rsidRPr="00C90AC9" w:rsidRDefault="00E31D2A" w:rsidP="00E31D2A">
            <w:pPr>
              <w:jc w:val="center"/>
            </w:pPr>
            <w:r w:rsidRPr="00C90AC9">
              <w:t>2057 x 702 x 101</w:t>
            </w:r>
          </w:p>
        </w:tc>
        <w:tc>
          <w:tcPr>
            <w:tcW w:w="1199" w:type="dxa"/>
            <w:vAlign w:val="center"/>
          </w:tcPr>
          <w:p w:rsidR="00E31D2A" w:rsidRPr="00C90AC9" w:rsidRDefault="00E31D2A" w:rsidP="00E31D2A">
            <w:pPr>
              <w:jc w:val="center"/>
            </w:pPr>
            <w:r w:rsidRPr="00C90AC9">
              <w:t>1.25</w:t>
            </w:r>
          </w:p>
        </w:tc>
        <w:tc>
          <w:tcPr>
            <w:tcW w:w="1280" w:type="dxa"/>
            <w:vAlign w:val="center"/>
          </w:tcPr>
          <w:p w:rsidR="00E31D2A" w:rsidRPr="00C90AC9" w:rsidRDefault="00E31D2A" w:rsidP="00E31D2A">
            <w:pPr>
              <w:jc w:val="center"/>
            </w:pPr>
            <w:r w:rsidRPr="00C90AC9">
              <w:t>3.472</w:t>
            </w:r>
          </w:p>
        </w:tc>
        <w:tc>
          <w:tcPr>
            <w:tcW w:w="1272" w:type="dxa"/>
            <w:vAlign w:val="center"/>
          </w:tcPr>
          <w:p w:rsidR="00E31D2A" w:rsidRPr="00C90AC9" w:rsidRDefault="00E31D2A" w:rsidP="00E31D2A">
            <w:pPr>
              <w:jc w:val="center"/>
            </w:pPr>
            <w:r w:rsidRPr="00C90AC9">
              <w:t>0.64</w:t>
            </w:r>
          </w:p>
        </w:tc>
        <w:tc>
          <w:tcPr>
            <w:tcW w:w="1814" w:type="dxa"/>
            <w:vAlign w:val="center"/>
          </w:tcPr>
          <w:p w:rsidR="00E31D2A" w:rsidRPr="00C90AC9" w:rsidRDefault="00E31D2A" w:rsidP="00E31D2A">
            <w:pPr>
              <w:jc w:val="center"/>
            </w:pPr>
            <w:r w:rsidRPr="00C90AC9">
              <w:t>91.5 ± 0.5</w:t>
            </w:r>
          </w:p>
        </w:tc>
      </w:tr>
    </w:tbl>
    <w:p w:rsidR="00040467" w:rsidRPr="00C90AC9" w:rsidRDefault="00040467">
      <w:pPr>
        <w:rPr>
          <w:rFonts w:cs="Times New Roman"/>
          <w:iCs/>
          <w:color w:val="000000" w:themeColor="text1"/>
          <w:szCs w:val="24"/>
          <w:lang w:eastAsia="en-US"/>
        </w:rPr>
      </w:pPr>
      <w:r w:rsidRPr="00C90AC9">
        <w:rPr>
          <w:lang w:eastAsia="en-US"/>
        </w:rPr>
        <w:br w:type="page"/>
      </w:r>
    </w:p>
    <w:p w:rsidR="00C26745" w:rsidRPr="00C90AC9" w:rsidRDefault="0048060D" w:rsidP="00853BAF">
      <w:pPr>
        <w:pStyle w:val="Heading1"/>
        <w:numPr>
          <w:ilvl w:val="0"/>
          <w:numId w:val="0"/>
        </w:numPr>
        <w:rPr>
          <w:sz w:val="24"/>
          <w:lang w:eastAsia="en-US"/>
        </w:rPr>
      </w:pPr>
      <w:r w:rsidRPr="00C90AC9">
        <w:rPr>
          <w:sz w:val="24"/>
          <w:lang w:eastAsia="en-US"/>
        </w:rPr>
        <w:lastRenderedPageBreak/>
        <w:t>Appendix</w:t>
      </w:r>
      <w:r w:rsidR="00C26745" w:rsidRPr="00C90AC9">
        <w:rPr>
          <w:sz w:val="24"/>
          <w:lang w:eastAsia="en-US"/>
        </w:rPr>
        <w:t xml:space="preserve"> 7.9. The semi-structured interview schedule</w:t>
      </w:r>
    </w:p>
    <w:p w:rsidR="00C26745" w:rsidRPr="00C90AC9" w:rsidRDefault="00C26745" w:rsidP="00C26745">
      <w:pPr>
        <w:jc w:val="center"/>
        <w:rPr>
          <w:rFonts w:cs="Times New Roman"/>
          <w:szCs w:val="24"/>
          <w:u w:val="single"/>
        </w:rPr>
      </w:pPr>
      <w:r w:rsidRPr="00C90AC9">
        <w:rPr>
          <w:rFonts w:cs="Times New Roman"/>
          <w:szCs w:val="24"/>
          <w:u w:val="single"/>
        </w:rPr>
        <w:t>Questions in semi-structured interviews</w:t>
      </w:r>
    </w:p>
    <w:p w:rsidR="00C26745" w:rsidRPr="00C90AC9" w:rsidRDefault="00C26745" w:rsidP="00C26745">
      <w:pPr>
        <w:rPr>
          <w:rFonts w:cs="Times New Roman"/>
          <w:szCs w:val="24"/>
          <w:u w:val="single"/>
        </w:rPr>
      </w:pPr>
      <w:r w:rsidRPr="00C90AC9">
        <w:rPr>
          <w:rFonts w:cs="Times New Roman"/>
          <w:szCs w:val="24"/>
          <w:u w:val="single"/>
        </w:rPr>
        <w:t>Introduction</w:t>
      </w:r>
    </w:p>
    <w:p w:rsidR="00C26745" w:rsidRPr="00C90AC9" w:rsidRDefault="00C26745" w:rsidP="00CA6E35">
      <w:pPr>
        <w:pStyle w:val="ListParagraph"/>
        <w:numPr>
          <w:ilvl w:val="0"/>
          <w:numId w:val="34"/>
        </w:numPr>
        <w:spacing w:after="200"/>
        <w:jc w:val="left"/>
        <w:rPr>
          <w:rFonts w:ascii="Times New Roman" w:hAnsi="Times New Roman" w:cs="Times New Roman"/>
          <w:szCs w:val="24"/>
        </w:rPr>
      </w:pPr>
      <w:r w:rsidRPr="00C90AC9">
        <w:rPr>
          <w:rFonts w:ascii="Times New Roman" w:hAnsi="Times New Roman" w:cs="Times New Roman"/>
          <w:szCs w:val="24"/>
        </w:rPr>
        <w:t>Can you please say who you are and what you do for a living?</w:t>
      </w:r>
    </w:p>
    <w:p w:rsidR="00C26745" w:rsidRPr="00C90AC9" w:rsidRDefault="00C26745" w:rsidP="00CA6E35">
      <w:pPr>
        <w:pStyle w:val="ListParagraph"/>
        <w:numPr>
          <w:ilvl w:val="0"/>
          <w:numId w:val="34"/>
        </w:numPr>
        <w:spacing w:after="200"/>
        <w:jc w:val="left"/>
        <w:rPr>
          <w:rFonts w:ascii="Times New Roman" w:hAnsi="Times New Roman" w:cs="Times New Roman"/>
          <w:szCs w:val="24"/>
        </w:rPr>
      </w:pPr>
      <w:r w:rsidRPr="00C90AC9">
        <w:rPr>
          <w:rFonts w:ascii="Times New Roman" w:hAnsi="Times New Roman" w:cs="Times New Roman"/>
          <w:szCs w:val="24"/>
        </w:rPr>
        <w:t>Have you heard of solar thermal panels before?</w:t>
      </w:r>
    </w:p>
    <w:p w:rsidR="00C26745" w:rsidRPr="00C90AC9" w:rsidRDefault="00C26745" w:rsidP="00CA6E35">
      <w:pPr>
        <w:pStyle w:val="ListParagraph"/>
        <w:numPr>
          <w:ilvl w:val="0"/>
          <w:numId w:val="34"/>
        </w:numPr>
        <w:spacing w:after="200"/>
        <w:jc w:val="left"/>
        <w:rPr>
          <w:rFonts w:ascii="Times New Roman" w:hAnsi="Times New Roman" w:cs="Times New Roman"/>
          <w:szCs w:val="24"/>
        </w:rPr>
      </w:pPr>
      <w:r w:rsidRPr="00C90AC9">
        <w:rPr>
          <w:rFonts w:ascii="Times New Roman" w:hAnsi="Times New Roman" w:cs="Times New Roman"/>
          <w:szCs w:val="24"/>
        </w:rPr>
        <w:t>Do you have solar thermal panels on your house?</w:t>
      </w:r>
    </w:p>
    <w:p w:rsidR="00C26745" w:rsidRPr="00C90AC9" w:rsidRDefault="00C26745" w:rsidP="00C26745">
      <w:pPr>
        <w:pStyle w:val="ListParagraph"/>
        <w:rPr>
          <w:rFonts w:ascii="Times New Roman" w:hAnsi="Times New Roman" w:cs="Times New Roman"/>
          <w:b/>
          <w:szCs w:val="24"/>
          <w:u w:val="single"/>
        </w:rPr>
      </w:pPr>
    </w:p>
    <w:p w:rsidR="00C26745" w:rsidRPr="00C90AC9" w:rsidRDefault="00C26745" w:rsidP="00C26745">
      <w:pPr>
        <w:pStyle w:val="ListParagraph"/>
        <w:rPr>
          <w:rFonts w:ascii="Times New Roman" w:hAnsi="Times New Roman" w:cs="Times New Roman"/>
          <w:b/>
          <w:szCs w:val="24"/>
          <w:u w:val="single"/>
        </w:rPr>
      </w:pPr>
      <w:r w:rsidRPr="00C90AC9">
        <w:rPr>
          <w:rFonts w:ascii="Times New Roman" w:hAnsi="Times New Roman" w:cs="Times New Roman"/>
          <w:b/>
          <w:szCs w:val="24"/>
          <w:u w:val="single"/>
        </w:rPr>
        <w:t>IF YES</w:t>
      </w:r>
    </w:p>
    <w:p w:rsidR="00C26745" w:rsidRPr="00C90AC9" w:rsidRDefault="00C26745" w:rsidP="00C26745">
      <w:pPr>
        <w:pStyle w:val="ListParagraph"/>
        <w:ind w:left="360"/>
        <w:rPr>
          <w:rFonts w:ascii="Times New Roman" w:hAnsi="Times New Roman" w:cs="Times New Roman"/>
          <w:szCs w:val="24"/>
        </w:rPr>
      </w:pPr>
      <w:r w:rsidRPr="00C90AC9">
        <w:rPr>
          <w:rFonts w:ascii="Times New Roman" w:hAnsi="Times New Roman" w:cs="Times New Roman"/>
          <w:szCs w:val="24"/>
        </w:rPr>
        <w:t xml:space="preserve">How long have you had them? </w:t>
      </w:r>
    </w:p>
    <w:p w:rsidR="00C26745" w:rsidRPr="00C90AC9" w:rsidRDefault="00C26745" w:rsidP="00C26745">
      <w:pPr>
        <w:pStyle w:val="ListParagraph"/>
        <w:ind w:left="360"/>
        <w:rPr>
          <w:rFonts w:ascii="Times New Roman" w:hAnsi="Times New Roman" w:cs="Times New Roman"/>
          <w:szCs w:val="24"/>
        </w:rPr>
      </w:pPr>
      <w:r w:rsidRPr="00C90AC9">
        <w:rPr>
          <w:rFonts w:ascii="Times New Roman" w:hAnsi="Times New Roman" w:cs="Times New Roman"/>
          <w:szCs w:val="24"/>
        </w:rPr>
        <w:t>Do you know the size of them?</w:t>
      </w:r>
    </w:p>
    <w:p w:rsidR="00C26745" w:rsidRPr="00C90AC9" w:rsidRDefault="00C26745" w:rsidP="00C26745">
      <w:pPr>
        <w:pStyle w:val="ListParagraph"/>
        <w:ind w:left="360"/>
        <w:rPr>
          <w:rFonts w:ascii="Times New Roman" w:hAnsi="Times New Roman" w:cs="Times New Roman"/>
          <w:szCs w:val="24"/>
        </w:rPr>
      </w:pPr>
      <w:r w:rsidRPr="00C90AC9">
        <w:rPr>
          <w:rFonts w:ascii="Times New Roman" w:hAnsi="Times New Roman" w:cs="Times New Roman"/>
          <w:szCs w:val="24"/>
        </w:rPr>
        <w:t>What made you buy them?</w:t>
      </w:r>
    </w:p>
    <w:p w:rsidR="00C26745" w:rsidRPr="00C90AC9" w:rsidRDefault="00C26745" w:rsidP="00C26745">
      <w:pPr>
        <w:pStyle w:val="ListParagraph"/>
        <w:ind w:left="360"/>
        <w:rPr>
          <w:rFonts w:ascii="Times New Roman" w:hAnsi="Times New Roman" w:cs="Times New Roman"/>
          <w:szCs w:val="24"/>
        </w:rPr>
      </w:pPr>
      <w:r w:rsidRPr="00C90AC9">
        <w:rPr>
          <w:rFonts w:ascii="Times New Roman" w:hAnsi="Times New Roman" w:cs="Times New Roman"/>
          <w:szCs w:val="24"/>
        </w:rPr>
        <w:t>Did your job influence your decision in any way? How?</w:t>
      </w:r>
    </w:p>
    <w:p w:rsidR="00C26745" w:rsidRPr="00C90AC9" w:rsidRDefault="00C26745" w:rsidP="00C26745">
      <w:pPr>
        <w:pStyle w:val="ListParagraph"/>
        <w:ind w:left="360"/>
        <w:rPr>
          <w:rFonts w:ascii="Times New Roman" w:hAnsi="Times New Roman" w:cs="Times New Roman"/>
          <w:szCs w:val="24"/>
        </w:rPr>
      </w:pPr>
      <w:r w:rsidRPr="00C90AC9">
        <w:rPr>
          <w:rFonts w:ascii="Times New Roman" w:hAnsi="Times New Roman" w:cs="Times New Roman"/>
          <w:szCs w:val="24"/>
        </w:rPr>
        <w:t>Do you know how much hot water they produce for you?</w:t>
      </w:r>
    </w:p>
    <w:p w:rsidR="00C26745" w:rsidRPr="00C90AC9" w:rsidRDefault="00C26745" w:rsidP="00C26745">
      <w:pPr>
        <w:pStyle w:val="ListParagraph"/>
        <w:ind w:left="360"/>
        <w:rPr>
          <w:rFonts w:ascii="Times New Roman" w:hAnsi="Times New Roman" w:cs="Times New Roman"/>
          <w:szCs w:val="24"/>
        </w:rPr>
      </w:pPr>
      <w:r w:rsidRPr="00C90AC9">
        <w:rPr>
          <w:rFonts w:ascii="Times New Roman" w:hAnsi="Times New Roman" w:cs="Times New Roman"/>
          <w:szCs w:val="24"/>
        </w:rPr>
        <w:t xml:space="preserve">Have there been any benefits from having from them? …explore…. </w:t>
      </w:r>
    </w:p>
    <w:p w:rsidR="00C26745" w:rsidRPr="00C90AC9" w:rsidRDefault="00C26745" w:rsidP="00C26745">
      <w:pPr>
        <w:pStyle w:val="ListParagraph"/>
        <w:ind w:left="360"/>
        <w:rPr>
          <w:rFonts w:ascii="Times New Roman" w:hAnsi="Times New Roman" w:cs="Times New Roman"/>
          <w:szCs w:val="24"/>
        </w:rPr>
      </w:pPr>
      <w:r w:rsidRPr="00C90AC9">
        <w:rPr>
          <w:rFonts w:ascii="Times New Roman" w:hAnsi="Times New Roman" w:cs="Times New Roman"/>
          <w:szCs w:val="24"/>
        </w:rPr>
        <w:t>Have there been any drawbacks to having them? …explore….</w:t>
      </w:r>
    </w:p>
    <w:p w:rsidR="00C26745" w:rsidRPr="00C90AC9" w:rsidRDefault="00C26745" w:rsidP="00C26745">
      <w:pPr>
        <w:pStyle w:val="ListParagraph"/>
        <w:ind w:left="360"/>
        <w:rPr>
          <w:rFonts w:ascii="Times New Roman" w:hAnsi="Times New Roman" w:cs="Times New Roman"/>
          <w:szCs w:val="24"/>
        </w:rPr>
      </w:pPr>
      <w:r w:rsidRPr="00C90AC9">
        <w:rPr>
          <w:rFonts w:ascii="Times New Roman" w:hAnsi="Times New Roman" w:cs="Times New Roman"/>
          <w:szCs w:val="24"/>
        </w:rPr>
        <w:t>Would you/have you recommended the technology to other people? Why/why not? How would you go about getting reliable information about them now if you had to? (where would you go for good information and why?)</w:t>
      </w:r>
    </w:p>
    <w:p w:rsidR="00C26745" w:rsidRPr="00C90AC9" w:rsidRDefault="00C26745" w:rsidP="00C26745">
      <w:pPr>
        <w:pStyle w:val="ListParagraph"/>
        <w:ind w:left="360"/>
        <w:rPr>
          <w:rFonts w:ascii="Times New Roman" w:hAnsi="Times New Roman" w:cs="Times New Roman"/>
          <w:szCs w:val="24"/>
        </w:rPr>
      </w:pPr>
    </w:p>
    <w:p w:rsidR="00C26745" w:rsidRPr="00C90AC9" w:rsidRDefault="00C26745" w:rsidP="00C26745">
      <w:pPr>
        <w:pStyle w:val="ListParagraph"/>
        <w:ind w:left="360"/>
        <w:rPr>
          <w:rFonts w:ascii="Times New Roman" w:hAnsi="Times New Roman" w:cs="Times New Roman"/>
          <w:b/>
          <w:szCs w:val="24"/>
          <w:u w:val="single"/>
        </w:rPr>
      </w:pPr>
      <w:r w:rsidRPr="00C90AC9">
        <w:rPr>
          <w:rFonts w:ascii="Times New Roman" w:hAnsi="Times New Roman" w:cs="Times New Roman"/>
          <w:b/>
          <w:szCs w:val="24"/>
        </w:rPr>
        <w:tab/>
      </w:r>
      <w:r w:rsidRPr="00C90AC9">
        <w:rPr>
          <w:rFonts w:ascii="Times New Roman" w:hAnsi="Times New Roman" w:cs="Times New Roman"/>
          <w:b/>
          <w:szCs w:val="24"/>
          <w:u w:val="single"/>
        </w:rPr>
        <w:t>IF NO</w:t>
      </w:r>
    </w:p>
    <w:p w:rsidR="00C26745" w:rsidRPr="00C90AC9" w:rsidRDefault="00C26745" w:rsidP="00C26745">
      <w:pPr>
        <w:pStyle w:val="ListParagraph"/>
        <w:ind w:left="360"/>
        <w:rPr>
          <w:rFonts w:ascii="Times New Roman" w:hAnsi="Times New Roman" w:cs="Times New Roman"/>
          <w:szCs w:val="24"/>
        </w:rPr>
      </w:pPr>
      <w:r w:rsidRPr="00C90AC9">
        <w:rPr>
          <w:rFonts w:ascii="Times New Roman" w:hAnsi="Times New Roman" w:cs="Times New Roman"/>
          <w:szCs w:val="24"/>
        </w:rPr>
        <w:t>Can you explain your reasons for no getting them?</w:t>
      </w:r>
    </w:p>
    <w:p w:rsidR="00C26745" w:rsidRPr="00C90AC9" w:rsidRDefault="00C26745" w:rsidP="00C26745">
      <w:pPr>
        <w:pStyle w:val="ListParagraph"/>
        <w:ind w:left="360"/>
        <w:rPr>
          <w:rFonts w:ascii="Times New Roman" w:hAnsi="Times New Roman" w:cs="Times New Roman"/>
          <w:szCs w:val="24"/>
        </w:rPr>
      </w:pPr>
      <w:r w:rsidRPr="00C90AC9">
        <w:rPr>
          <w:rFonts w:ascii="Times New Roman" w:hAnsi="Times New Roman" w:cs="Times New Roman"/>
          <w:szCs w:val="24"/>
        </w:rPr>
        <w:t>Has your role influenced your decision in any way? How? …explore the reasons why...</w:t>
      </w:r>
    </w:p>
    <w:p w:rsidR="00C26745" w:rsidRPr="00C90AC9" w:rsidRDefault="00C26745" w:rsidP="00C26745">
      <w:pPr>
        <w:pStyle w:val="ListParagraph"/>
        <w:ind w:left="360"/>
        <w:rPr>
          <w:rFonts w:ascii="Times New Roman" w:hAnsi="Times New Roman" w:cs="Times New Roman"/>
          <w:szCs w:val="24"/>
        </w:rPr>
      </w:pPr>
      <w:r w:rsidRPr="00C90AC9">
        <w:rPr>
          <w:rFonts w:ascii="Times New Roman" w:hAnsi="Times New Roman" w:cs="Times New Roman"/>
          <w:szCs w:val="24"/>
        </w:rPr>
        <w:t>Do you think there are any benefits to having solar thermal panels? …explore…</w:t>
      </w:r>
    </w:p>
    <w:p w:rsidR="00C26745" w:rsidRPr="00C90AC9" w:rsidRDefault="00C26745" w:rsidP="00C26745">
      <w:pPr>
        <w:pStyle w:val="ListParagraph"/>
        <w:ind w:left="360"/>
        <w:rPr>
          <w:rFonts w:ascii="Times New Roman" w:hAnsi="Times New Roman" w:cs="Times New Roman"/>
          <w:szCs w:val="24"/>
        </w:rPr>
      </w:pPr>
      <w:r w:rsidRPr="00C90AC9">
        <w:rPr>
          <w:rFonts w:ascii="Times New Roman" w:hAnsi="Times New Roman" w:cs="Times New Roman"/>
          <w:szCs w:val="24"/>
        </w:rPr>
        <w:t>Do you think there are any downsides to having solar thermal panels? …explore…</w:t>
      </w:r>
    </w:p>
    <w:p w:rsidR="00C26745" w:rsidRPr="00C90AC9" w:rsidRDefault="00C26745" w:rsidP="00C26745">
      <w:pPr>
        <w:pStyle w:val="ListParagraph"/>
        <w:ind w:left="360"/>
        <w:rPr>
          <w:rFonts w:ascii="Times New Roman" w:hAnsi="Times New Roman" w:cs="Times New Roman"/>
          <w:szCs w:val="24"/>
        </w:rPr>
      </w:pPr>
    </w:p>
    <w:p w:rsidR="00C26745" w:rsidRPr="00C90AC9" w:rsidRDefault="00C26745" w:rsidP="00C26745">
      <w:pPr>
        <w:pStyle w:val="ListParagraph"/>
        <w:ind w:left="360"/>
        <w:rPr>
          <w:rFonts w:ascii="Times New Roman" w:hAnsi="Times New Roman" w:cs="Times New Roman"/>
          <w:szCs w:val="24"/>
        </w:rPr>
      </w:pPr>
      <w:r w:rsidRPr="00C90AC9">
        <w:rPr>
          <w:rFonts w:ascii="Times New Roman" w:hAnsi="Times New Roman" w:cs="Times New Roman"/>
          <w:szCs w:val="24"/>
        </w:rPr>
        <w:t>Would you advise people to do the same as you or differently? …explore…</w:t>
      </w:r>
    </w:p>
    <w:p w:rsidR="00C26745" w:rsidRPr="00C90AC9" w:rsidRDefault="00C26745" w:rsidP="00C26745">
      <w:pPr>
        <w:rPr>
          <w:rFonts w:cs="Times New Roman"/>
          <w:szCs w:val="24"/>
          <w:u w:val="single"/>
        </w:rPr>
      </w:pPr>
      <w:r w:rsidRPr="00C90AC9">
        <w:rPr>
          <w:rFonts w:cs="Times New Roman"/>
          <w:szCs w:val="24"/>
          <w:u w:val="single"/>
        </w:rPr>
        <w:t>Influence of their job/role</w:t>
      </w:r>
    </w:p>
    <w:p w:rsidR="00C26745" w:rsidRPr="00C90AC9" w:rsidRDefault="00C26745" w:rsidP="00CA6E35">
      <w:pPr>
        <w:pStyle w:val="ListParagraph"/>
        <w:numPr>
          <w:ilvl w:val="0"/>
          <w:numId w:val="35"/>
        </w:numPr>
        <w:spacing w:after="200"/>
        <w:jc w:val="left"/>
        <w:rPr>
          <w:rFonts w:ascii="Times New Roman" w:hAnsi="Times New Roman" w:cs="Times New Roman"/>
          <w:color w:val="FF0000"/>
          <w:szCs w:val="24"/>
        </w:rPr>
      </w:pPr>
      <w:r w:rsidRPr="00C90AC9">
        <w:rPr>
          <w:rFonts w:ascii="Times New Roman" w:hAnsi="Times New Roman" w:cs="Times New Roman"/>
          <w:szCs w:val="24"/>
        </w:rPr>
        <w:t>Has the work you do changed your opinion of STP technology? How? Has it reinforced any opinions you may have or has it changed your mind? …explore the reasons…</w:t>
      </w:r>
    </w:p>
    <w:p w:rsidR="00C26745" w:rsidRPr="00C90AC9" w:rsidRDefault="00C26745" w:rsidP="00CA6E35">
      <w:pPr>
        <w:pStyle w:val="ListParagraph"/>
        <w:numPr>
          <w:ilvl w:val="0"/>
          <w:numId w:val="35"/>
        </w:numPr>
        <w:spacing w:after="200"/>
        <w:jc w:val="left"/>
        <w:rPr>
          <w:rFonts w:ascii="Times New Roman" w:hAnsi="Times New Roman" w:cs="Times New Roman"/>
          <w:b/>
          <w:szCs w:val="24"/>
          <w:u w:val="single"/>
        </w:rPr>
      </w:pPr>
      <w:r w:rsidRPr="00C90AC9">
        <w:rPr>
          <w:rFonts w:ascii="Times New Roman" w:hAnsi="Times New Roman" w:cs="Times New Roman"/>
          <w:szCs w:val="24"/>
        </w:rPr>
        <w:t>Do you think your opinion is any different to the general public’s opinion? …explore the reasons why</w:t>
      </w:r>
      <w:proofErr w:type="gramStart"/>
      <w:r w:rsidRPr="00C90AC9">
        <w:rPr>
          <w:rFonts w:ascii="Times New Roman" w:hAnsi="Times New Roman" w:cs="Times New Roman"/>
          <w:szCs w:val="24"/>
        </w:rPr>
        <w:t>….</w:t>
      </w:r>
      <w:r w:rsidRPr="00C90AC9">
        <w:rPr>
          <w:rFonts w:ascii="Times New Roman" w:hAnsi="Times New Roman" w:cs="Times New Roman"/>
          <w:color w:val="FF0000"/>
          <w:szCs w:val="24"/>
        </w:rPr>
        <w:t>.</w:t>
      </w:r>
      <w:proofErr w:type="gramEnd"/>
      <w:r w:rsidRPr="00C90AC9">
        <w:rPr>
          <w:rFonts w:ascii="Times New Roman" w:hAnsi="Times New Roman" w:cs="Times New Roman"/>
          <w:szCs w:val="24"/>
        </w:rPr>
        <w:t xml:space="preserve"> Is this a good thing for the market to grow? </w:t>
      </w:r>
    </w:p>
    <w:p w:rsidR="00C26745" w:rsidRPr="00C90AC9" w:rsidRDefault="00C26745" w:rsidP="00CA6E35">
      <w:pPr>
        <w:pStyle w:val="ListParagraph"/>
        <w:numPr>
          <w:ilvl w:val="0"/>
          <w:numId w:val="35"/>
        </w:numPr>
        <w:spacing w:after="200"/>
        <w:jc w:val="left"/>
        <w:rPr>
          <w:rFonts w:ascii="Times New Roman" w:hAnsi="Times New Roman" w:cs="Times New Roman"/>
          <w:b/>
          <w:szCs w:val="24"/>
          <w:u w:val="single"/>
        </w:rPr>
      </w:pPr>
      <w:r w:rsidRPr="00C90AC9">
        <w:rPr>
          <w:rFonts w:ascii="Times New Roman" w:hAnsi="Times New Roman" w:cs="Times New Roman"/>
          <w:szCs w:val="24"/>
        </w:rPr>
        <w:t xml:space="preserve">Do you think your opinion is any different other </w:t>
      </w:r>
      <w:proofErr w:type="gramStart"/>
      <w:r w:rsidRPr="00C90AC9">
        <w:rPr>
          <w:rFonts w:ascii="Times New Roman" w:hAnsi="Times New Roman" w:cs="Times New Roman"/>
          <w:szCs w:val="24"/>
        </w:rPr>
        <w:t>politicians</w:t>
      </w:r>
      <w:proofErr w:type="gramEnd"/>
      <w:r w:rsidRPr="00C90AC9">
        <w:rPr>
          <w:rFonts w:ascii="Times New Roman" w:hAnsi="Times New Roman" w:cs="Times New Roman"/>
          <w:szCs w:val="24"/>
        </w:rPr>
        <w:t xml:space="preserve"> opinion? …explore the reasons why</w:t>
      </w:r>
      <w:proofErr w:type="gramStart"/>
      <w:r w:rsidRPr="00C90AC9">
        <w:rPr>
          <w:rFonts w:ascii="Times New Roman" w:hAnsi="Times New Roman" w:cs="Times New Roman"/>
          <w:szCs w:val="24"/>
        </w:rPr>
        <w:t>….</w:t>
      </w:r>
      <w:r w:rsidRPr="00C90AC9">
        <w:rPr>
          <w:rFonts w:ascii="Times New Roman" w:hAnsi="Times New Roman" w:cs="Times New Roman"/>
          <w:color w:val="FF0000"/>
          <w:szCs w:val="24"/>
        </w:rPr>
        <w:t>.</w:t>
      </w:r>
      <w:proofErr w:type="gramEnd"/>
      <w:r w:rsidRPr="00C90AC9">
        <w:rPr>
          <w:rFonts w:ascii="Times New Roman" w:hAnsi="Times New Roman" w:cs="Times New Roman"/>
          <w:szCs w:val="24"/>
        </w:rPr>
        <w:t xml:space="preserve"> Is this helpful for the market to grow? </w:t>
      </w:r>
      <w:r w:rsidRPr="00C90AC9">
        <w:rPr>
          <w:rFonts w:ascii="Times New Roman" w:hAnsi="Times New Roman" w:cs="Times New Roman"/>
          <w:b/>
          <w:szCs w:val="24"/>
          <w:u w:val="single"/>
        </w:rPr>
        <w:br/>
      </w:r>
      <w:r w:rsidRPr="00C90AC9">
        <w:rPr>
          <w:rFonts w:ascii="Times New Roman" w:hAnsi="Times New Roman" w:cs="Times New Roman"/>
          <w:b/>
          <w:szCs w:val="24"/>
          <w:u w:val="single"/>
        </w:rPr>
        <w:br/>
        <w:t>IF YES</w:t>
      </w:r>
    </w:p>
    <w:p w:rsidR="00C26745" w:rsidRPr="00C90AC9" w:rsidRDefault="00C26745" w:rsidP="00C26745">
      <w:pPr>
        <w:rPr>
          <w:rFonts w:cs="Times New Roman"/>
          <w:szCs w:val="24"/>
        </w:rPr>
      </w:pPr>
      <w:r w:rsidRPr="00C90AC9">
        <w:rPr>
          <w:rFonts w:cs="Times New Roman"/>
          <w:szCs w:val="24"/>
        </w:rPr>
        <w:t xml:space="preserve">Why is it different? What does this mean? Would you like to see this changed? What would be the best method to change people’s opinions of the technology? </w:t>
      </w:r>
    </w:p>
    <w:p w:rsidR="00C26745" w:rsidRPr="00C90AC9" w:rsidRDefault="00C26745" w:rsidP="00C26745">
      <w:pPr>
        <w:rPr>
          <w:rFonts w:cs="Times New Roman"/>
          <w:b/>
          <w:szCs w:val="24"/>
          <w:u w:val="single"/>
        </w:rPr>
      </w:pPr>
      <w:r w:rsidRPr="00C90AC9">
        <w:rPr>
          <w:rFonts w:cs="Times New Roman"/>
          <w:b/>
          <w:szCs w:val="24"/>
        </w:rPr>
        <w:tab/>
      </w:r>
      <w:r w:rsidRPr="00C90AC9">
        <w:rPr>
          <w:rFonts w:cs="Times New Roman"/>
          <w:b/>
          <w:szCs w:val="24"/>
          <w:u w:val="single"/>
        </w:rPr>
        <w:t>IF NO</w:t>
      </w:r>
    </w:p>
    <w:p w:rsidR="00C26745" w:rsidRPr="00C90AC9" w:rsidRDefault="00C26745" w:rsidP="00C26745">
      <w:pPr>
        <w:rPr>
          <w:rFonts w:cs="Times New Roman"/>
          <w:szCs w:val="24"/>
        </w:rPr>
      </w:pPr>
      <w:r w:rsidRPr="00C90AC9">
        <w:rPr>
          <w:rFonts w:cs="Times New Roman"/>
          <w:szCs w:val="24"/>
        </w:rPr>
        <w:t>Why are the opinions the same? What does this mean? Would you like to see this changed? What does this mean for the industry?</w:t>
      </w:r>
    </w:p>
    <w:p w:rsidR="00C26745" w:rsidRPr="00C90AC9" w:rsidRDefault="00C26745" w:rsidP="00CA6E35">
      <w:pPr>
        <w:pStyle w:val="ListParagraph"/>
        <w:numPr>
          <w:ilvl w:val="0"/>
          <w:numId w:val="37"/>
        </w:numPr>
        <w:spacing w:after="200"/>
        <w:jc w:val="left"/>
        <w:rPr>
          <w:rFonts w:ascii="Times New Roman" w:hAnsi="Times New Roman" w:cs="Times New Roman"/>
          <w:szCs w:val="24"/>
        </w:rPr>
      </w:pPr>
      <w:r w:rsidRPr="00C90AC9">
        <w:rPr>
          <w:rFonts w:ascii="Times New Roman" w:hAnsi="Times New Roman" w:cs="Times New Roman"/>
          <w:szCs w:val="24"/>
        </w:rPr>
        <w:lastRenderedPageBreak/>
        <w:t>What would be the best method to assist people to use this technology? …explore….</w:t>
      </w:r>
    </w:p>
    <w:p w:rsidR="00C26745" w:rsidRPr="00C90AC9" w:rsidRDefault="00C26745" w:rsidP="00C26745">
      <w:pPr>
        <w:pStyle w:val="ListParagraph"/>
        <w:rPr>
          <w:rFonts w:ascii="Times New Roman" w:hAnsi="Times New Roman" w:cs="Times New Roman"/>
          <w:szCs w:val="24"/>
        </w:rPr>
      </w:pPr>
    </w:p>
    <w:p w:rsidR="00C26745" w:rsidRPr="00C90AC9" w:rsidRDefault="00C26745" w:rsidP="00C26745">
      <w:pPr>
        <w:rPr>
          <w:rFonts w:cs="Times New Roman"/>
          <w:szCs w:val="24"/>
          <w:u w:val="single"/>
        </w:rPr>
      </w:pPr>
      <w:r w:rsidRPr="00C90AC9">
        <w:rPr>
          <w:rFonts w:cs="Times New Roman"/>
          <w:szCs w:val="24"/>
          <w:u w:val="single"/>
        </w:rPr>
        <w:t>Upcoming legislation and other factors</w:t>
      </w:r>
    </w:p>
    <w:p w:rsidR="00C26745" w:rsidRPr="00C90AC9" w:rsidRDefault="00C26745" w:rsidP="00CA6E35">
      <w:pPr>
        <w:pStyle w:val="ListParagraph"/>
        <w:numPr>
          <w:ilvl w:val="0"/>
          <w:numId w:val="36"/>
        </w:numPr>
        <w:spacing w:after="200"/>
        <w:jc w:val="left"/>
        <w:rPr>
          <w:rFonts w:ascii="Times New Roman" w:hAnsi="Times New Roman" w:cs="Times New Roman"/>
          <w:szCs w:val="24"/>
        </w:rPr>
      </w:pPr>
      <w:r w:rsidRPr="00C90AC9">
        <w:rPr>
          <w:rFonts w:ascii="Times New Roman" w:hAnsi="Times New Roman" w:cs="Times New Roman"/>
          <w:szCs w:val="24"/>
        </w:rPr>
        <w:t>Do you know if the government has a stance on STP?</w:t>
      </w:r>
    </w:p>
    <w:p w:rsidR="00C26745" w:rsidRPr="00C90AC9" w:rsidRDefault="00C26745" w:rsidP="00C26745">
      <w:pPr>
        <w:rPr>
          <w:rFonts w:cs="Times New Roman"/>
          <w:b/>
          <w:szCs w:val="24"/>
          <w:u w:val="single"/>
        </w:rPr>
      </w:pPr>
      <w:r w:rsidRPr="00C90AC9">
        <w:rPr>
          <w:rFonts w:cs="Times New Roman"/>
          <w:b/>
          <w:szCs w:val="24"/>
          <w:u w:val="single"/>
        </w:rPr>
        <w:t>IF YES</w:t>
      </w:r>
    </w:p>
    <w:p w:rsidR="00C26745" w:rsidRPr="00C90AC9" w:rsidRDefault="00C26745" w:rsidP="00C26745">
      <w:pPr>
        <w:rPr>
          <w:rFonts w:cs="Times New Roman"/>
          <w:szCs w:val="24"/>
        </w:rPr>
      </w:pPr>
      <w:r w:rsidRPr="00C90AC9">
        <w:rPr>
          <w:rFonts w:cs="Times New Roman"/>
          <w:szCs w:val="24"/>
        </w:rPr>
        <w:t>What do you see as the key features? Has it changed at all recently? What will this mean? How does government legislature affect the STP industry?</w:t>
      </w:r>
    </w:p>
    <w:p w:rsidR="00C26745" w:rsidRPr="00C90AC9" w:rsidRDefault="00C26745" w:rsidP="00C26745">
      <w:pPr>
        <w:rPr>
          <w:rFonts w:cs="Times New Roman"/>
          <w:b/>
          <w:szCs w:val="24"/>
          <w:u w:val="single"/>
        </w:rPr>
      </w:pPr>
      <w:r w:rsidRPr="00C90AC9">
        <w:rPr>
          <w:rFonts w:cs="Times New Roman"/>
          <w:b/>
          <w:szCs w:val="24"/>
          <w:u w:val="single"/>
        </w:rPr>
        <w:t>IF NO</w:t>
      </w:r>
    </w:p>
    <w:p w:rsidR="00C26745" w:rsidRPr="00C90AC9" w:rsidRDefault="00C26745" w:rsidP="00C26745">
      <w:pPr>
        <w:rPr>
          <w:rFonts w:cs="Times New Roman"/>
          <w:szCs w:val="24"/>
        </w:rPr>
      </w:pPr>
      <w:r w:rsidRPr="00C90AC9">
        <w:rPr>
          <w:rFonts w:cs="Times New Roman"/>
          <w:szCs w:val="24"/>
        </w:rPr>
        <w:t xml:space="preserve">Are you interested to find out the government’s position </w:t>
      </w:r>
      <w:proofErr w:type="spellStart"/>
      <w:r w:rsidRPr="00C90AC9">
        <w:rPr>
          <w:rFonts w:cs="Times New Roman"/>
          <w:szCs w:val="24"/>
        </w:rPr>
        <w:t>ofn</w:t>
      </w:r>
      <w:proofErr w:type="spellEnd"/>
      <w:r w:rsidRPr="00C90AC9">
        <w:rPr>
          <w:rFonts w:cs="Times New Roman"/>
          <w:szCs w:val="24"/>
        </w:rPr>
        <w:t xml:space="preserve"> </w:t>
      </w:r>
      <w:proofErr w:type="spellStart"/>
      <w:proofErr w:type="gramStart"/>
      <w:r w:rsidRPr="00C90AC9">
        <w:rPr>
          <w:rFonts w:cs="Times New Roman"/>
          <w:szCs w:val="24"/>
        </w:rPr>
        <w:t>STP?Where</w:t>
      </w:r>
      <w:proofErr w:type="spellEnd"/>
      <w:proofErr w:type="gramEnd"/>
      <w:r w:rsidRPr="00C90AC9">
        <w:rPr>
          <w:rFonts w:cs="Times New Roman"/>
          <w:szCs w:val="24"/>
        </w:rPr>
        <w:t xml:space="preserve"> would you go to find out about government policy on STP? Is this the same place where customers might go?  </w:t>
      </w:r>
      <w:r w:rsidRPr="00C90AC9">
        <w:rPr>
          <w:rFonts w:cs="Times New Roman"/>
          <w:color w:val="FF0000"/>
          <w:szCs w:val="24"/>
        </w:rPr>
        <w:t>Explore the different places.</w:t>
      </w:r>
    </w:p>
    <w:p w:rsidR="00C26745" w:rsidRPr="00C90AC9" w:rsidRDefault="00C26745" w:rsidP="00C26745">
      <w:pPr>
        <w:rPr>
          <w:rFonts w:cs="Times New Roman"/>
          <w:szCs w:val="24"/>
        </w:rPr>
      </w:pPr>
    </w:p>
    <w:p w:rsidR="00C26745" w:rsidRPr="00C90AC9" w:rsidRDefault="00C26745" w:rsidP="00CA6E35">
      <w:pPr>
        <w:pStyle w:val="ListParagraph"/>
        <w:numPr>
          <w:ilvl w:val="0"/>
          <w:numId w:val="36"/>
        </w:numPr>
        <w:spacing w:after="200"/>
        <w:jc w:val="left"/>
        <w:rPr>
          <w:rFonts w:ascii="Times New Roman" w:hAnsi="Times New Roman" w:cs="Times New Roman"/>
          <w:szCs w:val="24"/>
        </w:rPr>
      </w:pPr>
      <w:r w:rsidRPr="00C90AC9">
        <w:rPr>
          <w:rFonts w:ascii="Times New Roman" w:hAnsi="Times New Roman" w:cs="Times New Roman"/>
          <w:szCs w:val="24"/>
        </w:rPr>
        <w:t>Are you aware of any upcoming legislation or policies that might affect the solar thermal panel industry? (Green Deal/RHI)</w:t>
      </w:r>
    </w:p>
    <w:p w:rsidR="00C26745" w:rsidRPr="00C90AC9" w:rsidRDefault="00C26745" w:rsidP="00C26745">
      <w:pPr>
        <w:rPr>
          <w:rFonts w:cs="Times New Roman"/>
          <w:b/>
          <w:szCs w:val="24"/>
          <w:u w:val="single"/>
        </w:rPr>
      </w:pPr>
      <w:r w:rsidRPr="00C90AC9">
        <w:rPr>
          <w:rFonts w:cs="Times New Roman"/>
          <w:b/>
          <w:szCs w:val="24"/>
          <w:u w:val="single"/>
        </w:rPr>
        <w:t>IF YES</w:t>
      </w:r>
    </w:p>
    <w:p w:rsidR="00C26745" w:rsidRPr="00C90AC9" w:rsidRDefault="00C26745" w:rsidP="00C26745">
      <w:pPr>
        <w:rPr>
          <w:rFonts w:cs="Times New Roman"/>
          <w:szCs w:val="24"/>
        </w:rPr>
      </w:pPr>
      <w:r w:rsidRPr="00C90AC9">
        <w:rPr>
          <w:rFonts w:cs="Times New Roman"/>
          <w:szCs w:val="24"/>
        </w:rPr>
        <w:t>How will it affect it? Why will it have this affect? What effect do you think this legislation will have? Would you do anything differently? Explore the different ways.</w:t>
      </w:r>
    </w:p>
    <w:p w:rsidR="00C26745" w:rsidRPr="00C90AC9" w:rsidRDefault="00C26745" w:rsidP="00C26745">
      <w:pPr>
        <w:rPr>
          <w:rFonts w:cs="Times New Roman"/>
          <w:szCs w:val="24"/>
        </w:rPr>
      </w:pPr>
    </w:p>
    <w:p w:rsidR="00C26745" w:rsidRPr="00C90AC9" w:rsidRDefault="00C26745" w:rsidP="00C26745">
      <w:pPr>
        <w:rPr>
          <w:rFonts w:cs="Times New Roman"/>
          <w:b/>
          <w:szCs w:val="24"/>
          <w:u w:val="single"/>
        </w:rPr>
      </w:pPr>
      <w:r w:rsidRPr="00C90AC9">
        <w:rPr>
          <w:rFonts w:cs="Times New Roman"/>
          <w:b/>
          <w:szCs w:val="24"/>
          <w:u w:val="single"/>
        </w:rPr>
        <w:t>IF NO</w:t>
      </w:r>
    </w:p>
    <w:p w:rsidR="00C26745" w:rsidRPr="00C90AC9" w:rsidRDefault="00C26745" w:rsidP="00C26745">
      <w:pPr>
        <w:rPr>
          <w:rFonts w:cs="Times New Roman"/>
          <w:szCs w:val="24"/>
        </w:rPr>
      </w:pPr>
      <w:r w:rsidRPr="00C90AC9">
        <w:rPr>
          <w:rFonts w:cs="Times New Roman"/>
          <w:szCs w:val="24"/>
        </w:rPr>
        <w:t xml:space="preserve">Does no knowing this affect your role in any way? Would you want to see a change to any legislation affecting the industry? </w:t>
      </w:r>
      <w:r w:rsidRPr="00C90AC9">
        <w:rPr>
          <w:rFonts w:cs="Times New Roman"/>
          <w:color w:val="FF0000"/>
          <w:szCs w:val="24"/>
        </w:rPr>
        <w:t>Explore any possible differences.</w:t>
      </w:r>
      <w:r w:rsidRPr="00C90AC9">
        <w:rPr>
          <w:rFonts w:cs="Times New Roman"/>
          <w:szCs w:val="24"/>
        </w:rPr>
        <w:t xml:space="preserve"> </w:t>
      </w:r>
    </w:p>
    <w:p w:rsidR="00C26745" w:rsidRPr="00C90AC9" w:rsidRDefault="00C26745" w:rsidP="00C26745">
      <w:pPr>
        <w:rPr>
          <w:rFonts w:cs="Times New Roman"/>
          <w:szCs w:val="24"/>
        </w:rPr>
      </w:pPr>
    </w:p>
    <w:p w:rsidR="00C26745" w:rsidRPr="00C90AC9" w:rsidRDefault="00C26745" w:rsidP="00CA6E35">
      <w:pPr>
        <w:pStyle w:val="ListParagraph"/>
        <w:numPr>
          <w:ilvl w:val="0"/>
          <w:numId w:val="40"/>
        </w:numPr>
        <w:spacing w:after="200"/>
        <w:jc w:val="left"/>
        <w:rPr>
          <w:rFonts w:ascii="Times New Roman" w:hAnsi="Times New Roman" w:cs="Times New Roman"/>
          <w:szCs w:val="24"/>
        </w:rPr>
      </w:pPr>
      <w:r w:rsidRPr="00C90AC9">
        <w:rPr>
          <w:rFonts w:ascii="Times New Roman" w:hAnsi="Times New Roman" w:cs="Times New Roman"/>
          <w:szCs w:val="24"/>
        </w:rPr>
        <w:t>Do you think it is better for the industry to have local/national/international focused legislation? …explore…</w:t>
      </w:r>
    </w:p>
    <w:p w:rsidR="00C26745" w:rsidRPr="00C90AC9" w:rsidRDefault="00C26745" w:rsidP="00CA6E35">
      <w:pPr>
        <w:pStyle w:val="ListParagraph"/>
        <w:numPr>
          <w:ilvl w:val="0"/>
          <w:numId w:val="40"/>
        </w:numPr>
        <w:spacing w:after="200"/>
        <w:jc w:val="left"/>
        <w:rPr>
          <w:rFonts w:ascii="Times New Roman" w:hAnsi="Times New Roman" w:cs="Times New Roman"/>
          <w:szCs w:val="24"/>
        </w:rPr>
      </w:pPr>
      <w:r w:rsidRPr="00C90AC9">
        <w:rPr>
          <w:rFonts w:ascii="Times New Roman" w:hAnsi="Times New Roman" w:cs="Times New Roman"/>
          <w:szCs w:val="24"/>
        </w:rPr>
        <w:t xml:space="preserve">Do you have an opinion about where you would like to see the STP industry in 5/10 </w:t>
      </w:r>
      <w:proofErr w:type="spellStart"/>
      <w:r w:rsidRPr="00C90AC9">
        <w:rPr>
          <w:rFonts w:ascii="Times New Roman" w:hAnsi="Times New Roman" w:cs="Times New Roman"/>
          <w:szCs w:val="24"/>
        </w:rPr>
        <w:t>years time</w:t>
      </w:r>
      <w:proofErr w:type="spellEnd"/>
      <w:r w:rsidRPr="00C90AC9">
        <w:rPr>
          <w:rFonts w:ascii="Times New Roman" w:hAnsi="Times New Roman" w:cs="Times New Roman"/>
          <w:szCs w:val="24"/>
        </w:rPr>
        <w:t>? …explore….</w:t>
      </w:r>
    </w:p>
    <w:p w:rsidR="00C26745" w:rsidRPr="00C90AC9" w:rsidRDefault="00C26745" w:rsidP="00CA6E35">
      <w:pPr>
        <w:pStyle w:val="ListParagraph"/>
        <w:numPr>
          <w:ilvl w:val="0"/>
          <w:numId w:val="40"/>
        </w:numPr>
        <w:spacing w:after="200"/>
        <w:jc w:val="left"/>
        <w:rPr>
          <w:rFonts w:ascii="Times New Roman" w:hAnsi="Times New Roman" w:cs="Times New Roman"/>
          <w:szCs w:val="24"/>
        </w:rPr>
      </w:pPr>
      <w:r w:rsidRPr="00C90AC9">
        <w:rPr>
          <w:rFonts w:ascii="Times New Roman" w:hAnsi="Times New Roman" w:cs="Times New Roman"/>
          <w:szCs w:val="24"/>
        </w:rPr>
        <w:t>How do you think this would be best achieved?</w:t>
      </w:r>
    </w:p>
    <w:p w:rsidR="00C26745" w:rsidRPr="00C90AC9" w:rsidRDefault="00C26745" w:rsidP="00C26745">
      <w:pPr>
        <w:pStyle w:val="ListParagraph"/>
        <w:rPr>
          <w:rFonts w:ascii="Times New Roman" w:hAnsi="Times New Roman" w:cs="Times New Roman"/>
          <w:szCs w:val="24"/>
        </w:rPr>
      </w:pPr>
    </w:p>
    <w:p w:rsidR="00C26745" w:rsidRPr="00C90AC9" w:rsidRDefault="00C26745" w:rsidP="00C26745">
      <w:pPr>
        <w:rPr>
          <w:rFonts w:cs="Times New Roman"/>
          <w:szCs w:val="24"/>
          <w:u w:val="single"/>
        </w:rPr>
      </w:pPr>
      <w:r w:rsidRPr="00C90AC9">
        <w:rPr>
          <w:rFonts w:cs="Times New Roman"/>
          <w:szCs w:val="24"/>
          <w:u w:val="single"/>
        </w:rPr>
        <w:t>STP Benefits</w:t>
      </w:r>
    </w:p>
    <w:p w:rsidR="00C26745" w:rsidRPr="00C90AC9" w:rsidRDefault="00C26745" w:rsidP="00CA6E35">
      <w:pPr>
        <w:pStyle w:val="ListParagraph"/>
        <w:numPr>
          <w:ilvl w:val="0"/>
          <w:numId w:val="38"/>
        </w:numPr>
        <w:spacing w:after="200"/>
        <w:jc w:val="left"/>
        <w:rPr>
          <w:rFonts w:ascii="Times New Roman" w:hAnsi="Times New Roman" w:cs="Times New Roman"/>
          <w:szCs w:val="24"/>
        </w:rPr>
      </w:pPr>
      <w:r w:rsidRPr="00C90AC9">
        <w:rPr>
          <w:rFonts w:ascii="Times New Roman" w:hAnsi="Times New Roman" w:cs="Times New Roman"/>
          <w:szCs w:val="24"/>
        </w:rPr>
        <w:t>What are the main benefits of having solar thermal panels?</w:t>
      </w:r>
    </w:p>
    <w:p w:rsidR="00C26745" w:rsidRPr="00C90AC9" w:rsidRDefault="00C26745" w:rsidP="00CA6E35">
      <w:pPr>
        <w:pStyle w:val="ListParagraph"/>
        <w:numPr>
          <w:ilvl w:val="0"/>
          <w:numId w:val="38"/>
        </w:numPr>
        <w:spacing w:after="200"/>
        <w:jc w:val="left"/>
        <w:rPr>
          <w:rFonts w:ascii="Times New Roman" w:hAnsi="Times New Roman" w:cs="Times New Roman"/>
          <w:szCs w:val="24"/>
        </w:rPr>
      </w:pPr>
      <w:r w:rsidRPr="00C90AC9">
        <w:rPr>
          <w:rFonts w:ascii="Times New Roman" w:hAnsi="Times New Roman" w:cs="Times New Roman"/>
          <w:szCs w:val="24"/>
        </w:rPr>
        <w:t>What are the main drawbacks?</w:t>
      </w:r>
    </w:p>
    <w:p w:rsidR="00C26745" w:rsidRPr="00C90AC9" w:rsidRDefault="00C26745" w:rsidP="00CA6E35">
      <w:pPr>
        <w:pStyle w:val="ListParagraph"/>
        <w:numPr>
          <w:ilvl w:val="0"/>
          <w:numId w:val="38"/>
        </w:numPr>
        <w:spacing w:after="200"/>
        <w:jc w:val="left"/>
        <w:rPr>
          <w:rFonts w:ascii="Times New Roman" w:hAnsi="Times New Roman" w:cs="Times New Roman"/>
          <w:szCs w:val="24"/>
        </w:rPr>
      </w:pPr>
      <w:r w:rsidRPr="00C90AC9">
        <w:rPr>
          <w:rFonts w:ascii="Times New Roman" w:hAnsi="Times New Roman" w:cs="Times New Roman"/>
          <w:szCs w:val="24"/>
        </w:rPr>
        <w:t xml:space="preserve">Are there any groups of people who would particularly benefit from having STPs? </w:t>
      </w:r>
    </w:p>
    <w:p w:rsidR="00C26745" w:rsidRPr="00C90AC9" w:rsidRDefault="00C26745" w:rsidP="00CA6E35">
      <w:pPr>
        <w:pStyle w:val="ListParagraph"/>
        <w:numPr>
          <w:ilvl w:val="0"/>
          <w:numId w:val="38"/>
        </w:numPr>
        <w:spacing w:after="200"/>
        <w:jc w:val="left"/>
        <w:rPr>
          <w:rFonts w:ascii="Times New Roman" w:hAnsi="Times New Roman" w:cs="Times New Roman"/>
          <w:szCs w:val="24"/>
        </w:rPr>
      </w:pPr>
      <w:r w:rsidRPr="00C90AC9">
        <w:rPr>
          <w:rFonts w:ascii="Times New Roman" w:hAnsi="Times New Roman" w:cs="Times New Roman"/>
          <w:szCs w:val="24"/>
        </w:rPr>
        <w:t>Do you do anything differently in your job to cater for these people?</w:t>
      </w:r>
    </w:p>
    <w:p w:rsidR="00C26745" w:rsidRPr="00C90AC9" w:rsidRDefault="00C26745" w:rsidP="00C26745">
      <w:pPr>
        <w:rPr>
          <w:rFonts w:cs="Times New Roman"/>
          <w:b/>
          <w:szCs w:val="24"/>
        </w:rPr>
      </w:pPr>
      <w:r w:rsidRPr="00C90AC9">
        <w:rPr>
          <w:rFonts w:cs="Times New Roman"/>
          <w:b/>
          <w:szCs w:val="24"/>
        </w:rPr>
        <w:t>IF YES</w:t>
      </w:r>
    </w:p>
    <w:p w:rsidR="00C26745" w:rsidRPr="00C90AC9" w:rsidRDefault="00C26745" w:rsidP="00C26745">
      <w:pPr>
        <w:rPr>
          <w:rFonts w:cs="Times New Roman"/>
          <w:szCs w:val="24"/>
        </w:rPr>
      </w:pPr>
      <w:r w:rsidRPr="00C90AC9">
        <w:rPr>
          <w:rFonts w:cs="Times New Roman"/>
          <w:szCs w:val="24"/>
        </w:rPr>
        <w:t>How? Which ways? Why? Do you see benefits?</w:t>
      </w:r>
    </w:p>
    <w:p w:rsidR="00C26745" w:rsidRPr="00C90AC9" w:rsidRDefault="00C26745" w:rsidP="00C26745">
      <w:pPr>
        <w:rPr>
          <w:rFonts w:cs="Times New Roman"/>
          <w:szCs w:val="24"/>
        </w:rPr>
      </w:pPr>
    </w:p>
    <w:p w:rsidR="00C26745" w:rsidRPr="00C90AC9" w:rsidRDefault="00C26745" w:rsidP="00C26745">
      <w:pPr>
        <w:rPr>
          <w:rFonts w:cs="Times New Roman"/>
          <w:szCs w:val="24"/>
        </w:rPr>
      </w:pPr>
      <w:r w:rsidRPr="00C90AC9">
        <w:rPr>
          <w:rFonts w:cs="Times New Roman"/>
          <w:b/>
          <w:szCs w:val="24"/>
        </w:rPr>
        <w:lastRenderedPageBreak/>
        <w:t xml:space="preserve">IF NO </w:t>
      </w:r>
    </w:p>
    <w:p w:rsidR="00C26745" w:rsidRPr="00C90AC9" w:rsidRDefault="00C26745" w:rsidP="00C26745">
      <w:pPr>
        <w:rPr>
          <w:rFonts w:cs="Times New Roman"/>
          <w:szCs w:val="24"/>
        </w:rPr>
      </w:pPr>
      <w:r w:rsidRPr="00C90AC9">
        <w:rPr>
          <w:rFonts w:cs="Times New Roman"/>
          <w:szCs w:val="24"/>
        </w:rPr>
        <w:t>How? Which ways? Why not?</w:t>
      </w:r>
    </w:p>
    <w:p w:rsidR="00C26745" w:rsidRPr="00C90AC9" w:rsidRDefault="00C26745" w:rsidP="00C26745">
      <w:pPr>
        <w:rPr>
          <w:rFonts w:cs="Times New Roman"/>
          <w:szCs w:val="24"/>
          <w:u w:val="single"/>
        </w:rPr>
      </w:pPr>
      <w:r w:rsidRPr="00C90AC9">
        <w:rPr>
          <w:rFonts w:cs="Times New Roman"/>
          <w:szCs w:val="24"/>
          <w:u w:val="single"/>
        </w:rPr>
        <w:t>How the market might mature in the coming years</w:t>
      </w:r>
    </w:p>
    <w:p w:rsidR="00C26745" w:rsidRPr="00C90AC9" w:rsidRDefault="00C26745" w:rsidP="00CA6E35">
      <w:pPr>
        <w:pStyle w:val="ListParagraph"/>
        <w:numPr>
          <w:ilvl w:val="0"/>
          <w:numId w:val="39"/>
        </w:numPr>
        <w:spacing w:after="200"/>
        <w:jc w:val="left"/>
        <w:rPr>
          <w:rFonts w:ascii="Times New Roman" w:hAnsi="Times New Roman" w:cs="Times New Roman"/>
          <w:szCs w:val="24"/>
        </w:rPr>
      </w:pPr>
      <w:r w:rsidRPr="00C90AC9">
        <w:rPr>
          <w:rFonts w:ascii="Times New Roman" w:hAnsi="Times New Roman" w:cs="Times New Roman"/>
          <w:szCs w:val="24"/>
        </w:rPr>
        <w:t>How would you like to see the STP market in the UK progress?</w:t>
      </w:r>
    </w:p>
    <w:p w:rsidR="00C26745" w:rsidRPr="00C90AC9" w:rsidRDefault="00C26745" w:rsidP="00CA6E35">
      <w:pPr>
        <w:pStyle w:val="ListParagraph"/>
        <w:numPr>
          <w:ilvl w:val="0"/>
          <w:numId w:val="39"/>
        </w:numPr>
        <w:spacing w:after="200"/>
        <w:jc w:val="left"/>
        <w:rPr>
          <w:rFonts w:ascii="Times New Roman" w:hAnsi="Times New Roman" w:cs="Times New Roman"/>
          <w:szCs w:val="24"/>
        </w:rPr>
      </w:pPr>
      <w:r w:rsidRPr="00C90AC9">
        <w:rPr>
          <w:rFonts w:ascii="Times New Roman" w:hAnsi="Times New Roman" w:cs="Times New Roman"/>
          <w:szCs w:val="24"/>
        </w:rPr>
        <w:t>Where do you THINK it will be in 5-10 years’ time?</w:t>
      </w:r>
    </w:p>
    <w:p w:rsidR="00C26745" w:rsidRPr="00C90AC9" w:rsidRDefault="00C26745" w:rsidP="00CA6E35">
      <w:pPr>
        <w:pStyle w:val="ListParagraph"/>
        <w:numPr>
          <w:ilvl w:val="0"/>
          <w:numId w:val="39"/>
        </w:numPr>
        <w:spacing w:after="200"/>
        <w:jc w:val="left"/>
        <w:rPr>
          <w:rFonts w:ascii="Times New Roman" w:hAnsi="Times New Roman" w:cs="Times New Roman"/>
          <w:szCs w:val="24"/>
        </w:rPr>
      </w:pPr>
      <w:r w:rsidRPr="00C90AC9">
        <w:rPr>
          <w:rFonts w:ascii="Times New Roman" w:hAnsi="Times New Roman" w:cs="Times New Roman"/>
          <w:szCs w:val="24"/>
        </w:rPr>
        <w:t>Do you THINK there is a best way for this to happen?</w:t>
      </w:r>
    </w:p>
    <w:p w:rsidR="00C26745" w:rsidRPr="00C90AC9" w:rsidRDefault="00C26745" w:rsidP="00CA6E35">
      <w:pPr>
        <w:pStyle w:val="ListParagraph"/>
        <w:numPr>
          <w:ilvl w:val="0"/>
          <w:numId w:val="39"/>
        </w:numPr>
        <w:spacing w:after="200"/>
        <w:jc w:val="left"/>
        <w:rPr>
          <w:rFonts w:ascii="Times New Roman" w:hAnsi="Times New Roman" w:cs="Times New Roman"/>
          <w:szCs w:val="24"/>
        </w:rPr>
      </w:pPr>
      <w:r w:rsidRPr="00C90AC9">
        <w:rPr>
          <w:rFonts w:ascii="Times New Roman" w:hAnsi="Times New Roman" w:cs="Times New Roman"/>
          <w:szCs w:val="24"/>
        </w:rPr>
        <w:t>Can you see anything that might restrict this from happening? …explore…</w:t>
      </w:r>
    </w:p>
    <w:p w:rsidR="00C26745" w:rsidRPr="00C90AC9" w:rsidRDefault="00C26745" w:rsidP="00C26745">
      <w:pPr>
        <w:ind w:left="360"/>
        <w:rPr>
          <w:rFonts w:cs="Times New Roman"/>
          <w:b/>
          <w:szCs w:val="24"/>
        </w:rPr>
      </w:pPr>
      <w:r w:rsidRPr="00C90AC9">
        <w:rPr>
          <w:rFonts w:cs="Times New Roman"/>
          <w:b/>
          <w:szCs w:val="24"/>
        </w:rPr>
        <w:t>IF YES</w:t>
      </w:r>
    </w:p>
    <w:p w:rsidR="00C26745" w:rsidRPr="00C90AC9" w:rsidRDefault="00C26745" w:rsidP="00C26745">
      <w:pPr>
        <w:ind w:left="360"/>
        <w:rPr>
          <w:rFonts w:cs="Times New Roman"/>
          <w:szCs w:val="24"/>
        </w:rPr>
      </w:pPr>
      <w:r w:rsidRPr="00C90AC9">
        <w:rPr>
          <w:rFonts w:cs="Times New Roman"/>
          <w:szCs w:val="24"/>
        </w:rPr>
        <w:t>What are these obstacles? Will they affect the entire market? Are there ways around them?</w:t>
      </w:r>
    </w:p>
    <w:p w:rsidR="00C26745" w:rsidRPr="00C90AC9" w:rsidRDefault="00C26745" w:rsidP="00C26745">
      <w:pPr>
        <w:ind w:left="360"/>
        <w:rPr>
          <w:rFonts w:cs="Times New Roman"/>
          <w:b/>
          <w:szCs w:val="24"/>
        </w:rPr>
      </w:pPr>
      <w:r w:rsidRPr="00C90AC9">
        <w:rPr>
          <w:rFonts w:cs="Times New Roman"/>
          <w:b/>
          <w:szCs w:val="24"/>
        </w:rPr>
        <w:t>IF NO</w:t>
      </w:r>
    </w:p>
    <w:p w:rsidR="00C26745" w:rsidRPr="00C90AC9" w:rsidRDefault="00C26745" w:rsidP="00C26745">
      <w:pPr>
        <w:ind w:left="360"/>
        <w:rPr>
          <w:rFonts w:cs="Times New Roman"/>
          <w:szCs w:val="24"/>
        </w:rPr>
      </w:pPr>
      <w:r w:rsidRPr="00C90AC9">
        <w:rPr>
          <w:rFonts w:cs="Times New Roman"/>
          <w:szCs w:val="24"/>
        </w:rPr>
        <w:t xml:space="preserve">Will the industry mature seamlessly then? </w:t>
      </w:r>
    </w:p>
    <w:p w:rsidR="00C26745" w:rsidRPr="00C90AC9" w:rsidRDefault="00C26745" w:rsidP="00CA6E35">
      <w:pPr>
        <w:pStyle w:val="ListParagraph"/>
        <w:numPr>
          <w:ilvl w:val="0"/>
          <w:numId w:val="41"/>
        </w:numPr>
        <w:spacing w:after="200"/>
        <w:jc w:val="left"/>
        <w:rPr>
          <w:rFonts w:ascii="Times New Roman" w:hAnsi="Times New Roman" w:cs="Times New Roman"/>
          <w:szCs w:val="24"/>
        </w:rPr>
      </w:pPr>
      <w:r w:rsidRPr="00C90AC9">
        <w:rPr>
          <w:rFonts w:ascii="Times New Roman" w:hAnsi="Times New Roman" w:cs="Times New Roman"/>
          <w:szCs w:val="24"/>
        </w:rPr>
        <w:t>Will there be any groups of people who could help to encourage the market to mature?</w:t>
      </w:r>
    </w:p>
    <w:p w:rsidR="00C26745" w:rsidRPr="00C90AC9" w:rsidRDefault="00C26745" w:rsidP="00CA6E35">
      <w:pPr>
        <w:pStyle w:val="ListParagraph"/>
        <w:numPr>
          <w:ilvl w:val="0"/>
          <w:numId w:val="41"/>
        </w:numPr>
        <w:spacing w:after="200"/>
        <w:jc w:val="left"/>
        <w:rPr>
          <w:rFonts w:ascii="Times New Roman" w:hAnsi="Times New Roman" w:cs="Times New Roman"/>
          <w:szCs w:val="24"/>
        </w:rPr>
      </w:pPr>
      <w:r w:rsidRPr="00C90AC9">
        <w:rPr>
          <w:rFonts w:ascii="Times New Roman" w:hAnsi="Times New Roman" w:cs="Times New Roman"/>
          <w:szCs w:val="24"/>
        </w:rPr>
        <w:t>How much influence do you think your job will have on the STP market in the future?</w:t>
      </w:r>
    </w:p>
    <w:p w:rsidR="00C26745" w:rsidRPr="00C90AC9" w:rsidRDefault="00C26745" w:rsidP="00CA6E35">
      <w:pPr>
        <w:pStyle w:val="ListParagraph"/>
        <w:numPr>
          <w:ilvl w:val="1"/>
          <w:numId w:val="41"/>
        </w:numPr>
        <w:spacing w:after="200"/>
        <w:jc w:val="left"/>
        <w:rPr>
          <w:rFonts w:ascii="Times New Roman" w:hAnsi="Times New Roman" w:cs="Times New Roman"/>
          <w:szCs w:val="24"/>
        </w:rPr>
      </w:pPr>
      <w:r w:rsidRPr="00C90AC9">
        <w:rPr>
          <w:rFonts w:ascii="Times New Roman" w:hAnsi="Times New Roman" w:cs="Times New Roman"/>
          <w:szCs w:val="24"/>
        </w:rPr>
        <w:t>Why?</w:t>
      </w:r>
    </w:p>
    <w:p w:rsidR="00C26745" w:rsidRPr="00C90AC9" w:rsidRDefault="00C26745" w:rsidP="00CA6E35">
      <w:pPr>
        <w:pStyle w:val="ListParagraph"/>
        <w:numPr>
          <w:ilvl w:val="1"/>
          <w:numId w:val="41"/>
        </w:numPr>
        <w:spacing w:after="200"/>
        <w:jc w:val="left"/>
        <w:rPr>
          <w:rFonts w:ascii="Times New Roman" w:hAnsi="Times New Roman" w:cs="Times New Roman"/>
          <w:szCs w:val="24"/>
        </w:rPr>
      </w:pPr>
      <w:r w:rsidRPr="00C90AC9">
        <w:rPr>
          <w:rFonts w:ascii="Times New Roman" w:hAnsi="Times New Roman" w:cs="Times New Roman"/>
          <w:szCs w:val="24"/>
        </w:rPr>
        <w:t>Would you like to see this change?</w:t>
      </w:r>
    </w:p>
    <w:p w:rsidR="00C26745" w:rsidRPr="00C90AC9" w:rsidRDefault="00C26745" w:rsidP="00CA6E35">
      <w:pPr>
        <w:pStyle w:val="ListParagraph"/>
        <w:numPr>
          <w:ilvl w:val="0"/>
          <w:numId w:val="41"/>
        </w:numPr>
        <w:spacing w:after="200"/>
        <w:jc w:val="left"/>
        <w:rPr>
          <w:rFonts w:ascii="Times New Roman" w:hAnsi="Times New Roman" w:cs="Times New Roman"/>
          <w:szCs w:val="24"/>
        </w:rPr>
      </w:pPr>
      <w:r w:rsidRPr="00C90AC9">
        <w:rPr>
          <w:rFonts w:ascii="Times New Roman" w:hAnsi="Times New Roman" w:cs="Times New Roman"/>
          <w:szCs w:val="24"/>
        </w:rPr>
        <w:t>Do you think your opinion of the STP industry is different to other people in a similar position to you?</w:t>
      </w:r>
    </w:p>
    <w:p w:rsidR="00C26745" w:rsidRPr="00C90AC9" w:rsidRDefault="00C26745" w:rsidP="00CA6E35">
      <w:pPr>
        <w:pStyle w:val="ListParagraph"/>
        <w:numPr>
          <w:ilvl w:val="1"/>
          <w:numId w:val="41"/>
        </w:numPr>
        <w:spacing w:after="200"/>
        <w:jc w:val="left"/>
        <w:rPr>
          <w:rFonts w:ascii="Times New Roman" w:hAnsi="Times New Roman" w:cs="Times New Roman"/>
          <w:szCs w:val="24"/>
        </w:rPr>
      </w:pPr>
      <w:r w:rsidRPr="00C90AC9">
        <w:rPr>
          <w:rFonts w:ascii="Times New Roman" w:hAnsi="Times New Roman" w:cs="Times New Roman"/>
          <w:szCs w:val="24"/>
        </w:rPr>
        <w:t>In which way?</w:t>
      </w:r>
    </w:p>
    <w:p w:rsidR="00C26745" w:rsidRPr="00C90AC9" w:rsidRDefault="00C26745" w:rsidP="00CA6E35">
      <w:pPr>
        <w:pStyle w:val="ListParagraph"/>
        <w:numPr>
          <w:ilvl w:val="1"/>
          <w:numId w:val="41"/>
        </w:numPr>
        <w:spacing w:after="200"/>
        <w:jc w:val="left"/>
        <w:rPr>
          <w:rFonts w:ascii="Times New Roman" w:hAnsi="Times New Roman" w:cs="Times New Roman"/>
          <w:szCs w:val="24"/>
        </w:rPr>
      </w:pPr>
      <w:r w:rsidRPr="00C90AC9">
        <w:rPr>
          <w:rFonts w:ascii="Times New Roman" w:hAnsi="Times New Roman" w:cs="Times New Roman"/>
          <w:szCs w:val="24"/>
        </w:rPr>
        <w:t>Would you like to see this change?</w:t>
      </w:r>
    </w:p>
    <w:p w:rsidR="00C26745" w:rsidRPr="00C90AC9" w:rsidRDefault="00C26745" w:rsidP="00C26745">
      <w:pPr>
        <w:rPr>
          <w:rFonts w:cs="Times New Roman"/>
          <w:szCs w:val="24"/>
        </w:rPr>
      </w:pPr>
      <w:r w:rsidRPr="00C90AC9">
        <w:rPr>
          <w:rFonts w:cs="Times New Roman"/>
          <w:b/>
          <w:noProof/>
          <w:szCs w:val="24"/>
        </w:rPr>
        <mc:AlternateContent>
          <mc:Choice Requires="wps">
            <w:drawing>
              <wp:anchor distT="0" distB="0" distL="114300" distR="114300" simplePos="0" relativeHeight="251995136" behindDoc="0" locked="0" layoutInCell="1" allowOverlap="1" wp14:anchorId="09334FBE" wp14:editId="1086EB57">
                <wp:simplePos x="0" y="0"/>
                <wp:positionH relativeFrom="column">
                  <wp:posOffset>-352425</wp:posOffset>
                </wp:positionH>
                <wp:positionV relativeFrom="paragraph">
                  <wp:posOffset>209550</wp:posOffset>
                </wp:positionV>
                <wp:extent cx="6315075" cy="2390775"/>
                <wp:effectExtent l="0" t="0" r="28575" b="28575"/>
                <wp:wrapNone/>
                <wp:docPr id="450" name="Rectangle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5075" cy="2390775"/>
                        </a:xfrm>
                        <a:prstGeom prst="rect">
                          <a:avLst/>
                        </a:prstGeom>
                        <a:solidFill>
                          <a:srgbClr val="FF0000">
                            <a:alpha val="17000"/>
                          </a:srgbClr>
                        </a:solidFill>
                        <a:ln w="9525">
                          <a:solidFill>
                            <a:schemeClr val="tx2">
                              <a:lumMod val="40000"/>
                              <a:lumOff val="6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EAABF5" id="Rectangle 450" o:spid="_x0000_s1026" style="position:absolute;margin-left:-27.75pt;margin-top:16.5pt;width:497.25pt;height:188.2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" fillcolor="red" strokecolor="#8db3e2 [1311]">
                <v:fill opacity="11051f"/>
              </v:rect>
            </w:pict>
          </mc:Fallback>
        </mc:AlternateContent>
      </w:r>
    </w:p>
    <w:p w:rsidR="00C26745" w:rsidRPr="00C90AC9" w:rsidRDefault="00C26745" w:rsidP="00C26745">
      <w:pPr>
        <w:rPr>
          <w:rFonts w:cs="Times New Roman"/>
          <w:szCs w:val="24"/>
          <w:u w:val="single"/>
        </w:rPr>
      </w:pPr>
      <w:r w:rsidRPr="00C90AC9">
        <w:rPr>
          <w:rFonts w:cs="Times New Roman"/>
          <w:szCs w:val="24"/>
          <w:u w:val="single"/>
        </w:rPr>
        <w:t>Additional questions</w:t>
      </w:r>
    </w:p>
    <w:p w:rsidR="00C26745" w:rsidRPr="00C90AC9" w:rsidRDefault="00C26745" w:rsidP="00CA6E35">
      <w:pPr>
        <w:pStyle w:val="ListParagraph"/>
        <w:numPr>
          <w:ilvl w:val="0"/>
          <w:numId w:val="42"/>
        </w:numPr>
        <w:spacing w:after="200"/>
        <w:jc w:val="left"/>
        <w:rPr>
          <w:rFonts w:ascii="Times New Roman" w:hAnsi="Times New Roman" w:cs="Times New Roman"/>
          <w:szCs w:val="24"/>
        </w:rPr>
      </w:pPr>
      <w:r w:rsidRPr="00C90AC9">
        <w:rPr>
          <w:rFonts w:ascii="Times New Roman" w:hAnsi="Times New Roman" w:cs="Times New Roman"/>
          <w:szCs w:val="24"/>
        </w:rPr>
        <w:t xml:space="preserve">Has your understanding of renewable energy changed over the past few years? …Explore… How? Why? </w:t>
      </w:r>
    </w:p>
    <w:p w:rsidR="00C26745" w:rsidRPr="00C90AC9" w:rsidRDefault="00C26745" w:rsidP="00CA6E35">
      <w:pPr>
        <w:pStyle w:val="ListParagraph"/>
        <w:numPr>
          <w:ilvl w:val="0"/>
          <w:numId w:val="42"/>
        </w:numPr>
        <w:spacing w:after="200"/>
        <w:jc w:val="left"/>
        <w:rPr>
          <w:rFonts w:ascii="Times New Roman" w:hAnsi="Times New Roman" w:cs="Times New Roman"/>
          <w:szCs w:val="24"/>
        </w:rPr>
      </w:pPr>
      <w:r w:rsidRPr="00C90AC9">
        <w:rPr>
          <w:rFonts w:ascii="Times New Roman" w:hAnsi="Times New Roman" w:cs="Times New Roman"/>
          <w:szCs w:val="24"/>
        </w:rPr>
        <w:t>Does anyone come to you to talk about solar panels?</w:t>
      </w:r>
    </w:p>
    <w:p w:rsidR="00C26745" w:rsidRPr="00C90AC9" w:rsidRDefault="00C26745" w:rsidP="00CA6E35">
      <w:pPr>
        <w:pStyle w:val="ListParagraph"/>
        <w:numPr>
          <w:ilvl w:val="1"/>
          <w:numId w:val="42"/>
        </w:numPr>
        <w:spacing w:after="200"/>
        <w:jc w:val="left"/>
        <w:rPr>
          <w:rFonts w:ascii="Times New Roman" w:hAnsi="Times New Roman" w:cs="Times New Roman"/>
          <w:szCs w:val="24"/>
        </w:rPr>
      </w:pPr>
      <w:r w:rsidRPr="00C90AC9">
        <w:rPr>
          <w:rFonts w:ascii="Times New Roman" w:hAnsi="Times New Roman" w:cs="Times New Roman"/>
          <w:szCs w:val="24"/>
        </w:rPr>
        <w:t>Explore, who, what do they ask and why do you think they ask that, Trust</w:t>
      </w:r>
    </w:p>
    <w:p w:rsidR="00C26745" w:rsidRPr="00C90AC9" w:rsidRDefault="00C26745" w:rsidP="00CA6E35">
      <w:pPr>
        <w:pStyle w:val="ListParagraph"/>
        <w:numPr>
          <w:ilvl w:val="0"/>
          <w:numId w:val="42"/>
        </w:numPr>
        <w:spacing w:after="200"/>
        <w:jc w:val="left"/>
        <w:rPr>
          <w:rFonts w:ascii="Times New Roman" w:hAnsi="Times New Roman" w:cs="Times New Roman"/>
          <w:szCs w:val="24"/>
        </w:rPr>
      </w:pPr>
      <w:r w:rsidRPr="00C90AC9">
        <w:rPr>
          <w:rFonts w:ascii="Times New Roman" w:hAnsi="Times New Roman" w:cs="Times New Roman"/>
          <w:szCs w:val="24"/>
        </w:rPr>
        <w:t>Why do you think they come to you?</w:t>
      </w:r>
    </w:p>
    <w:p w:rsidR="00C26745" w:rsidRPr="00C90AC9" w:rsidRDefault="00C26745" w:rsidP="00CA6E35">
      <w:pPr>
        <w:pStyle w:val="ListParagraph"/>
        <w:numPr>
          <w:ilvl w:val="0"/>
          <w:numId w:val="42"/>
        </w:numPr>
        <w:spacing w:after="200"/>
        <w:jc w:val="left"/>
        <w:rPr>
          <w:rFonts w:ascii="Times New Roman" w:hAnsi="Times New Roman" w:cs="Times New Roman"/>
          <w:szCs w:val="24"/>
        </w:rPr>
      </w:pPr>
      <w:r w:rsidRPr="00C90AC9">
        <w:rPr>
          <w:rFonts w:ascii="Times New Roman" w:hAnsi="Times New Roman" w:cs="Times New Roman"/>
          <w:szCs w:val="24"/>
        </w:rPr>
        <w:t>Do you think they might approach other people? …explore who and why….</w:t>
      </w:r>
    </w:p>
    <w:p w:rsidR="00C26745" w:rsidRPr="00C90AC9" w:rsidRDefault="00C26745" w:rsidP="00CA6E35">
      <w:pPr>
        <w:pStyle w:val="ListParagraph"/>
        <w:numPr>
          <w:ilvl w:val="0"/>
          <w:numId w:val="42"/>
        </w:numPr>
        <w:spacing w:after="200"/>
        <w:jc w:val="left"/>
        <w:rPr>
          <w:rFonts w:ascii="Times New Roman" w:hAnsi="Times New Roman" w:cs="Times New Roman"/>
          <w:szCs w:val="24"/>
        </w:rPr>
      </w:pPr>
      <w:r w:rsidRPr="00C90AC9">
        <w:rPr>
          <w:rFonts w:ascii="Times New Roman" w:hAnsi="Times New Roman" w:cs="Times New Roman"/>
          <w:szCs w:val="24"/>
        </w:rPr>
        <w:t>Have you noticed any change in peoples understanding about solar thermal panels or renewable energy in general for their homes?</w:t>
      </w:r>
    </w:p>
    <w:p w:rsidR="00C26745" w:rsidRPr="00C90AC9" w:rsidRDefault="00C26745" w:rsidP="00C26745">
      <w:pPr>
        <w:pStyle w:val="ListParagraph"/>
        <w:rPr>
          <w:rFonts w:ascii="Times New Roman" w:hAnsi="Times New Roman" w:cs="Times New Roman"/>
          <w:szCs w:val="24"/>
        </w:rPr>
      </w:pPr>
    </w:p>
    <w:p w:rsidR="00C26745" w:rsidRPr="00C90AC9" w:rsidRDefault="00C26745" w:rsidP="00C26745">
      <w:pPr>
        <w:rPr>
          <w:lang w:eastAsia="en-US"/>
        </w:rPr>
      </w:pPr>
    </w:p>
    <w:p w:rsidR="00C26745" w:rsidRPr="00C90AC9" w:rsidRDefault="00C26745" w:rsidP="00C26745">
      <w:pPr>
        <w:rPr>
          <w:lang w:eastAsia="en-US"/>
        </w:rPr>
      </w:pPr>
    </w:p>
    <w:p w:rsidR="00C26745" w:rsidRPr="00C90AC9" w:rsidRDefault="00C26745" w:rsidP="00C26745">
      <w:pPr>
        <w:rPr>
          <w:lang w:eastAsia="en-US"/>
        </w:rPr>
      </w:pPr>
    </w:p>
    <w:p w:rsidR="00C26745" w:rsidRPr="00C90AC9" w:rsidRDefault="00C26745" w:rsidP="00C26745">
      <w:pPr>
        <w:rPr>
          <w:lang w:eastAsia="en-US"/>
        </w:rPr>
      </w:pPr>
    </w:p>
    <w:p w:rsidR="0048060D" w:rsidRPr="00C90AC9" w:rsidRDefault="0048060D">
      <w:pPr>
        <w:rPr>
          <w:lang w:eastAsia="en-US"/>
        </w:rPr>
      </w:pPr>
      <w:r w:rsidRPr="00C90AC9">
        <w:rPr>
          <w:lang w:eastAsia="en-US"/>
        </w:rPr>
        <w:br w:type="page"/>
      </w:r>
    </w:p>
    <w:p w:rsidR="00C26745" w:rsidRPr="00C90AC9" w:rsidRDefault="00C26745" w:rsidP="00C26745">
      <w:pPr>
        <w:rPr>
          <w:lang w:eastAsia="en-US"/>
        </w:rPr>
      </w:pPr>
      <w:r w:rsidRPr="00C90AC9">
        <w:rPr>
          <w:lang w:eastAsia="en-US"/>
        </w:rPr>
        <w:lastRenderedPageBreak/>
        <w:t>Appendix 7.10 The focus groups schedule</w:t>
      </w:r>
    </w:p>
    <w:p w:rsidR="00C26745" w:rsidRPr="00C90AC9" w:rsidRDefault="00C26745" w:rsidP="00C26745">
      <w:pPr>
        <w:jc w:val="center"/>
        <w:rPr>
          <w:rFonts w:cs="Times New Roman"/>
          <w:u w:val="single"/>
        </w:rPr>
      </w:pPr>
      <w:r w:rsidRPr="00C90AC9">
        <w:rPr>
          <w:rFonts w:cs="Times New Roman"/>
          <w:u w:val="single"/>
        </w:rPr>
        <w:t>Focus Group, Solar thermal panels</w:t>
      </w:r>
    </w:p>
    <w:p w:rsidR="00C26745" w:rsidRPr="00C90AC9" w:rsidRDefault="00C26745" w:rsidP="00C26745">
      <w:pPr>
        <w:rPr>
          <w:rFonts w:cs="Times New Roman"/>
        </w:rPr>
      </w:pPr>
      <w:r w:rsidRPr="00C90AC9">
        <w:rPr>
          <w:rFonts w:cs="Times New Roman"/>
        </w:rPr>
        <w:t>Thank you all for attending this focus group concerning solar thermal panels. My name is James and I will be conducting today’s focus group. I hope you will all enjoy and get something out of this exercise. I want to encourage you all to contribute and feel as though you have been heard. I am interested in your opinions and not what you think is the ‘right’ thing to say. There are no right or wrong answers. Please be as honest as possible and give your own opinions. Please allow other people to have their say and have only one person speaking at a time.</w:t>
      </w:r>
    </w:p>
    <w:p w:rsidR="00C26745" w:rsidRPr="00C90AC9" w:rsidRDefault="00C26745" w:rsidP="00C26745">
      <w:pPr>
        <w:rPr>
          <w:rFonts w:cs="Times New Roman"/>
          <w:u w:val="single"/>
        </w:rPr>
      </w:pPr>
      <w:r w:rsidRPr="00C90AC9">
        <w:rPr>
          <w:rFonts w:cs="Times New Roman"/>
          <w:u w:val="single"/>
        </w:rPr>
        <w:br/>
        <w:t xml:space="preserve">Section One- Introduction to energy </w:t>
      </w:r>
      <w:r w:rsidRPr="00C90AC9">
        <w:rPr>
          <w:rFonts w:cs="Times New Roman"/>
          <w:color w:val="FF0000"/>
          <w:u w:val="single"/>
        </w:rPr>
        <w:t>(10)</w:t>
      </w:r>
    </w:p>
    <w:p w:rsidR="00C26745" w:rsidRPr="00C90AC9" w:rsidRDefault="00C26745" w:rsidP="00CA6E35">
      <w:pPr>
        <w:pStyle w:val="ListParagraph"/>
        <w:numPr>
          <w:ilvl w:val="0"/>
          <w:numId w:val="29"/>
        </w:numPr>
        <w:spacing w:after="200" w:line="240" w:lineRule="auto"/>
        <w:jc w:val="left"/>
        <w:rPr>
          <w:rFonts w:ascii="Times New Roman" w:hAnsi="Times New Roman" w:cs="Times New Roman"/>
          <w:szCs w:val="24"/>
        </w:rPr>
      </w:pPr>
      <w:r w:rsidRPr="00C90AC9">
        <w:rPr>
          <w:rFonts w:ascii="Times New Roman" w:hAnsi="Times New Roman" w:cs="Times New Roman"/>
          <w:szCs w:val="24"/>
        </w:rPr>
        <w:t>To start with can we take it in turn to say who we are and what you do for a living.</w:t>
      </w:r>
    </w:p>
    <w:p w:rsidR="00C26745" w:rsidRPr="00C90AC9" w:rsidRDefault="00C26745" w:rsidP="0048060D">
      <w:pPr>
        <w:spacing w:line="240" w:lineRule="auto"/>
        <w:ind w:firstLine="720"/>
        <w:rPr>
          <w:rFonts w:cs="Times New Roman"/>
          <w:szCs w:val="24"/>
        </w:rPr>
      </w:pPr>
      <w:r w:rsidRPr="00C90AC9">
        <w:rPr>
          <w:rFonts w:cs="Times New Roman"/>
          <w:szCs w:val="24"/>
        </w:rPr>
        <w:t>I’ll start.......</w:t>
      </w:r>
    </w:p>
    <w:p w:rsidR="00C26745" w:rsidRPr="00C90AC9" w:rsidRDefault="00C26745" w:rsidP="00CA6E35">
      <w:pPr>
        <w:pStyle w:val="ListParagraph"/>
        <w:numPr>
          <w:ilvl w:val="0"/>
          <w:numId w:val="29"/>
        </w:numPr>
        <w:spacing w:after="200" w:line="240" w:lineRule="auto"/>
        <w:jc w:val="left"/>
        <w:rPr>
          <w:rFonts w:ascii="Times New Roman" w:hAnsi="Times New Roman" w:cs="Times New Roman"/>
          <w:szCs w:val="24"/>
        </w:rPr>
      </w:pPr>
      <w:r w:rsidRPr="00C90AC9">
        <w:rPr>
          <w:rFonts w:ascii="Times New Roman" w:hAnsi="Times New Roman" w:cs="Times New Roman"/>
          <w:szCs w:val="24"/>
        </w:rPr>
        <w:t>To get us thinking about energy, can we think of a previous occasion where we have u</w:t>
      </w:r>
      <w:r w:rsidR="0048060D" w:rsidRPr="00C90AC9">
        <w:rPr>
          <w:rFonts w:ascii="Times New Roman" w:hAnsi="Times New Roman" w:cs="Times New Roman"/>
          <w:szCs w:val="24"/>
        </w:rPr>
        <w:t>sed lots of energy in the home?</w:t>
      </w:r>
    </w:p>
    <w:p w:rsidR="00C26745" w:rsidRPr="00C90AC9" w:rsidRDefault="00C26745" w:rsidP="00CA6E35">
      <w:pPr>
        <w:pStyle w:val="ListParagraph"/>
        <w:numPr>
          <w:ilvl w:val="0"/>
          <w:numId w:val="29"/>
        </w:numPr>
        <w:spacing w:after="200" w:line="240" w:lineRule="auto"/>
        <w:jc w:val="left"/>
        <w:rPr>
          <w:rFonts w:ascii="Times New Roman" w:hAnsi="Times New Roman" w:cs="Times New Roman"/>
          <w:szCs w:val="24"/>
        </w:rPr>
      </w:pPr>
      <w:r w:rsidRPr="00C90AC9">
        <w:rPr>
          <w:rFonts w:ascii="Times New Roman" w:hAnsi="Times New Roman" w:cs="Times New Roman"/>
          <w:szCs w:val="24"/>
        </w:rPr>
        <w:t>Are there any rooms in the home that use lots of energy?</w:t>
      </w:r>
    </w:p>
    <w:p w:rsidR="00C26745" w:rsidRPr="00C90AC9" w:rsidRDefault="00C26745" w:rsidP="00CA6E35">
      <w:pPr>
        <w:pStyle w:val="ListParagraph"/>
        <w:numPr>
          <w:ilvl w:val="0"/>
          <w:numId w:val="29"/>
        </w:numPr>
        <w:spacing w:after="200" w:line="240" w:lineRule="auto"/>
        <w:jc w:val="left"/>
        <w:rPr>
          <w:rFonts w:ascii="Times New Roman" w:hAnsi="Times New Roman" w:cs="Times New Roman"/>
          <w:szCs w:val="24"/>
        </w:rPr>
      </w:pPr>
      <w:r w:rsidRPr="00C90AC9">
        <w:rPr>
          <w:rFonts w:ascii="Times New Roman" w:hAnsi="Times New Roman" w:cs="Times New Roman"/>
          <w:szCs w:val="24"/>
        </w:rPr>
        <w:t>Explore why.</w:t>
      </w:r>
    </w:p>
    <w:p w:rsidR="00C26745" w:rsidRPr="00C90AC9" w:rsidRDefault="00C26745" w:rsidP="00CA6E35">
      <w:pPr>
        <w:pStyle w:val="ListParagraph"/>
        <w:numPr>
          <w:ilvl w:val="0"/>
          <w:numId w:val="29"/>
        </w:numPr>
        <w:spacing w:after="200" w:line="240" w:lineRule="auto"/>
        <w:jc w:val="left"/>
        <w:rPr>
          <w:rFonts w:ascii="Times New Roman" w:hAnsi="Times New Roman" w:cs="Times New Roman"/>
          <w:szCs w:val="24"/>
        </w:rPr>
      </w:pPr>
      <w:r w:rsidRPr="00C90AC9">
        <w:rPr>
          <w:rFonts w:ascii="Times New Roman" w:hAnsi="Times New Roman" w:cs="Times New Roman"/>
          <w:szCs w:val="24"/>
        </w:rPr>
        <w:t>Different country difference? Explore why?</w:t>
      </w:r>
    </w:p>
    <w:p w:rsidR="00C26745" w:rsidRPr="00C90AC9" w:rsidRDefault="00C26745" w:rsidP="00CA6E35">
      <w:pPr>
        <w:pStyle w:val="ListParagraph"/>
        <w:numPr>
          <w:ilvl w:val="0"/>
          <w:numId w:val="29"/>
        </w:numPr>
        <w:spacing w:after="200" w:line="240" w:lineRule="auto"/>
        <w:jc w:val="left"/>
        <w:rPr>
          <w:rFonts w:ascii="Times New Roman" w:hAnsi="Times New Roman" w:cs="Times New Roman"/>
          <w:szCs w:val="24"/>
        </w:rPr>
      </w:pPr>
      <w:r w:rsidRPr="00C90AC9">
        <w:rPr>
          <w:rFonts w:ascii="Times New Roman" w:hAnsi="Times New Roman" w:cs="Times New Roman"/>
          <w:szCs w:val="24"/>
        </w:rPr>
        <w:t>Has anyone noticed a change in energy habits recently? Explore why if any.</w:t>
      </w:r>
    </w:p>
    <w:p w:rsidR="00C26745" w:rsidRPr="00C90AC9" w:rsidRDefault="00C26745" w:rsidP="00CA6E35">
      <w:pPr>
        <w:pStyle w:val="ListParagraph"/>
        <w:numPr>
          <w:ilvl w:val="0"/>
          <w:numId w:val="29"/>
        </w:numPr>
        <w:spacing w:after="200" w:line="240" w:lineRule="auto"/>
        <w:jc w:val="left"/>
        <w:rPr>
          <w:rFonts w:ascii="Times New Roman" w:hAnsi="Times New Roman" w:cs="Times New Roman"/>
          <w:szCs w:val="24"/>
        </w:rPr>
      </w:pPr>
      <w:r w:rsidRPr="00C90AC9">
        <w:rPr>
          <w:rFonts w:ascii="Times New Roman" w:hAnsi="Times New Roman" w:cs="Times New Roman"/>
          <w:szCs w:val="24"/>
        </w:rPr>
        <w:t xml:space="preserve">Are you aware of how much energy you use in the home? </w:t>
      </w:r>
    </w:p>
    <w:p w:rsidR="00C26745" w:rsidRPr="00C90AC9" w:rsidRDefault="00C26745" w:rsidP="00CA6E35">
      <w:pPr>
        <w:pStyle w:val="ListParagraph"/>
        <w:numPr>
          <w:ilvl w:val="0"/>
          <w:numId w:val="29"/>
        </w:numPr>
        <w:spacing w:after="200" w:line="240" w:lineRule="auto"/>
        <w:jc w:val="left"/>
        <w:rPr>
          <w:rFonts w:ascii="Times New Roman" w:hAnsi="Times New Roman" w:cs="Times New Roman"/>
          <w:szCs w:val="24"/>
        </w:rPr>
      </w:pPr>
      <w:r w:rsidRPr="00C90AC9">
        <w:rPr>
          <w:rFonts w:ascii="Times New Roman" w:hAnsi="Times New Roman" w:cs="Times New Roman"/>
          <w:szCs w:val="24"/>
        </w:rPr>
        <w:t>Does energy use in the home concern anyone? What concerns are there if any?</w:t>
      </w:r>
    </w:p>
    <w:p w:rsidR="00C26745" w:rsidRPr="00C90AC9" w:rsidRDefault="00C26745" w:rsidP="00C26745">
      <w:pPr>
        <w:rPr>
          <w:rFonts w:cs="Times New Roman"/>
        </w:rPr>
      </w:pPr>
      <w:r w:rsidRPr="00C90AC9">
        <w:rPr>
          <w:rFonts w:cs="Times New Roman"/>
          <w:u w:val="single"/>
        </w:rPr>
        <w:t xml:space="preserve">Section Two- Energy use discussion </w:t>
      </w:r>
      <w:r w:rsidRPr="00C90AC9">
        <w:rPr>
          <w:rFonts w:cs="Times New Roman"/>
          <w:color w:val="FF0000"/>
          <w:u w:val="single"/>
        </w:rPr>
        <w:t>(10)</w:t>
      </w:r>
    </w:p>
    <w:p w:rsidR="00C26745" w:rsidRPr="00C90AC9" w:rsidRDefault="00C26745" w:rsidP="00C26745">
      <w:pPr>
        <w:rPr>
          <w:rFonts w:cs="Times New Roman"/>
        </w:rPr>
      </w:pPr>
      <w:r w:rsidRPr="00C90AC9">
        <w:rPr>
          <w:rFonts w:cs="Times New Roman"/>
        </w:rPr>
        <w:t xml:space="preserve">I’d like to start this second section by talking about energy use in the home. </w:t>
      </w:r>
    </w:p>
    <w:p w:rsidR="00C26745" w:rsidRPr="00C90AC9" w:rsidRDefault="00C26745" w:rsidP="00CA6E35">
      <w:pPr>
        <w:pStyle w:val="ListParagraph"/>
        <w:numPr>
          <w:ilvl w:val="0"/>
          <w:numId w:val="32"/>
        </w:numPr>
        <w:spacing w:after="200"/>
        <w:jc w:val="left"/>
        <w:rPr>
          <w:rFonts w:ascii="Times New Roman" w:hAnsi="Times New Roman" w:cs="Times New Roman"/>
        </w:rPr>
      </w:pPr>
      <w:r w:rsidRPr="00C90AC9">
        <w:rPr>
          <w:rFonts w:ascii="Times New Roman" w:hAnsi="Times New Roman" w:cs="Times New Roman"/>
        </w:rPr>
        <w:t>Does anyone here record how much energy they use in the home?</w:t>
      </w:r>
    </w:p>
    <w:p w:rsidR="00C26745" w:rsidRPr="00C90AC9" w:rsidRDefault="0048060D" w:rsidP="00CA6E35">
      <w:pPr>
        <w:pStyle w:val="ListParagraph"/>
        <w:numPr>
          <w:ilvl w:val="0"/>
          <w:numId w:val="32"/>
        </w:numPr>
        <w:spacing w:after="200"/>
        <w:jc w:val="left"/>
        <w:rPr>
          <w:rFonts w:ascii="Times New Roman" w:hAnsi="Times New Roman" w:cs="Times New Roman"/>
        </w:rPr>
      </w:pPr>
      <w:r w:rsidRPr="00C90AC9">
        <w:rPr>
          <w:rFonts w:ascii="Times New Roman" w:hAnsi="Times New Roman" w:cs="Times New Roman"/>
        </w:rPr>
        <w:t>How?</w:t>
      </w:r>
    </w:p>
    <w:p w:rsidR="00C26745" w:rsidRPr="00C90AC9" w:rsidRDefault="00C26745" w:rsidP="00CA6E35">
      <w:pPr>
        <w:pStyle w:val="ListParagraph"/>
        <w:numPr>
          <w:ilvl w:val="0"/>
          <w:numId w:val="32"/>
        </w:numPr>
        <w:spacing w:after="200"/>
        <w:jc w:val="left"/>
        <w:rPr>
          <w:rFonts w:ascii="Times New Roman" w:hAnsi="Times New Roman" w:cs="Times New Roman"/>
        </w:rPr>
      </w:pPr>
      <w:r w:rsidRPr="00C90AC9">
        <w:rPr>
          <w:rFonts w:ascii="Times New Roman" w:hAnsi="Times New Roman" w:cs="Times New Roman"/>
        </w:rPr>
        <w:t>Is this an accurate method way t</w:t>
      </w:r>
      <w:r w:rsidR="0048060D" w:rsidRPr="00C90AC9">
        <w:rPr>
          <w:rFonts w:ascii="Times New Roman" w:hAnsi="Times New Roman" w:cs="Times New Roman"/>
        </w:rPr>
        <w:t>o record energy use in the home</w:t>
      </w:r>
    </w:p>
    <w:p w:rsidR="00C26745" w:rsidRPr="00C90AC9" w:rsidRDefault="00C26745" w:rsidP="00CA6E35">
      <w:pPr>
        <w:pStyle w:val="ListParagraph"/>
        <w:numPr>
          <w:ilvl w:val="0"/>
          <w:numId w:val="32"/>
        </w:numPr>
        <w:spacing w:after="200"/>
        <w:jc w:val="left"/>
        <w:rPr>
          <w:rFonts w:ascii="Times New Roman" w:hAnsi="Times New Roman" w:cs="Times New Roman"/>
        </w:rPr>
      </w:pPr>
      <w:r w:rsidRPr="00C90AC9">
        <w:rPr>
          <w:rFonts w:ascii="Times New Roman" w:hAnsi="Times New Roman" w:cs="Times New Roman"/>
        </w:rPr>
        <w:t>Does accuracy matter?</w:t>
      </w:r>
    </w:p>
    <w:p w:rsidR="00C26745" w:rsidRPr="00C90AC9" w:rsidRDefault="00C26745" w:rsidP="00CA6E35">
      <w:pPr>
        <w:pStyle w:val="ListParagraph"/>
        <w:numPr>
          <w:ilvl w:val="0"/>
          <w:numId w:val="32"/>
        </w:numPr>
        <w:spacing w:after="200"/>
        <w:jc w:val="left"/>
        <w:rPr>
          <w:rFonts w:ascii="Times New Roman" w:hAnsi="Times New Roman" w:cs="Times New Roman"/>
        </w:rPr>
      </w:pPr>
      <w:r w:rsidRPr="00C90AC9">
        <w:rPr>
          <w:rFonts w:ascii="Times New Roman" w:hAnsi="Times New Roman" w:cs="Times New Roman"/>
        </w:rPr>
        <w:t xml:space="preserve">What does matter to people if they </w:t>
      </w:r>
      <w:r w:rsidR="0048060D" w:rsidRPr="00C90AC9">
        <w:rPr>
          <w:rFonts w:ascii="Times New Roman" w:hAnsi="Times New Roman" w:cs="Times New Roman"/>
        </w:rPr>
        <w:t>are recording their energy use?</w:t>
      </w:r>
    </w:p>
    <w:p w:rsidR="00C26745" w:rsidRPr="00C90AC9" w:rsidRDefault="00C26745" w:rsidP="00CA6E35">
      <w:pPr>
        <w:pStyle w:val="ListParagraph"/>
        <w:numPr>
          <w:ilvl w:val="0"/>
          <w:numId w:val="32"/>
        </w:numPr>
        <w:spacing w:after="200"/>
        <w:jc w:val="left"/>
        <w:rPr>
          <w:rFonts w:ascii="Times New Roman" w:hAnsi="Times New Roman" w:cs="Times New Roman"/>
        </w:rPr>
      </w:pPr>
      <w:r w:rsidRPr="00C90AC9">
        <w:rPr>
          <w:rFonts w:ascii="Times New Roman" w:hAnsi="Times New Roman" w:cs="Times New Roman"/>
        </w:rPr>
        <w:t>Energy prices what do they think?</w:t>
      </w:r>
    </w:p>
    <w:p w:rsidR="00C26745" w:rsidRPr="00C90AC9" w:rsidRDefault="00C26745" w:rsidP="00CA6E35">
      <w:pPr>
        <w:pStyle w:val="ListParagraph"/>
        <w:numPr>
          <w:ilvl w:val="0"/>
          <w:numId w:val="32"/>
        </w:numPr>
        <w:spacing w:after="200"/>
        <w:jc w:val="left"/>
        <w:rPr>
          <w:rFonts w:ascii="Times New Roman" w:hAnsi="Times New Roman" w:cs="Times New Roman"/>
        </w:rPr>
      </w:pPr>
      <w:r w:rsidRPr="00C90AC9">
        <w:rPr>
          <w:rFonts w:ascii="Times New Roman" w:hAnsi="Times New Roman" w:cs="Times New Roman"/>
        </w:rPr>
        <w:t xml:space="preserve">Has anyone changed their behaviour </w:t>
      </w:r>
      <w:r w:rsidR="0048060D" w:rsidRPr="00C90AC9">
        <w:rPr>
          <w:rFonts w:ascii="Times New Roman" w:hAnsi="Times New Roman" w:cs="Times New Roman"/>
        </w:rPr>
        <w:t>because of prices? Explore how.</w:t>
      </w:r>
    </w:p>
    <w:p w:rsidR="00C26745" w:rsidRPr="00C90AC9" w:rsidRDefault="00C26745" w:rsidP="00CA6E35">
      <w:pPr>
        <w:pStyle w:val="ListParagraph"/>
        <w:numPr>
          <w:ilvl w:val="0"/>
          <w:numId w:val="32"/>
        </w:numPr>
        <w:spacing w:after="200"/>
        <w:jc w:val="left"/>
        <w:rPr>
          <w:rFonts w:ascii="Times New Roman" w:hAnsi="Times New Roman" w:cs="Times New Roman"/>
        </w:rPr>
      </w:pPr>
      <w:r w:rsidRPr="00C90AC9">
        <w:rPr>
          <w:rFonts w:ascii="Times New Roman" w:hAnsi="Times New Roman" w:cs="Times New Roman"/>
        </w:rPr>
        <w:t>Is there anything else that has made someone change the amount/way they use energy in the home?</w:t>
      </w:r>
    </w:p>
    <w:p w:rsidR="0048060D" w:rsidRPr="00C90AC9" w:rsidRDefault="0048060D" w:rsidP="00C26745">
      <w:pPr>
        <w:pStyle w:val="ListParagraph"/>
        <w:rPr>
          <w:rFonts w:ascii="Times New Roman" w:hAnsi="Times New Roman" w:cs="Times New Roman"/>
        </w:rPr>
      </w:pPr>
    </w:p>
    <w:p w:rsidR="0048060D" w:rsidRPr="00C90AC9" w:rsidRDefault="0048060D" w:rsidP="00C26745">
      <w:pPr>
        <w:pStyle w:val="ListParagraph"/>
        <w:rPr>
          <w:rFonts w:ascii="Times New Roman" w:hAnsi="Times New Roman" w:cs="Times New Roman"/>
        </w:rPr>
      </w:pPr>
    </w:p>
    <w:p w:rsidR="00C26745" w:rsidRPr="00C90AC9" w:rsidRDefault="00C26745" w:rsidP="00C26745">
      <w:pPr>
        <w:rPr>
          <w:rFonts w:cs="Times New Roman"/>
          <w:u w:val="single"/>
        </w:rPr>
      </w:pPr>
      <w:r w:rsidRPr="00C90AC9">
        <w:rPr>
          <w:rFonts w:cs="Times New Roman"/>
          <w:u w:val="single"/>
        </w:rPr>
        <w:t xml:space="preserve">Section Three- </w:t>
      </w:r>
      <w:r w:rsidR="00DA54A0" w:rsidRPr="00C90AC9">
        <w:rPr>
          <w:rFonts w:cs="Times New Roman"/>
          <w:u w:val="single"/>
        </w:rPr>
        <w:t>D</w:t>
      </w:r>
      <w:r w:rsidRPr="00C90AC9">
        <w:rPr>
          <w:rFonts w:cs="Times New Roman"/>
          <w:u w:val="single"/>
        </w:rPr>
        <w:t xml:space="preserve">isplaying energy use </w:t>
      </w:r>
      <w:r w:rsidRPr="00C90AC9">
        <w:rPr>
          <w:rFonts w:cs="Times New Roman"/>
          <w:color w:val="FF0000"/>
          <w:u w:val="single"/>
        </w:rPr>
        <w:t>(10)</w:t>
      </w:r>
    </w:p>
    <w:p w:rsidR="00C26745" w:rsidRPr="00C90AC9" w:rsidRDefault="00C26745" w:rsidP="00C26745">
      <w:pPr>
        <w:rPr>
          <w:rFonts w:cs="Times New Roman"/>
        </w:rPr>
      </w:pPr>
      <w:r w:rsidRPr="00C90AC9">
        <w:rPr>
          <w:rFonts w:cs="Times New Roman"/>
        </w:rPr>
        <w:t>In this section I’d like to discuss how people find out about how much energy they use in the home.</w:t>
      </w:r>
    </w:p>
    <w:p w:rsidR="00C26745" w:rsidRPr="00C90AC9" w:rsidRDefault="00C26745" w:rsidP="00CA6E35">
      <w:pPr>
        <w:pStyle w:val="ListParagraph"/>
        <w:numPr>
          <w:ilvl w:val="0"/>
          <w:numId w:val="33"/>
        </w:numPr>
        <w:spacing w:after="200"/>
        <w:jc w:val="left"/>
        <w:rPr>
          <w:rFonts w:ascii="Times New Roman" w:hAnsi="Times New Roman" w:cs="Times New Roman"/>
        </w:rPr>
      </w:pPr>
      <w:r w:rsidRPr="00C90AC9">
        <w:rPr>
          <w:rFonts w:ascii="Times New Roman" w:hAnsi="Times New Roman" w:cs="Times New Roman"/>
        </w:rPr>
        <w:t>We talked about how we might monitor energy use in the home. What do people think of these different methods?</w:t>
      </w:r>
    </w:p>
    <w:p w:rsidR="00C26745" w:rsidRPr="00C90AC9" w:rsidRDefault="00C26745" w:rsidP="00CA6E35">
      <w:pPr>
        <w:pStyle w:val="ListParagraph"/>
        <w:numPr>
          <w:ilvl w:val="0"/>
          <w:numId w:val="33"/>
        </w:numPr>
        <w:spacing w:after="200"/>
        <w:jc w:val="left"/>
        <w:rPr>
          <w:rFonts w:ascii="Times New Roman" w:hAnsi="Times New Roman" w:cs="Times New Roman"/>
        </w:rPr>
      </w:pPr>
      <w:r w:rsidRPr="00C90AC9">
        <w:rPr>
          <w:rFonts w:ascii="Times New Roman" w:hAnsi="Times New Roman" w:cs="Times New Roman"/>
        </w:rPr>
        <w:t>Are these good ways to be shown energy use?</w:t>
      </w:r>
    </w:p>
    <w:p w:rsidR="00C26745" w:rsidRPr="00C90AC9" w:rsidRDefault="00C26745" w:rsidP="00CA6E35">
      <w:pPr>
        <w:pStyle w:val="ListParagraph"/>
        <w:numPr>
          <w:ilvl w:val="0"/>
          <w:numId w:val="33"/>
        </w:numPr>
        <w:spacing w:after="200"/>
        <w:jc w:val="left"/>
        <w:rPr>
          <w:rFonts w:ascii="Times New Roman" w:hAnsi="Times New Roman" w:cs="Times New Roman"/>
        </w:rPr>
      </w:pPr>
      <w:r w:rsidRPr="00C90AC9">
        <w:rPr>
          <w:rFonts w:ascii="Times New Roman" w:hAnsi="Times New Roman" w:cs="Times New Roman"/>
        </w:rPr>
        <w:t>Are there any bad elements to energy use being shown in this way?</w:t>
      </w:r>
    </w:p>
    <w:p w:rsidR="00C26745" w:rsidRPr="00C90AC9" w:rsidRDefault="0048060D" w:rsidP="00CA6E35">
      <w:pPr>
        <w:pStyle w:val="ListParagraph"/>
        <w:numPr>
          <w:ilvl w:val="0"/>
          <w:numId w:val="33"/>
        </w:numPr>
        <w:spacing w:after="200"/>
        <w:jc w:val="left"/>
        <w:rPr>
          <w:rFonts w:ascii="Times New Roman" w:hAnsi="Times New Roman" w:cs="Times New Roman"/>
        </w:rPr>
      </w:pPr>
      <w:r w:rsidRPr="00C90AC9">
        <w:rPr>
          <w:rFonts w:ascii="Times New Roman" w:hAnsi="Times New Roman" w:cs="Times New Roman"/>
        </w:rPr>
        <w:lastRenderedPageBreak/>
        <w:t>How would you like to be told?</w:t>
      </w:r>
    </w:p>
    <w:p w:rsidR="00C26745" w:rsidRPr="00C90AC9" w:rsidRDefault="00C26745" w:rsidP="00CA6E35">
      <w:pPr>
        <w:pStyle w:val="ListParagraph"/>
        <w:numPr>
          <w:ilvl w:val="0"/>
          <w:numId w:val="33"/>
        </w:numPr>
        <w:spacing w:after="200"/>
        <w:jc w:val="left"/>
        <w:rPr>
          <w:rFonts w:ascii="Times New Roman" w:hAnsi="Times New Roman" w:cs="Times New Roman"/>
        </w:rPr>
      </w:pPr>
      <w:r w:rsidRPr="00C90AC9">
        <w:rPr>
          <w:rFonts w:ascii="Times New Roman" w:hAnsi="Times New Roman" w:cs="Times New Roman"/>
        </w:rPr>
        <w:t>How often would you want to be told this information?</w:t>
      </w:r>
    </w:p>
    <w:p w:rsidR="00C26745" w:rsidRPr="00C90AC9" w:rsidRDefault="00C26745" w:rsidP="00CA6E35">
      <w:pPr>
        <w:pStyle w:val="ListParagraph"/>
        <w:numPr>
          <w:ilvl w:val="0"/>
          <w:numId w:val="33"/>
        </w:numPr>
        <w:spacing w:after="200"/>
        <w:jc w:val="left"/>
        <w:rPr>
          <w:rFonts w:ascii="Times New Roman" w:hAnsi="Times New Roman" w:cs="Times New Roman"/>
        </w:rPr>
      </w:pPr>
      <w:r w:rsidRPr="00C90AC9">
        <w:rPr>
          <w:rFonts w:ascii="Times New Roman" w:hAnsi="Times New Roman" w:cs="Times New Roman"/>
        </w:rPr>
        <w:t>Explain energy panel. Imagine you worked for an energy company designing a new panel to tell people their energy use. Ask to draw their ideal. What they would include.</w:t>
      </w:r>
    </w:p>
    <w:p w:rsidR="00C26745" w:rsidRPr="00C90AC9" w:rsidRDefault="00C26745" w:rsidP="00CA6E35">
      <w:pPr>
        <w:pStyle w:val="ListParagraph"/>
        <w:numPr>
          <w:ilvl w:val="0"/>
          <w:numId w:val="33"/>
        </w:numPr>
        <w:spacing w:after="200"/>
        <w:jc w:val="left"/>
        <w:rPr>
          <w:rFonts w:ascii="Times New Roman" w:hAnsi="Times New Roman" w:cs="Times New Roman"/>
        </w:rPr>
      </w:pPr>
      <w:r w:rsidRPr="00C90AC9">
        <w:rPr>
          <w:rFonts w:ascii="Times New Roman" w:hAnsi="Times New Roman" w:cs="Times New Roman"/>
        </w:rPr>
        <w:t xml:space="preserve">Why </w:t>
      </w:r>
      <w:r w:rsidR="0048060D" w:rsidRPr="00C90AC9">
        <w:rPr>
          <w:rFonts w:ascii="Times New Roman" w:hAnsi="Times New Roman" w:cs="Times New Roman"/>
        </w:rPr>
        <w:t>people have drawn what they did</w:t>
      </w:r>
    </w:p>
    <w:p w:rsidR="00C26745" w:rsidRPr="00C90AC9" w:rsidRDefault="00C26745" w:rsidP="00C26745">
      <w:pPr>
        <w:rPr>
          <w:rFonts w:cs="Times New Roman"/>
        </w:rPr>
      </w:pPr>
    </w:p>
    <w:p w:rsidR="00C26745" w:rsidRPr="00C90AC9" w:rsidRDefault="00C26745" w:rsidP="00C26745">
      <w:pPr>
        <w:rPr>
          <w:rFonts w:cs="Times New Roman"/>
          <w:u w:val="single"/>
        </w:rPr>
      </w:pPr>
      <w:r w:rsidRPr="00C90AC9">
        <w:rPr>
          <w:rFonts w:cs="Times New Roman"/>
          <w:u w:val="single"/>
        </w:rPr>
        <w:t xml:space="preserve">Section Four-National/Global Issues </w:t>
      </w:r>
      <w:r w:rsidRPr="00C90AC9">
        <w:rPr>
          <w:rFonts w:cs="Times New Roman"/>
          <w:color w:val="FF0000"/>
          <w:u w:val="single"/>
        </w:rPr>
        <w:t>(10)</w:t>
      </w:r>
    </w:p>
    <w:p w:rsidR="00C26745" w:rsidRPr="00C90AC9" w:rsidRDefault="00C26745" w:rsidP="00C26745">
      <w:pPr>
        <w:rPr>
          <w:rFonts w:cs="Times New Roman"/>
        </w:rPr>
      </w:pPr>
      <w:r w:rsidRPr="00C90AC9">
        <w:rPr>
          <w:rFonts w:cs="Times New Roman"/>
        </w:rPr>
        <w:t>In this section I would like to find out more about what you think of some national and global issues.</w:t>
      </w:r>
    </w:p>
    <w:p w:rsidR="00C26745" w:rsidRPr="00C90AC9" w:rsidRDefault="00C26745" w:rsidP="00CA6E35">
      <w:pPr>
        <w:pStyle w:val="ListParagraph"/>
        <w:numPr>
          <w:ilvl w:val="0"/>
          <w:numId w:val="30"/>
        </w:numPr>
        <w:spacing w:after="200"/>
        <w:jc w:val="left"/>
        <w:rPr>
          <w:rFonts w:ascii="Times New Roman" w:hAnsi="Times New Roman" w:cs="Times New Roman"/>
        </w:rPr>
      </w:pPr>
      <w:r w:rsidRPr="00C90AC9">
        <w:rPr>
          <w:rFonts w:ascii="Times New Roman" w:hAnsi="Times New Roman" w:cs="Times New Roman"/>
        </w:rPr>
        <w:t>Does anyone here believe in global warming?</w:t>
      </w:r>
    </w:p>
    <w:p w:rsidR="00C26745" w:rsidRPr="00C90AC9" w:rsidRDefault="00C26745" w:rsidP="00CA6E35">
      <w:pPr>
        <w:pStyle w:val="ListParagraph"/>
        <w:numPr>
          <w:ilvl w:val="0"/>
          <w:numId w:val="30"/>
        </w:numPr>
        <w:spacing w:after="200"/>
        <w:jc w:val="left"/>
        <w:rPr>
          <w:rFonts w:ascii="Times New Roman" w:hAnsi="Times New Roman" w:cs="Times New Roman"/>
        </w:rPr>
      </w:pPr>
      <w:r w:rsidRPr="00C90AC9">
        <w:rPr>
          <w:rFonts w:ascii="Times New Roman" w:hAnsi="Times New Roman" w:cs="Times New Roman"/>
        </w:rPr>
        <w:t>Can anyone explain why they believe/not believe in GW?</w:t>
      </w:r>
    </w:p>
    <w:p w:rsidR="00C26745" w:rsidRPr="00C90AC9" w:rsidRDefault="00C26745" w:rsidP="00CA6E35">
      <w:pPr>
        <w:pStyle w:val="ListParagraph"/>
        <w:numPr>
          <w:ilvl w:val="0"/>
          <w:numId w:val="30"/>
        </w:numPr>
        <w:spacing w:after="200"/>
        <w:jc w:val="left"/>
        <w:rPr>
          <w:rFonts w:ascii="Times New Roman" w:hAnsi="Times New Roman" w:cs="Times New Roman"/>
        </w:rPr>
      </w:pPr>
      <w:r w:rsidRPr="00C90AC9">
        <w:rPr>
          <w:rFonts w:ascii="Times New Roman" w:hAnsi="Times New Roman" w:cs="Times New Roman"/>
        </w:rPr>
        <w:t>Is GW important?</w:t>
      </w:r>
    </w:p>
    <w:p w:rsidR="00C26745" w:rsidRPr="00C90AC9" w:rsidRDefault="00C26745" w:rsidP="00CA6E35">
      <w:pPr>
        <w:pStyle w:val="ListParagraph"/>
        <w:numPr>
          <w:ilvl w:val="0"/>
          <w:numId w:val="30"/>
        </w:numPr>
        <w:spacing w:after="200"/>
        <w:jc w:val="left"/>
        <w:rPr>
          <w:rFonts w:ascii="Times New Roman" w:hAnsi="Times New Roman" w:cs="Times New Roman"/>
        </w:rPr>
      </w:pPr>
      <w:r w:rsidRPr="00C90AC9">
        <w:rPr>
          <w:rFonts w:ascii="Times New Roman" w:hAnsi="Times New Roman" w:cs="Times New Roman"/>
        </w:rPr>
        <w:t>Do people think GW is because of humans?</w:t>
      </w:r>
    </w:p>
    <w:p w:rsidR="00C26745" w:rsidRPr="00C90AC9" w:rsidRDefault="00C26745" w:rsidP="00CA6E35">
      <w:pPr>
        <w:pStyle w:val="ListParagraph"/>
        <w:numPr>
          <w:ilvl w:val="0"/>
          <w:numId w:val="30"/>
        </w:numPr>
        <w:spacing w:after="200"/>
        <w:jc w:val="left"/>
        <w:rPr>
          <w:rFonts w:ascii="Times New Roman" w:hAnsi="Times New Roman" w:cs="Times New Roman"/>
        </w:rPr>
      </w:pPr>
      <w:r w:rsidRPr="00C90AC9">
        <w:rPr>
          <w:rFonts w:ascii="Times New Roman" w:hAnsi="Times New Roman" w:cs="Times New Roman"/>
        </w:rPr>
        <w:t>Does anyone know what this government’s stance is on GW?</w:t>
      </w:r>
    </w:p>
    <w:p w:rsidR="00C26745" w:rsidRPr="00C90AC9" w:rsidRDefault="00C26745" w:rsidP="00CA6E35">
      <w:pPr>
        <w:pStyle w:val="ListParagraph"/>
        <w:numPr>
          <w:ilvl w:val="0"/>
          <w:numId w:val="30"/>
        </w:numPr>
        <w:spacing w:after="200"/>
        <w:jc w:val="left"/>
        <w:rPr>
          <w:rFonts w:ascii="Times New Roman" w:hAnsi="Times New Roman" w:cs="Times New Roman"/>
        </w:rPr>
      </w:pPr>
      <w:r w:rsidRPr="00C90AC9">
        <w:rPr>
          <w:rFonts w:ascii="Times New Roman" w:hAnsi="Times New Roman" w:cs="Times New Roman"/>
        </w:rPr>
        <w:t>What do people think of this government’s stance on GW?</w:t>
      </w:r>
    </w:p>
    <w:p w:rsidR="00C26745" w:rsidRPr="00C90AC9" w:rsidRDefault="00C26745" w:rsidP="00CA6E35">
      <w:pPr>
        <w:pStyle w:val="ListParagraph"/>
        <w:numPr>
          <w:ilvl w:val="0"/>
          <w:numId w:val="30"/>
        </w:numPr>
        <w:spacing w:after="200"/>
        <w:jc w:val="left"/>
        <w:rPr>
          <w:rFonts w:ascii="Times New Roman" w:hAnsi="Times New Roman" w:cs="Times New Roman"/>
        </w:rPr>
      </w:pPr>
      <w:r w:rsidRPr="00C90AC9">
        <w:rPr>
          <w:rFonts w:ascii="Times New Roman" w:hAnsi="Times New Roman" w:cs="Times New Roman"/>
        </w:rPr>
        <w:t>Would they want</w:t>
      </w:r>
      <w:r w:rsidR="0048060D" w:rsidRPr="00C90AC9">
        <w:rPr>
          <w:rFonts w:ascii="Times New Roman" w:hAnsi="Times New Roman" w:cs="Times New Roman"/>
        </w:rPr>
        <w:t xml:space="preserve"> things to be done differently?</w:t>
      </w:r>
    </w:p>
    <w:p w:rsidR="00C26745" w:rsidRPr="00C90AC9" w:rsidRDefault="00C26745" w:rsidP="00CA6E35">
      <w:pPr>
        <w:pStyle w:val="ListParagraph"/>
        <w:numPr>
          <w:ilvl w:val="0"/>
          <w:numId w:val="30"/>
        </w:numPr>
        <w:spacing w:after="200"/>
        <w:jc w:val="left"/>
        <w:rPr>
          <w:rFonts w:ascii="Times New Roman" w:hAnsi="Times New Roman" w:cs="Times New Roman"/>
        </w:rPr>
      </w:pPr>
      <w:r w:rsidRPr="00C90AC9">
        <w:rPr>
          <w:rFonts w:ascii="Times New Roman" w:hAnsi="Times New Roman" w:cs="Times New Roman"/>
        </w:rPr>
        <w:t>Who has more responsibility, individuals or countries?</w:t>
      </w:r>
    </w:p>
    <w:p w:rsidR="00C26745" w:rsidRPr="00C90AC9" w:rsidRDefault="00C26745" w:rsidP="00CA6E35">
      <w:pPr>
        <w:pStyle w:val="ListParagraph"/>
        <w:numPr>
          <w:ilvl w:val="0"/>
          <w:numId w:val="30"/>
        </w:numPr>
        <w:spacing w:after="200"/>
        <w:jc w:val="left"/>
        <w:rPr>
          <w:rFonts w:ascii="Times New Roman" w:hAnsi="Times New Roman" w:cs="Times New Roman"/>
        </w:rPr>
      </w:pPr>
      <w:r w:rsidRPr="00C90AC9">
        <w:rPr>
          <w:rFonts w:ascii="Times New Roman" w:hAnsi="Times New Roman" w:cs="Times New Roman"/>
        </w:rPr>
        <w:t>Are we more or less responsible than other countries? Explore why.</w:t>
      </w:r>
    </w:p>
    <w:p w:rsidR="00C26745" w:rsidRPr="00C90AC9" w:rsidRDefault="00C26745" w:rsidP="00CA6E35">
      <w:pPr>
        <w:pStyle w:val="ListParagraph"/>
        <w:numPr>
          <w:ilvl w:val="0"/>
          <w:numId w:val="30"/>
        </w:numPr>
        <w:spacing w:after="200"/>
        <w:jc w:val="left"/>
        <w:rPr>
          <w:rFonts w:ascii="Times New Roman" w:hAnsi="Times New Roman" w:cs="Times New Roman"/>
        </w:rPr>
      </w:pPr>
      <w:r w:rsidRPr="00C90AC9">
        <w:rPr>
          <w:rFonts w:ascii="Times New Roman" w:hAnsi="Times New Roman" w:cs="Times New Roman"/>
        </w:rPr>
        <w:t>Should governments help individuals reduce their energy use? Explore why.</w:t>
      </w:r>
    </w:p>
    <w:p w:rsidR="00C26745" w:rsidRPr="00C90AC9" w:rsidRDefault="00C26745" w:rsidP="00CA6E35">
      <w:pPr>
        <w:pStyle w:val="ListParagraph"/>
        <w:numPr>
          <w:ilvl w:val="0"/>
          <w:numId w:val="30"/>
        </w:numPr>
        <w:spacing w:after="200"/>
        <w:jc w:val="left"/>
        <w:rPr>
          <w:rFonts w:ascii="Times New Roman" w:hAnsi="Times New Roman" w:cs="Times New Roman"/>
        </w:rPr>
      </w:pPr>
      <w:r w:rsidRPr="00C90AC9">
        <w:rPr>
          <w:rFonts w:ascii="Times New Roman" w:hAnsi="Times New Roman" w:cs="Times New Roman"/>
        </w:rPr>
        <w:t>How can governments help people reduce their energy use?</w:t>
      </w:r>
    </w:p>
    <w:p w:rsidR="00C26745" w:rsidRPr="00C90AC9" w:rsidRDefault="00C26745" w:rsidP="00CA6E35">
      <w:pPr>
        <w:pStyle w:val="ListParagraph"/>
        <w:numPr>
          <w:ilvl w:val="0"/>
          <w:numId w:val="30"/>
        </w:numPr>
        <w:spacing w:after="200"/>
        <w:jc w:val="left"/>
        <w:rPr>
          <w:rFonts w:ascii="Times New Roman" w:hAnsi="Times New Roman" w:cs="Times New Roman"/>
        </w:rPr>
      </w:pPr>
      <w:r w:rsidRPr="00C90AC9">
        <w:rPr>
          <w:rFonts w:ascii="Times New Roman" w:hAnsi="Times New Roman" w:cs="Times New Roman"/>
        </w:rPr>
        <w:t>How mu</w:t>
      </w:r>
      <w:r w:rsidR="0048060D" w:rsidRPr="00C90AC9">
        <w:rPr>
          <w:rFonts w:ascii="Times New Roman" w:hAnsi="Times New Roman" w:cs="Times New Roman"/>
        </w:rPr>
        <w:t xml:space="preserve">ch involvement from </w:t>
      </w:r>
      <w:proofErr w:type="spellStart"/>
      <w:proofErr w:type="gramStart"/>
      <w:r w:rsidR="0048060D" w:rsidRPr="00C90AC9">
        <w:rPr>
          <w:rFonts w:ascii="Times New Roman" w:hAnsi="Times New Roman" w:cs="Times New Roman"/>
        </w:rPr>
        <w:t>governments?a</w:t>
      </w:r>
      <w:proofErr w:type="spellEnd"/>
      <w:proofErr w:type="gramEnd"/>
    </w:p>
    <w:p w:rsidR="00C26745" w:rsidRPr="00C90AC9" w:rsidRDefault="00C26745" w:rsidP="00C26745">
      <w:pPr>
        <w:rPr>
          <w:rFonts w:cs="Times New Roman"/>
        </w:rPr>
      </w:pPr>
    </w:p>
    <w:p w:rsidR="00C26745" w:rsidRPr="00C90AC9" w:rsidRDefault="00C26745" w:rsidP="00C26745">
      <w:pPr>
        <w:rPr>
          <w:rFonts w:cs="Times New Roman"/>
          <w:u w:val="single"/>
        </w:rPr>
      </w:pPr>
      <w:r w:rsidRPr="00C90AC9">
        <w:rPr>
          <w:rFonts w:cs="Times New Roman"/>
          <w:u w:val="single"/>
        </w:rPr>
        <w:t xml:space="preserve">Section Five- Solar Thermal Panels </w:t>
      </w:r>
      <w:r w:rsidRPr="00C90AC9">
        <w:rPr>
          <w:rFonts w:cs="Times New Roman"/>
          <w:color w:val="FF0000"/>
          <w:u w:val="single"/>
        </w:rPr>
        <w:t>(20)</w:t>
      </w:r>
    </w:p>
    <w:p w:rsidR="00C26745" w:rsidRPr="00C90AC9" w:rsidRDefault="00C26745" w:rsidP="00C26745">
      <w:pPr>
        <w:rPr>
          <w:rFonts w:cs="Times New Roman"/>
        </w:rPr>
      </w:pPr>
      <w:r w:rsidRPr="00C90AC9">
        <w:rPr>
          <w:rFonts w:cs="Times New Roman"/>
        </w:rPr>
        <w:t>In this final section I want to learn more about what you think about solar thermal panels.</w:t>
      </w:r>
    </w:p>
    <w:p w:rsidR="00C26745" w:rsidRPr="00C90AC9" w:rsidRDefault="00C26745" w:rsidP="00CA6E35">
      <w:pPr>
        <w:pStyle w:val="ListParagraph"/>
        <w:numPr>
          <w:ilvl w:val="0"/>
          <w:numId w:val="31"/>
        </w:numPr>
        <w:spacing w:after="200"/>
        <w:rPr>
          <w:rFonts w:ascii="Times New Roman" w:hAnsi="Times New Roman" w:cs="Times New Roman"/>
        </w:rPr>
      </w:pPr>
      <w:r w:rsidRPr="00C90AC9">
        <w:rPr>
          <w:rFonts w:ascii="Times New Roman" w:hAnsi="Times New Roman" w:cs="Times New Roman"/>
        </w:rPr>
        <w:t>What sort of panels do people have? Flat panels or evacuated tubes?</w:t>
      </w:r>
    </w:p>
    <w:p w:rsidR="00C26745" w:rsidRPr="00C90AC9" w:rsidRDefault="00C26745" w:rsidP="00C26745">
      <w:pPr>
        <w:pStyle w:val="ListParagraph"/>
        <w:rPr>
          <w:rFonts w:ascii="Times New Roman" w:hAnsi="Times New Roman" w:cs="Times New Roman"/>
        </w:rPr>
      </w:pPr>
      <w:r w:rsidRPr="00C90AC9">
        <w:rPr>
          <w:rFonts w:ascii="Times New Roman" w:hAnsi="Times New Roman" w:cs="Times New Roman"/>
        </w:rPr>
        <w:tab/>
        <w:t>What were y</w:t>
      </w:r>
      <w:r w:rsidR="0048060D" w:rsidRPr="00C90AC9">
        <w:rPr>
          <w:rFonts w:ascii="Times New Roman" w:hAnsi="Times New Roman" w:cs="Times New Roman"/>
        </w:rPr>
        <w:t>our reasons for choosing these?</w:t>
      </w:r>
    </w:p>
    <w:p w:rsidR="00C26745" w:rsidRPr="00C90AC9" w:rsidRDefault="00C26745" w:rsidP="00CA6E35">
      <w:pPr>
        <w:pStyle w:val="ListParagraph"/>
        <w:numPr>
          <w:ilvl w:val="0"/>
          <w:numId w:val="31"/>
        </w:numPr>
        <w:spacing w:after="200"/>
        <w:rPr>
          <w:rFonts w:ascii="Times New Roman" w:hAnsi="Times New Roman" w:cs="Times New Roman"/>
        </w:rPr>
      </w:pPr>
      <w:r w:rsidRPr="00C90AC9">
        <w:rPr>
          <w:rFonts w:ascii="Times New Roman" w:hAnsi="Times New Roman" w:cs="Times New Roman"/>
        </w:rPr>
        <w:t>How long have people had the panels?</w:t>
      </w:r>
    </w:p>
    <w:p w:rsidR="0048060D" w:rsidRPr="00C90AC9" w:rsidRDefault="00C26745" w:rsidP="00CA6E35">
      <w:pPr>
        <w:pStyle w:val="ListParagraph"/>
        <w:numPr>
          <w:ilvl w:val="0"/>
          <w:numId w:val="31"/>
        </w:numPr>
        <w:spacing w:after="200"/>
        <w:rPr>
          <w:rFonts w:ascii="Times New Roman" w:hAnsi="Times New Roman" w:cs="Times New Roman"/>
        </w:rPr>
      </w:pPr>
      <w:r w:rsidRPr="00C90AC9">
        <w:rPr>
          <w:rFonts w:ascii="Times New Roman" w:hAnsi="Times New Roman" w:cs="Times New Roman"/>
        </w:rPr>
        <w:t xml:space="preserve">What do people think of using water used in the home that is heated by the sun? </w:t>
      </w:r>
    </w:p>
    <w:p w:rsidR="00C26745" w:rsidRPr="00C90AC9" w:rsidRDefault="00C26745" w:rsidP="00CA6E35">
      <w:pPr>
        <w:pStyle w:val="ListParagraph"/>
        <w:numPr>
          <w:ilvl w:val="0"/>
          <w:numId w:val="31"/>
        </w:numPr>
        <w:spacing w:after="200"/>
        <w:rPr>
          <w:rFonts w:ascii="Times New Roman" w:hAnsi="Times New Roman" w:cs="Times New Roman"/>
        </w:rPr>
      </w:pPr>
      <w:r w:rsidRPr="00C90AC9">
        <w:rPr>
          <w:rFonts w:ascii="Times New Roman" w:hAnsi="Times New Roman" w:cs="Times New Roman"/>
        </w:rPr>
        <w:t>Did people have any concerns before buying the panels?</w:t>
      </w:r>
    </w:p>
    <w:p w:rsidR="00C26745" w:rsidRPr="00C90AC9" w:rsidRDefault="00C26745" w:rsidP="00CA6E35">
      <w:pPr>
        <w:pStyle w:val="ListParagraph"/>
        <w:numPr>
          <w:ilvl w:val="0"/>
          <w:numId w:val="31"/>
        </w:numPr>
        <w:spacing w:after="200"/>
        <w:rPr>
          <w:rFonts w:ascii="Times New Roman" w:hAnsi="Times New Roman" w:cs="Times New Roman"/>
        </w:rPr>
      </w:pPr>
      <w:r w:rsidRPr="00C90AC9">
        <w:rPr>
          <w:rFonts w:ascii="Times New Roman" w:hAnsi="Times New Roman" w:cs="Times New Roman"/>
        </w:rPr>
        <w:t>Has anyone noticed their hot water usage change since having solar thermal panels?</w:t>
      </w:r>
    </w:p>
    <w:p w:rsidR="00C26745" w:rsidRPr="00C90AC9" w:rsidRDefault="00C26745" w:rsidP="00CA6E35">
      <w:pPr>
        <w:pStyle w:val="ListParagraph"/>
        <w:numPr>
          <w:ilvl w:val="0"/>
          <w:numId w:val="31"/>
        </w:numPr>
        <w:spacing w:after="200"/>
        <w:rPr>
          <w:rFonts w:ascii="Times New Roman" w:hAnsi="Times New Roman" w:cs="Times New Roman"/>
        </w:rPr>
      </w:pPr>
      <w:r w:rsidRPr="00C90AC9">
        <w:rPr>
          <w:rFonts w:ascii="Times New Roman" w:hAnsi="Times New Roman" w:cs="Times New Roman"/>
        </w:rPr>
        <w:t xml:space="preserve">Do you know how much hot water your panels produce? </w:t>
      </w:r>
    </w:p>
    <w:p w:rsidR="00C26745" w:rsidRPr="00C90AC9" w:rsidRDefault="00C26745" w:rsidP="00C26745">
      <w:pPr>
        <w:pStyle w:val="ListParagraph"/>
        <w:rPr>
          <w:rFonts w:ascii="Times New Roman" w:hAnsi="Times New Roman" w:cs="Times New Roman"/>
        </w:rPr>
      </w:pPr>
      <w:r w:rsidRPr="00C90AC9">
        <w:rPr>
          <w:rFonts w:ascii="Times New Roman" w:hAnsi="Times New Roman" w:cs="Times New Roman"/>
        </w:rPr>
        <w:tab/>
        <w:t>How? Is it important? Are you happy with this amount? Did you kn</w:t>
      </w:r>
      <w:r w:rsidR="0048060D" w:rsidRPr="00C90AC9">
        <w:rPr>
          <w:rFonts w:ascii="Times New Roman" w:hAnsi="Times New Roman" w:cs="Times New Roman"/>
        </w:rPr>
        <w:t>ow this before you bought them?</w:t>
      </w:r>
    </w:p>
    <w:p w:rsidR="00C26745" w:rsidRPr="00C90AC9" w:rsidRDefault="00C26745" w:rsidP="00CA6E35">
      <w:pPr>
        <w:pStyle w:val="ListParagraph"/>
        <w:numPr>
          <w:ilvl w:val="0"/>
          <w:numId w:val="31"/>
        </w:numPr>
        <w:spacing w:after="200"/>
        <w:rPr>
          <w:rFonts w:ascii="Times New Roman" w:hAnsi="Times New Roman" w:cs="Times New Roman"/>
        </w:rPr>
      </w:pPr>
      <w:r w:rsidRPr="00C90AC9">
        <w:rPr>
          <w:rFonts w:ascii="Times New Roman" w:hAnsi="Times New Roman" w:cs="Times New Roman"/>
        </w:rPr>
        <w:t>What do people think of their appearance? (PICTURES)</w:t>
      </w:r>
    </w:p>
    <w:p w:rsidR="00C26745" w:rsidRPr="00C90AC9" w:rsidRDefault="00C26745" w:rsidP="00CA6E35">
      <w:pPr>
        <w:pStyle w:val="ListParagraph"/>
        <w:numPr>
          <w:ilvl w:val="0"/>
          <w:numId w:val="31"/>
        </w:numPr>
        <w:spacing w:after="200"/>
        <w:rPr>
          <w:rFonts w:ascii="Times New Roman" w:hAnsi="Times New Roman" w:cs="Times New Roman"/>
        </w:rPr>
      </w:pPr>
      <w:r w:rsidRPr="00C90AC9">
        <w:rPr>
          <w:rFonts w:ascii="Times New Roman" w:hAnsi="Times New Roman" w:cs="Times New Roman"/>
        </w:rPr>
        <w:t>Was appearance an import factor when deciding whether to invest in them? Why?</w:t>
      </w:r>
    </w:p>
    <w:p w:rsidR="00C26745" w:rsidRPr="00C90AC9" w:rsidRDefault="00C26745" w:rsidP="00CA6E35">
      <w:pPr>
        <w:pStyle w:val="ListParagraph"/>
        <w:numPr>
          <w:ilvl w:val="0"/>
          <w:numId w:val="31"/>
        </w:numPr>
        <w:spacing w:after="200"/>
        <w:rPr>
          <w:rFonts w:ascii="Times New Roman" w:hAnsi="Times New Roman" w:cs="Times New Roman"/>
        </w:rPr>
      </w:pPr>
      <w:r w:rsidRPr="00C90AC9">
        <w:rPr>
          <w:rFonts w:ascii="Times New Roman" w:hAnsi="Times New Roman" w:cs="Times New Roman"/>
        </w:rPr>
        <w:t xml:space="preserve">Have there been any benefits from having solar thermal panels? </w:t>
      </w:r>
    </w:p>
    <w:p w:rsidR="00C26745" w:rsidRPr="00C90AC9" w:rsidRDefault="00C26745" w:rsidP="00CA6E35">
      <w:pPr>
        <w:pStyle w:val="ListParagraph"/>
        <w:numPr>
          <w:ilvl w:val="0"/>
          <w:numId w:val="31"/>
        </w:numPr>
        <w:spacing w:after="200"/>
        <w:rPr>
          <w:rFonts w:ascii="Times New Roman" w:hAnsi="Times New Roman" w:cs="Times New Roman"/>
        </w:rPr>
      </w:pPr>
      <w:r w:rsidRPr="00C90AC9">
        <w:rPr>
          <w:rFonts w:ascii="Times New Roman" w:hAnsi="Times New Roman" w:cs="Times New Roman"/>
        </w:rPr>
        <w:t xml:space="preserve">Have there been any drawbacks from having solar thermal panels? </w:t>
      </w:r>
    </w:p>
    <w:p w:rsidR="00C26745" w:rsidRPr="00C90AC9" w:rsidRDefault="00C26745" w:rsidP="00CA6E35">
      <w:pPr>
        <w:pStyle w:val="ListParagraph"/>
        <w:numPr>
          <w:ilvl w:val="0"/>
          <w:numId w:val="31"/>
        </w:numPr>
        <w:spacing w:after="200"/>
        <w:rPr>
          <w:rFonts w:ascii="Times New Roman" w:hAnsi="Times New Roman" w:cs="Times New Roman"/>
        </w:rPr>
      </w:pPr>
      <w:r w:rsidRPr="00C90AC9">
        <w:rPr>
          <w:rFonts w:ascii="Times New Roman" w:hAnsi="Times New Roman" w:cs="Times New Roman"/>
        </w:rPr>
        <w:t>Do people buy new technologies often?</w:t>
      </w:r>
      <w:r w:rsidRPr="00C90AC9">
        <w:rPr>
          <w:rFonts w:ascii="Times New Roman" w:hAnsi="Times New Roman" w:cs="Times New Roman"/>
        </w:rPr>
        <w:tab/>
      </w:r>
      <w:r w:rsidRPr="00C90AC9">
        <w:rPr>
          <w:rFonts w:ascii="Times New Roman" w:hAnsi="Times New Roman" w:cs="Times New Roman"/>
        </w:rPr>
        <w:tab/>
        <w:t>Why?</w:t>
      </w:r>
    </w:p>
    <w:p w:rsidR="00C26745" w:rsidRPr="00C90AC9" w:rsidRDefault="00C26745" w:rsidP="00CA6E35">
      <w:pPr>
        <w:pStyle w:val="ListParagraph"/>
        <w:numPr>
          <w:ilvl w:val="0"/>
          <w:numId w:val="31"/>
        </w:numPr>
        <w:spacing w:after="200"/>
        <w:rPr>
          <w:rFonts w:ascii="Times New Roman" w:hAnsi="Times New Roman" w:cs="Times New Roman"/>
        </w:rPr>
      </w:pPr>
      <w:r w:rsidRPr="00C90AC9">
        <w:rPr>
          <w:rFonts w:ascii="Times New Roman" w:hAnsi="Times New Roman" w:cs="Times New Roman"/>
        </w:rPr>
        <w:t>Does anyone have any other energy saving/producing devices on their homes?</w:t>
      </w:r>
      <w:r w:rsidRPr="00C90AC9">
        <w:rPr>
          <w:rFonts w:ascii="Times New Roman" w:hAnsi="Times New Roman" w:cs="Times New Roman"/>
        </w:rPr>
        <w:tab/>
        <w:t>Were you influenced by your experience of STP?</w:t>
      </w:r>
    </w:p>
    <w:p w:rsidR="00C26745" w:rsidRPr="00C90AC9" w:rsidRDefault="00C26745" w:rsidP="00CA6E35">
      <w:pPr>
        <w:pStyle w:val="ListParagraph"/>
        <w:numPr>
          <w:ilvl w:val="0"/>
          <w:numId w:val="31"/>
        </w:numPr>
        <w:spacing w:after="200"/>
        <w:rPr>
          <w:rFonts w:ascii="Times New Roman" w:hAnsi="Times New Roman" w:cs="Times New Roman"/>
        </w:rPr>
      </w:pPr>
      <w:r w:rsidRPr="00C90AC9">
        <w:rPr>
          <w:rFonts w:ascii="Times New Roman" w:hAnsi="Times New Roman" w:cs="Times New Roman"/>
        </w:rPr>
        <w:lastRenderedPageBreak/>
        <w:t>Have you encouraged/discourage</w:t>
      </w:r>
      <w:r w:rsidR="0048060D" w:rsidRPr="00C90AC9">
        <w:rPr>
          <w:rFonts w:ascii="Times New Roman" w:hAnsi="Times New Roman" w:cs="Times New Roman"/>
        </w:rPr>
        <w:t>d anyone from investing in them</w:t>
      </w:r>
      <w:r w:rsidRPr="00C90AC9">
        <w:rPr>
          <w:rFonts w:ascii="Times New Roman" w:hAnsi="Times New Roman" w:cs="Times New Roman"/>
        </w:rPr>
        <w:tab/>
      </w:r>
      <w:r w:rsidRPr="00C90AC9">
        <w:rPr>
          <w:rFonts w:ascii="Times New Roman" w:hAnsi="Times New Roman" w:cs="Times New Roman"/>
        </w:rPr>
        <w:tab/>
      </w:r>
      <w:r w:rsidRPr="00C90AC9">
        <w:rPr>
          <w:rFonts w:ascii="Times New Roman" w:hAnsi="Times New Roman" w:cs="Times New Roman"/>
        </w:rPr>
        <w:tab/>
      </w:r>
      <w:r w:rsidRPr="00C90AC9">
        <w:rPr>
          <w:rFonts w:ascii="Times New Roman" w:hAnsi="Times New Roman" w:cs="Times New Roman"/>
        </w:rPr>
        <w:tab/>
      </w:r>
      <w:r w:rsidRPr="00C90AC9">
        <w:rPr>
          <w:rFonts w:ascii="Times New Roman" w:hAnsi="Times New Roman" w:cs="Times New Roman"/>
        </w:rPr>
        <w:tab/>
      </w:r>
      <w:r w:rsidRPr="00C90AC9">
        <w:rPr>
          <w:rFonts w:ascii="Times New Roman" w:hAnsi="Times New Roman" w:cs="Times New Roman"/>
        </w:rPr>
        <w:tab/>
      </w:r>
      <w:r w:rsidRPr="00C90AC9">
        <w:rPr>
          <w:rFonts w:ascii="Times New Roman" w:hAnsi="Times New Roman" w:cs="Times New Roman"/>
        </w:rPr>
        <w:tab/>
        <w:t>Who? Why them?</w:t>
      </w:r>
    </w:p>
    <w:p w:rsidR="00C26745" w:rsidRPr="00C90AC9" w:rsidRDefault="00C26745" w:rsidP="00CA6E35">
      <w:pPr>
        <w:pStyle w:val="ListParagraph"/>
        <w:numPr>
          <w:ilvl w:val="0"/>
          <w:numId w:val="31"/>
        </w:numPr>
        <w:spacing w:after="200"/>
        <w:rPr>
          <w:rFonts w:ascii="Times New Roman" w:hAnsi="Times New Roman" w:cs="Times New Roman"/>
        </w:rPr>
      </w:pPr>
      <w:r w:rsidRPr="00C90AC9">
        <w:rPr>
          <w:rFonts w:ascii="Times New Roman" w:hAnsi="Times New Roman" w:cs="Times New Roman"/>
        </w:rPr>
        <w:t>How would people describe their overall experience of their STP’s?</w:t>
      </w:r>
    </w:p>
    <w:p w:rsidR="00C26745" w:rsidRPr="00C90AC9" w:rsidRDefault="00C26745" w:rsidP="00C26745">
      <w:pPr>
        <w:pStyle w:val="ListParagraph"/>
        <w:rPr>
          <w:rFonts w:ascii="Times New Roman" w:hAnsi="Times New Roman" w:cs="Times New Roman"/>
        </w:rPr>
      </w:pPr>
    </w:p>
    <w:p w:rsidR="00C26745" w:rsidRPr="00C90AC9" w:rsidRDefault="00C26745" w:rsidP="00853BAF">
      <w:pPr>
        <w:pStyle w:val="Heading1"/>
        <w:numPr>
          <w:ilvl w:val="0"/>
          <w:numId w:val="0"/>
        </w:numPr>
        <w:rPr>
          <w:sz w:val="24"/>
          <w:lang w:eastAsia="en-US"/>
        </w:rPr>
      </w:pPr>
    </w:p>
    <w:p w:rsidR="00C26745" w:rsidRPr="00C90AC9" w:rsidRDefault="00C26745" w:rsidP="00853BAF">
      <w:pPr>
        <w:pStyle w:val="Heading1"/>
        <w:numPr>
          <w:ilvl w:val="0"/>
          <w:numId w:val="0"/>
        </w:numPr>
        <w:rPr>
          <w:sz w:val="24"/>
          <w:lang w:eastAsia="en-US"/>
        </w:rPr>
      </w:pPr>
    </w:p>
    <w:p w:rsidR="00C26745" w:rsidRPr="00C90AC9" w:rsidRDefault="00C26745" w:rsidP="00853BAF">
      <w:pPr>
        <w:pStyle w:val="Heading1"/>
        <w:numPr>
          <w:ilvl w:val="0"/>
          <w:numId w:val="0"/>
        </w:numPr>
        <w:rPr>
          <w:sz w:val="24"/>
          <w:lang w:eastAsia="en-US"/>
        </w:rPr>
      </w:pPr>
    </w:p>
    <w:p w:rsidR="00C26745" w:rsidRPr="00C90AC9" w:rsidRDefault="00C26745" w:rsidP="00853BAF">
      <w:pPr>
        <w:pStyle w:val="Heading1"/>
        <w:numPr>
          <w:ilvl w:val="0"/>
          <w:numId w:val="0"/>
        </w:numPr>
        <w:rPr>
          <w:sz w:val="24"/>
          <w:lang w:eastAsia="en-US"/>
        </w:rPr>
      </w:pPr>
    </w:p>
    <w:p w:rsidR="00C26745" w:rsidRPr="00C90AC9" w:rsidRDefault="00C26745" w:rsidP="00853BAF">
      <w:pPr>
        <w:pStyle w:val="Heading1"/>
        <w:numPr>
          <w:ilvl w:val="0"/>
          <w:numId w:val="0"/>
        </w:numPr>
        <w:rPr>
          <w:sz w:val="24"/>
          <w:lang w:eastAsia="en-US"/>
        </w:rPr>
      </w:pPr>
    </w:p>
    <w:p w:rsidR="008972F9" w:rsidRPr="00C90AC9" w:rsidRDefault="00C26745" w:rsidP="00853BAF">
      <w:pPr>
        <w:pStyle w:val="Heading1"/>
        <w:numPr>
          <w:ilvl w:val="0"/>
          <w:numId w:val="0"/>
        </w:numPr>
        <w:rPr>
          <w:lang w:eastAsia="en-US"/>
        </w:rPr>
      </w:pPr>
      <w:r w:rsidRPr="00C90AC9">
        <w:rPr>
          <w:sz w:val="24"/>
          <w:lang w:eastAsia="en-US"/>
        </w:rPr>
        <w:t>Table 7.</w:t>
      </w:r>
      <w:r w:rsidR="008976EB">
        <w:rPr>
          <w:sz w:val="24"/>
          <w:lang w:eastAsia="en-US"/>
        </w:rPr>
        <w:t>9.</w:t>
      </w:r>
      <w:r w:rsidR="008972F9" w:rsidRPr="00C90AC9">
        <w:rPr>
          <w:sz w:val="24"/>
          <w:lang w:eastAsia="en-US"/>
        </w:rPr>
        <w:t xml:space="preserve"> </w:t>
      </w:r>
      <w:r w:rsidR="00DE6C1C" w:rsidRPr="00C90AC9">
        <w:rPr>
          <w:sz w:val="24"/>
          <w:lang w:eastAsia="en-US"/>
        </w:rPr>
        <w:t>The i</w:t>
      </w:r>
      <w:r w:rsidR="008972F9" w:rsidRPr="00C90AC9">
        <w:rPr>
          <w:sz w:val="24"/>
          <w:lang w:eastAsia="en-US"/>
        </w:rPr>
        <w:t>nter-coder reliability for the 2012 focus groups</w:t>
      </w:r>
      <w:bookmarkEnd w:id="69"/>
    </w:p>
    <w:tbl>
      <w:tblPr>
        <w:tblW w:w="881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2155"/>
        <w:gridCol w:w="1842"/>
        <w:gridCol w:w="2127"/>
      </w:tblGrid>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Nodes</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Number of times first researcher used the code</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Number of times second researcher used the code</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Inter-coder reliability per code</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Accuracy of meter readings</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5</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3</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 xml:space="preserve">Appearance of </w:t>
            </w:r>
            <w:r w:rsidR="006518C0" w:rsidRPr="00C90AC9">
              <w:rPr>
                <w:rFonts w:eastAsia="Times New Roman" w:cs="Times New Roman"/>
              </w:rPr>
              <w:t>STPs</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11</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13</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Change in energy behaviour</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28</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43</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Climate change</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30</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30</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Companies</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29</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28</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28/29 = 0.96</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Company relationships</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14</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14</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 xml:space="preserve">Concern and drawbacks with </w:t>
            </w:r>
            <w:r w:rsidR="006518C0" w:rsidRPr="00C90AC9">
              <w:rPr>
                <w:rFonts w:eastAsia="Times New Roman" w:cs="Times New Roman"/>
              </w:rPr>
              <w:t>STPs</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13</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12</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12/13 = 0.92</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Displaying energy use</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3</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3</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Energy prices</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5</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5</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Energy use in the home</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50</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49</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49/50 = .98</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Expectations with technology</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10</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10</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Government policy or issues</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47</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48</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47/48 = .97</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High energy room in home</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10</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10</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Influencing others</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30</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30</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lastRenderedPageBreak/>
              <w:t>Interest in energy, energy issues</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26</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26</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Irritation with devices</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3</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3</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Knowledge of technology</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15</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16</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15/16 = .93</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Known poor energy efficiency</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12</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12</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Money issues</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84</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84</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Other STP benefits</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11</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11</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Overseas energy use in the home</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23</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23</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 xml:space="preserve">Performance of </w:t>
            </w:r>
            <w:r w:rsidR="006518C0" w:rsidRPr="00C90AC9">
              <w:rPr>
                <w:rFonts w:eastAsia="Times New Roman" w:cs="Times New Roman"/>
              </w:rPr>
              <w:t>STPs</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6</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6</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Recording energy usage</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27</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27</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Responsibility</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9</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9</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Sources of information</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36</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36</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Third-party opinions</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25</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25</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r w:rsidR="008972F9" w:rsidRPr="00C90AC9" w:rsidTr="00040467">
        <w:trPr>
          <w:trHeight w:val="315"/>
        </w:trPr>
        <w:tc>
          <w:tcPr>
            <w:tcW w:w="2694"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Trust issues</w:t>
            </w:r>
          </w:p>
        </w:tc>
        <w:tc>
          <w:tcPr>
            <w:tcW w:w="2155"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21</w:t>
            </w:r>
          </w:p>
        </w:tc>
        <w:tc>
          <w:tcPr>
            <w:tcW w:w="1842"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21</w:t>
            </w:r>
          </w:p>
        </w:tc>
        <w:tc>
          <w:tcPr>
            <w:tcW w:w="2127" w:type="dxa"/>
            <w:shd w:val="clear" w:color="auto" w:fill="auto"/>
            <w:noWrap/>
            <w:vAlign w:val="center"/>
            <w:hideMark/>
          </w:tcPr>
          <w:p w:rsidR="008972F9" w:rsidRPr="00C90AC9" w:rsidRDefault="008972F9" w:rsidP="006D39FA">
            <w:pPr>
              <w:jc w:val="center"/>
              <w:rPr>
                <w:rFonts w:eastAsia="Times New Roman" w:cs="Times New Roman"/>
              </w:rPr>
            </w:pPr>
            <w:r w:rsidRPr="00C90AC9">
              <w:rPr>
                <w:rFonts w:eastAsia="Times New Roman" w:cs="Times New Roman"/>
              </w:rPr>
              <w:t>1</w:t>
            </w:r>
          </w:p>
        </w:tc>
      </w:tr>
    </w:tbl>
    <w:p w:rsidR="006D39FA" w:rsidRPr="00C90AC9" w:rsidRDefault="006D39FA" w:rsidP="00B06779">
      <w:pPr>
        <w:pStyle w:val="Caption"/>
        <w:rPr>
          <w:rFonts w:eastAsiaTheme="majorEastAsia" w:cs="Times New Roman"/>
          <w:lang w:eastAsia="en-US"/>
        </w:rPr>
      </w:pPr>
    </w:p>
    <w:p w:rsidR="008972F9" w:rsidRPr="00C90AC9" w:rsidRDefault="00C26745" w:rsidP="00B06779">
      <w:pPr>
        <w:pStyle w:val="Caption"/>
        <w:rPr>
          <w:rFonts w:eastAsiaTheme="majorEastAsia" w:cs="Times New Roman"/>
          <w:b w:val="0"/>
          <w:color w:val="auto"/>
          <w:sz w:val="24"/>
          <w:lang w:eastAsia="en-US"/>
        </w:rPr>
      </w:pPr>
      <w:r w:rsidRPr="00C90AC9">
        <w:rPr>
          <w:rFonts w:eastAsiaTheme="majorEastAsia" w:cs="Times New Roman"/>
          <w:b w:val="0"/>
          <w:color w:val="auto"/>
          <w:sz w:val="24"/>
          <w:lang w:eastAsia="en-US"/>
        </w:rPr>
        <w:t>Table 7.</w:t>
      </w:r>
      <w:r w:rsidR="008976EB">
        <w:rPr>
          <w:rFonts w:eastAsiaTheme="majorEastAsia" w:cs="Times New Roman"/>
          <w:b w:val="0"/>
          <w:color w:val="auto"/>
          <w:sz w:val="24"/>
          <w:lang w:eastAsia="en-US"/>
        </w:rPr>
        <w:t>10</w:t>
      </w:r>
      <w:r w:rsidR="008972F9" w:rsidRPr="00C90AC9">
        <w:rPr>
          <w:rFonts w:eastAsiaTheme="majorEastAsia" w:cs="Times New Roman"/>
          <w:b w:val="0"/>
          <w:color w:val="auto"/>
          <w:sz w:val="24"/>
          <w:lang w:eastAsia="en-US"/>
        </w:rPr>
        <w:t>. The inter-coder reliability for the 2015 focus groups</w:t>
      </w:r>
    </w:p>
    <w:tbl>
      <w:tblPr>
        <w:tblW w:w="881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2"/>
        <w:gridCol w:w="2098"/>
        <w:gridCol w:w="1842"/>
        <w:gridCol w:w="2155"/>
      </w:tblGrid>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Nodes</w:t>
            </w:r>
          </w:p>
        </w:tc>
        <w:tc>
          <w:tcPr>
            <w:tcW w:w="2098"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 xml:space="preserve">Number of times first researcher used the </w:t>
            </w:r>
            <w:r w:rsidR="00040467" w:rsidRPr="00C90AC9">
              <w:rPr>
                <w:rFonts w:eastAsia="Times New Roman" w:cs="Times New Roman"/>
                <w:szCs w:val="24"/>
              </w:rPr>
              <w:t>n</w:t>
            </w:r>
            <w:r w:rsidRPr="00C90AC9">
              <w:rPr>
                <w:rFonts w:eastAsia="Times New Roman" w:cs="Times New Roman"/>
                <w:szCs w:val="24"/>
              </w:rPr>
              <w:t>ode</w:t>
            </w:r>
          </w:p>
        </w:tc>
        <w:tc>
          <w:tcPr>
            <w:tcW w:w="184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Number of ti</w:t>
            </w:r>
            <w:r w:rsidR="00040467" w:rsidRPr="00C90AC9">
              <w:rPr>
                <w:rFonts w:eastAsia="Times New Roman" w:cs="Times New Roman"/>
                <w:szCs w:val="24"/>
              </w:rPr>
              <w:t>mes second researcher used the n</w:t>
            </w:r>
            <w:r w:rsidRPr="00C90AC9">
              <w:rPr>
                <w:rFonts w:eastAsia="Times New Roman" w:cs="Times New Roman"/>
                <w:szCs w:val="24"/>
              </w:rPr>
              <w:t>ode</w:t>
            </w:r>
          </w:p>
        </w:tc>
        <w:tc>
          <w:tcPr>
            <w:tcW w:w="2155" w:type="dxa"/>
            <w:shd w:val="clear" w:color="auto" w:fill="auto"/>
            <w:noWrap/>
            <w:vAlign w:val="center"/>
            <w:hideMark/>
          </w:tcPr>
          <w:p w:rsidR="008972F9" w:rsidRPr="00C90AC9" w:rsidRDefault="00040467" w:rsidP="003D5761">
            <w:pPr>
              <w:jc w:val="center"/>
              <w:rPr>
                <w:rFonts w:eastAsia="Times New Roman" w:cs="Times New Roman"/>
                <w:szCs w:val="24"/>
              </w:rPr>
            </w:pPr>
            <w:r w:rsidRPr="00C90AC9">
              <w:rPr>
                <w:rFonts w:eastAsia="Times New Roman" w:cs="Times New Roman"/>
                <w:szCs w:val="24"/>
              </w:rPr>
              <w:t>Inter-coder reliability per n</w:t>
            </w:r>
            <w:r w:rsidR="008972F9" w:rsidRPr="00C90AC9">
              <w:rPr>
                <w:rFonts w:eastAsia="Times New Roman" w:cs="Times New Roman"/>
                <w:szCs w:val="24"/>
              </w:rPr>
              <w:t>ode</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Accuracy of meter readings</w:t>
            </w:r>
          </w:p>
        </w:tc>
        <w:tc>
          <w:tcPr>
            <w:tcW w:w="2098"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3</w:t>
            </w:r>
          </w:p>
        </w:tc>
        <w:tc>
          <w:tcPr>
            <w:tcW w:w="184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3</w:t>
            </w:r>
          </w:p>
        </w:tc>
        <w:tc>
          <w:tcPr>
            <w:tcW w:w="2155"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1</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 xml:space="preserve">Appearance of </w:t>
            </w:r>
            <w:r w:rsidR="006518C0" w:rsidRPr="00C90AC9">
              <w:rPr>
                <w:rFonts w:eastAsia="Times New Roman" w:cs="Times New Roman"/>
                <w:szCs w:val="24"/>
              </w:rPr>
              <w:t>STPs</w:t>
            </w:r>
          </w:p>
        </w:tc>
        <w:tc>
          <w:tcPr>
            <w:tcW w:w="2098"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13</w:t>
            </w:r>
          </w:p>
        </w:tc>
        <w:tc>
          <w:tcPr>
            <w:tcW w:w="184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13</w:t>
            </w:r>
          </w:p>
        </w:tc>
        <w:tc>
          <w:tcPr>
            <w:tcW w:w="2155"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1</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Change in energy behaviour</w:t>
            </w:r>
          </w:p>
        </w:tc>
        <w:tc>
          <w:tcPr>
            <w:tcW w:w="2098"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43</w:t>
            </w:r>
          </w:p>
        </w:tc>
        <w:tc>
          <w:tcPr>
            <w:tcW w:w="184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43</w:t>
            </w:r>
          </w:p>
        </w:tc>
        <w:tc>
          <w:tcPr>
            <w:tcW w:w="2155"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1</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Climate change</w:t>
            </w:r>
          </w:p>
        </w:tc>
        <w:tc>
          <w:tcPr>
            <w:tcW w:w="2098"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30</w:t>
            </w:r>
          </w:p>
        </w:tc>
        <w:tc>
          <w:tcPr>
            <w:tcW w:w="184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30</w:t>
            </w:r>
          </w:p>
        </w:tc>
        <w:tc>
          <w:tcPr>
            <w:tcW w:w="2155"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1</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Companies</w:t>
            </w:r>
          </w:p>
        </w:tc>
        <w:tc>
          <w:tcPr>
            <w:tcW w:w="2098"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29</w:t>
            </w:r>
          </w:p>
        </w:tc>
        <w:tc>
          <w:tcPr>
            <w:tcW w:w="184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28</w:t>
            </w:r>
          </w:p>
        </w:tc>
        <w:tc>
          <w:tcPr>
            <w:tcW w:w="2155"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28/29 = 0.96</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Company relationships</w:t>
            </w:r>
          </w:p>
        </w:tc>
        <w:tc>
          <w:tcPr>
            <w:tcW w:w="2098"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14</w:t>
            </w:r>
          </w:p>
        </w:tc>
        <w:tc>
          <w:tcPr>
            <w:tcW w:w="184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14</w:t>
            </w:r>
          </w:p>
        </w:tc>
        <w:tc>
          <w:tcPr>
            <w:tcW w:w="2155"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1</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 xml:space="preserve">Concern and drawbacks with </w:t>
            </w:r>
            <w:r w:rsidR="006518C0" w:rsidRPr="00C90AC9">
              <w:rPr>
                <w:rFonts w:eastAsia="Times New Roman" w:cs="Times New Roman"/>
                <w:szCs w:val="24"/>
              </w:rPr>
              <w:t>STPs</w:t>
            </w:r>
          </w:p>
        </w:tc>
        <w:tc>
          <w:tcPr>
            <w:tcW w:w="2098"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13</w:t>
            </w:r>
          </w:p>
        </w:tc>
        <w:tc>
          <w:tcPr>
            <w:tcW w:w="184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12</w:t>
            </w:r>
          </w:p>
        </w:tc>
        <w:tc>
          <w:tcPr>
            <w:tcW w:w="2155"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12/13 = 0.92</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Displaying energy use</w:t>
            </w:r>
          </w:p>
        </w:tc>
        <w:tc>
          <w:tcPr>
            <w:tcW w:w="2098"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3</w:t>
            </w:r>
          </w:p>
        </w:tc>
        <w:tc>
          <w:tcPr>
            <w:tcW w:w="184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3</w:t>
            </w:r>
          </w:p>
        </w:tc>
        <w:tc>
          <w:tcPr>
            <w:tcW w:w="2155"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1</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lastRenderedPageBreak/>
              <w:t>Energy prices</w:t>
            </w:r>
          </w:p>
        </w:tc>
        <w:tc>
          <w:tcPr>
            <w:tcW w:w="2098"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5</w:t>
            </w:r>
          </w:p>
        </w:tc>
        <w:tc>
          <w:tcPr>
            <w:tcW w:w="184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5</w:t>
            </w:r>
          </w:p>
        </w:tc>
        <w:tc>
          <w:tcPr>
            <w:tcW w:w="2155"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1</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Energy use in the home</w:t>
            </w:r>
          </w:p>
        </w:tc>
        <w:tc>
          <w:tcPr>
            <w:tcW w:w="2098"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50</w:t>
            </w:r>
          </w:p>
        </w:tc>
        <w:tc>
          <w:tcPr>
            <w:tcW w:w="184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49</w:t>
            </w:r>
          </w:p>
        </w:tc>
        <w:tc>
          <w:tcPr>
            <w:tcW w:w="2155"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49/50 = .98</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Expectations with technology</w:t>
            </w:r>
          </w:p>
        </w:tc>
        <w:tc>
          <w:tcPr>
            <w:tcW w:w="2098"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10</w:t>
            </w:r>
          </w:p>
        </w:tc>
        <w:tc>
          <w:tcPr>
            <w:tcW w:w="1842"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10</w:t>
            </w:r>
          </w:p>
        </w:tc>
        <w:tc>
          <w:tcPr>
            <w:tcW w:w="2155" w:type="dxa"/>
            <w:shd w:val="clear" w:color="auto" w:fill="auto"/>
            <w:noWrap/>
            <w:vAlign w:val="center"/>
            <w:hideMark/>
          </w:tcPr>
          <w:p w:rsidR="008972F9" w:rsidRPr="00C90AC9" w:rsidRDefault="008972F9" w:rsidP="003D5761">
            <w:pPr>
              <w:jc w:val="center"/>
              <w:rPr>
                <w:rFonts w:eastAsia="Times New Roman" w:cs="Times New Roman"/>
                <w:szCs w:val="24"/>
              </w:rPr>
            </w:pPr>
            <w:r w:rsidRPr="00C90AC9">
              <w:rPr>
                <w:rFonts w:eastAsia="Times New Roman" w:cs="Times New Roman"/>
                <w:szCs w:val="24"/>
              </w:rPr>
              <w:t>1</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Government policy or issues</w:t>
            </w:r>
          </w:p>
        </w:tc>
        <w:tc>
          <w:tcPr>
            <w:tcW w:w="2098"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47</w:t>
            </w:r>
          </w:p>
        </w:tc>
        <w:tc>
          <w:tcPr>
            <w:tcW w:w="184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48</w:t>
            </w:r>
          </w:p>
        </w:tc>
        <w:tc>
          <w:tcPr>
            <w:tcW w:w="2155"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47/48 = .97</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High energy room in home</w:t>
            </w:r>
          </w:p>
        </w:tc>
        <w:tc>
          <w:tcPr>
            <w:tcW w:w="2098"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10</w:t>
            </w:r>
          </w:p>
        </w:tc>
        <w:tc>
          <w:tcPr>
            <w:tcW w:w="184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10</w:t>
            </w:r>
          </w:p>
        </w:tc>
        <w:tc>
          <w:tcPr>
            <w:tcW w:w="2155"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Influencing others</w:t>
            </w:r>
          </w:p>
        </w:tc>
        <w:tc>
          <w:tcPr>
            <w:tcW w:w="2098"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30</w:t>
            </w:r>
          </w:p>
        </w:tc>
        <w:tc>
          <w:tcPr>
            <w:tcW w:w="184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30</w:t>
            </w:r>
          </w:p>
        </w:tc>
        <w:tc>
          <w:tcPr>
            <w:tcW w:w="2155"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Interest in energy, energy issues</w:t>
            </w:r>
          </w:p>
        </w:tc>
        <w:tc>
          <w:tcPr>
            <w:tcW w:w="2098"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26</w:t>
            </w:r>
          </w:p>
        </w:tc>
        <w:tc>
          <w:tcPr>
            <w:tcW w:w="184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26</w:t>
            </w:r>
          </w:p>
        </w:tc>
        <w:tc>
          <w:tcPr>
            <w:tcW w:w="2155"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Irritation with devices</w:t>
            </w:r>
          </w:p>
        </w:tc>
        <w:tc>
          <w:tcPr>
            <w:tcW w:w="2098"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3</w:t>
            </w:r>
          </w:p>
        </w:tc>
        <w:tc>
          <w:tcPr>
            <w:tcW w:w="184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3</w:t>
            </w:r>
          </w:p>
        </w:tc>
        <w:tc>
          <w:tcPr>
            <w:tcW w:w="2155"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Knowledge of technology</w:t>
            </w:r>
          </w:p>
        </w:tc>
        <w:tc>
          <w:tcPr>
            <w:tcW w:w="2098"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15</w:t>
            </w:r>
          </w:p>
        </w:tc>
        <w:tc>
          <w:tcPr>
            <w:tcW w:w="184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16</w:t>
            </w:r>
          </w:p>
        </w:tc>
        <w:tc>
          <w:tcPr>
            <w:tcW w:w="2155"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15/16 = .93</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Known poor energy efficiency</w:t>
            </w:r>
          </w:p>
        </w:tc>
        <w:tc>
          <w:tcPr>
            <w:tcW w:w="2098"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12</w:t>
            </w:r>
          </w:p>
        </w:tc>
        <w:tc>
          <w:tcPr>
            <w:tcW w:w="184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12</w:t>
            </w:r>
          </w:p>
        </w:tc>
        <w:tc>
          <w:tcPr>
            <w:tcW w:w="2155"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Money issues</w:t>
            </w:r>
          </w:p>
        </w:tc>
        <w:tc>
          <w:tcPr>
            <w:tcW w:w="2098"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84</w:t>
            </w:r>
          </w:p>
        </w:tc>
        <w:tc>
          <w:tcPr>
            <w:tcW w:w="184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84</w:t>
            </w:r>
          </w:p>
        </w:tc>
        <w:tc>
          <w:tcPr>
            <w:tcW w:w="2155"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Other STP benefits</w:t>
            </w:r>
          </w:p>
        </w:tc>
        <w:tc>
          <w:tcPr>
            <w:tcW w:w="2098"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11</w:t>
            </w:r>
          </w:p>
        </w:tc>
        <w:tc>
          <w:tcPr>
            <w:tcW w:w="184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11</w:t>
            </w:r>
          </w:p>
        </w:tc>
        <w:tc>
          <w:tcPr>
            <w:tcW w:w="2155"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w:t>
            </w:r>
          </w:p>
        </w:tc>
      </w:tr>
      <w:tr w:rsidR="008972F9" w:rsidRPr="00C90AC9" w:rsidTr="003D5761">
        <w:trPr>
          <w:trHeight w:val="670"/>
        </w:trPr>
        <w:tc>
          <w:tcPr>
            <w:tcW w:w="272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Overseas energy use in the home</w:t>
            </w:r>
          </w:p>
        </w:tc>
        <w:tc>
          <w:tcPr>
            <w:tcW w:w="2098"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23</w:t>
            </w:r>
          </w:p>
        </w:tc>
        <w:tc>
          <w:tcPr>
            <w:tcW w:w="184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23</w:t>
            </w:r>
          </w:p>
        </w:tc>
        <w:tc>
          <w:tcPr>
            <w:tcW w:w="2155"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 xml:space="preserve">Performance of </w:t>
            </w:r>
            <w:r w:rsidR="006518C0" w:rsidRPr="00C90AC9">
              <w:rPr>
                <w:rFonts w:eastAsia="Times New Roman"/>
                <w:szCs w:val="24"/>
              </w:rPr>
              <w:t>STPs</w:t>
            </w:r>
          </w:p>
        </w:tc>
        <w:tc>
          <w:tcPr>
            <w:tcW w:w="2098"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6</w:t>
            </w:r>
          </w:p>
        </w:tc>
        <w:tc>
          <w:tcPr>
            <w:tcW w:w="184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6</w:t>
            </w:r>
          </w:p>
        </w:tc>
        <w:tc>
          <w:tcPr>
            <w:tcW w:w="2155"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Recording energy usage</w:t>
            </w:r>
          </w:p>
        </w:tc>
        <w:tc>
          <w:tcPr>
            <w:tcW w:w="2098"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27</w:t>
            </w:r>
          </w:p>
        </w:tc>
        <w:tc>
          <w:tcPr>
            <w:tcW w:w="184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27</w:t>
            </w:r>
          </w:p>
        </w:tc>
        <w:tc>
          <w:tcPr>
            <w:tcW w:w="2155"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Responsibility</w:t>
            </w:r>
          </w:p>
        </w:tc>
        <w:tc>
          <w:tcPr>
            <w:tcW w:w="2098"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9</w:t>
            </w:r>
          </w:p>
        </w:tc>
        <w:tc>
          <w:tcPr>
            <w:tcW w:w="184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9</w:t>
            </w:r>
          </w:p>
        </w:tc>
        <w:tc>
          <w:tcPr>
            <w:tcW w:w="2155"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Sources of information</w:t>
            </w:r>
          </w:p>
        </w:tc>
        <w:tc>
          <w:tcPr>
            <w:tcW w:w="2098"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36</w:t>
            </w:r>
          </w:p>
        </w:tc>
        <w:tc>
          <w:tcPr>
            <w:tcW w:w="184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36</w:t>
            </w:r>
          </w:p>
        </w:tc>
        <w:tc>
          <w:tcPr>
            <w:tcW w:w="2155"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Third-party opinions</w:t>
            </w:r>
          </w:p>
        </w:tc>
        <w:tc>
          <w:tcPr>
            <w:tcW w:w="2098"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25</w:t>
            </w:r>
          </w:p>
        </w:tc>
        <w:tc>
          <w:tcPr>
            <w:tcW w:w="184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25</w:t>
            </w:r>
          </w:p>
        </w:tc>
        <w:tc>
          <w:tcPr>
            <w:tcW w:w="2155"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w:t>
            </w:r>
          </w:p>
        </w:tc>
      </w:tr>
      <w:tr w:rsidR="008972F9" w:rsidRPr="00C90AC9" w:rsidTr="003D5761">
        <w:trPr>
          <w:trHeight w:val="315"/>
        </w:trPr>
        <w:tc>
          <w:tcPr>
            <w:tcW w:w="272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Trust issues</w:t>
            </w:r>
          </w:p>
        </w:tc>
        <w:tc>
          <w:tcPr>
            <w:tcW w:w="2098"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21</w:t>
            </w:r>
          </w:p>
        </w:tc>
        <w:tc>
          <w:tcPr>
            <w:tcW w:w="1842"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21</w:t>
            </w:r>
          </w:p>
        </w:tc>
        <w:tc>
          <w:tcPr>
            <w:tcW w:w="2155" w:type="dxa"/>
            <w:shd w:val="clear" w:color="auto" w:fill="auto"/>
            <w:noWrap/>
            <w:vAlign w:val="center"/>
            <w:hideMark/>
          </w:tcPr>
          <w:p w:rsidR="008972F9" w:rsidRPr="00C90AC9" w:rsidRDefault="008972F9" w:rsidP="003D5761">
            <w:pPr>
              <w:jc w:val="center"/>
              <w:rPr>
                <w:rFonts w:eastAsia="Times New Roman"/>
                <w:szCs w:val="24"/>
              </w:rPr>
            </w:pPr>
            <w:r w:rsidRPr="00C90AC9">
              <w:rPr>
                <w:rFonts w:eastAsia="Times New Roman"/>
                <w:szCs w:val="24"/>
              </w:rPr>
              <w:t>1</w:t>
            </w:r>
          </w:p>
        </w:tc>
      </w:tr>
    </w:tbl>
    <w:p w:rsidR="008972F9" w:rsidRPr="00C90AC9" w:rsidRDefault="008972F9" w:rsidP="00B06779">
      <w:pPr>
        <w:rPr>
          <w:rFonts w:eastAsiaTheme="minorHAnsi"/>
          <w:lang w:eastAsia="en-US"/>
        </w:rPr>
      </w:pPr>
    </w:p>
    <w:p w:rsidR="008972F9" w:rsidRPr="00C90AC9" w:rsidRDefault="00853BAF" w:rsidP="00853BAF">
      <w:pPr>
        <w:pStyle w:val="Heading1"/>
        <w:numPr>
          <w:ilvl w:val="0"/>
          <w:numId w:val="0"/>
        </w:numPr>
        <w:rPr>
          <w:rFonts w:eastAsiaTheme="minorHAnsi"/>
          <w:sz w:val="24"/>
          <w:lang w:eastAsia="en-US"/>
        </w:rPr>
      </w:pPr>
      <w:r w:rsidRPr="00C90AC9">
        <w:rPr>
          <w:rFonts w:eastAsiaTheme="minorHAnsi"/>
          <w:sz w:val="24"/>
          <w:lang w:eastAsia="en-US"/>
        </w:rPr>
        <w:t>Table 7.1</w:t>
      </w:r>
      <w:r w:rsidR="00C26745" w:rsidRPr="00C90AC9">
        <w:rPr>
          <w:rFonts w:eastAsiaTheme="minorHAnsi"/>
          <w:sz w:val="24"/>
          <w:lang w:eastAsia="en-US"/>
        </w:rPr>
        <w:t>2</w:t>
      </w:r>
      <w:r w:rsidRPr="00C90AC9">
        <w:rPr>
          <w:rFonts w:eastAsiaTheme="minorHAnsi"/>
          <w:sz w:val="24"/>
          <w:lang w:eastAsia="en-US"/>
        </w:rPr>
        <w:t>.</w:t>
      </w:r>
      <w:r w:rsidR="008972F9" w:rsidRPr="00C90AC9">
        <w:rPr>
          <w:rFonts w:eastAsiaTheme="minorHAnsi"/>
          <w:sz w:val="24"/>
          <w:lang w:eastAsia="en-US"/>
        </w:rPr>
        <w:t xml:space="preserve"> The Declination Angle (δ) for days in the middle of each month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2126"/>
        <w:gridCol w:w="2353"/>
      </w:tblGrid>
      <w:tr w:rsidR="008972F9" w:rsidRPr="00C90AC9" w:rsidTr="008972F9">
        <w:trPr>
          <w:trHeight w:hRule="exact" w:val="803"/>
          <w:jc w:val="center"/>
        </w:trPr>
        <w:tc>
          <w:tcPr>
            <w:tcW w:w="2235" w:type="dxa"/>
            <w:tcBorders>
              <w:top w:val="single" w:sz="4" w:space="0" w:color="auto"/>
              <w:left w:val="single" w:sz="4" w:space="0" w:color="auto"/>
              <w:bottom w:val="doub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Month</w:t>
            </w:r>
          </w:p>
        </w:tc>
        <w:tc>
          <w:tcPr>
            <w:tcW w:w="2126" w:type="dxa"/>
            <w:tcBorders>
              <w:top w:val="single" w:sz="4" w:space="0" w:color="auto"/>
              <w:left w:val="single" w:sz="4" w:space="0" w:color="auto"/>
              <w:bottom w:val="doub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Middle of month day (d)</w:t>
            </w:r>
          </w:p>
        </w:tc>
        <w:tc>
          <w:tcPr>
            <w:tcW w:w="2353" w:type="dxa"/>
            <w:tcBorders>
              <w:top w:val="single" w:sz="4" w:space="0" w:color="auto"/>
              <w:left w:val="single" w:sz="4" w:space="0" w:color="auto"/>
              <w:bottom w:val="doub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Declination Angle (δ)</w:t>
            </w:r>
          </w:p>
        </w:tc>
      </w:tr>
      <w:tr w:rsidR="008972F9" w:rsidRPr="00C90AC9" w:rsidTr="008972F9">
        <w:trPr>
          <w:trHeight w:hRule="exact" w:val="397"/>
          <w:jc w:val="center"/>
        </w:trPr>
        <w:tc>
          <w:tcPr>
            <w:tcW w:w="2235" w:type="dxa"/>
            <w:tcBorders>
              <w:top w:val="doub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January</w:t>
            </w:r>
          </w:p>
        </w:tc>
        <w:tc>
          <w:tcPr>
            <w:tcW w:w="2126" w:type="dxa"/>
            <w:tcBorders>
              <w:top w:val="doub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15</w:t>
            </w:r>
          </w:p>
        </w:tc>
        <w:tc>
          <w:tcPr>
            <w:tcW w:w="2353" w:type="dxa"/>
            <w:tcBorders>
              <w:top w:val="doub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0.841</w:t>
            </w:r>
          </w:p>
        </w:tc>
      </w:tr>
      <w:tr w:rsidR="008972F9" w:rsidRPr="00C90AC9" w:rsidTr="008972F9">
        <w:trPr>
          <w:trHeight w:hRule="exact" w:val="397"/>
          <w:jc w:val="center"/>
        </w:trPr>
        <w:tc>
          <w:tcPr>
            <w:tcW w:w="2235"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February</w:t>
            </w:r>
          </w:p>
        </w:tc>
        <w:tc>
          <w:tcPr>
            <w:tcW w:w="2126"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46</w:t>
            </w:r>
          </w:p>
        </w:tc>
        <w:tc>
          <w:tcPr>
            <w:tcW w:w="2353"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0.037</w:t>
            </w:r>
          </w:p>
        </w:tc>
      </w:tr>
      <w:tr w:rsidR="008972F9" w:rsidRPr="00C90AC9" w:rsidTr="008972F9">
        <w:trPr>
          <w:trHeight w:hRule="exact" w:val="397"/>
          <w:jc w:val="center"/>
        </w:trPr>
        <w:tc>
          <w:tcPr>
            <w:tcW w:w="2235"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March</w:t>
            </w:r>
          </w:p>
        </w:tc>
        <w:tc>
          <w:tcPr>
            <w:tcW w:w="2126"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74</w:t>
            </w:r>
          </w:p>
        </w:tc>
        <w:tc>
          <w:tcPr>
            <w:tcW w:w="2353"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0.611</w:t>
            </w:r>
          </w:p>
        </w:tc>
      </w:tr>
      <w:tr w:rsidR="008972F9" w:rsidRPr="00C90AC9" w:rsidTr="008972F9">
        <w:trPr>
          <w:trHeight w:hRule="exact" w:val="397"/>
          <w:jc w:val="center"/>
        </w:trPr>
        <w:tc>
          <w:tcPr>
            <w:tcW w:w="2235"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April</w:t>
            </w:r>
          </w:p>
        </w:tc>
        <w:tc>
          <w:tcPr>
            <w:tcW w:w="2126"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105</w:t>
            </w:r>
          </w:p>
        </w:tc>
        <w:tc>
          <w:tcPr>
            <w:tcW w:w="2353"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1.156</w:t>
            </w:r>
          </w:p>
        </w:tc>
      </w:tr>
      <w:tr w:rsidR="008972F9" w:rsidRPr="00C90AC9" w:rsidTr="008972F9">
        <w:trPr>
          <w:trHeight w:hRule="exact" w:val="397"/>
          <w:jc w:val="center"/>
        </w:trPr>
        <w:tc>
          <w:tcPr>
            <w:tcW w:w="2235"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May</w:t>
            </w:r>
          </w:p>
        </w:tc>
        <w:tc>
          <w:tcPr>
            <w:tcW w:w="2126"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135</w:t>
            </w:r>
          </w:p>
        </w:tc>
        <w:tc>
          <w:tcPr>
            <w:tcW w:w="2353"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-0.146</w:t>
            </w:r>
          </w:p>
        </w:tc>
      </w:tr>
      <w:tr w:rsidR="008972F9" w:rsidRPr="00C90AC9" w:rsidTr="008972F9">
        <w:trPr>
          <w:trHeight w:hRule="exact" w:val="397"/>
          <w:jc w:val="center"/>
        </w:trPr>
        <w:tc>
          <w:tcPr>
            <w:tcW w:w="2235"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lastRenderedPageBreak/>
              <w:t>June</w:t>
            </w:r>
          </w:p>
        </w:tc>
        <w:tc>
          <w:tcPr>
            <w:tcW w:w="2126"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166</w:t>
            </w:r>
          </w:p>
        </w:tc>
        <w:tc>
          <w:tcPr>
            <w:tcW w:w="2353"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-0.928</w:t>
            </w:r>
          </w:p>
        </w:tc>
      </w:tr>
      <w:tr w:rsidR="008972F9" w:rsidRPr="00C90AC9" w:rsidTr="008972F9">
        <w:trPr>
          <w:trHeight w:hRule="exact" w:val="397"/>
          <w:jc w:val="center"/>
        </w:trPr>
        <w:tc>
          <w:tcPr>
            <w:tcW w:w="2235"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July</w:t>
            </w:r>
          </w:p>
        </w:tc>
        <w:tc>
          <w:tcPr>
            <w:tcW w:w="2126"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196</w:t>
            </w:r>
          </w:p>
        </w:tc>
        <w:tc>
          <w:tcPr>
            <w:tcW w:w="2353"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-0.325</w:t>
            </w:r>
          </w:p>
        </w:tc>
      </w:tr>
      <w:tr w:rsidR="008972F9" w:rsidRPr="00C90AC9" w:rsidTr="008972F9">
        <w:trPr>
          <w:trHeight w:hRule="exact" w:val="397"/>
          <w:jc w:val="center"/>
        </w:trPr>
        <w:tc>
          <w:tcPr>
            <w:tcW w:w="2235"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August</w:t>
            </w:r>
          </w:p>
        </w:tc>
        <w:tc>
          <w:tcPr>
            <w:tcW w:w="2126"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227</w:t>
            </w:r>
          </w:p>
        </w:tc>
        <w:tc>
          <w:tcPr>
            <w:tcW w:w="2353"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0.644</w:t>
            </w:r>
          </w:p>
        </w:tc>
      </w:tr>
      <w:tr w:rsidR="008972F9" w:rsidRPr="00C90AC9" w:rsidTr="008972F9">
        <w:trPr>
          <w:trHeight w:hRule="exact" w:val="397"/>
          <w:jc w:val="center"/>
        </w:trPr>
        <w:tc>
          <w:tcPr>
            <w:tcW w:w="2235"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September</w:t>
            </w:r>
          </w:p>
        </w:tc>
        <w:tc>
          <w:tcPr>
            <w:tcW w:w="2126"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258</w:t>
            </w:r>
          </w:p>
        </w:tc>
        <w:tc>
          <w:tcPr>
            <w:tcW w:w="2353"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1.130</w:t>
            </w:r>
          </w:p>
        </w:tc>
      </w:tr>
      <w:tr w:rsidR="008972F9" w:rsidRPr="00C90AC9" w:rsidTr="008972F9">
        <w:trPr>
          <w:trHeight w:hRule="exact" w:val="397"/>
          <w:jc w:val="center"/>
        </w:trPr>
        <w:tc>
          <w:tcPr>
            <w:tcW w:w="2235"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October</w:t>
            </w:r>
          </w:p>
        </w:tc>
        <w:tc>
          <w:tcPr>
            <w:tcW w:w="2126"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288</w:t>
            </w:r>
          </w:p>
        </w:tc>
        <w:tc>
          <w:tcPr>
            <w:tcW w:w="2353"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-0.039</w:t>
            </w:r>
          </w:p>
        </w:tc>
      </w:tr>
      <w:tr w:rsidR="008972F9" w:rsidRPr="00C90AC9" w:rsidTr="008972F9">
        <w:trPr>
          <w:trHeight w:hRule="exact" w:val="397"/>
          <w:jc w:val="center"/>
        </w:trPr>
        <w:tc>
          <w:tcPr>
            <w:tcW w:w="2235"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November</w:t>
            </w:r>
          </w:p>
        </w:tc>
        <w:tc>
          <w:tcPr>
            <w:tcW w:w="2126"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319</w:t>
            </w:r>
          </w:p>
        </w:tc>
        <w:tc>
          <w:tcPr>
            <w:tcW w:w="2353"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-0.843</w:t>
            </w:r>
          </w:p>
        </w:tc>
      </w:tr>
      <w:tr w:rsidR="008972F9" w:rsidRPr="00C90AC9" w:rsidTr="008972F9">
        <w:trPr>
          <w:trHeight w:hRule="exact" w:val="397"/>
          <w:jc w:val="center"/>
        </w:trPr>
        <w:tc>
          <w:tcPr>
            <w:tcW w:w="2235"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December</w:t>
            </w:r>
          </w:p>
        </w:tc>
        <w:tc>
          <w:tcPr>
            <w:tcW w:w="2126"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349</w:t>
            </w:r>
          </w:p>
        </w:tc>
        <w:tc>
          <w:tcPr>
            <w:tcW w:w="2353" w:type="dxa"/>
            <w:tcBorders>
              <w:top w:val="single" w:sz="4" w:space="0" w:color="auto"/>
              <w:left w:val="single" w:sz="4" w:space="0" w:color="auto"/>
              <w:bottom w:val="single" w:sz="4" w:space="0" w:color="auto"/>
              <w:right w:val="single" w:sz="4" w:space="0" w:color="auto"/>
            </w:tcBorders>
            <w:vAlign w:val="center"/>
            <w:hideMark/>
          </w:tcPr>
          <w:p w:rsidR="008972F9" w:rsidRPr="00C90AC9" w:rsidRDefault="008972F9" w:rsidP="00040467">
            <w:pPr>
              <w:jc w:val="center"/>
              <w:rPr>
                <w:rFonts w:eastAsiaTheme="minorHAnsi"/>
                <w:lang w:eastAsia="en-US"/>
              </w:rPr>
            </w:pPr>
            <w:r w:rsidRPr="00C90AC9">
              <w:rPr>
                <w:rFonts w:eastAsiaTheme="minorHAnsi"/>
                <w:lang w:eastAsia="en-US"/>
              </w:rPr>
              <w:t>-0.431</w:t>
            </w:r>
          </w:p>
        </w:tc>
      </w:tr>
    </w:tbl>
    <w:p w:rsidR="008972F9" w:rsidRPr="00C90AC9" w:rsidRDefault="008972F9" w:rsidP="00B06779">
      <w:pPr>
        <w:rPr>
          <w:rFonts w:eastAsiaTheme="minorHAnsi"/>
          <w:lang w:eastAsia="en-US"/>
        </w:rPr>
      </w:pPr>
    </w:p>
    <w:p w:rsidR="008972F9" w:rsidRPr="00C90AC9" w:rsidRDefault="008972F9" w:rsidP="00B06779">
      <w:pPr>
        <w:rPr>
          <w:rFonts w:eastAsiaTheme="minorHAnsi"/>
          <w:lang w:eastAsia="en-US"/>
        </w:rPr>
      </w:pPr>
    </w:p>
    <w:p w:rsidR="00853BAF" w:rsidRPr="00C90AC9" w:rsidRDefault="00853BAF" w:rsidP="009132EA">
      <w:pPr>
        <w:pStyle w:val="Heading2"/>
        <w:jc w:val="both"/>
        <w:rPr>
          <w:rStyle w:val="SubtleEmphasis"/>
          <w:iCs/>
          <w:sz w:val="24"/>
        </w:rPr>
      </w:pPr>
    </w:p>
    <w:p w:rsidR="00C4457A" w:rsidRPr="00C90AC9" w:rsidRDefault="00C4457A" w:rsidP="009132EA">
      <w:pPr>
        <w:pStyle w:val="Heading2"/>
        <w:jc w:val="both"/>
        <w:rPr>
          <w:rStyle w:val="SubtleEmphasis"/>
          <w:iCs/>
          <w:sz w:val="24"/>
        </w:rPr>
      </w:pPr>
      <w:r w:rsidRPr="00C90AC9">
        <w:rPr>
          <w:rStyle w:val="SubtleEmphasis"/>
          <w:iCs/>
          <w:sz w:val="24"/>
        </w:rPr>
        <w:t>Additional collector specifications considered</w:t>
      </w:r>
    </w:p>
    <w:p w:rsidR="009132EA" w:rsidRPr="00C90AC9" w:rsidRDefault="00BF635E" w:rsidP="009132EA">
      <w:pPr>
        <w:pStyle w:val="Heading1"/>
        <w:numPr>
          <w:ilvl w:val="0"/>
          <w:numId w:val="0"/>
        </w:numPr>
        <w:rPr>
          <w:sz w:val="24"/>
        </w:rPr>
      </w:pPr>
      <w:r w:rsidRPr="00C90AC9">
        <w:rPr>
          <w:b/>
          <w:noProof/>
        </w:rPr>
        <w:drawing>
          <wp:anchor distT="0" distB="0" distL="114300" distR="114300" simplePos="0" relativeHeight="251884544" behindDoc="0" locked="0" layoutInCell="1" allowOverlap="1" wp14:anchorId="0EECE78A" wp14:editId="317B5082">
            <wp:simplePos x="0" y="0"/>
            <wp:positionH relativeFrom="margin">
              <wp:posOffset>9525</wp:posOffset>
            </wp:positionH>
            <wp:positionV relativeFrom="paragraph">
              <wp:posOffset>408305</wp:posOffset>
            </wp:positionV>
            <wp:extent cx="5715000" cy="3400425"/>
            <wp:effectExtent l="0" t="0" r="0" b="9525"/>
            <wp:wrapSquare wrapText="bothSides"/>
            <wp:docPr id="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grayscl/>
                    </a:blip>
                    <a:srcRect l="7697" t="19449" r="6804" b="24793"/>
                    <a:stretch>
                      <a:fillRect/>
                    </a:stretch>
                  </pic:blipFill>
                  <pic:spPr bwMode="auto">
                    <a:xfrm>
                      <a:off x="0" y="0"/>
                      <a:ext cx="5715000" cy="3400425"/>
                    </a:xfrm>
                    <a:prstGeom prst="rect">
                      <a:avLst/>
                    </a:prstGeom>
                    <a:noFill/>
                    <a:ln w="9525">
                      <a:noFill/>
                      <a:miter lim="800000"/>
                      <a:headEnd/>
                      <a:tailEnd/>
                    </a:ln>
                  </pic:spPr>
                </pic:pic>
              </a:graphicData>
            </a:graphic>
            <wp14:sizeRelH relativeFrom="margin">
              <wp14:pctWidth>0</wp14:pctWidth>
            </wp14:sizeRelH>
          </wp:anchor>
        </w:drawing>
      </w:r>
      <w:r w:rsidR="009132EA" w:rsidRPr="00C90AC9">
        <w:rPr>
          <w:sz w:val="24"/>
        </w:rPr>
        <w:t xml:space="preserve">Table </w:t>
      </w:r>
      <w:r w:rsidR="00853BAF" w:rsidRPr="00C90AC9">
        <w:rPr>
          <w:rFonts w:eastAsiaTheme="minorHAnsi"/>
          <w:sz w:val="24"/>
          <w:lang w:eastAsia="en-US"/>
        </w:rPr>
        <w:t>7.12</w:t>
      </w:r>
      <w:r w:rsidR="009132EA" w:rsidRPr="00C90AC9">
        <w:rPr>
          <w:rFonts w:eastAsiaTheme="minorHAnsi"/>
          <w:sz w:val="24"/>
          <w:lang w:eastAsia="en-US"/>
        </w:rPr>
        <w:t>.</w:t>
      </w:r>
      <w:r w:rsidR="009132EA" w:rsidRPr="00C90AC9">
        <w:rPr>
          <w:sz w:val="24"/>
        </w:rPr>
        <w:t xml:space="preserve"> Glow Worm, SRV 2.3/SRH 23</w:t>
      </w:r>
    </w:p>
    <w:p w:rsidR="009132EA" w:rsidRPr="00C90AC9" w:rsidRDefault="009132EA" w:rsidP="00B06779"/>
    <w:p w:rsidR="009132EA" w:rsidRPr="00C90AC9" w:rsidRDefault="00BF635E" w:rsidP="00B06779">
      <w:r w:rsidRPr="00C90AC9">
        <w:rPr>
          <w:noProof/>
          <w:u w:val="single"/>
        </w:rPr>
        <w:lastRenderedPageBreak/>
        <w:drawing>
          <wp:anchor distT="0" distB="0" distL="114300" distR="114300" simplePos="0" relativeHeight="251883520" behindDoc="0" locked="0" layoutInCell="1" allowOverlap="1" wp14:anchorId="62CC479E" wp14:editId="51E461AC">
            <wp:simplePos x="0" y="0"/>
            <wp:positionH relativeFrom="margin">
              <wp:posOffset>-104775</wp:posOffset>
            </wp:positionH>
            <wp:positionV relativeFrom="paragraph">
              <wp:posOffset>427355</wp:posOffset>
            </wp:positionV>
            <wp:extent cx="5838825" cy="3838575"/>
            <wp:effectExtent l="0" t="0" r="9525" b="9525"/>
            <wp:wrapSquare wrapText="bothSides"/>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grayscl/>
                    </a:blip>
                    <a:srcRect l="7108" t="24262" r="7305" b="20814"/>
                    <a:stretch>
                      <a:fillRect/>
                    </a:stretch>
                  </pic:blipFill>
                  <pic:spPr bwMode="auto">
                    <a:xfrm>
                      <a:off x="0" y="0"/>
                      <a:ext cx="5838825" cy="3838575"/>
                    </a:xfrm>
                    <a:prstGeom prst="rect">
                      <a:avLst/>
                    </a:prstGeom>
                    <a:noFill/>
                    <a:ln w="9525">
                      <a:noFill/>
                      <a:miter lim="800000"/>
                      <a:headEnd/>
                      <a:tailEnd/>
                    </a:ln>
                  </pic:spPr>
                </pic:pic>
              </a:graphicData>
            </a:graphic>
            <wp14:sizeRelH relativeFrom="margin">
              <wp14:pctWidth>0</wp14:pctWidth>
            </wp14:sizeRelH>
          </wp:anchor>
        </w:drawing>
      </w:r>
      <w:r w:rsidR="009132EA" w:rsidRPr="00C90AC9">
        <w:t xml:space="preserve">Table </w:t>
      </w:r>
      <w:r w:rsidR="00474871" w:rsidRPr="00C90AC9">
        <w:rPr>
          <w:rFonts w:eastAsiaTheme="minorHAnsi"/>
          <w:lang w:eastAsia="en-US"/>
        </w:rPr>
        <w:t>7.13</w:t>
      </w:r>
      <w:r w:rsidR="009132EA" w:rsidRPr="00C90AC9">
        <w:rPr>
          <w:rFonts w:eastAsiaTheme="minorHAnsi"/>
          <w:lang w:eastAsia="en-US"/>
        </w:rPr>
        <w:t>.</w:t>
      </w:r>
      <w:r w:rsidR="009132EA" w:rsidRPr="00C90AC9">
        <w:t xml:space="preserve"> Glow Worm, SRV 2.3/SRD 23</w:t>
      </w:r>
    </w:p>
    <w:p w:rsidR="00C4457A" w:rsidRPr="00C90AC9" w:rsidRDefault="00C4457A" w:rsidP="00B06779"/>
    <w:p w:rsidR="00C4457A" w:rsidRPr="00C90AC9" w:rsidRDefault="009132EA" w:rsidP="009132EA">
      <w:pPr>
        <w:pStyle w:val="Heading1"/>
        <w:numPr>
          <w:ilvl w:val="0"/>
          <w:numId w:val="0"/>
        </w:numPr>
        <w:rPr>
          <w:sz w:val="24"/>
          <w:u w:val="single"/>
        </w:rPr>
      </w:pPr>
      <w:r w:rsidRPr="00C90AC9">
        <w:rPr>
          <w:noProof/>
          <w:u w:val="single"/>
        </w:rPr>
        <w:drawing>
          <wp:anchor distT="0" distB="0" distL="114300" distR="114300" simplePos="0" relativeHeight="251885568" behindDoc="0" locked="0" layoutInCell="1" allowOverlap="1" wp14:anchorId="4183E531" wp14:editId="7BFC5D3E">
            <wp:simplePos x="0" y="0"/>
            <wp:positionH relativeFrom="margin">
              <wp:posOffset>-107315</wp:posOffset>
            </wp:positionH>
            <wp:positionV relativeFrom="paragraph">
              <wp:posOffset>372745</wp:posOffset>
            </wp:positionV>
            <wp:extent cx="5848350" cy="3448050"/>
            <wp:effectExtent l="0" t="0" r="0" b="0"/>
            <wp:wrapSquare wrapText="bothSides"/>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grayscl/>
                    </a:blip>
                    <a:srcRect l="6468" t="19577" r="8574" b="21690"/>
                    <a:stretch>
                      <a:fillRect/>
                    </a:stretch>
                  </pic:blipFill>
                  <pic:spPr bwMode="auto">
                    <a:xfrm>
                      <a:off x="0" y="0"/>
                      <a:ext cx="5848350" cy="3448050"/>
                    </a:xfrm>
                    <a:prstGeom prst="rect">
                      <a:avLst/>
                    </a:prstGeom>
                    <a:noFill/>
                    <a:ln w="9525">
                      <a:noFill/>
                      <a:miter lim="800000"/>
                      <a:headEnd/>
                      <a:tailEnd/>
                    </a:ln>
                  </pic:spPr>
                </pic:pic>
              </a:graphicData>
            </a:graphic>
          </wp:anchor>
        </w:drawing>
      </w:r>
      <w:r w:rsidRPr="00C90AC9">
        <w:rPr>
          <w:sz w:val="24"/>
        </w:rPr>
        <w:t xml:space="preserve">Table </w:t>
      </w:r>
      <w:r w:rsidR="00474871" w:rsidRPr="00C90AC9">
        <w:rPr>
          <w:rFonts w:eastAsiaTheme="minorHAnsi"/>
          <w:sz w:val="24"/>
          <w:lang w:eastAsia="en-US"/>
        </w:rPr>
        <w:t>7.14</w:t>
      </w:r>
      <w:r w:rsidRPr="00C90AC9">
        <w:rPr>
          <w:rFonts w:eastAsiaTheme="minorHAnsi"/>
          <w:sz w:val="24"/>
          <w:lang w:eastAsia="en-US"/>
        </w:rPr>
        <w:t>.</w:t>
      </w:r>
      <w:r w:rsidRPr="00C90AC9">
        <w:rPr>
          <w:sz w:val="24"/>
        </w:rPr>
        <w:t xml:space="preserve"> </w:t>
      </w:r>
      <w:proofErr w:type="spellStart"/>
      <w:r w:rsidRPr="00C90AC9">
        <w:rPr>
          <w:sz w:val="24"/>
        </w:rPr>
        <w:t>SolarCentury</w:t>
      </w:r>
      <w:proofErr w:type="spellEnd"/>
    </w:p>
    <w:p w:rsidR="009132EA" w:rsidRPr="00C90AC9" w:rsidRDefault="009132EA" w:rsidP="009132EA">
      <w:pPr>
        <w:pStyle w:val="Heading1"/>
        <w:numPr>
          <w:ilvl w:val="0"/>
          <w:numId w:val="0"/>
        </w:numPr>
        <w:ind w:left="600"/>
      </w:pPr>
    </w:p>
    <w:p w:rsidR="00C4457A" w:rsidRPr="00C90AC9" w:rsidRDefault="00C4457A" w:rsidP="009132EA">
      <w:pPr>
        <w:pStyle w:val="Heading1"/>
        <w:numPr>
          <w:ilvl w:val="0"/>
          <w:numId w:val="0"/>
        </w:numPr>
        <w:rPr>
          <w:sz w:val="24"/>
          <w:u w:val="single"/>
        </w:rPr>
      </w:pPr>
      <w:r w:rsidRPr="00C90AC9">
        <w:rPr>
          <w:noProof/>
          <w:sz w:val="24"/>
          <w:u w:val="single"/>
        </w:rPr>
        <w:lastRenderedPageBreak/>
        <w:drawing>
          <wp:anchor distT="0" distB="0" distL="114300" distR="114300" simplePos="0" relativeHeight="251886592" behindDoc="0" locked="0" layoutInCell="1" allowOverlap="1" wp14:anchorId="1B920890" wp14:editId="4C5F4B83">
            <wp:simplePos x="0" y="0"/>
            <wp:positionH relativeFrom="column">
              <wp:posOffset>-104775</wp:posOffset>
            </wp:positionH>
            <wp:positionV relativeFrom="paragraph">
              <wp:posOffset>371475</wp:posOffset>
            </wp:positionV>
            <wp:extent cx="5953125" cy="3590925"/>
            <wp:effectExtent l="0" t="0" r="9525" b="9525"/>
            <wp:wrapSquare wrapText="bothSides"/>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srcRect l="6739" t="25134" r="6025" b="20053"/>
                    <a:stretch>
                      <a:fillRect/>
                    </a:stretch>
                  </pic:blipFill>
                  <pic:spPr bwMode="auto">
                    <a:xfrm>
                      <a:off x="0" y="0"/>
                      <a:ext cx="5953125" cy="3590925"/>
                    </a:xfrm>
                    <a:prstGeom prst="rect">
                      <a:avLst/>
                    </a:prstGeom>
                    <a:noFill/>
                    <a:ln w="9525">
                      <a:noFill/>
                      <a:miter lim="800000"/>
                      <a:headEnd/>
                      <a:tailEnd/>
                    </a:ln>
                  </pic:spPr>
                </pic:pic>
              </a:graphicData>
            </a:graphic>
          </wp:anchor>
        </w:drawing>
      </w:r>
      <w:r w:rsidRPr="00C90AC9">
        <w:rPr>
          <w:sz w:val="24"/>
        </w:rPr>
        <w:t xml:space="preserve">Table </w:t>
      </w:r>
      <w:r w:rsidR="00474871" w:rsidRPr="00C90AC9">
        <w:rPr>
          <w:rFonts w:eastAsiaTheme="minorHAnsi"/>
          <w:sz w:val="24"/>
          <w:lang w:eastAsia="en-US"/>
        </w:rPr>
        <w:t>7.15.</w:t>
      </w:r>
      <w:r w:rsidRPr="00C90AC9">
        <w:rPr>
          <w:sz w:val="24"/>
        </w:rPr>
        <w:t xml:space="preserve"> Grant Engineering Ltd</w:t>
      </w:r>
    </w:p>
    <w:p w:rsidR="009132EA" w:rsidRPr="00C90AC9" w:rsidRDefault="00C4457A" w:rsidP="009132EA">
      <w:pPr>
        <w:pStyle w:val="ListBullet"/>
        <w:numPr>
          <w:ilvl w:val="0"/>
          <w:numId w:val="0"/>
        </w:numPr>
        <w:ind w:left="360"/>
      </w:pPr>
      <w:r w:rsidRPr="00C90AC9">
        <w:rPr>
          <w:noProof/>
          <w:u w:val="single"/>
        </w:rPr>
        <w:drawing>
          <wp:anchor distT="0" distB="0" distL="114300" distR="114300" simplePos="0" relativeHeight="251887616" behindDoc="0" locked="0" layoutInCell="1" allowOverlap="1" wp14:anchorId="7EE0BA33" wp14:editId="0E544006">
            <wp:simplePos x="0" y="0"/>
            <wp:positionH relativeFrom="column">
              <wp:posOffset>-28575</wp:posOffset>
            </wp:positionH>
            <wp:positionV relativeFrom="paragraph">
              <wp:posOffset>351155</wp:posOffset>
            </wp:positionV>
            <wp:extent cx="5886450" cy="3495675"/>
            <wp:effectExtent l="0" t="0" r="0" b="9525"/>
            <wp:wrapSquare wrapText="bothSides"/>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grayscl/>
                    </a:blip>
                    <a:srcRect l="7491" t="26471" r="6308" b="18174"/>
                    <a:stretch>
                      <a:fillRect/>
                    </a:stretch>
                  </pic:blipFill>
                  <pic:spPr bwMode="auto">
                    <a:xfrm>
                      <a:off x="0" y="0"/>
                      <a:ext cx="5886450" cy="3495675"/>
                    </a:xfrm>
                    <a:prstGeom prst="rect">
                      <a:avLst/>
                    </a:prstGeom>
                    <a:noFill/>
                    <a:ln w="9525">
                      <a:noFill/>
                      <a:miter lim="800000"/>
                      <a:headEnd/>
                      <a:tailEnd/>
                    </a:ln>
                  </pic:spPr>
                </pic:pic>
              </a:graphicData>
            </a:graphic>
          </wp:anchor>
        </w:drawing>
      </w:r>
    </w:p>
    <w:p w:rsidR="009132EA" w:rsidRPr="00C90AC9" w:rsidRDefault="009132EA" w:rsidP="009132EA">
      <w:pPr>
        <w:pStyle w:val="ListBullet"/>
        <w:numPr>
          <w:ilvl w:val="0"/>
          <w:numId w:val="0"/>
        </w:numPr>
        <w:ind w:left="360"/>
      </w:pPr>
    </w:p>
    <w:p w:rsidR="009132EA" w:rsidRPr="00C90AC9" w:rsidRDefault="009132EA" w:rsidP="009132EA">
      <w:pPr>
        <w:pStyle w:val="ListBullet"/>
        <w:numPr>
          <w:ilvl w:val="0"/>
          <w:numId w:val="0"/>
        </w:numPr>
        <w:ind w:left="360"/>
      </w:pPr>
    </w:p>
    <w:p w:rsidR="00C4457A" w:rsidRPr="00C90AC9" w:rsidRDefault="00F06989" w:rsidP="009132EA">
      <w:pPr>
        <w:pStyle w:val="Heading1"/>
        <w:numPr>
          <w:ilvl w:val="0"/>
          <w:numId w:val="0"/>
        </w:numPr>
        <w:rPr>
          <w:sz w:val="24"/>
          <w:u w:val="single"/>
        </w:rPr>
      </w:pPr>
      <w:r w:rsidRPr="00C90AC9">
        <w:rPr>
          <w:noProof/>
          <w:sz w:val="24"/>
          <w:u w:val="single"/>
        </w:rPr>
        <w:drawing>
          <wp:anchor distT="0" distB="0" distL="114300" distR="114300" simplePos="0" relativeHeight="251888640" behindDoc="0" locked="0" layoutInCell="1" allowOverlap="1" wp14:anchorId="5128E5A5" wp14:editId="28FEBF03">
            <wp:simplePos x="0" y="0"/>
            <wp:positionH relativeFrom="margin">
              <wp:align>right</wp:align>
            </wp:positionH>
            <wp:positionV relativeFrom="paragraph">
              <wp:posOffset>381000</wp:posOffset>
            </wp:positionV>
            <wp:extent cx="5724525" cy="3448050"/>
            <wp:effectExtent l="0" t="0" r="9525" b="0"/>
            <wp:wrapSquare wrapText="bothSides"/>
            <wp:docPr id="4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grayscl/>
                    </a:blip>
                    <a:srcRect l="7481" t="24332" r="6794" b="20836"/>
                    <a:stretch>
                      <a:fillRect/>
                    </a:stretch>
                  </pic:blipFill>
                  <pic:spPr bwMode="auto">
                    <a:xfrm>
                      <a:off x="0" y="0"/>
                      <a:ext cx="5724525" cy="3448050"/>
                    </a:xfrm>
                    <a:prstGeom prst="rect">
                      <a:avLst/>
                    </a:prstGeom>
                    <a:noFill/>
                    <a:ln w="9525">
                      <a:noFill/>
                      <a:miter lim="800000"/>
                      <a:headEnd/>
                      <a:tailEnd/>
                    </a:ln>
                  </pic:spPr>
                </pic:pic>
              </a:graphicData>
            </a:graphic>
          </wp:anchor>
        </w:drawing>
      </w:r>
      <w:r w:rsidR="00C4457A" w:rsidRPr="00C90AC9">
        <w:rPr>
          <w:sz w:val="24"/>
        </w:rPr>
        <w:t xml:space="preserve">Table </w:t>
      </w:r>
      <w:r w:rsidR="00474871" w:rsidRPr="00C90AC9">
        <w:rPr>
          <w:rFonts w:eastAsiaTheme="minorHAnsi"/>
          <w:sz w:val="24"/>
          <w:lang w:eastAsia="en-US"/>
        </w:rPr>
        <w:t>7.16</w:t>
      </w:r>
      <w:r w:rsidR="00C4457A" w:rsidRPr="00C90AC9">
        <w:rPr>
          <w:rFonts w:eastAsiaTheme="minorHAnsi"/>
          <w:sz w:val="24"/>
          <w:lang w:eastAsia="en-US"/>
        </w:rPr>
        <w:t>.</w:t>
      </w:r>
      <w:r w:rsidR="00C4457A" w:rsidRPr="00C90AC9">
        <w:rPr>
          <w:sz w:val="24"/>
        </w:rPr>
        <w:t xml:space="preserve"> Natural Sustainable Energy Resource Ltd, </w:t>
      </w:r>
      <w:proofErr w:type="spellStart"/>
      <w:r w:rsidR="00C4457A" w:rsidRPr="00C90AC9">
        <w:rPr>
          <w:sz w:val="24"/>
        </w:rPr>
        <w:t>Thermasol</w:t>
      </w:r>
      <w:proofErr w:type="spellEnd"/>
      <w:r w:rsidR="00C4457A" w:rsidRPr="00C90AC9">
        <w:rPr>
          <w:sz w:val="24"/>
        </w:rPr>
        <w:t xml:space="preserve"> TS8001</w:t>
      </w:r>
    </w:p>
    <w:p w:rsidR="00C4457A" w:rsidRPr="00C90AC9" w:rsidRDefault="00C4457A" w:rsidP="00B06779"/>
    <w:p w:rsidR="001F396A" w:rsidRPr="00C90AC9" w:rsidRDefault="00474871" w:rsidP="009132EA">
      <w:pPr>
        <w:pStyle w:val="Heading1"/>
        <w:numPr>
          <w:ilvl w:val="0"/>
          <w:numId w:val="0"/>
        </w:numPr>
        <w:rPr>
          <w:rStyle w:val="SubtleEmphasis"/>
          <w:sz w:val="24"/>
        </w:rPr>
      </w:pPr>
      <w:r w:rsidRPr="00C90AC9">
        <w:rPr>
          <w:rStyle w:val="SubtleEmphasis"/>
          <w:sz w:val="24"/>
        </w:rPr>
        <w:lastRenderedPageBreak/>
        <w:t>Appendix 7.16</w:t>
      </w:r>
      <w:r w:rsidR="00991489" w:rsidRPr="00C90AC9">
        <w:rPr>
          <w:rStyle w:val="SubtleEmphasis"/>
          <w:sz w:val="24"/>
        </w:rPr>
        <w:t>. Picture</w:t>
      </w:r>
      <w:r w:rsidR="001F396A" w:rsidRPr="00C90AC9">
        <w:rPr>
          <w:rStyle w:val="SubtleEmphasis"/>
          <w:sz w:val="24"/>
        </w:rPr>
        <w:t xml:space="preserve"> of </w:t>
      </w:r>
      <w:r w:rsidR="00991489" w:rsidRPr="00C90AC9">
        <w:rPr>
          <w:rStyle w:val="SubtleEmphasis"/>
          <w:sz w:val="24"/>
        </w:rPr>
        <w:t>a domestic solar thermal panel</w:t>
      </w:r>
      <w:r w:rsidR="009132EA" w:rsidRPr="00C90AC9">
        <w:rPr>
          <w:rStyle w:val="SubtleEmphasis"/>
          <w:sz w:val="24"/>
        </w:rPr>
        <w:t xml:space="preserve"> used in the focus groups</w:t>
      </w:r>
    </w:p>
    <w:p w:rsidR="001F396A" w:rsidRPr="00C90AC9" w:rsidRDefault="001F396A" w:rsidP="00B06779">
      <w:pPr>
        <w:rPr>
          <w:rFonts w:eastAsiaTheme="minorHAnsi"/>
          <w:lang w:eastAsia="en-US"/>
        </w:rPr>
      </w:pPr>
    </w:p>
    <w:p w:rsidR="001F396A" w:rsidRPr="00C90AC9" w:rsidRDefault="001F396A" w:rsidP="00B06779">
      <w:pPr>
        <w:rPr>
          <w:rFonts w:eastAsiaTheme="minorHAnsi"/>
          <w:lang w:eastAsia="en-US"/>
        </w:rPr>
      </w:pPr>
    </w:p>
    <w:p w:rsidR="00F06989" w:rsidRPr="00C90AC9" w:rsidRDefault="00F06989" w:rsidP="00B06779">
      <w:pPr>
        <w:rPr>
          <w:rStyle w:val="SubtleEmphasis"/>
          <w:rFonts w:cs="Times New Roman"/>
          <w:i/>
          <w:sz w:val="24"/>
          <w:szCs w:val="24"/>
          <w:lang w:eastAsia="zh-CN"/>
        </w:rPr>
      </w:pPr>
    </w:p>
    <w:p w:rsidR="001F396A" w:rsidRPr="00C90AC9" w:rsidRDefault="00F06989" w:rsidP="00B06779">
      <w:pPr>
        <w:rPr>
          <w:rFonts w:eastAsiaTheme="minorHAnsi"/>
          <w:lang w:eastAsia="en-US"/>
        </w:rPr>
      </w:pPr>
      <w:r w:rsidRPr="00C90AC9">
        <w:rPr>
          <w:rStyle w:val="SubtleEmphasis"/>
          <w:rFonts w:cs="Times New Roman"/>
          <w:i/>
          <w:noProof/>
          <w:sz w:val="24"/>
          <w:szCs w:val="24"/>
        </w:rPr>
        <w:drawing>
          <wp:anchor distT="0" distB="0" distL="114300" distR="114300" simplePos="0" relativeHeight="251906048" behindDoc="1" locked="0" layoutInCell="1" allowOverlap="1" wp14:anchorId="4FF2A849" wp14:editId="2B2EDC53">
            <wp:simplePos x="0" y="0"/>
            <wp:positionH relativeFrom="margin">
              <wp:posOffset>-819785</wp:posOffset>
            </wp:positionH>
            <wp:positionV relativeFrom="paragraph">
              <wp:posOffset>447675</wp:posOffset>
            </wp:positionV>
            <wp:extent cx="7337425" cy="4632325"/>
            <wp:effectExtent l="0" t="0" r="0" b="0"/>
            <wp:wrapNone/>
            <wp:docPr id="475" name="Picture 4" descr="http://www.lowcarboneconomy.com/Resources/UserImages/solar-thermal-1320x320(129370770807166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lowcarboneconomy.com/Resources/UserImages/solar-thermal-1320x320(129370770807166250).jpg"/>
                    <pic:cNvPicPr>
                      <a:picLocks noChangeAspect="1" noChangeArrowheads="1"/>
                    </pic:cNvPicPr>
                  </pic:nvPicPr>
                  <pic:blipFill rotWithShape="1">
                    <a:blip r:embed="rId74" cstate="print"/>
                    <a:srcRect t="12719" b="12589"/>
                    <a:stretch/>
                  </pic:blipFill>
                  <pic:spPr bwMode="auto">
                    <a:xfrm rot="5400000">
                      <a:off x="0" y="0"/>
                      <a:ext cx="7337425" cy="4632325"/>
                    </a:xfrm>
                    <a:prstGeom prst="rect">
                      <a:avLst/>
                    </a:prstGeom>
                    <a:noFill/>
                    <a:ln>
                      <a:noFill/>
                    </a:ln>
                    <a:extLst>
                      <a:ext uri="{53640926-AAD7-44D8-BBD7-CCE9431645EC}">
                        <a14:shadowObscured xmlns:a14="http://schemas.microsoft.com/office/drawing/2010/main"/>
                      </a:ext>
                    </a:extLst>
                  </pic:spPr>
                </pic:pic>
              </a:graphicData>
            </a:graphic>
          </wp:anchor>
        </w:drawing>
      </w:r>
    </w:p>
    <w:p w:rsidR="001F396A" w:rsidRPr="00C90AC9" w:rsidRDefault="001F396A" w:rsidP="00B06779">
      <w:pPr>
        <w:rPr>
          <w:rFonts w:eastAsiaTheme="minorHAnsi"/>
          <w:lang w:eastAsia="en-US"/>
        </w:rPr>
      </w:pPr>
    </w:p>
    <w:p w:rsidR="001F396A" w:rsidRPr="00C90AC9" w:rsidRDefault="001F396A" w:rsidP="00B06779">
      <w:pPr>
        <w:rPr>
          <w:rFonts w:eastAsiaTheme="minorHAnsi"/>
          <w:lang w:eastAsia="en-US"/>
        </w:rPr>
      </w:pPr>
    </w:p>
    <w:p w:rsidR="001F396A" w:rsidRPr="00C90AC9" w:rsidRDefault="001F396A" w:rsidP="00B06779">
      <w:pPr>
        <w:rPr>
          <w:rFonts w:eastAsiaTheme="minorHAnsi"/>
          <w:lang w:eastAsia="en-US"/>
        </w:rPr>
      </w:pPr>
    </w:p>
    <w:p w:rsidR="001F396A" w:rsidRPr="00C90AC9" w:rsidRDefault="001F396A" w:rsidP="00B06779">
      <w:pPr>
        <w:rPr>
          <w:rFonts w:eastAsiaTheme="minorHAnsi"/>
          <w:lang w:eastAsia="en-US"/>
        </w:rPr>
      </w:pPr>
    </w:p>
    <w:p w:rsidR="001F396A" w:rsidRPr="00C90AC9" w:rsidRDefault="001F396A" w:rsidP="00B06779">
      <w:pPr>
        <w:rPr>
          <w:rFonts w:eastAsiaTheme="minorHAnsi"/>
          <w:lang w:eastAsia="en-US"/>
        </w:rPr>
      </w:pPr>
    </w:p>
    <w:p w:rsidR="001F396A" w:rsidRPr="00C90AC9" w:rsidRDefault="001F396A" w:rsidP="00B06779">
      <w:pPr>
        <w:rPr>
          <w:rFonts w:eastAsiaTheme="minorHAnsi"/>
          <w:lang w:eastAsia="en-US"/>
        </w:rPr>
      </w:pPr>
      <w:r w:rsidRPr="00C90AC9">
        <w:rPr>
          <w:rFonts w:eastAsiaTheme="minorHAnsi"/>
          <w:lang w:eastAsia="en-US"/>
        </w:rPr>
        <w:br w:type="page"/>
      </w:r>
    </w:p>
    <w:p w:rsidR="00991489" w:rsidRPr="00C90AC9" w:rsidRDefault="00474871" w:rsidP="006D39FA">
      <w:pPr>
        <w:pStyle w:val="Heading2"/>
        <w:jc w:val="left"/>
        <w:rPr>
          <w:rStyle w:val="SubtleEmphasis"/>
          <w:iCs/>
          <w:sz w:val="24"/>
        </w:rPr>
      </w:pPr>
      <w:r w:rsidRPr="00C90AC9">
        <w:rPr>
          <w:rStyle w:val="SubtleEmphasis"/>
          <w:iCs/>
          <w:sz w:val="24"/>
        </w:rPr>
        <w:lastRenderedPageBreak/>
        <w:t>Appendix 7.17.</w:t>
      </w:r>
      <w:r w:rsidR="00991489" w:rsidRPr="00C90AC9">
        <w:rPr>
          <w:rStyle w:val="SubtleEmphasis"/>
          <w:iCs/>
          <w:sz w:val="24"/>
        </w:rPr>
        <w:t xml:space="preserve"> Information Sheet</w:t>
      </w:r>
      <w:r w:rsidR="004B6496" w:rsidRPr="00C90AC9">
        <w:rPr>
          <w:rStyle w:val="SubtleEmphasis"/>
          <w:iCs/>
          <w:sz w:val="24"/>
        </w:rPr>
        <w:t xml:space="preserve"> used in focus groups</w:t>
      </w:r>
    </w:p>
    <w:p w:rsidR="00991489" w:rsidRPr="00C90AC9" w:rsidRDefault="00991489" w:rsidP="009132EA">
      <w:pPr>
        <w:pStyle w:val="BodyText"/>
        <w:jc w:val="left"/>
        <w:rPr>
          <w:b/>
        </w:rPr>
      </w:pPr>
      <w:r w:rsidRPr="00C90AC9">
        <w:rPr>
          <w:rStyle w:val="apple-style-span"/>
          <w:rFonts w:cs="Times New Roman"/>
          <w:color w:val="000000"/>
          <w:szCs w:val="24"/>
        </w:rPr>
        <w:t>E-Futures PhD student</w:t>
      </w:r>
      <w:r w:rsidRPr="00C90AC9">
        <w:rPr>
          <w:rStyle w:val="apple-style-span"/>
          <w:rFonts w:cs="Times New Roman"/>
          <w:color w:val="000000"/>
          <w:szCs w:val="24"/>
        </w:rPr>
        <w:tab/>
      </w:r>
      <w:r w:rsidRPr="00C90AC9">
        <w:rPr>
          <w:rStyle w:val="apple-style-span"/>
          <w:rFonts w:cs="Times New Roman"/>
          <w:color w:val="000000"/>
          <w:szCs w:val="24"/>
        </w:rPr>
        <w:tab/>
      </w:r>
      <w:r w:rsidRPr="00C90AC9">
        <w:rPr>
          <w:rStyle w:val="apple-style-span"/>
          <w:rFonts w:cs="Times New Roman"/>
          <w:color w:val="000000"/>
          <w:szCs w:val="24"/>
        </w:rPr>
        <w:tab/>
      </w:r>
      <w:r w:rsidRPr="00C90AC9">
        <w:rPr>
          <w:rStyle w:val="apple-style-span"/>
          <w:rFonts w:cs="Times New Roman"/>
          <w:color w:val="000000"/>
          <w:szCs w:val="24"/>
        </w:rPr>
        <w:tab/>
      </w:r>
      <w:r w:rsidRPr="00C90AC9">
        <w:rPr>
          <w:rStyle w:val="apple-style-span"/>
          <w:rFonts w:cs="Times New Roman"/>
          <w:color w:val="000000"/>
          <w:szCs w:val="24"/>
        </w:rPr>
        <w:tab/>
      </w:r>
      <w:r w:rsidRPr="00C90AC9">
        <w:rPr>
          <w:rStyle w:val="apple-style-span"/>
          <w:rFonts w:cs="Times New Roman"/>
          <w:color w:val="000000"/>
          <w:szCs w:val="24"/>
        </w:rPr>
        <w:tab/>
      </w:r>
      <w:r w:rsidRPr="00C90AC9">
        <w:br/>
      </w:r>
      <w:r w:rsidRPr="00C90AC9">
        <w:rPr>
          <w:rStyle w:val="apple-style-span"/>
          <w:rFonts w:cs="Times New Roman"/>
          <w:color w:val="000000"/>
          <w:szCs w:val="24"/>
        </w:rPr>
        <w:t>The Frederick Mappin Building</w:t>
      </w:r>
      <w:r w:rsidRPr="00C90AC9">
        <w:rPr>
          <w:rStyle w:val="apple-style-span"/>
          <w:rFonts w:cs="Times New Roman"/>
          <w:color w:val="000000"/>
          <w:szCs w:val="24"/>
        </w:rPr>
        <w:tab/>
      </w:r>
      <w:r w:rsidRPr="00C90AC9">
        <w:br/>
      </w:r>
      <w:r w:rsidRPr="00C90AC9">
        <w:rPr>
          <w:rStyle w:val="apple-style-span"/>
          <w:rFonts w:cs="Times New Roman"/>
          <w:color w:val="000000"/>
          <w:szCs w:val="24"/>
        </w:rPr>
        <w:t>University of Sheffield</w:t>
      </w:r>
      <w:r w:rsidRPr="00C90AC9">
        <w:rPr>
          <w:rStyle w:val="apple-style-span"/>
          <w:rFonts w:cs="Times New Roman"/>
          <w:color w:val="000000"/>
          <w:szCs w:val="24"/>
        </w:rPr>
        <w:tab/>
      </w:r>
      <w:r w:rsidRPr="00C90AC9">
        <w:br/>
      </w:r>
      <w:r w:rsidRPr="00C90AC9">
        <w:rPr>
          <w:rStyle w:val="apple-style-span"/>
          <w:rFonts w:cs="Times New Roman"/>
          <w:color w:val="000000"/>
          <w:szCs w:val="24"/>
        </w:rPr>
        <w:t>Department of Mechanical Engineering</w:t>
      </w:r>
      <w:r w:rsidRPr="00C90AC9">
        <w:rPr>
          <w:rStyle w:val="apple-style-span"/>
          <w:rFonts w:cs="Times New Roman"/>
          <w:color w:val="000000"/>
          <w:szCs w:val="24"/>
        </w:rPr>
        <w:tab/>
      </w:r>
      <w:r w:rsidRPr="00C90AC9">
        <w:br/>
      </w:r>
      <w:r w:rsidRPr="00C90AC9">
        <w:rPr>
          <w:rStyle w:val="apple-style-span"/>
          <w:rFonts w:cs="Times New Roman"/>
          <w:color w:val="000000"/>
          <w:szCs w:val="24"/>
        </w:rPr>
        <w:t>Mappin Street</w:t>
      </w:r>
      <w:r w:rsidRPr="00C90AC9">
        <w:rPr>
          <w:rStyle w:val="apple-style-span"/>
          <w:rFonts w:cs="Times New Roman"/>
          <w:color w:val="000000"/>
          <w:szCs w:val="24"/>
        </w:rPr>
        <w:tab/>
      </w:r>
      <w:r w:rsidRPr="00C90AC9">
        <w:br/>
      </w:r>
      <w:r w:rsidRPr="00C90AC9">
        <w:rPr>
          <w:b/>
        </w:rPr>
        <w:t>Attitudes towards solar thermal panels</w:t>
      </w:r>
    </w:p>
    <w:p w:rsidR="00991489" w:rsidRPr="00C90AC9" w:rsidRDefault="00991489" w:rsidP="00B06779">
      <w:pPr>
        <w:pStyle w:val="BodyText"/>
      </w:pPr>
      <w:r w:rsidRPr="00C90AC9">
        <w:rPr>
          <w:noProof/>
        </w:rPr>
        <w:drawing>
          <wp:anchor distT="0" distB="0" distL="114300" distR="114300" simplePos="0" relativeHeight="251908096" behindDoc="0" locked="0" layoutInCell="1" allowOverlap="1" wp14:anchorId="3FC733E5" wp14:editId="581EA691">
            <wp:simplePos x="0" y="0"/>
            <wp:positionH relativeFrom="column">
              <wp:posOffset>2647950</wp:posOffset>
            </wp:positionH>
            <wp:positionV relativeFrom="paragraph">
              <wp:posOffset>8716010</wp:posOffset>
            </wp:positionV>
            <wp:extent cx="774065" cy="914400"/>
            <wp:effectExtent l="19050" t="0" r="6985" b="0"/>
            <wp:wrapNone/>
            <wp:docPr id="317" name="Picture 2" descr="logo large bmp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arge bmp (1).bmp"/>
                    <pic:cNvPicPr/>
                  </pic:nvPicPr>
                  <pic:blipFill>
                    <a:blip r:embed="rId75" cstate="print"/>
                    <a:stretch>
                      <a:fillRect/>
                    </a:stretch>
                  </pic:blipFill>
                  <pic:spPr>
                    <a:xfrm>
                      <a:off x="0" y="0"/>
                      <a:ext cx="774065" cy="914400"/>
                    </a:xfrm>
                    <a:prstGeom prst="rect">
                      <a:avLst/>
                    </a:prstGeom>
                  </pic:spPr>
                </pic:pic>
              </a:graphicData>
            </a:graphic>
          </wp:anchor>
        </w:drawing>
      </w:r>
      <w:r w:rsidRPr="00C90AC9">
        <w:rPr>
          <w:noProof/>
        </w:rPr>
        <w:drawing>
          <wp:anchor distT="0" distB="0" distL="114300" distR="114300" simplePos="0" relativeHeight="251910144" behindDoc="1" locked="0" layoutInCell="1" allowOverlap="1" wp14:anchorId="2AE8E25E" wp14:editId="4340F3E2">
            <wp:simplePos x="0" y="0"/>
            <wp:positionH relativeFrom="column">
              <wp:posOffset>621030</wp:posOffset>
            </wp:positionH>
            <wp:positionV relativeFrom="paragraph">
              <wp:posOffset>8891270</wp:posOffset>
            </wp:positionV>
            <wp:extent cx="1684888" cy="670560"/>
            <wp:effectExtent l="19050" t="0" r="0" b="0"/>
            <wp:wrapNone/>
            <wp:docPr id="343" name="Picture 0" descr="Uo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oS Logo.JPG"/>
                    <pic:cNvPicPr/>
                  </pic:nvPicPr>
                  <pic:blipFill>
                    <a:blip r:embed="rId76" cstate="print"/>
                    <a:stretch>
                      <a:fillRect/>
                    </a:stretch>
                  </pic:blipFill>
                  <pic:spPr>
                    <a:xfrm>
                      <a:off x="0" y="0"/>
                      <a:ext cx="1684888" cy="670560"/>
                    </a:xfrm>
                    <a:prstGeom prst="rect">
                      <a:avLst/>
                    </a:prstGeom>
                  </pic:spPr>
                </pic:pic>
              </a:graphicData>
            </a:graphic>
          </wp:anchor>
        </w:drawing>
      </w:r>
      <w:r w:rsidRPr="00C90AC9">
        <w:rPr>
          <w:noProof/>
        </w:rPr>
        <w:drawing>
          <wp:anchor distT="0" distB="0" distL="114300" distR="114300" simplePos="0" relativeHeight="251909120" behindDoc="1" locked="0" layoutInCell="1" allowOverlap="1" wp14:anchorId="2DD906BC" wp14:editId="79E427C5">
            <wp:simplePos x="0" y="0"/>
            <wp:positionH relativeFrom="column">
              <wp:posOffset>3745230</wp:posOffset>
            </wp:positionH>
            <wp:positionV relativeFrom="paragraph">
              <wp:posOffset>8891270</wp:posOffset>
            </wp:positionV>
            <wp:extent cx="1238250" cy="670560"/>
            <wp:effectExtent l="19050" t="0" r="0" b="0"/>
            <wp:wrapNone/>
            <wp:docPr id="366" name="Picture 1" descr="Energy logo 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ergy logo 300-3.JPG"/>
                    <pic:cNvPicPr/>
                  </pic:nvPicPr>
                  <pic:blipFill>
                    <a:blip r:embed="rId77" cstate="print"/>
                    <a:stretch>
                      <a:fillRect/>
                    </a:stretch>
                  </pic:blipFill>
                  <pic:spPr>
                    <a:xfrm>
                      <a:off x="0" y="0"/>
                      <a:ext cx="1238250" cy="670560"/>
                    </a:xfrm>
                    <a:prstGeom prst="rect">
                      <a:avLst/>
                    </a:prstGeom>
                  </pic:spPr>
                </pic:pic>
              </a:graphicData>
            </a:graphic>
          </wp:anchor>
        </w:drawing>
      </w:r>
      <w:r w:rsidRPr="00C90AC9">
        <w:t xml:space="preserve">Thank you for attending and welcome to today’s focus group on solar thermal panels. My name is James and I will be conducting this focus group which will be asking for your opinion on a number of issues. Please take a few minutes to read the information on this sheet which will tell you the format of the focus group and why I am conducting the research. If you have any questions after reading this </w:t>
      </w:r>
      <w:r w:rsidR="004B6496" w:rsidRPr="00C90AC9">
        <w:t>sheet,</w:t>
      </w:r>
      <w:r w:rsidRPr="00C90AC9">
        <w:t xml:space="preserve"> then please ask.</w:t>
      </w:r>
    </w:p>
    <w:p w:rsidR="00991489" w:rsidRPr="00C90AC9" w:rsidRDefault="00991489" w:rsidP="00B06779">
      <w:pPr>
        <w:pStyle w:val="BodyText"/>
      </w:pPr>
      <w:r w:rsidRPr="00C90AC9">
        <w:rPr>
          <w:b/>
          <w:u w:val="single"/>
        </w:rPr>
        <w:t>Background Information:</w:t>
      </w:r>
      <w:r w:rsidRPr="00C90AC9">
        <w:t xml:space="preserve"> Solar thermal panels are flat collectors that can be fitted to the roof of your property to heat water which can then be used for baths, showers, or to heat your home via radiators. The technology is well understood but knowledge about what people think of the technology is less well known. My research is investigating what people think of this technology and some key issues concerned with the technology.</w:t>
      </w:r>
    </w:p>
    <w:p w:rsidR="00991489" w:rsidRPr="00C90AC9" w:rsidRDefault="00991489" w:rsidP="00B06779">
      <w:pPr>
        <w:pStyle w:val="BodyText"/>
      </w:pPr>
      <w:r w:rsidRPr="00C90AC9">
        <w:rPr>
          <w:b/>
          <w:u w:val="single"/>
        </w:rPr>
        <w:t>The Research Team:</w:t>
      </w:r>
      <w:r w:rsidRPr="00C90AC9">
        <w:t xml:space="preserve"> The research team comprises of me, James, Dr Chris Jones and Miss Fiona Scott all from The University of Sheffield. The research is not in conjunction with any company or business and your opinions shared today will not be passed on to any third parties and will only be seen by members of the research team.</w:t>
      </w:r>
    </w:p>
    <w:p w:rsidR="00991489" w:rsidRPr="00C90AC9" w:rsidRDefault="00991489" w:rsidP="00B06779">
      <w:pPr>
        <w:pStyle w:val="BodyText"/>
      </w:pPr>
      <w:r w:rsidRPr="00C90AC9">
        <w:rPr>
          <w:b/>
          <w:u w:val="single"/>
        </w:rPr>
        <w:t>The Focus Group:</w:t>
      </w:r>
      <w:r w:rsidRPr="00C90AC9">
        <w:rPr>
          <w:b/>
        </w:rPr>
        <w:t xml:space="preserve"> </w:t>
      </w:r>
      <w:r w:rsidRPr="00C90AC9">
        <w:t xml:space="preserve">There will be seven people at today’s focus group will last about 60 minutes. We will touch on a number of issues about your opinions on solar thermal panels and some of the issues surrounding them. In order to </w:t>
      </w:r>
      <w:r w:rsidR="00E82522" w:rsidRPr="00C90AC9">
        <w:t>main</w:t>
      </w:r>
      <w:r w:rsidRPr="00C90AC9">
        <w:t xml:space="preserve">tain your </w:t>
      </w:r>
      <w:r w:rsidR="00D74AF8" w:rsidRPr="00C90AC9">
        <w:rPr>
          <w:bCs/>
        </w:rPr>
        <w:t>confidentiality,</w:t>
      </w:r>
      <w:r w:rsidRPr="00C90AC9">
        <w:rPr>
          <w:b/>
        </w:rPr>
        <w:t xml:space="preserve"> </w:t>
      </w:r>
      <w:r w:rsidRPr="00C90AC9">
        <w:t>you will be provided with a</w:t>
      </w:r>
      <w:r w:rsidRPr="00C90AC9">
        <w:rPr>
          <w:b/>
        </w:rPr>
        <w:t xml:space="preserve"> </w:t>
      </w:r>
      <w:r w:rsidRPr="00C90AC9">
        <w:t>pseudonym (i.e. false name), which will be used in the transcript and any subsequent dissemination activity (e.g. reports, conferences, etc.) and when using quotes from the focus group discussion.</w:t>
      </w:r>
    </w:p>
    <w:p w:rsidR="00991489" w:rsidRPr="00C90AC9" w:rsidRDefault="00991489" w:rsidP="00B06779">
      <w:pPr>
        <w:pStyle w:val="BodyText"/>
      </w:pPr>
      <w:r w:rsidRPr="00C90AC9">
        <w:rPr>
          <w:b/>
          <w:u w:val="single"/>
        </w:rPr>
        <w:t>Focus Group Rules:</w:t>
      </w:r>
      <w:r w:rsidRPr="00C90AC9">
        <w:rPr>
          <w:b/>
        </w:rPr>
        <w:t xml:space="preserve"> </w:t>
      </w:r>
      <w:r w:rsidRPr="00C90AC9">
        <w:t xml:space="preserve">To ensure that the conversation we have is productive and to ensure that everyone has a positive experience, we ask that you follow these simple ground rules. Please feel free to speak up and contribute to the discussion, but please allow one person to speak at any one time. There are no right or wrong answers and I am interested in your opinion rather than what you think is the ‘right’ opinion. If one of you is sharing a lot, I may ask you to let others talk. If you are a little quieter, I may ask for your opinion. </w:t>
      </w:r>
    </w:p>
    <w:p w:rsidR="00991489" w:rsidRPr="00C90AC9" w:rsidRDefault="00991489" w:rsidP="00B06779">
      <w:pPr>
        <w:pStyle w:val="BodyText"/>
      </w:pPr>
      <w:r w:rsidRPr="00C90AC9">
        <w:rPr>
          <w:b/>
          <w:u w:val="single"/>
        </w:rPr>
        <w:t>What Happens Next:</w:t>
      </w:r>
      <w:r w:rsidRPr="00C90AC9">
        <w:rPr>
          <w:b/>
        </w:rPr>
        <w:t xml:space="preserve"> </w:t>
      </w:r>
      <w:r w:rsidRPr="00C90AC9">
        <w:t xml:space="preserve">Immediately after the focus group I will ask you to complete a short questionnaire that will ask a few questions about you. Within the next few months I will produce the </w:t>
      </w:r>
      <w:r w:rsidRPr="00C90AC9">
        <w:rPr>
          <w:b/>
        </w:rPr>
        <w:t>anonymized</w:t>
      </w:r>
      <w:r w:rsidRPr="00C90AC9">
        <w:t xml:space="preserve"> transcript of today’s focus group for use in our analysis, which you will have the opportunity to review and approve.</w:t>
      </w:r>
    </w:p>
    <w:p w:rsidR="00991489" w:rsidRPr="00C90AC9" w:rsidRDefault="009132EA" w:rsidP="00B06779">
      <w:pPr>
        <w:pStyle w:val="BodyText"/>
      </w:pPr>
      <w:r w:rsidRPr="00C90AC9">
        <w:rPr>
          <w:b/>
          <w:noProof/>
          <w:u w:val="single"/>
        </w:rPr>
        <w:drawing>
          <wp:anchor distT="0" distB="0" distL="114300" distR="114300" simplePos="0" relativeHeight="251913216" behindDoc="1" locked="0" layoutInCell="1" allowOverlap="1" wp14:anchorId="40D6A9BA" wp14:editId="063A1379">
            <wp:simplePos x="0" y="0"/>
            <wp:positionH relativeFrom="column">
              <wp:posOffset>3745230</wp:posOffset>
            </wp:positionH>
            <wp:positionV relativeFrom="paragraph">
              <wp:posOffset>724535</wp:posOffset>
            </wp:positionV>
            <wp:extent cx="1261110" cy="594360"/>
            <wp:effectExtent l="0" t="0" r="0" b="0"/>
            <wp:wrapNone/>
            <wp:docPr id="367" name="Picture 8" descr="Uo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oS Logo.JPG"/>
                    <pic:cNvPicPr/>
                  </pic:nvPicPr>
                  <pic:blipFill>
                    <a:blip r:embed="rId78" cstate="print"/>
                    <a:srcRect l="4456" t="5357" r="22816" b="8036"/>
                    <a:stretch>
                      <a:fillRect/>
                    </a:stretch>
                  </pic:blipFill>
                  <pic:spPr>
                    <a:xfrm>
                      <a:off x="0" y="0"/>
                      <a:ext cx="1261110" cy="594360"/>
                    </a:xfrm>
                    <a:prstGeom prst="rect">
                      <a:avLst/>
                    </a:prstGeom>
                  </pic:spPr>
                </pic:pic>
              </a:graphicData>
            </a:graphic>
          </wp:anchor>
        </w:drawing>
      </w:r>
      <w:r w:rsidRPr="00C90AC9">
        <w:rPr>
          <w:b/>
          <w:noProof/>
          <w:u w:val="single"/>
        </w:rPr>
        <w:drawing>
          <wp:anchor distT="0" distB="0" distL="114300" distR="114300" simplePos="0" relativeHeight="251912192" behindDoc="1" locked="0" layoutInCell="1" allowOverlap="1" wp14:anchorId="7D09C6B2" wp14:editId="7B188E46">
            <wp:simplePos x="0" y="0"/>
            <wp:positionH relativeFrom="column">
              <wp:posOffset>2516505</wp:posOffset>
            </wp:positionH>
            <wp:positionV relativeFrom="paragraph">
              <wp:posOffset>628650</wp:posOffset>
            </wp:positionV>
            <wp:extent cx="704850" cy="830580"/>
            <wp:effectExtent l="0" t="0" r="0" b="7620"/>
            <wp:wrapNone/>
            <wp:docPr id="480" name="Picture 7" descr="logo large bmp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arge bmp (1).bmp"/>
                    <pic:cNvPicPr/>
                  </pic:nvPicPr>
                  <pic:blipFill>
                    <a:blip r:embed="rId79" cstate="print"/>
                    <a:stretch>
                      <a:fillRect/>
                    </a:stretch>
                  </pic:blipFill>
                  <pic:spPr>
                    <a:xfrm>
                      <a:off x="0" y="0"/>
                      <a:ext cx="704850" cy="830580"/>
                    </a:xfrm>
                    <a:prstGeom prst="rect">
                      <a:avLst/>
                    </a:prstGeom>
                  </pic:spPr>
                </pic:pic>
              </a:graphicData>
            </a:graphic>
          </wp:anchor>
        </w:drawing>
      </w:r>
      <w:r w:rsidRPr="00C90AC9">
        <w:rPr>
          <w:b/>
          <w:noProof/>
          <w:u w:val="single"/>
        </w:rPr>
        <w:drawing>
          <wp:anchor distT="0" distB="0" distL="114300" distR="114300" simplePos="0" relativeHeight="251911168" behindDoc="1" locked="0" layoutInCell="1" allowOverlap="1" wp14:anchorId="78171E1E" wp14:editId="29EB6D7F">
            <wp:simplePos x="0" y="0"/>
            <wp:positionH relativeFrom="column">
              <wp:posOffset>716280</wp:posOffset>
            </wp:positionH>
            <wp:positionV relativeFrom="paragraph">
              <wp:posOffset>627380</wp:posOffset>
            </wp:positionV>
            <wp:extent cx="1261110" cy="685800"/>
            <wp:effectExtent l="0" t="0" r="0" b="0"/>
            <wp:wrapNone/>
            <wp:docPr id="433" name="Picture 6" descr="Energy logo 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ergy logo 300-3.JPG"/>
                    <pic:cNvPicPr/>
                  </pic:nvPicPr>
                  <pic:blipFill>
                    <a:blip r:embed="rId80" cstate="print"/>
                    <a:stretch>
                      <a:fillRect/>
                    </a:stretch>
                  </pic:blipFill>
                  <pic:spPr>
                    <a:xfrm>
                      <a:off x="0" y="0"/>
                      <a:ext cx="1261110" cy="685800"/>
                    </a:xfrm>
                    <a:prstGeom prst="rect">
                      <a:avLst/>
                    </a:prstGeom>
                  </pic:spPr>
                </pic:pic>
              </a:graphicData>
            </a:graphic>
          </wp:anchor>
        </w:drawing>
      </w:r>
      <w:r w:rsidR="00991489" w:rsidRPr="00C90AC9">
        <w:rPr>
          <w:b/>
          <w:u w:val="single"/>
        </w:rPr>
        <w:t>Ethical Statement:</w:t>
      </w:r>
      <w:r w:rsidR="00991489" w:rsidRPr="00C90AC9">
        <w:rPr>
          <w:b/>
        </w:rPr>
        <w:t xml:space="preserve"> </w:t>
      </w:r>
      <w:r w:rsidR="00991489" w:rsidRPr="00C90AC9">
        <w:t>This research has been reviewed and approved by the University of Sheffield, Department of Psychology, Ethics Sub-Committee (DESC). Any contact details or responses that you provide will only be used in relation to the above-mentioned research project.</w:t>
      </w:r>
      <w:r w:rsidR="00991489" w:rsidRPr="00C90AC9">
        <w:rPr>
          <w:noProof/>
        </w:rPr>
        <w:drawing>
          <wp:anchor distT="0" distB="0" distL="114300" distR="114300" simplePos="0" relativeHeight="251916288" behindDoc="1" locked="0" layoutInCell="1" allowOverlap="1" wp14:anchorId="47D459B5" wp14:editId="388253EA">
            <wp:simplePos x="0" y="0"/>
            <wp:positionH relativeFrom="column">
              <wp:posOffset>4042410</wp:posOffset>
            </wp:positionH>
            <wp:positionV relativeFrom="paragraph">
              <wp:posOffset>8077200</wp:posOffset>
            </wp:positionV>
            <wp:extent cx="1261110" cy="594360"/>
            <wp:effectExtent l="19050" t="0" r="0" b="0"/>
            <wp:wrapNone/>
            <wp:docPr id="481" name="Picture 8" descr="Uo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oS Logo.JPG"/>
                    <pic:cNvPicPr/>
                  </pic:nvPicPr>
                  <pic:blipFill>
                    <a:blip r:embed="rId78" cstate="print"/>
                    <a:srcRect l="4456" t="5357" r="22816" b="8036"/>
                    <a:stretch>
                      <a:fillRect/>
                    </a:stretch>
                  </pic:blipFill>
                  <pic:spPr>
                    <a:xfrm>
                      <a:off x="0" y="0"/>
                      <a:ext cx="1261110" cy="594360"/>
                    </a:xfrm>
                    <a:prstGeom prst="rect">
                      <a:avLst/>
                    </a:prstGeom>
                  </pic:spPr>
                </pic:pic>
              </a:graphicData>
            </a:graphic>
          </wp:anchor>
        </w:drawing>
      </w:r>
      <w:r w:rsidR="00991489" w:rsidRPr="00C90AC9">
        <w:rPr>
          <w:noProof/>
        </w:rPr>
        <w:drawing>
          <wp:anchor distT="0" distB="0" distL="114300" distR="114300" simplePos="0" relativeHeight="251915264" behindDoc="1" locked="0" layoutInCell="1" allowOverlap="1" wp14:anchorId="7ADA05B5" wp14:editId="1919D875">
            <wp:simplePos x="0" y="0"/>
            <wp:positionH relativeFrom="column">
              <wp:posOffset>2609850</wp:posOffset>
            </wp:positionH>
            <wp:positionV relativeFrom="paragraph">
              <wp:posOffset>7901940</wp:posOffset>
            </wp:positionV>
            <wp:extent cx="704850" cy="830580"/>
            <wp:effectExtent l="19050" t="0" r="0" b="0"/>
            <wp:wrapNone/>
            <wp:docPr id="482" name="Picture 7" descr="logo large bmp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arge bmp (1).bmp"/>
                    <pic:cNvPicPr/>
                  </pic:nvPicPr>
                  <pic:blipFill>
                    <a:blip r:embed="rId79" cstate="print"/>
                    <a:stretch>
                      <a:fillRect/>
                    </a:stretch>
                  </pic:blipFill>
                  <pic:spPr>
                    <a:xfrm>
                      <a:off x="0" y="0"/>
                      <a:ext cx="704850" cy="830580"/>
                    </a:xfrm>
                    <a:prstGeom prst="rect">
                      <a:avLst/>
                    </a:prstGeom>
                  </pic:spPr>
                </pic:pic>
              </a:graphicData>
            </a:graphic>
          </wp:anchor>
        </w:drawing>
      </w:r>
      <w:r w:rsidR="00991489" w:rsidRPr="00C90AC9">
        <w:rPr>
          <w:noProof/>
        </w:rPr>
        <w:drawing>
          <wp:anchor distT="0" distB="0" distL="114300" distR="114300" simplePos="0" relativeHeight="251914240" behindDoc="1" locked="0" layoutInCell="1" allowOverlap="1" wp14:anchorId="0F91C2F8" wp14:editId="65F15BFD">
            <wp:simplePos x="0" y="0"/>
            <wp:positionH relativeFrom="column">
              <wp:posOffset>712470</wp:posOffset>
            </wp:positionH>
            <wp:positionV relativeFrom="paragraph">
              <wp:posOffset>8046720</wp:posOffset>
            </wp:positionV>
            <wp:extent cx="1261110" cy="685800"/>
            <wp:effectExtent l="19050" t="0" r="0" b="0"/>
            <wp:wrapNone/>
            <wp:docPr id="483" name="Picture 6" descr="Energy logo 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ergy logo 300-3.JPG"/>
                    <pic:cNvPicPr/>
                  </pic:nvPicPr>
                  <pic:blipFill>
                    <a:blip r:embed="rId80" cstate="print"/>
                    <a:stretch>
                      <a:fillRect/>
                    </a:stretch>
                  </pic:blipFill>
                  <pic:spPr>
                    <a:xfrm>
                      <a:off x="0" y="0"/>
                      <a:ext cx="1261110" cy="685800"/>
                    </a:xfrm>
                    <a:prstGeom prst="rect">
                      <a:avLst/>
                    </a:prstGeom>
                  </pic:spPr>
                </pic:pic>
              </a:graphicData>
            </a:graphic>
          </wp:anchor>
        </w:drawing>
      </w:r>
    </w:p>
    <w:p w:rsidR="00991489" w:rsidRPr="00C90AC9" w:rsidRDefault="00474871" w:rsidP="00B06779">
      <w:pPr>
        <w:pStyle w:val="BodyText"/>
        <w:rPr>
          <w:rStyle w:val="SubtleEmphasis"/>
          <w:rFonts w:cs="Times New Roman"/>
          <w:iCs/>
          <w:sz w:val="24"/>
          <w:szCs w:val="24"/>
        </w:rPr>
      </w:pPr>
      <w:r w:rsidRPr="00C90AC9">
        <w:rPr>
          <w:rStyle w:val="SubtleEmphasis"/>
          <w:rFonts w:cs="Times New Roman"/>
          <w:iCs/>
          <w:sz w:val="24"/>
          <w:szCs w:val="24"/>
        </w:rPr>
        <w:lastRenderedPageBreak/>
        <w:t>7.18</w:t>
      </w:r>
      <w:r w:rsidR="00991489" w:rsidRPr="00C90AC9">
        <w:rPr>
          <w:rStyle w:val="SubtleEmphasis"/>
          <w:rFonts w:cs="Times New Roman"/>
          <w:iCs/>
          <w:sz w:val="24"/>
          <w:szCs w:val="24"/>
        </w:rPr>
        <w:t>. Debrief Sheet</w:t>
      </w:r>
      <w:r w:rsidR="004B6496" w:rsidRPr="00C90AC9">
        <w:rPr>
          <w:rStyle w:val="SubtleEmphasis"/>
          <w:rFonts w:cs="Times New Roman"/>
          <w:iCs/>
          <w:sz w:val="24"/>
          <w:szCs w:val="24"/>
        </w:rPr>
        <w:t xml:space="preserve"> used in focus groups</w:t>
      </w:r>
    </w:p>
    <w:p w:rsidR="00991489" w:rsidRPr="00C90AC9" w:rsidRDefault="00991489" w:rsidP="006D39FA">
      <w:pPr>
        <w:pStyle w:val="Heading3"/>
        <w:jc w:val="center"/>
        <w:rPr>
          <w:rFonts w:ascii="Times New Roman" w:hAnsi="Times New Roman" w:cs="Times New Roman"/>
          <w:color w:val="auto"/>
        </w:rPr>
      </w:pPr>
      <w:r w:rsidRPr="00C90AC9">
        <w:rPr>
          <w:rFonts w:ascii="Times New Roman" w:hAnsi="Times New Roman" w:cs="Times New Roman"/>
          <w:color w:val="auto"/>
        </w:rPr>
        <w:t>Attitudes to Solar Thermal Panels</w:t>
      </w:r>
    </w:p>
    <w:p w:rsidR="00991489" w:rsidRPr="00C90AC9" w:rsidRDefault="00991489" w:rsidP="00B06779">
      <w:pPr>
        <w:pStyle w:val="BodyTextFirstIndent"/>
      </w:pPr>
      <w:r w:rsidRPr="00C90AC9">
        <w:t xml:space="preserve">Thank you for participating in today’s focus group. Your responses will help in understanding people’s opinions of solar thermal panels and some issues surrounding them. More effective solar thermal panels can then be designed which will ultimately mean the systems are more efficient. If you have any question concerning this focus group, or any of the issues that were raised, please do not hesitate to contact either James or Chris with your questions. </w:t>
      </w:r>
    </w:p>
    <w:tbl>
      <w:tblPr>
        <w:tblW w:w="9072" w:type="dxa"/>
        <w:tblLook w:val="01E0" w:firstRow="1" w:lastRow="1" w:firstColumn="1" w:lastColumn="1" w:noHBand="0" w:noVBand="0"/>
      </w:tblPr>
      <w:tblGrid>
        <w:gridCol w:w="4320"/>
        <w:gridCol w:w="720"/>
        <w:gridCol w:w="4032"/>
      </w:tblGrid>
      <w:tr w:rsidR="00991489" w:rsidRPr="00C90AC9" w:rsidTr="00933256">
        <w:tc>
          <w:tcPr>
            <w:tcW w:w="4320" w:type="dxa"/>
            <w:tcBorders>
              <w:bottom w:val="single" w:sz="4" w:space="0" w:color="auto"/>
            </w:tcBorders>
            <w:shd w:val="clear" w:color="auto" w:fill="E6E6E6"/>
          </w:tcPr>
          <w:p w:rsidR="00991489" w:rsidRPr="00C90AC9" w:rsidRDefault="00991489" w:rsidP="00B06779">
            <w:r w:rsidRPr="00C90AC9">
              <w:t>James Williams</w:t>
            </w:r>
          </w:p>
        </w:tc>
        <w:tc>
          <w:tcPr>
            <w:tcW w:w="720" w:type="dxa"/>
            <w:shd w:val="clear" w:color="auto" w:fill="auto"/>
          </w:tcPr>
          <w:p w:rsidR="00991489" w:rsidRPr="00C90AC9" w:rsidRDefault="00991489" w:rsidP="00B06779"/>
        </w:tc>
        <w:tc>
          <w:tcPr>
            <w:tcW w:w="4032" w:type="dxa"/>
            <w:tcBorders>
              <w:bottom w:val="single" w:sz="4" w:space="0" w:color="auto"/>
            </w:tcBorders>
            <w:shd w:val="clear" w:color="auto" w:fill="E6E6E6"/>
          </w:tcPr>
          <w:p w:rsidR="00991489" w:rsidRPr="00C90AC9" w:rsidRDefault="00991489" w:rsidP="00B06779">
            <w:proofErr w:type="spellStart"/>
            <w:r w:rsidRPr="00C90AC9">
              <w:t>Dr.</w:t>
            </w:r>
            <w:proofErr w:type="spellEnd"/>
            <w:r w:rsidRPr="00C90AC9">
              <w:t xml:space="preserve"> Chris Jones</w:t>
            </w:r>
          </w:p>
        </w:tc>
      </w:tr>
      <w:tr w:rsidR="00991489" w:rsidRPr="00C90AC9" w:rsidTr="00933256">
        <w:tc>
          <w:tcPr>
            <w:tcW w:w="4320" w:type="dxa"/>
            <w:tcBorders>
              <w:top w:val="single" w:sz="4" w:space="0" w:color="auto"/>
            </w:tcBorders>
            <w:shd w:val="clear" w:color="auto" w:fill="auto"/>
          </w:tcPr>
          <w:p w:rsidR="00991489" w:rsidRPr="00C90AC9" w:rsidRDefault="00991489" w:rsidP="00B06779"/>
        </w:tc>
        <w:tc>
          <w:tcPr>
            <w:tcW w:w="720" w:type="dxa"/>
            <w:shd w:val="clear" w:color="auto" w:fill="auto"/>
          </w:tcPr>
          <w:p w:rsidR="00991489" w:rsidRPr="00C90AC9" w:rsidRDefault="00991489" w:rsidP="00B06779"/>
        </w:tc>
        <w:tc>
          <w:tcPr>
            <w:tcW w:w="4032" w:type="dxa"/>
            <w:tcBorders>
              <w:top w:val="single" w:sz="4" w:space="0" w:color="auto"/>
            </w:tcBorders>
            <w:shd w:val="clear" w:color="auto" w:fill="auto"/>
          </w:tcPr>
          <w:p w:rsidR="00991489" w:rsidRPr="00C90AC9" w:rsidRDefault="00991489" w:rsidP="00B06779"/>
        </w:tc>
      </w:tr>
      <w:tr w:rsidR="00991489" w:rsidRPr="00C90AC9" w:rsidTr="00933256">
        <w:tc>
          <w:tcPr>
            <w:tcW w:w="4320" w:type="dxa"/>
            <w:shd w:val="clear" w:color="auto" w:fill="auto"/>
          </w:tcPr>
          <w:p w:rsidR="00991489" w:rsidRPr="00C90AC9" w:rsidRDefault="00991489" w:rsidP="00B06779">
            <w:pPr>
              <w:rPr>
                <w:rFonts w:cs="Times New Roman"/>
                <w:b/>
                <w:szCs w:val="24"/>
              </w:rPr>
            </w:pPr>
            <w:r w:rsidRPr="00C90AC9">
              <w:rPr>
                <w:rStyle w:val="apple-style-span"/>
                <w:rFonts w:cs="Times New Roman"/>
                <w:b/>
                <w:color w:val="000000"/>
                <w:szCs w:val="24"/>
              </w:rPr>
              <w:t xml:space="preserve">Email: </w:t>
            </w:r>
            <w:r w:rsidR="00C80892" w:rsidRPr="00C90AC9">
              <w:rPr>
                <w:rFonts w:cs="Times New Roman"/>
                <w:b/>
                <w:szCs w:val="24"/>
              </w:rPr>
              <w:t>j.p.r.williams@sheffield.ac.uk</w:t>
            </w:r>
          </w:p>
        </w:tc>
        <w:tc>
          <w:tcPr>
            <w:tcW w:w="720" w:type="dxa"/>
            <w:shd w:val="clear" w:color="auto" w:fill="auto"/>
          </w:tcPr>
          <w:p w:rsidR="00991489" w:rsidRPr="00C90AC9" w:rsidRDefault="00991489" w:rsidP="00B06779"/>
        </w:tc>
        <w:tc>
          <w:tcPr>
            <w:tcW w:w="4032" w:type="dxa"/>
            <w:shd w:val="clear" w:color="auto" w:fill="auto"/>
          </w:tcPr>
          <w:p w:rsidR="00991489" w:rsidRPr="00C90AC9" w:rsidRDefault="00991489" w:rsidP="00B06779">
            <w:pPr>
              <w:rPr>
                <w:rFonts w:cs="Times New Roman"/>
                <w:b/>
                <w:szCs w:val="24"/>
              </w:rPr>
            </w:pPr>
            <w:r w:rsidRPr="00C90AC9">
              <w:rPr>
                <w:rFonts w:cs="Times New Roman"/>
                <w:b/>
                <w:szCs w:val="24"/>
              </w:rPr>
              <w:t xml:space="preserve">Email: </w:t>
            </w:r>
            <w:r w:rsidR="00C80892" w:rsidRPr="00C90AC9">
              <w:rPr>
                <w:rFonts w:cs="Times New Roman"/>
                <w:b/>
                <w:szCs w:val="24"/>
              </w:rPr>
              <w:t>c.r.jones@shef.ac.uk</w:t>
            </w:r>
          </w:p>
        </w:tc>
      </w:tr>
      <w:tr w:rsidR="00991489" w:rsidRPr="00C90AC9" w:rsidTr="00933256">
        <w:trPr>
          <w:trHeight w:val="608"/>
        </w:trPr>
        <w:tc>
          <w:tcPr>
            <w:tcW w:w="4320" w:type="dxa"/>
            <w:tcBorders>
              <w:bottom w:val="single" w:sz="4" w:space="0" w:color="auto"/>
            </w:tcBorders>
            <w:shd w:val="clear" w:color="auto" w:fill="auto"/>
          </w:tcPr>
          <w:p w:rsidR="00991489" w:rsidRPr="00C90AC9" w:rsidRDefault="00991489" w:rsidP="00B06779">
            <w:r w:rsidRPr="00C90AC9">
              <w:t>Tel: 0114 222 7820</w:t>
            </w:r>
          </w:p>
        </w:tc>
        <w:tc>
          <w:tcPr>
            <w:tcW w:w="720" w:type="dxa"/>
            <w:shd w:val="clear" w:color="auto" w:fill="auto"/>
          </w:tcPr>
          <w:p w:rsidR="00991489" w:rsidRPr="00C90AC9" w:rsidRDefault="00991489" w:rsidP="00B06779"/>
          <w:p w:rsidR="00991489" w:rsidRPr="00C90AC9" w:rsidRDefault="00991489" w:rsidP="00B06779"/>
        </w:tc>
        <w:tc>
          <w:tcPr>
            <w:tcW w:w="4032" w:type="dxa"/>
            <w:tcBorders>
              <w:bottom w:val="single" w:sz="4" w:space="0" w:color="auto"/>
            </w:tcBorders>
            <w:shd w:val="clear" w:color="auto" w:fill="auto"/>
          </w:tcPr>
          <w:p w:rsidR="00991489" w:rsidRPr="00C90AC9" w:rsidRDefault="00991489" w:rsidP="00B06779">
            <w:r w:rsidRPr="00C90AC9">
              <w:t>Tel: 0114 222 6592</w:t>
            </w:r>
          </w:p>
          <w:p w:rsidR="00991489" w:rsidRPr="00C90AC9" w:rsidRDefault="00991489" w:rsidP="00B06779"/>
        </w:tc>
      </w:tr>
    </w:tbl>
    <w:p w:rsidR="00991489" w:rsidRPr="00C90AC9" w:rsidRDefault="00991489" w:rsidP="00B06779"/>
    <w:p w:rsidR="00991489" w:rsidRPr="00C90AC9" w:rsidRDefault="00991489" w:rsidP="00BF635E">
      <w:pPr>
        <w:pStyle w:val="Heading4"/>
        <w:jc w:val="left"/>
        <w:rPr>
          <w:color w:val="auto"/>
        </w:rPr>
      </w:pPr>
      <w:r w:rsidRPr="00C90AC9">
        <w:rPr>
          <w:color w:val="auto"/>
        </w:rPr>
        <w:t>Some useful websites:</w:t>
      </w:r>
    </w:p>
    <w:p w:rsidR="00991489" w:rsidRPr="00C90AC9" w:rsidRDefault="00991489" w:rsidP="00BF635E">
      <w:pPr>
        <w:pStyle w:val="Heading2"/>
        <w:jc w:val="left"/>
        <w:rPr>
          <w:sz w:val="24"/>
        </w:rPr>
      </w:pPr>
      <w:r w:rsidRPr="00C90AC9">
        <w:rPr>
          <w:sz w:val="24"/>
        </w:rPr>
        <w:t xml:space="preserve">For more information about </w:t>
      </w:r>
      <w:r w:rsidRPr="00C90AC9">
        <w:rPr>
          <w:b/>
          <w:sz w:val="24"/>
        </w:rPr>
        <w:t>The University of Sheffield,</w:t>
      </w:r>
      <w:r w:rsidRPr="00C90AC9">
        <w:rPr>
          <w:sz w:val="24"/>
        </w:rPr>
        <w:t xml:space="preserve"> please visit: </w:t>
      </w:r>
      <w:r w:rsidR="00C80892" w:rsidRPr="00C90AC9">
        <w:rPr>
          <w:sz w:val="24"/>
        </w:rPr>
        <w:t>http://www.shef.ac.uk</w:t>
      </w:r>
    </w:p>
    <w:p w:rsidR="00991489" w:rsidRPr="00C90AC9" w:rsidRDefault="00991489" w:rsidP="00BF635E">
      <w:pPr>
        <w:pStyle w:val="Heading2"/>
        <w:jc w:val="left"/>
        <w:rPr>
          <w:sz w:val="24"/>
        </w:rPr>
      </w:pPr>
      <w:r w:rsidRPr="00C90AC9">
        <w:rPr>
          <w:sz w:val="24"/>
        </w:rPr>
        <w:t xml:space="preserve">For more information about </w:t>
      </w:r>
      <w:r w:rsidRPr="00C90AC9">
        <w:rPr>
          <w:b/>
          <w:sz w:val="24"/>
        </w:rPr>
        <w:t>E-Futures</w:t>
      </w:r>
      <w:r w:rsidRPr="00C90AC9">
        <w:rPr>
          <w:sz w:val="24"/>
        </w:rPr>
        <w:t xml:space="preserve">, please visit: </w:t>
      </w:r>
      <w:r w:rsidR="00C80892" w:rsidRPr="00C90AC9">
        <w:rPr>
          <w:sz w:val="24"/>
        </w:rPr>
        <w:t>http://e-futures.group.shef.ac.uk/page/home</w:t>
      </w:r>
    </w:p>
    <w:p w:rsidR="00991489" w:rsidRPr="00C90AC9" w:rsidRDefault="00991489" w:rsidP="00BF635E">
      <w:pPr>
        <w:jc w:val="left"/>
        <w:rPr>
          <w:szCs w:val="24"/>
        </w:rPr>
      </w:pPr>
      <w:r w:rsidRPr="00C90AC9">
        <w:rPr>
          <w:szCs w:val="24"/>
        </w:rPr>
        <w:t xml:space="preserve">For more information about </w:t>
      </w:r>
      <w:r w:rsidRPr="00C90AC9">
        <w:rPr>
          <w:b/>
          <w:szCs w:val="24"/>
        </w:rPr>
        <w:t>solar thermal panels</w:t>
      </w:r>
      <w:r w:rsidRPr="00C90AC9">
        <w:rPr>
          <w:szCs w:val="24"/>
        </w:rPr>
        <w:t xml:space="preserve">, please visit: </w:t>
      </w:r>
      <w:r w:rsidR="00C80892" w:rsidRPr="00C90AC9">
        <w:rPr>
          <w:rFonts w:cs="Times New Roman"/>
          <w:szCs w:val="24"/>
        </w:rPr>
        <w:t>http://www.energysavingtrust.org.uk</w:t>
      </w:r>
    </w:p>
    <w:p w:rsidR="00991489" w:rsidRPr="00C90AC9" w:rsidRDefault="00C80892" w:rsidP="00BF635E">
      <w:pPr>
        <w:jc w:val="left"/>
        <w:rPr>
          <w:rFonts w:cs="Times New Roman"/>
          <w:szCs w:val="24"/>
        </w:rPr>
      </w:pPr>
      <w:r w:rsidRPr="00C90AC9">
        <w:rPr>
          <w:rFonts w:cs="Times New Roman"/>
          <w:szCs w:val="24"/>
        </w:rPr>
        <w:t>http://www.decc.gov.uk</w:t>
      </w:r>
    </w:p>
    <w:p w:rsidR="00991489" w:rsidRPr="00C90AC9" w:rsidRDefault="00991489" w:rsidP="00BF635E">
      <w:pPr>
        <w:jc w:val="left"/>
        <w:rPr>
          <w:szCs w:val="24"/>
        </w:rPr>
      </w:pPr>
    </w:p>
    <w:p w:rsidR="00991489" w:rsidRPr="00C90AC9" w:rsidRDefault="00991489" w:rsidP="00BF635E">
      <w:pPr>
        <w:pStyle w:val="Heading4"/>
        <w:jc w:val="left"/>
        <w:rPr>
          <w:color w:val="auto"/>
          <w:szCs w:val="24"/>
        </w:rPr>
      </w:pPr>
      <w:r w:rsidRPr="00C90AC9">
        <w:rPr>
          <w:color w:val="auto"/>
          <w:szCs w:val="24"/>
        </w:rPr>
        <w:t>Some interesting books:</w:t>
      </w:r>
    </w:p>
    <w:p w:rsidR="00991489" w:rsidRPr="00C90AC9" w:rsidRDefault="00991489" w:rsidP="00BF635E">
      <w:pPr>
        <w:pStyle w:val="Heading2"/>
        <w:jc w:val="left"/>
        <w:rPr>
          <w:color w:val="auto"/>
          <w:sz w:val="24"/>
        </w:rPr>
      </w:pPr>
      <w:r w:rsidRPr="00C90AC9">
        <w:rPr>
          <w:color w:val="auto"/>
          <w:sz w:val="24"/>
        </w:rPr>
        <w:t xml:space="preserve">Domestic Solar Energy: A Guide for the Home Owner, G. Harper, The </w:t>
      </w:r>
      <w:proofErr w:type="spellStart"/>
      <w:r w:rsidRPr="00C90AC9">
        <w:rPr>
          <w:color w:val="auto"/>
          <w:sz w:val="24"/>
        </w:rPr>
        <w:t>Crowood</w:t>
      </w:r>
      <w:proofErr w:type="spellEnd"/>
      <w:r w:rsidRPr="00C90AC9">
        <w:rPr>
          <w:color w:val="auto"/>
          <w:sz w:val="24"/>
        </w:rPr>
        <w:t xml:space="preserve"> Press Ltd, 2009</w:t>
      </w:r>
    </w:p>
    <w:p w:rsidR="00991489" w:rsidRPr="00C90AC9" w:rsidRDefault="00991489" w:rsidP="00BF635E">
      <w:pPr>
        <w:pStyle w:val="BodyText"/>
        <w:jc w:val="left"/>
        <w:rPr>
          <w:szCs w:val="24"/>
        </w:rPr>
      </w:pPr>
      <w:r w:rsidRPr="00C90AC9">
        <w:rPr>
          <w:szCs w:val="24"/>
        </w:rPr>
        <w:br/>
        <w:t>Sustainable Energy Without the Hot Air, D. MacKay, UIT, 2008</w:t>
      </w:r>
    </w:p>
    <w:p w:rsidR="00991489" w:rsidRPr="00C90AC9" w:rsidRDefault="00991489" w:rsidP="00BF635E">
      <w:pPr>
        <w:jc w:val="left"/>
        <w:rPr>
          <w:szCs w:val="24"/>
        </w:rPr>
      </w:pPr>
    </w:p>
    <w:p w:rsidR="00991489" w:rsidRPr="00C90AC9" w:rsidRDefault="00991489" w:rsidP="00BF635E">
      <w:pPr>
        <w:pStyle w:val="Heading2"/>
        <w:jc w:val="left"/>
        <w:rPr>
          <w:sz w:val="24"/>
        </w:rPr>
      </w:pPr>
      <w:r w:rsidRPr="00C90AC9">
        <w:rPr>
          <w:sz w:val="24"/>
        </w:rPr>
        <w:t xml:space="preserve">Renewable Energy-A User’s Guide, A. McCrea, The </w:t>
      </w:r>
      <w:proofErr w:type="spellStart"/>
      <w:r w:rsidRPr="00C90AC9">
        <w:rPr>
          <w:sz w:val="24"/>
        </w:rPr>
        <w:t>Crowood</w:t>
      </w:r>
      <w:proofErr w:type="spellEnd"/>
      <w:r w:rsidRPr="00C90AC9">
        <w:rPr>
          <w:sz w:val="24"/>
        </w:rPr>
        <w:t xml:space="preserve"> Press Ltd, 2008</w:t>
      </w:r>
    </w:p>
    <w:p w:rsidR="009F32A7" w:rsidRPr="00C90AC9" w:rsidRDefault="009F32A7" w:rsidP="00B06779">
      <w:pPr>
        <w:rPr>
          <w:rFonts w:eastAsiaTheme="minorHAnsi"/>
          <w:color w:val="0D0D0D" w:themeColor="text1" w:themeTint="F2"/>
          <w:spacing w:val="5"/>
          <w:kern w:val="28"/>
          <w:lang w:eastAsia="en-US"/>
        </w:rPr>
      </w:pPr>
      <w:r w:rsidRPr="00C90AC9">
        <w:rPr>
          <w:noProof/>
        </w:rPr>
        <w:drawing>
          <wp:anchor distT="0" distB="0" distL="114300" distR="114300" simplePos="0" relativeHeight="251919360" behindDoc="1" locked="0" layoutInCell="1" allowOverlap="1" wp14:anchorId="7762E614" wp14:editId="2821800F">
            <wp:simplePos x="0" y="0"/>
            <wp:positionH relativeFrom="column">
              <wp:posOffset>3476625</wp:posOffset>
            </wp:positionH>
            <wp:positionV relativeFrom="paragraph">
              <wp:posOffset>424815</wp:posOffset>
            </wp:positionV>
            <wp:extent cx="1257300" cy="590550"/>
            <wp:effectExtent l="0" t="0" r="0" b="0"/>
            <wp:wrapNone/>
            <wp:docPr id="484" name="Picture 8" descr="Uo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oS Logo.JPG"/>
                    <pic:cNvPicPr/>
                  </pic:nvPicPr>
                  <pic:blipFill>
                    <a:blip r:embed="rId81" cstate="print"/>
                    <a:srcRect l="4456" t="5357" r="22816" b="8036"/>
                    <a:stretch>
                      <a:fillRect/>
                    </a:stretch>
                  </pic:blipFill>
                  <pic:spPr>
                    <a:xfrm>
                      <a:off x="0" y="0"/>
                      <a:ext cx="1257300" cy="590550"/>
                    </a:xfrm>
                    <a:prstGeom prst="rect">
                      <a:avLst/>
                    </a:prstGeom>
                  </pic:spPr>
                </pic:pic>
              </a:graphicData>
            </a:graphic>
          </wp:anchor>
        </w:drawing>
      </w:r>
      <w:r w:rsidRPr="00C90AC9">
        <w:rPr>
          <w:noProof/>
        </w:rPr>
        <w:drawing>
          <wp:anchor distT="0" distB="0" distL="114300" distR="114300" simplePos="0" relativeHeight="251920384" behindDoc="1" locked="0" layoutInCell="1" allowOverlap="1" wp14:anchorId="283A7D6B" wp14:editId="66EA2DA9">
            <wp:simplePos x="0" y="0"/>
            <wp:positionH relativeFrom="column">
              <wp:posOffset>2200275</wp:posOffset>
            </wp:positionH>
            <wp:positionV relativeFrom="paragraph">
              <wp:posOffset>177165</wp:posOffset>
            </wp:positionV>
            <wp:extent cx="704850" cy="828675"/>
            <wp:effectExtent l="0" t="0" r="0" b="9525"/>
            <wp:wrapNone/>
            <wp:docPr id="485" name="Picture 7" descr="logo large bmp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arge bmp (1).bmp"/>
                    <pic:cNvPicPr/>
                  </pic:nvPicPr>
                  <pic:blipFill>
                    <a:blip r:embed="rId79" cstate="print"/>
                    <a:stretch>
                      <a:fillRect/>
                    </a:stretch>
                  </pic:blipFill>
                  <pic:spPr>
                    <a:xfrm>
                      <a:off x="0" y="0"/>
                      <a:ext cx="704850" cy="828675"/>
                    </a:xfrm>
                    <a:prstGeom prst="rect">
                      <a:avLst/>
                    </a:prstGeom>
                  </pic:spPr>
                </pic:pic>
              </a:graphicData>
            </a:graphic>
          </wp:anchor>
        </w:drawing>
      </w:r>
      <w:r w:rsidRPr="00C90AC9">
        <w:rPr>
          <w:noProof/>
        </w:rPr>
        <w:drawing>
          <wp:anchor distT="0" distB="0" distL="114300" distR="114300" simplePos="0" relativeHeight="251918336" behindDoc="1" locked="0" layoutInCell="1" allowOverlap="1" wp14:anchorId="40E6AAA6" wp14:editId="6C2D7E9D">
            <wp:simplePos x="0" y="0"/>
            <wp:positionH relativeFrom="column">
              <wp:posOffset>533400</wp:posOffset>
            </wp:positionH>
            <wp:positionV relativeFrom="paragraph">
              <wp:posOffset>329565</wp:posOffset>
            </wp:positionV>
            <wp:extent cx="1257300" cy="685800"/>
            <wp:effectExtent l="0" t="0" r="0" b="0"/>
            <wp:wrapNone/>
            <wp:docPr id="486" name="Picture 6" descr="Energy logo 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ergy logo 300-3.JPG"/>
                    <pic:cNvPicPr/>
                  </pic:nvPicPr>
                  <pic:blipFill>
                    <a:blip r:embed="rId82" cstate="print"/>
                    <a:stretch>
                      <a:fillRect/>
                    </a:stretch>
                  </pic:blipFill>
                  <pic:spPr>
                    <a:xfrm>
                      <a:off x="0" y="0"/>
                      <a:ext cx="1257300" cy="685800"/>
                    </a:xfrm>
                    <a:prstGeom prst="rect">
                      <a:avLst/>
                    </a:prstGeom>
                  </pic:spPr>
                </pic:pic>
              </a:graphicData>
            </a:graphic>
          </wp:anchor>
        </w:drawing>
      </w:r>
      <w:r w:rsidRPr="00C90AC9">
        <w:rPr>
          <w:rFonts w:eastAsiaTheme="minorHAnsi"/>
        </w:rPr>
        <w:br w:type="page"/>
      </w:r>
    </w:p>
    <w:p w:rsidR="008E49B0" w:rsidRPr="00C90AC9" w:rsidRDefault="00991489" w:rsidP="00BF635E">
      <w:pPr>
        <w:pStyle w:val="Title"/>
        <w:rPr>
          <w:rFonts w:eastAsiaTheme="minorHAnsi"/>
        </w:rPr>
      </w:pPr>
      <w:r w:rsidRPr="00C90AC9">
        <w:rPr>
          <w:rFonts w:eastAsiaTheme="minorHAnsi"/>
        </w:rPr>
        <w:lastRenderedPageBreak/>
        <w:t>References</w:t>
      </w:r>
    </w:p>
    <w:p w:rsidR="00337B41" w:rsidRPr="00C90AC9" w:rsidRDefault="002C4A30" w:rsidP="00337B41">
      <w:pPr>
        <w:pStyle w:val="EndNoteBibliography"/>
        <w:spacing w:after="0"/>
        <w:ind w:left="720" w:hanging="720"/>
        <w:rPr>
          <w:noProof w:val="0"/>
        </w:rPr>
      </w:pPr>
      <w:r w:rsidRPr="00C90AC9">
        <w:rPr>
          <w:noProof w:val="0"/>
        </w:rPr>
        <w:fldChar w:fldCharType="begin"/>
      </w:r>
      <w:r w:rsidRPr="00C90AC9">
        <w:rPr>
          <w:noProof w:val="0"/>
        </w:rPr>
        <w:instrText xml:space="preserve"> ADDIN EN.REFLIST </w:instrText>
      </w:r>
      <w:r w:rsidRPr="00C90AC9">
        <w:rPr>
          <w:noProof w:val="0"/>
        </w:rPr>
        <w:fldChar w:fldCharType="separate"/>
      </w:r>
      <w:r w:rsidR="00337B41" w:rsidRPr="00C90AC9">
        <w:rPr>
          <w:noProof w:val="0"/>
        </w:rPr>
        <w:t>Abras, C., D. Maloney-Krichmar</w:t>
      </w:r>
      <w:r w:rsidR="007B44F9" w:rsidRPr="00C90AC9">
        <w:rPr>
          <w:noProof w:val="0"/>
        </w:rPr>
        <w:t>,</w:t>
      </w:r>
      <w:r w:rsidR="00337B41" w:rsidRPr="00C90AC9">
        <w:rPr>
          <w:noProof w:val="0"/>
        </w:rPr>
        <w:t xml:space="preserve"> &amp; Preece, J. (2004). </w:t>
      </w:r>
      <w:r w:rsidR="00337B41" w:rsidRPr="00C90AC9">
        <w:rPr>
          <w:i/>
          <w:noProof w:val="0"/>
        </w:rPr>
        <w:t>User-centered design</w:t>
      </w:r>
      <w:r w:rsidR="00337B41" w:rsidRPr="00C90AC9">
        <w:rPr>
          <w:noProof w:val="0"/>
        </w:rPr>
        <w:t xml:space="preserve"> (4 ed.): Thousand Oaks: Sage Publications.</w:t>
      </w:r>
    </w:p>
    <w:p w:rsidR="00337B41" w:rsidRPr="00C90AC9" w:rsidRDefault="00337B41" w:rsidP="00337B41">
      <w:pPr>
        <w:pStyle w:val="EndNoteBibliography"/>
        <w:spacing w:after="0"/>
        <w:ind w:left="720" w:hanging="720"/>
        <w:rPr>
          <w:noProof w:val="0"/>
        </w:rPr>
      </w:pPr>
      <w:r w:rsidRPr="00C90AC9">
        <w:rPr>
          <w:noProof w:val="0"/>
        </w:rPr>
        <w:t xml:space="preserve">Abu-Bakar, S. H., </w:t>
      </w:r>
      <w:r w:rsidR="007B44F9" w:rsidRPr="00C90AC9">
        <w:rPr>
          <w:noProof w:val="0"/>
        </w:rPr>
        <w:t>et al</w:t>
      </w:r>
      <w:r w:rsidRPr="00C90AC9">
        <w:rPr>
          <w:noProof w:val="0"/>
        </w:rPr>
        <w:t xml:space="preserve">. (2013). Is Renewable Heat Incentive the future? </w:t>
      </w:r>
      <w:r w:rsidRPr="00C90AC9">
        <w:rPr>
          <w:i/>
          <w:noProof w:val="0"/>
        </w:rPr>
        <w:t>Renewable and Sustainable Energy Reviews, 26</w:t>
      </w:r>
      <w:r w:rsidRPr="00C90AC9">
        <w:rPr>
          <w:noProof w:val="0"/>
        </w:rPr>
        <w:t xml:space="preserve">, p. 365-378. </w:t>
      </w:r>
    </w:p>
    <w:p w:rsidR="00337B41" w:rsidRPr="00C90AC9" w:rsidRDefault="00337B41" w:rsidP="00337B41">
      <w:pPr>
        <w:pStyle w:val="EndNoteBibliography"/>
        <w:spacing w:after="0"/>
        <w:ind w:left="720" w:hanging="720"/>
        <w:rPr>
          <w:noProof w:val="0"/>
        </w:rPr>
      </w:pPr>
      <w:r w:rsidRPr="00C90AC9">
        <w:rPr>
          <w:noProof w:val="0"/>
        </w:rPr>
        <w:t xml:space="preserve">Adams, P., Farrell, M., Dalgarno, B., &amp; Oczkowski, E. (2017). Household Adoption of Technology: The Case of High-Speed Broadband Adoption in Australia. </w:t>
      </w:r>
      <w:r w:rsidRPr="00C90AC9">
        <w:rPr>
          <w:i/>
          <w:noProof w:val="0"/>
        </w:rPr>
        <w:t>Technology in Society, 49</w:t>
      </w:r>
      <w:r w:rsidRPr="00C90AC9">
        <w:rPr>
          <w:noProof w:val="0"/>
        </w:rPr>
        <w:t xml:space="preserve">, 37-47. </w:t>
      </w:r>
    </w:p>
    <w:p w:rsidR="00337B41" w:rsidRPr="00C90AC9" w:rsidRDefault="00337B41" w:rsidP="00337B41">
      <w:pPr>
        <w:pStyle w:val="EndNoteBibliography"/>
        <w:spacing w:after="0"/>
        <w:ind w:left="720" w:hanging="720"/>
        <w:rPr>
          <w:noProof w:val="0"/>
        </w:rPr>
      </w:pPr>
      <w:r w:rsidRPr="00C90AC9">
        <w:rPr>
          <w:noProof w:val="0"/>
        </w:rPr>
        <w:t xml:space="preserve">Agency, I. E. </w:t>
      </w:r>
      <w:r w:rsidRPr="00C90AC9">
        <w:rPr>
          <w:i/>
          <w:noProof w:val="0"/>
        </w:rPr>
        <w:t>World Energy Outlook 2015: in World Energy Report 2015</w:t>
      </w:r>
      <w:r w:rsidRPr="00C90AC9">
        <w:rPr>
          <w:noProof w:val="0"/>
        </w:rPr>
        <w:t xml:space="preserve">. International Energy Agency.  </w:t>
      </w:r>
      <w:r w:rsidR="007B44F9" w:rsidRPr="00C90AC9">
        <w:rPr>
          <w:noProof w:val="0"/>
        </w:rPr>
        <w:t xml:space="preserve"> </w:t>
      </w:r>
      <w:r w:rsidRPr="00C90AC9">
        <w:rPr>
          <w:noProof w:val="0"/>
        </w:rPr>
        <w:t xml:space="preserve"> </w:t>
      </w:r>
    </w:p>
    <w:p w:rsidR="00337B41" w:rsidRPr="00C90AC9" w:rsidRDefault="00337B41" w:rsidP="00337B41">
      <w:pPr>
        <w:pStyle w:val="EndNoteBibliography"/>
        <w:spacing w:after="0"/>
        <w:ind w:left="720" w:hanging="720"/>
        <w:rPr>
          <w:noProof w:val="0"/>
        </w:rPr>
      </w:pPr>
      <w:r w:rsidRPr="00C90AC9">
        <w:rPr>
          <w:noProof w:val="0"/>
        </w:rPr>
        <w:t xml:space="preserve">Agency, I. E. (2015). </w:t>
      </w:r>
      <w:r w:rsidRPr="00C90AC9">
        <w:rPr>
          <w:i/>
          <w:noProof w:val="0"/>
        </w:rPr>
        <w:t>I.E.A. World Energy Outlook 2015</w:t>
      </w:r>
      <w:r w:rsidRPr="00C90AC9">
        <w:rPr>
          <w:noProof w:val="0"/>
        </w:rPr>
        <w:t xml:space="preserve">.  </w:t>
      </w:r>
      <w:r w:rsidR="007B44F9" w:rsidRPr="00C90AC9">
        <w:rPr>
          <w:noProof w:val="0"/>
        </w:rPr>
        <w:t xml:space="preserve"> </w:t>
      </w:r>
      <w:r w:rsidRPr="00C90AC9">
        <w:rPr>
          <w:noProof w:val="0"/>
        </w:rPr>
        <w:t xml:space="preserve"> </w:t>
      </w:r>
    </w:p>
    <w:p w:rsidR="00337B41" w:rsidRPr="00C90AC9" w:rsidRDefault="00337B41" w:rsidP="00337B41">
      <w:pPr>
        <w:pStyle w:val="EndNoteBibliography"/>
        <w:spacing w:after="0"/>
        <w:ind w:left="720" w:hanging="720"/>
        <w:rPr>
          <w:noProof w:val="0"/>
        </w:rPr>
      </w:pPr>
      <w:r w:rsidRPr="00C90AC9">
        <w:rPr>
          <w:noProof w:val="0"/>
        </w:rPr>
        <w:t xml:space="preserve">Ajzen, I. (1991). The theory of planned behavior. </w:t>
      </w:r>
      <w:r w:rsidRPr="00C90AC9">
        <w:rPr>
          <w:i/>
          <w:noProof w:val="0"/>
        </w:rPr>
        <w:t>Organizational Behavior and Human Decision Processes, 50</w:t>
      </w:r>
      <w:r w:rsidRPr="00C90AC9">
        <w:rPr>
          <w:noProof w:val="0"/>
        </w:rPr>
        <w:t xml:space="preserve">(2), 179-211. </w:t>
      </w:r>
    </w:p>
    <w:p w:rsidR="00337B41" w:rsidRPr="00C90AC9" w:rsidRDefault="00337B41" w:rsidP="00337B41">
      <w:pPr>
        <w:pStyle w:val="EndNoteBibliography"/>
        <w:spacing w:after="0"/>
        <w:ind w:left="720" w:hanging="720"/>
        <w:rPr>
          <w:noProof w:val="0"/>
        </w:rPr>
      </w:pPr>
      <w:r w:rsidRPr="00C90AC9">
        <w:rPr>
          <w:noProof w:val="0"/>
        </w:rPr>
        <w:t xml:space="preserve">Akva. (2015). </w:t>
      </w:r>
      <w:r w:rsidRPr="00C90AC9">
        <w:rPr>
          <w:i/>
          <w:noProof w:val="0"/>
        </w:rPr>
        <w:t>Akva Solar Thermal Stores</w:t>
      </w:r>
      <w:r w:rsidRPr="00C90AC9">
        <w:rPr>
          <w:noProof w:val="0"/>
        </w:rPr>
        <w:t xml:space="preserve">. </w:t>
      </w:r>
      <w:r w:rsidR="007B44F9" w:rsidRPr="00C90AC9">
        <w:rPr>
          <w:noProof w:val="0"/>
        </w:rPr>
        <w:t xml:space="preserve"> </w:t>
      </w:r>
      <w:r w:rsidRPr="00C90AC9">
        <w:rPr>
          <w:noProof w:val="0"/>
        </w:rPr>
        <w:t xml:space="preserve"> </w:t>
      </w:r>
    </w:p>
    <w:p w:rsidR="00337B41" w:rsidRPr="00C90AC9" w:rsidRDefault="00337B41" w:rsidP="00337B41">
      <w:pPr>
        <w:pStyle w:val="EndNoteBibliography"/>
        <w:spacing w:after="0"/>
        <w:ind w:left="720" w:hanging="720"/>
        <w:rPr>
          <w:noProof w:val="0"/>
        </w:rPr>
      </w:pPr>
      <w:r w:rsidRPr="00C90AC9">
        <w:rPr>
          <w:noProof w:val="0"/>
        </w:rPr>
        <w:t xml:space="preserve">Allen, S., Hammond, G., &amp; McManus, M. (2008). </w:t>
      </w:r>
      <w:r w:rsidRPr="00C90AC9">
        <w:rPr>
          <w:i/>
          <w:noProof w:val="0"/>
        </w:rPr>
        <w:t>Prospects for and barriers to domestic micro-generation: A United Kingdom perspective</w:t>
      </w:r>
      <w:r w:rsidRPr="00C90AC9">
        <w:rPr>
          <w:noProof w:val="0"/>
        </w:rPr>
        <w:t xml:space="preserve"> (Vol. 85).</w:t>
      </w:r>
    </w:p>
    <w:p w:rsidR="00337B41" w:rsidRPr="00C90AC9" w:rsidRDefault="00337B41" w:rsidP="00337B41">
      <w:pPr>
        <w:pStyle w:val="EndNoteBibliography"/>
        <w:spacing w:after="0"/>
        <w:ind w:left="720" w:hanging="720"/>
        <w:rPr>
          <w:noProof w:val="0"/>
        </w:rPr>
      </w:pPr>
      <w:r w:rsidRPr="00C90AC9">
        <w:rPr>
          <w:noProof w:val="0"/>
        </w:rPr>
        <w:t xml:space="preserve">Allen, S. R. (2008). Prospects for and barriers to domestic micro-generation: A United Kingdom Perspective. </w:t>
      </w:r>
      <w:r w:rsidRPr="00C90AC9">
        <w:rPr>
          <w:i/>
          <w:noProof w:val="0"/>
        </w:rPr>
        <w:t>Applied Energy, 85</w:t>
      </w:r>
      <w:r w:rsidRPr="00C90AC9">
        <w:rPr>
          <w:noProof w:val="0"/>
        </w:rPr>
        <w:t xml:space="preserve">(6), p. 528-544. </w:t>
      </w:r>
    </w:p>
    <w:p w:rsidR="00337B41" w:rsidRPr="00C90AC9" w:rsidRDefault="00337B41" w:rsidP="00337B41">
      <w:pPr>
        <w:pStyle w:val="EndNoteBibliography"/>
        <w:spacing w:after="0"/>
        <w:ind w:left="720" w:hanging="720"/>
        <w:rPr>
          <w:noProof w:val="0"/>
        </w:rPr>
      </w:pPr>
      <w:r w:rsidRPr="00C90AC9">
        <w:rPr>
          <w:noProof w:val="0"/>
        </w:rPr>
        <w:t xml:space="preserve">Allen, S. R., </w:t>
      </w:r>
      <w:r w:rsidR="007B44F9" w:rsidRPr="00C90AC9">
        <w:rPr>
          <w:noProof w:val="0"/>
        </w:rPr>
        <w:t>et al</w:t>
      </w:r>
      <w:r w:rsidRPr="00C90AC9">
        <w:rPr>
          <w:noProof w:val="0"/>
        </w:rPr>
        <w:t xml:space="preserve">. (2010). Integrated appraisal of a Solar Hot Water system. </w:t>
      </w:r>
      <w:r w:rsidRPr="00C90AC9">
        <w:rPr>
          <w:i/>
          <w:noProof w:val="0"/>
        </w:rPr>
        <w:t>Energy Econmics, 35</w:t>
      </w:r>
      <w:r w:rsidRPr="00C90AC9">
        <w:rPr>
          <w:noProof w:val="0"/>
        </w:rPr>
        <w:t xml:space="preserve">(3), p. 1351-1362. </w:t>
      </w:r>
    </w:p>
    <w:p w:rsidR="00337B41" w:rsidRPr="00C90AC9" w:rsidRDefault="00337B41" w:rsidP="00337B41">
      <w:pPr>
        <w:pStyle w:val="EndNoteBibliography"/>
        <w:spacing w:after="0"/>
        <w:ind w:left="720" w:hanging="720"/>
        <w:rPr>
          <w:noProof w:val="0"/>
        </w:rPr>
      </w:pPr>
      <w:r w:rsidRPr="00C90AC9">
        <w:rPr>
          <w:noProof w:val="0"/>
        </w:rPr>
        <w:t>Ammar, A. A., A.M. Okaz</w:t>
      </w:r>
      <w:r w:rsidR="007B44F9" w:rsidRPr="00C90AC9">
        <w:rPr>
          <w:noProof w:val="0"/>
        </w:rPr>
        <w:t>,</w:t>
      </w:r>
      <w:r w:rsidRPr="00C90AC9">
        <w:rPr>
          <w:noProof w:val="0"/>
        </w:rPr>
        <w:t xml:space="preserve"> &amp; Ghoneim, A. A. (1989). Investigation of optimum parameters for solar domestic hot water system in Alexandria, Egypt. </w:t>
      </w:r>
      <w:r w:rsidRPr="00C90AC9">
        <w:rPr>
          <w:i/>
          <w:noProof w:val="0"/>
        </w:rPr>
        <w:t>Solar &amp; Wind Technology, 6</w:t>
      </w:r>
      <w:r w:rsidRPr="00C90AC9">
        <w:rPr>
          <w:noProof w:val="0"/>
        </w:rPr>
        <w:t xml:space="preserve">(5), p. 627-632. </w:t>
      </w:r>
    </w:p>
    <w:p w:rsidR="00337B41" w:rsidRPr="00C90AC9" w:rsidRDefault="00337B41" w:rsidP="00337B41">
      <w:pPr>
        <w:pStyle w:val="EndNoteBibliography"/>
        <w:spacing w:after="0"/>
        <w:ind w:left="720" w:hanging="720"/>
        <w:rPr>
          <w:noProof w:val="0"/>
        </w:rPr>
      </w:pPr>
      <w:r w:rsidRPr="00C90AC9">
        <w:rPr>
          <w:noProof w:val="0"/>
        </w:rPr>
        <w:t xml:space="preserve">Angel, S., Parent, J., Civco, D. L., Blei, A., &amp; Potere, D. (2011). The dimensions of global urban expansion: Estimates and projections for all countries, 2000–2050. </w:t>
      </w:r>
      <w:r w:rsidRPr="00C90AC9">
        <w:rPr>
          <w:i/>
          <w:noProof w:val="0"/>
        </w:rPr>
        <w:t>Progress in Planning, 75</w:t>
      </w:r>
      <w:r w:rsidRPr="00C90AC9">
        <w:rPr>
          <w:noProof w:val="0"/>
        </w:rPr>
        <w:t xml:space="preserve">(2), 53-107. </w:t>
      </w:r>
    </w:p>
    <w:p w:rsidR="00337B41" w:rsidRPr="00C90AC9" w:rsidRDefault="00337B41" w:rsidP="00337B41">
      <w:pPr>
        <w:pStyle w:val="EndNoteBibliography"/>
        <w:spacing w:after="0"/>
        <w:ind w:left="720" w:hanging="720"/>
        <w:rPr>
          <w:noProof w:val="0"/>
        </w:rPr>
      </w:pPr>
      <w:r w:rsidRPr="00C90AC9">
        <w:rPr>
          <w:noProof w:val="0"/>
        </w:rPr>
        <w:t xml:space="preserve">Ayompe, L. M., </w:t>
      </w:r>
      <w:r w:rsidR="007B44F9" w:rsidRPr="00C90AC9">
        <w:rPr>
          <w:noProof w:val="0"/>
        </w:rPr>
        <w:t>et al</w:t>
      </w:r>
      <w:r w:rsidRPr="00C90AC9">
        <w:rPr>
          <w:noProof w:val="0"/>
        </w:rPr>
        <w:t xml:space="preserve">. (2011). Comparative field performance study of flat plate and heat pipe evacuated tube collectors (ETCs) for domestic water heating systems in a temperate climate. </w:t>
      </w:r>
      <w:r w:rsidRPr="00C90AC9">
        <w:rPr>
          <w:i/>
          <w:noProof w:val="0"/>
        </w:rPr>
        <w:t>Energy, 35</w:t>
      </w:r>
      <w:r w:rsidRPr="00C90AC9">
        <w:rPr>
          <w:noProof w:val="0"/>
        </w:rPr>
        <w:t xml:space="preserve">(36), p. 3370-3378. </w:t>
      </w:r>
    </w:p>
    <w:p w:rsidR="00337B41" w:rsidRPr="00C90AC9" w:rsidRDefault="00337B41" w:rsidP="00337B41">
      <w:pPr>
        <w:pStyle w:val="EndNoteBibliography"/>
        <w:spacing w:after="0"/>
        <w:ind w:left="720" w:hanging="720"/>
        <w:rPr>
          <w:noProof w:val="0"/>
        </w:rPr>
      </w:pPr>
      <w:r w:rsidRPr="00C90AC9">
        <w:rPr>
          <w:noProof w:val="0"/>
        </w:rPr>
        <w:t>Baskaran, R., S. Managi</w:t>
      </w:r>
      <w:r w:rsidR="007B44F9" w:rsidRPr="00C90AC9">
        <w:rPr>
          <w:noProof w:val="0"/>
        </w:rPr>
        <w:t>,</w:t>
      </w:r>
      <w:r w:rsidRPr="00C90AC9">
        <w:rPr>
          <w:noProof w:val="0"/>
        </w:rPr>
        <w:t xml:space="preserve"> &amp; Bendig, M. (2013). A public perspective on the adoption of microgeneration technologies in New Zealand: A multivariate probit approach. </w:t>
      </w:r>
      <w:r w:rsidRPr="00C90AC9">
        <w:rPr>
          <w:i/>
          <w:noProof w:val="0"/>
        </w:rPr>
        <w:t>Energy Policy, 58</w:t>
      </w:r>
      <w:r w:rsidRPr="00C90AC9">
        <w:rPr>
          <w:noProof w:val="0"/>
        </w:rPr>
        <w:t xml:space="preserve">, p. 177-188. </w:t>
      </w:r>
    </w:p>
    <w:p w:rsidR="00337B41" w:rsidRPr="00C90AC9" w:rsidRDefault="00337B41" w:rsidP="00337B41">
      <w:pPr>
        <w:pStyle w:val="EndNoteBibliography"/>
        <w:spacing w:after="0"/>
        <w:ind w:left="720" w:hanging="720"/>
        <w:rPr>
          <w:noProof w:val="0"/>
        </w:rPr>
      </w:pPr>
      <w:r w:rsidRPr="00C90AC9">
        <w:rPr>
          <w:noProof w:val="0"/>
        </w:rPr>
        <w:t xml:space="preserve">Baxi. (2015). </w:t>
      </w:r>
      <w:r w:rsidRPr="00C90AC9">
        <w:rPr>
          <w:i/>
          <w:noProof w:val="0"/>
        </w:rPr>
        <w:t>Megaflo eco, unvented hot water cylinders</w:t>
      </w:r>
      <w:r w:rsidRPr="00C90AC9">
        <w:rPr>
          <w:noProof w:val="0"/>
        </w:rPr>
        <w:t xml:space="preserve">. </w:t>
      </w:r>
      <w:r w:rsidR="007B44F9" w:rsidRPr="00C90AC9">
        <w:rPr>
          <w:noProof w:val="0"/>
        </w:rPr>
        <w:t xml:space="preserve"> </w:t>
      </w:r>
      <w:r w:rsidRPr="00C90AC9">
        <w:rPr>
          <w:noProof w:val="0"/>
        </w:rPr>
        <w:t xml:space="preserve"> </w:t>
      </w:r>
    </w:p>
    <w:p w:rsidR="00337B41" w:rsidRPr="00C90AC9" w:rsidRDefault="00337B41" w:rsidP="00337B41">
      <w:pPr>
        <w:pStyle w:val="EndNoteBibliography"/>
        <w:spacing w:after="0"/>
        <w:ind w:left="720" w:hanging="720"/>
        <w:rPr>
          <w:noProof w:val="0"/>
        </w:rPr>
      </w:pPr>
      <w:r w:rsidRPr="00C90AC9">
        <w:rPr>
          <w:noProof w:val="0"/>
        </w:rPr>
        <w:t>Berbash, Y., M. Chandrashekar</w:t>
      </w:r>
      <w:r w:rsidR="007B44F9" w:rsidRPr="00C90AC9">
        <w:rPr>
          <w:noProof w:val="0"/>
        </w:rPr>
        <w:t>,</w:t>
      </w:r>
      <w:r w:rsidRPr="00C90AC9">
        <w:rPr>
          <w:noProof w:val="0"/>
        </w:rPr>
        <w:t xml:space="preserve"> &amp; Calamai, P. (1995). Technology for sustainable development: A case study of solar domestic hot water heating in Ontario. </w:t>
      </w:r>
      <w:r w:rsidRPr="00C90AC9">
        <w:rPr>
          <w:i/>
          <w:noProof w:val="0"/>
        </w:rPr>
        <w:t>Energy, 20</w:t>
      </w:r>
      <w:r w:rsidRPr="00C90AC9">
        <w:rPr>
          <w:noProof w:val="0"/>
        </w:rPr>
        <w:t xml:space="preserve">(6), p. 495-510. </w:t>
      </w:r>
    </w:p>
    <w:p w:rsidR="00337B41" w:rsidRPr="00C90AC9" w:rsidRDefault="00337B41" w:rsidP="00337B41">
      <w:pPr>
        <w:pStyle w:val="EndNoteBibliography"/>
        <w:spacing w:after="0"/>
        <w:ind w:left="720" w:hanging="720"/>
        <w:rPr>
          <w:noProof w:val="0"/>
        </w:rPr>
      </w:pPr>
      <w:r w:rsidRPr="00C90AC9">
        <w:rPr>
          <w:noProof w:val="0"/>
        </w:rPr>
        <w:t xml:space="preserve">Biaou, A. L., &amp; Bernier, M. A. (2008). Achieving total domestic hot water production with renewable energy. </w:t>
      </w:r>
      <w:r w:rsidRPr="00C90AC9">
        <w:rPr>
          <w:i/>
          <w:noProof w:val="0"/>
        </w:rPr>
        <w:t>Building and Environment, 43</w:t>
      </w:r>
      <w:r w:rsidRPr="00C90AC9">
        <w:rPr>
          <w:noProof w:val="0"/>
        </w:rPr>
        <w:t xml:space="preserve">(4), p. 651-660. </w:t>
      </w:r>
    </w:p>
    <w:p w:rsidR="00337B41" w:rsidRPr="00C90AC9" w:rsidRDefault="00337B41" w:rsidP="00337B41">
      <w:pPr>
        <w:pStyle w:val="EndNoteBibliography"/>
        <w:spacing w:after="0"/>
        <w:ind w:left="720" w:hanging="720"/>
        <w:rPr>
          <w:noProof w:val="0"/>
        </w:rPr>
      </w:pPr>
      <w:r w:rsidRPr="00C90AC9">
        <w:rPr>
          <w:noProof w:val="0"/>
        </w:rPr>
        <w:t>Boait, P. J</w:t>
      </w:r>
      <w:r w:rsidR="007B44F9" w:rsidRPr="00C90AC9">
        <w:rPr>
          <w:noProof w:val="0"/>
        </w:rPr>
        <w:t>et al</w:t>
      </w:r>
      <w:r w:rsidRPr="00C90AC9">
        <w:rPr>
          <w:noProof w:val="0"/>
        </w:rPr>
        <w:t xml:space="preserve">. (2008). Production efficiency of hot water for dmoestic use. </w:t>
      </w:r>
      <w:r w:rsidRPr="00C90AC9">
        <w:rPr>
          <w:i/>
          <w:noProof w:val="0"/>
        </w:rPr>
        <w:t>Applied Energy, 85</w:t>
      </w:r>
      <w:r w:rsidRPr="00C90AC9">
        <w:rPr>
          <w:noProof w:val="0"/>
        </w:rPr>
        <w:t xml:space="preserve">(6), p. 528-544. </w:t>
      </w:r>
    </w:p>
    <w:p w:rsidR="00337B41" w:rsidRPr="00C90AC9" w:rsidRDefault="00337B41" w:rsidP="00337B41">
      <w:pPr>
        <w:pStyle w:val="EndNoteBibliography"/>
        <w:spacing w:after="0"/>
        <w:ind w:left="720" w:hanging="720"/>
        <w:rPr>
          <w:noProof w:val="0"/>
        </w:rPr>
      </w:pPr>
      <w:r w:rsidRPr="00C90AC9">
        <w:rPr>
          <w:noProof w:val="0"/>
        </w:rPr>
        <w:t xml:space="preserve">Bornatico, R., Pfeiffer, M., Witzig, A., &amp; Guzzella, L. (2012). Optimal sizing of a solar thermal building installation using particle swarm optimization. </w:t>
      </w:r>
      <w:r w:rsidRPr="00C90AC9">
        <w:rPr>
          <w:i/>
          <w:noProof w:val="0"/>
        </w:rPr>
        <w:t>Energy, 41</w:t>
      </w:r>
      <w:r w:rsidRPr="00C90AC9">
        <w:rPr>
          <w:noProof w:val="0"/>
        </w:rPr>
        <w:t xml:space="preserve">(1), 31-37. </w:t>
      </w:r>
    </w:p>
    <w:p w:rsidR="00337B41" w:rsidRPr="00C90AC9" w:rsidRDefault="00337B41" w:rsidP="00337B41">
      <w:pPr>
        <w:pStyle w:val="EndNoteBibliography"/>
        <w:spacing w:after="0"/>
        <w:ind w:left="720" w:hanging="720"/>
        <w:rPr>
          <w:noProof w:val="0"/>
        </w:rPr>
      </w:pPr>
      <w:r w:rsidRPr="00C90AC9">
        <w:rPr>
          <w:noProof w:val="0"/>
        </w:rPr>
        <w:t xml:space="preserve">Braun, V., &amp; Clarke, V. (2006). Using thematic analysis in psychology. </w:t>
      </w:r>
      <w:r w:rsidRPr="00C90AC9">
        <w:rPr>
          <w:i/>
          <w:noProof w:val="0"/>
        </w:rPr>
        <w:t>Qualitative Research in Psychology, 3</w:t>
      </w:r>
      <w:r w:rsidRPr="00C90AC9">
        <w:rPr>
          <w:noProof w:val="0"/>
        </w:rPr>
        <w:t xml:space="preserve">(2), 77-101. </w:t>
      </w:r>
    </w:p>
    <w:p w:rsidR="00337B41" w:rsidRPr="00C90AC9" w:rsidRDefault="00337B41" w:rsidP="00337B41">
      <w:pPr>
        <w:pStyle w:val="EndNoteBibliography"/>
        <w:spacing w:after="0"/>
        <w:ind w:left="720" w:hanging="720"/>
        <w:rPr>
          <w:noProof w:val="0"/>
        </w:rPr>
      </w:pPr>
      <w:r w:rsidRPr="00C90AC9">
        <w:rPr>
          <w:noProof w:val="0"/>
        </w:rPr>
        <w:t xml:space="preserve">Brechin, S. R., &amp; Bhandari, M. (2011). Perceptions of climate change worldwide. </w:t>
      </w:r>
      <w:r w:rsidRPr="00C90AC9">
        <w:rPr>
          <w:i/>
          <w:noProof w:val="0"/>
        </w:rPr>
        <w:t>Wiley Interdisciplinary Reviews, 2</w:t>
      </w:r>
      <w:r w:rsidRPr="00C90AC9">
        <w:rPr>
          <w:noProof w:val="0"/>
        </w:rPr>
        <w:t xml:space="preserve">(2), p. 871-885. </w:t>
      </w:r>
    </w:p>
    <w:p w:rsidR="00337B41" w:rsidRPr="00C90AC9" w:rsidRDefault="00337B41" w:rsidP="00337B41">
      <w:pPr>
        <w:pStyle w:val="EndNoteBibliography"/>
        <w:spacing w:after="0"/>
        <w:ind w:left="720" w:hanging="720"/>
        <w:rPr>
          <w:noProof w:val="0"/>
        </w:rPr>
      </w:pPr>
      <w:r w:rsidRPr="00C90AC9">
        <w:rPr>
          <w:noProof w:val="0"/>
        </w:rPr>
        <w:t xml:space="preserve">Brown, N. M., &amp; Lai, F. C. (2011). Enhanced thermal stratification in a liquid storage tank with a porous manifold. </w:t>
      </w:r>
      <w:r w:rsidRPr="00C90AC9">
        <w:rPr>
          <w:i/>
          <w:noProof w:val="0"/>
        </w:rPr>
        <w:t>Solar Energy, 85</w:t>
      </w:r>
      <w:r w:rsidRPr="00C90AC9">
        <w:rPr>
          <w:noProof w:val="0"/>
        </w:rPr>
        <w:t xml:space="preserve">(7), p. 1409-1417. </w:t>
      </w:r>
    </w:p>
    <w:p w:rsidR="00337B41" w:rsidRPr="00C90AC9" w:rsidRDefault="00337B41" w:rsidP="00337B41">
      <w:pPr>
        <w:pStyle w:val="EndNoteBibliography"/>
        <w:spacing w:after="0"/>
        <w:ind w:left="720" w:hanging="720"/>
        <w:rPr>
          <w:noProof w:val="0"/>
        </w:rPr>
      </w:pPr>
      <w:r w:rsidRPr="00C90AC9">
        <w:rPr>
          <w:noProof w:val="0"/>
        </w:rPr>
        <w:t xml:space="preserve">Brown, S. A., &amp; Venkatesh, V. (2005). Model of Adoption of Technology in Households: A Baseline Model Test and Extension Incorporating Household Life Cycle. </w:t>
      </w:r>
      <w:r w:rsidRPr="00C90AC9">
        <w:rPr>
          <w:i/>
          <w:noProof w:val="0"/>
        </w:rPr>
        <w:t>MIS Quarterly, 29</w:t>
      </w:r>
      <w:r w:rsidRPr="00C90AC9">
        <w:rPr>
          <w:noProof w:val="0"/>
        </w:rPr>
        <w:t xml:space="preserve">(3), 399-426. </w:t>
      </w:r>
    </w:p>
    <w:p w:rsidR="00337B41" w:rsidRPr="00C90AC9" w:rsidRDefault="00337B41" w:rsidP="00337B41">
      <w:pPr>
        <w:pStyle w:val="EndNoteBibliography"/>
        <w:spacing w:after="0"/>
        <w:ind w:left="720" w:hanging="720"/>
        <w:rPr>
          <w:noProof w:val="0"/>
        </w:rPr>
      </w:pPr>
      <w:r w:rsidRPr="00C90AC9">
        <w:rPr>
          <w:noProof w:val="0"/>
        </w:rPr>
        <w:t xml:space="preserve">Buchberg, H., &amp; Roulet, J. R. (1968). Simulation and optimization of solar collection and storage for house heating. </w:t>
      </w:r>
      <w:r w:rsidRPr="00C90AC9">
        <w:rPr>
          <w:i/>
          <w:noProof w:val="0"/>
        </w:rPr>
        <w:t>Solar Energy, 12</w:t>
      </w:r>
      <w:r w:rsidRPr="00C90AC9">
        <w:rPr>
          <w:noProof w:val="0"/>
        </w:rPr>
        <w:t xml:space="preserve">(1), p. 31-50. </w:t>
      </w:r>
    </w:p>
    <w:p w:rsidR="00337B41" w:rsidRPr="00C90AC9" w:rsidRDefault="00337B41" w:rsidP="00337B41">
      <w:pPr>
        <w:pStyle w:val="EndNoteBibliography"/>
        <w:spacing w:after="0"/>
        <w:ind w:left="720" w:hanging="720"/>
        <w:rPr>
          <w:noProof w:val="0"/>
        </w:rPr>
      </w:pPr>
      <w:r w:rsidRPr="00C90AC9">
        <w:rPr>
          <w:noProof w:val="0"/>
        </w:rPr>
        <w:t xml:space="preserve">Burnett, D., Barbour, E., &amp; Harrison, G. P. (2014). The UK solar energy resource and the impact of climate change. </w:t>
      </w:r>
      <w:r w:rsidRPr="00C90AC9">
        <w:rPr>
          <w:i/>
          <w:noProof w:val="0"/>
        </w:rPr>
        <w:t>Renewable Energy, 71</w:t>
      </w:r>
      <w:r w:rsidRPr="00C90AC9">
        <w:rPr>
          <w:noProof w:val="0"/>
        </w:rPr>
        <w:t xml:space="preserve">, 333-343. </w:t>
      </w:r>
    </w:p>
    <w:p w:rsidR="00337B41" w:rsidRPr="00C90AC9" w:rsidRDefault="00337B41" w:rsidP="00337B41">
      <w:pPr>
        <w:pStyle w:val="EndNoteBibliography"/>
        <w:spacing w:after="0"/>
        <w:ind w:left="720" w:hanging="720"/>
        <w:rPr>
          <w:noProof w:val="0"/>
        </w:rPr>
      </w:pPr>
      <w:r w:rsidRPr="00C90AC9">
        <w:rPr>
          <w:noProof w:val="0"/>
        </w:rPr>
        <w:t xml:space="preserve">Buzás, J., </w:t>
      </w:r>
      <w:r w:rsidR="007B44F9" w:rsidRPr="00C90AC9">
        <w:rPr>
          <w:noProof w:val="0"/>
        </w:rPr>
        <w:t>et al</w:t>
      </w:r>
      <w:r w:rsidRPr="00C90AC9">
        <w:rPr>
          <w:noProof w:val="0"/>
        </w:rPr>
        <w:t xml:space="preserve">. (1998). Modelling and simulation aspects of a solar hot water system. </w:t>
      </w:r>
      <w:r w:rsidRPr="00C90AC9">
        <w:rPr>
          <w:i/>
          <w:noProof w:val="0"/>
        </w:rPr>
        <w:t>Mathematics and Computers in Simulation, 48</w:t>
      </w:r>
      <w:r w:rsidRPr="00C90AC9">
        <w:rPr>
          <w:noProof w:val="0"/>
        </w:rPr>
        <w:t xml:space="preserve">(1), p. 33-46. </w:t>
      </w:r>
    </w:p>
    <w:p w:rsidR="00337B41" w:rsidRPr="00C90AC9" w:rsidRDefault="00337B41" w:rsidP="00337B41">
      <w:pPr>
        <w:pStyle w:val="EndNoteBibliography"/>
        <w:spacing w:after="0"/>
        <w:ind w:left="720" w:hanging="720"/>
        <w:rPr>
          <w:noProof w:val="0"/>
        </w:rPr>
      </w:pPr>
      <w:r w:rsidRPr="00C90AC9">
        <w:rPr>
          <w:noProof w:val="0"/>
        </w:rPr>
        <w:lastRenderedPageBreak/>
        <w:t>Carbonell, D., J. Cadafalch</w:t>
      </w:r>
      <w:r w:rsidR="007B44F9" w:rsidRPr="00C90AC9">
        <w:rPr>
          <w:noProof w:val="0"/>
        </w:rPr>
        <w:t>,</w:t>
      </w:r>
      <w:r w:rsidRPr="00C90AC9">
        <w:rPr>
          <w:noProof w:val="0"/>
        </w:rPr>
        <w:t xml:space="preserve"> &amp; Consul, R. Dynamic modelling of flat plate solar collectors. Analysis and validation under thermosyphon conditions. </w:t>
      </w:r>
      <w:r w:rsidRPr="00C90AC9">
        <w:rPr>
          <w:i/>
          <w:noProof w:val="0"/>
        </w:rPr>
        <w:t>Solar Energy, 13</w:t>
      </w:r>
      <w:r w:rsidRPr="00C90AC9">
        <w:rPr>
          <w:noProof w:val="0"/>
        </w:rPr>
        <w:t xml:space="preserve">, p. 100-112. </w:t>
      </w:r>
    </w:p>
    <w:p w:rsidR="00337B41" w:rsidRPr="00C90AC9" w:rsidRDefault="00337B41" w:rsidP="00337B41">
      <w:pPr>
        <w:pStyle w:val="EndNoteBibliography"/>
        <w:spacing w:after="0"/>
        <w:ind w:left="720" w:hanging="720"/>
        <w:rPr>
          <w:noProof w:val="0"/>
        </w:rPr>
      </w:pPr>
      <w:r w:rsidRPr="00C90AC9">
        <w:rPr>
          <w:noProof w:val="0"/>
        </w:rPr>
        <w:t xml:space="preserve">Chang, T. P. (2009). The Sun’s apparent position and the optimal tilt angle of a solar collector in the northern hemisphere. </w:t>
      </w:r>
      <w:r w:rsidRPr="00C90AC9">
        <w:rPr>
          <w:i/>
          <w:noProof w:val="0"/>
        </w:rPr>
        <w:t>Solar Energy, 83</w:t>
      </w:r>
      <w:r w:rsidRPr="00C90AC9">
        <w:rPr>
          <w:noProof w:val="0"/>
        </w:rPr>
        <w:t xml:space="preserve">(8), 1274-1284. </w:t>
      </w:r>
    </w:p>
    <w:p w:rsidR="00337B41" w:rsidRPr="00C90AC9" w:rsidRDefault="00337B41" w:rsidP="00337B41">
      <w:pPr>
        <w:pStyle w:val="EndNoteBibliography"/>
        <w:spacing w:after="0"/>
        <w:ind w:left="720" w:hanging="720"/>
        <w:rPr>
          <w:noProof w:val="0"/>
        </w:rPr>
      </w:pPr>
      <w:r w:rsidRPr="00C90AC9">
        <w:rPr>
          <w:noProof w:val="0"/>
        </w:rPr>
        <w:t xml:space="preserve">Commission, E. (2002). </w:t>
      </w:r>
      <w:r w:rsidRPr="00C90AC9">
        <w:rPr>
          <w:i/>
          <w:noProof w:val="0"/>
        </w:rPr>
        <w:t>M/324 Mandate to CEN and CENELEC for the elaboration and adoption of measurement standards for household appliances: Water-heaters, hot water storage appliances and water heating systems</w:t>
      </w:r>
      <w:r w:rsidRPr="00C90AC9">
        <w:rPr>
          <w:noProof w:val="0"/>
        </w:rPr>
        <w:t xml:space="preserve">. </w:t>
      </w:r>
      <w:r w:rsidR="007B44F9" w:rsidRPr="00C90AC9">
        <w:rPr>
          <w:noProof w:val="0"/>
        </w:rPr>
        <w:t xml:space="preserve"> </w:t>
      </w:r>
      <w:r w:rsidRPr="00C90AC9">
        <w:rPr>
          <w:noProof w:val="0"/>
        </w:rPr>
        <w:t xml:space="preserve"> </w:t>
      </w:r>
    </w:p>
    <w:p w:rsidR="00337B41" w:rsidRPr="00C90AC9" w:rsidRDefault="00337B41" w:rsidP="00337B41">
      <w:pPr>
        <w:pStyle w:val="EndNoteBibliography"/>
        <w:spacing w:after="0"/>
        <w:ind w:left="720" w:hanging="720"/>
        <w:rPr>
          <w:noProof w:val="0"/>
        </w:rPr>
      </w:pPr>
      <w:r w:rsidRPr="00C90AC9">
        <w:rPr>
          <w:noProof w:val="0"/>
        </w:rPr>
        <w:t xml:space="preserve">Comodi, G., Bevilacqua, M., Caresana, F., Pelagalli, L., Venella, P., &amp; Paciarotti, C. (2014). LCA Analysis of Renewable Domestic Hot Water Systems with Unglazed and Glazed Solar Thermal Panels. </w:t>
      </w:r>
      <w:r w:rsidRPr="00C90AC9">
        <w:rPr>
          <w:i/>
          <w:noProof w:val="0"/>
        </w:rPr>
        <w:t>Energy Procedia, 61</w:t>
      </w:r>
      <w:r w:rsidRPr="00C90AC9">
        <w:rPr>
          <w:noProof w:val="0"/>
        </w:rPr>
        <w:t xml:space="preserve">, 234-237. </w:t>
      </w:r>
    </w:p>
    <w:p w:rsidR="00337B41" w:rsidRPr="00C90AC9" w:rsidRDefault="00337B41" w:rsidP="00337B41">
      <w:pPr>
        <w:pStyle w:val="EndNoteBibliography"/>
        <w:spacing w:after="0"/>
        <w:ind w:left="720" w:hanging="720"/>
        <w:rPr>
          <w:noProof w:val="0"/>
        </w:rPr>
      </w:pPr>
      <w:r w:rsidRPr="00C90AC9">
        <w:rPr>
          <w:noProof w:val="0"/>
        </w:rPr>
        <w:t xml:space="preserve">Cooney, K. (2007). Fields, Organizations, and Agency: Toward a Multilevel Theory of Institutionalization in Action. </w:t>
      </w:r>
      <w:r w:rsidRPr="00C90AC9">
        <w:rPr>
          <w:i/>
          <w:noProof w:val="0"/>
        </w:rPr>
        <w:t>Administration &amp; Society, 39</w:t>
      </w:r>
      <w:r w:rsidRPr="00C90AC9">
        <w:rPr>
          <w:noProof w:val="0"/>
        </w:rPr>
        <w:t xml:space="preserve">(6), 687-718. </w:t>
      </w:r>
    </w:p>
    <w:p w:rsidR="00337B41" w:rsidRPr="00C90AC9" w:rsidRDefault="00337B41" w:rsidP="00337B41">
      <w:pPr>
        <w:pStyle w:val="EndNoteBibliography"/>
        <w:spacing w:after="0"/>
        <w:ind w:left="720" w:hanging="720"/>
        <w:rPr>
          <w:noProof w:val="0"/>
        </w:rPr>
      </w:pPr>
      <w:r w:rsidRPr="00C90AC9">
        <w:rPr>
          <w:noProof w:val="0"/>
        </w:rPr>
        <w:t xml:space="preserve">Courtney, R. G. (1977). A computer study of solar water heating. </w:t>
      </w:r>
      <w:r w:rsidRPr="00C90AC9">
        <w:rPr>
          <w:i/>
          <w:noProof w:val="0"/>
        </w:rPr>
        <w:t>Building and Environment, 12</w:t>
      </w:r>
      <w:r w:rsidRPr="00C90AC9">
        <w:rPr>
          <w:noProof w:val="0"/>
        </w:rPr>
        <w:t xml:space="preserve">(2), p. 73-80. </w:t>
      </w:r>
    </w:p>
    <w:p w:rsidR="00337B41" w:rsidRPr="00C90AC9" w:rsidRDefault="00337B41" w:rsidP="00337B41">
      <w:pPr>
        <w:pStyle w:val="EndNoteBibliography"/>
        <w:spacing w:after="0"/>
        <w:ind w:left="720" w:hanging="720"/>
        <w:rPr>
          <w:noProof w:val="0"/>
        </w:rPr>
      </w:pPr>
      <w:r w:rsidRPr="00C90AC9">
        <w:rPr>
          <w:noProof w:val="0"/>
        </w:rPr>
        <w:t xml:space="preserve">Davis, F. D. (1989). Perceived Usefulness, Perceived Ease of Use, and User Acceptance of Information Technology. </w:t>
      </w:r>
      <w:r w:rsidRPr="00C90AC9">
        <w:rPr>
          <w:i/>
          <w:noProof w:val="0"/>
        </w:rPr>
        <w:t>MIS Quarterly, 13</w:t>
      </w:r>
      <w:r w:rsidRPr="00C90AC9">
        <w:rPr>
          <w:noProof w:val="0"/>
        </w:rPr>
        <w:t xml:space="preserve">(3), 319-340. </w:t>
      </w:r>
    </w:p>
    <w:p w:rsidR="00337B41" w:rsidRPr="00C90AC9" w:rsidRDefault="00337B41" w:rsidP="00337B41">
      <w:pPr>
        <w:pStyle w:val="EndNoteBibliography"/>
        <w:spacing w:after="0"/>
        <w:ind w:left="720" w:hanging="720"/>
        <w:rPr>
          <w:noProof w:val="0"/>
        </w:rPr>
      </w:pPr>
      <w:r w:rsidRPr="00C90AC9">
        <w:rPr>
          <w:noProof w:val="0"/>
        </w:rPr>
        <w:t xml:space="preserve">DECC. (2013). </w:t>
      </w:r>
      <w:r w:rsidRPr="00C90AC9">
        <w:rPr>
          <w:i/>
          <w:noProof w:val="0"/>
        </w:rPr>
        <w:t>Energy Consumption in the UK (2015)</w:t>
      </w:r>
      <w:r w:rsidRPr="00C90AC9">
        <w:rPr>
          <w:noProof w:val="0"/>
        </w:rPr>
        <w:t xml:space="preserve">. Crown Copywrite. London. </w:t>
      </w:r>
      <w:r w:rsidR="007B44F9" w:rsidRPr="00C90AC9">
        <w:rPr>
          <w:noProof w:val="0"/>
        </w:rPr>
        <w:t xml:space="preserve"> </w:t>
      </w:r>
      <w:r w:rsidRPr="00C90AC9">
        <w:rPr>
          <w:noProof w:val="0"/>
        </w:rPr>
        <w:t xml:space="preserve"> </w:t>
      </w:r>
    </w:p>
    <w:p w:rsidR="00337B41" w:rsidRPr="00C90AC9" w:rsidRDefault="00337B41" w:rsidP="00337B41">
      <w:pPr>
        <w:pStyle w:val="EndNoteBibliography"/>
        <w:spacing w:after="0"/>
        <w:ind w:left="720" w:hanging="720"/>
        <w:rPr>
          <w:noProof w:val="0"/>
        </w:rPr>
      </w:pPr>
      <w:r w:rsidRPr="00C90AC9">
        <w:rPr>
          <w:noProof w:val="0"/>
        </w:rPr>
        <w:t xml:space="preserve">Doblinger, C., &amp; Soppe, B. (2013). Change-actors in the U.S. electric energy system: The role of environmental groups in utility adoption and diffusion of wind power. </w:t>
      </w:r>
      <w:r w:rsidRPr="00C90AC9">
        <w:rPr>
          <w:i/>
          <w:noProof w:val="0"/>
        </w:rPr>
        <w:t>Energy Policy, 61</w:t>
      </w:r>
      <w:r w:rsidRPr="00C90AC9">
        <w:rPr>
          <w:noProof w:val="0"/>
        </w:rPr>
        <w:t xml:space="preserve">, 274-284. </w:t>
      </w:r>
    </w:p>
    <w:p w:rsidR="00337B41" w:rsidRPr="00C90AC9" w:rsidRDefault="00337B41" w:rsidP="00337B41">
      <w:pPr>
        <w:pStyle w:val="EndNoteBibliography"/>
        <w:spacing w:after="0"/>
        <w:ind w:left="720" w:hanging="720"/>
        <w:rPr>
          <w:noProof w:val="0"/>
        </w:rPr>
      </w:pPr>
      <w:r w:rsidRPr="00C90AC9">
        <w:rPr>
          <w:noProof w:val="0"/>
        </w:rPr>
        <w:t xml:space="preserve">Donald, I. J., Cooper, S. R., &amp; Conchie, S. M. (2014). An extended theory of planned behaviour model of the psychological factors affecting commuters' transport mode use. </w:t>
      </w:r>
      <w:r w:rsidRPr="00C90AC9">
        <w:rPr>
          <w:i/>
          <w:noProof w:val="0"/>
        </w:rPr>
        <w:t>Journal of Environmental Psychology, 40</w:t>
      </w:r>
      <w:r w:rsidRPr="00C90AC9">
        <w:rPr>
          <w:noProof w:val="0"/>
        </w:rPr>
        <w:t xml:space="preserve">, 39-48. </w:t>
      </w:r>
    </w:p>
    <w:p w:rsidR="00337B41" w:rsidRPr="00C90AC9" w:rsidRDefault="00337B41" w:rsidP="00337B41">
      <w:pPr>
        <w:pStyle w:val="EndNoteBibliography"/>
        <w:spacing w:after="0"/>
        <w:ind w:left="720" w:hanging="720"/>
        <w:rPr>
          <w:noProof w:val="0"/>
        </w:rPr>
      </w:pPr>
      <w:r w:rsidRPr="00C90AC9">
        <w:rPr>
          <w:noProof w:val="0"/>
        </w:rPr>
        <w:t>Dongellini, M., S. Falcioni</w:t>
      </w:r>
      <w:r w:rsidR="007B44F9" w:rsidRPr="00C90AC9">
        <w:rPr>
          <w:noProof w:val="0"/>
        </w:rPr>
        <w:t>,</w:t>
      </w:r>
      <w:r w:rsidRPr="00C90AC9">
        <w:rPr>
          <w:noProof w:val="0"/>
        </w:rPr>
        <w:t xml:space="preserve"> &amp; Morini, G. L. (2015). Dynamic Simulation of Solar Thermal Collectors for Domestic Hot Water Production. </w:t>
      </w:r>
      <w:r w:rsidRPr="00C90AC9">
        <w:rPr>
          <w:i/>
          <w:noProof w:val="0"/>
        </w:rPr>
        <w:t>Energy Procedia, 82</w:t>
      </w:r>
      <w:r w:rsidRPr="00C90AC9">
        <w:rPr>
          <w:noProof w:val="0"/>
        </w:rPr>
        <w:t xml:space="preserve">, p. 630-636. </w:t>
      </w:r>
    </w:p>
    <w:p w:rsidR="00337B41" w:rsidRPr="00C90AC9" w:rsidRDefault="00337B41" w:rsidP="00337B41">
      <w:pPr>
        <w:pStyle w:val="EndNoteBibliography"/>
        <w:spacing w:after="0"/>
        <w:ind w:left="720" w:hanging="720"/>
        <w:rPr>
          <w:noProof w:val="0"/>
        </w:rPr>
      </w:pPr>
      <w:r w:rsidRPr="00C90AC9">
        <w:rPr>
          <w:noProof w:val="0"/>
        </w:rPr>
        <w:t xml:space="preserve">Duffie, J. A., &amp; Beckman, W. A. (1980). </w:t>
      </w:r>
      <w:r w:rsidRPr="00C90AC9">
        <w:rPr>
          <w:i/>
          <w:noProof w:val="0"/>
        </w:rPr>
        <w:t>Solutions manual for solar engineering of thermal processes</w:t>
      </w:r>
      <w:r w:rsidRPr="00C90AC9">
        <w:rPr>
          <w:noProof w:val="0"/>
        </w:rPr>
        <w:t>. Madison, Wis.: Solar Energy Laboratory, University of Wisconsin-Madison.</w:t>
      </w:r>
    </w:p>
    <w:p w:rsidR="00337B41" w:rsidRPr="00C90AC9" w:rsidRDefault="00337B41" w:rsidP="00337B41">
      <w:pPr>
        <w:pStyle w:val="EndNoteBibliography"/>
        <w:spacing w:after="0"/>
        <w:ind w:left="720" w:hanging="720"/>
        <w:rPr>
          <w:noProof w:val="0"/>
        </w:rPr>
      </w:pPr>
      <w:r w:rsidRPr="00C90AC9">
        <w:rPr>
          <w:noProof w:val="0"/>
        </w:rPr>
        <w:t xml:space="preserve">Duyck, S. (2015). The Paris Climate Agreement and the Protection of Human Rights in a Changing Climate. </w:t>
      </w:r>
      <w:r w:rsidRPr="00C90AC9">
        <w:rPr>
          <w:i/>
          <w:noProof w:val="0"/>
        </w:rPr>
        <w:t>Yearbook of International Environmental Law, 26</w:t>
      </w:r>
      <w:r w:rsidRPr="00C90AC9">
        <w:rPr>
          <w:noProof w:val="0"/>
        </w:rPr>
        <w:t xml:space="preserve">, 3-45. </w:t>
      </w:r>
    </w:p>
    <w:p w:rsidR="00337B41" w:rsidRPr="00C90AC9" w:rsidRDefault="00337B41" w:rsidP="00337B41">
      <w:pPr>
        <w:pStyle w:val="EndNoteBibliography"/>
        <w:spacing w:after="0"/>
        <w:ind w:left="720" w:hanging="720"/>
        <w:rPr>
          <w:noProof w:val="0"/>
        </w:rPr>
      </w:pPr>
      <w:r w:rsidRPr="00C90AC9">
        <w:rPr>
          <w:noProof w:val="0"/>
        </w:rPr>
        <w:t xml:space="preserve">Elmustapha, H., Hoppe, T., &amp; Bressers, H. (2018). Consumer renewable energy technology adoption decision-making; comparing models on perceived attributes and attitudinal constructs in the case of solar water heaters in Lebanon. </w:t>
      </w:r>
      <w:r w:rsidRPr="00C90AC9">
        <w:rPr>
          <w:i/>
          <w:noProof w:val="0"/>
        </w:rPr>
        <w:t>Journal of Cleaner Production, 172</w:t>
      </w:r>
      <w:r w:rsidRPr="00C90AC9">
        <w:rPr>
          <w:noProof w:val="0"/>
        </w:rPr>
        <w:t xml:space="preserve">, 347-357. </w:t>
      </w:r>
    </w:p>
    <w:p w:rsidR="00337B41" w:rsidRPr="00C90AC9" w:rsidRDefault="00337B41" w:rsidP="00337B41">
      <w:pPr>
        <w:pStyle w:val="EndNoteBibliography"/>
        <w:spacing w:after="0"/>
        <w:ind w:left="720" w:hanging="720"/>
        <w:rPr>
          <w:noProof w:val="0"/>
        </w:rPr>
      </w:pPr>
      <w:r w:rsidRPr="00C90AC9">
        <w:rPr>
          <w:noProof w:val="0"/>
          <w:sz w:val="24"/>
        </w:rPr>
        <w:t xml:space="preserve">ESTIF. (2013). </w:t>
      </w:r>
      <w:r w:rsidRPr="00C90AC9">
        <w:rPr>
          <w:i/>
          <w:noProof w:val="0"/>
          <w:sz w:val="24"/>
        </w:rPr>
        <w:t>Solar Thermal Markets in Europe, Trends and Market Statistics</w:t>
      </w:r>
      <w:r w:rsidRPr="00C90AC9">
        <w:rPr>
          <w:noProof w:val="0"/>
          <w:sz w:val="24"/>
        </w:rPr>
        <w:t xml:space="preserve">. </w:t>
      </w:r>
      <w:r w:rsidRPr="00C90AC9">
        <w:rPr>
          <w:noProof w:val="0"/>
        </w:rPr>
        <w:t xml:space="preserve"> </w:t>
      </w:r>
      <w:r w:rsidR="007B44F9" w:rsidRPr="00C90AC9">
        <w:rPr>
          <w:noProof w:val="0"/>
        </w:rPr>
        <w:t xml:space="preserve"> </w:t>
      </w:r>
      <w:r w:rsidRPr="00C90AC9">
        <w:rPr>
          <w:noProof w:val="0"/>
        </w:rPr>
        <w:t xml:space="preserve"> </w:t>
      </w:r>
    </w:p>
    <w:p w:rsidR="00337B41" w:rsidRPr="00C90AC9" w:rsidRDefault="00432861" w:rsidP="00337B41">
      <w:pPr>
        <w:pStyle w:val="EndNoteBibliography"/>
        <w:spacing w:after="0"/>
        <w:ind w:left="720" w:hanging="720"/>
        <w:rPr>
          <w:noProof w:val="0"/>
        </w:rPr>
      </w:pPr>
      <w:r w:rsidRPr="00C90AC9">
        <w:rPr>
          <w:noProof w:val="0"/>
        </w:rPr>
        <w:t xml:space="preserve">A. </w:t>
      </w:r>
      <w:r w:rsidR="0038131A" w:rsidRPr="00C90AC9">
        <w:rPr>
          <w:noProof w:val="0"/>
        </w:rPr>
        <w:t>Faiers</w:t>
      </w:r>
      <w:r w:rsidR="00337B41" w:rsidRPr="00C90AC9">
        <w:rPr>
          <w:noProof w:val="0"/>
        </w:rPr>
        <w:t xml:space="preserve">, A., &amp; </w:t>
      </w:r>
      <w:r w:rsidRPr="00C90AC9">
        <w:rPr>
          <w:noProof w:val="0"/>
        </w:rPr>
        <w:t xml:space="preserve">C. Neame </w:t>
      </w:r>
      <w:r w:rsidR="00337B41" w:rsidRPr="00C90AC9">
        <w:rPr>
          <w:noProof w:val="0"/>
        </w:rPr>
        <w:t xml:space="preserve"> (2006). Consumer attitudes towards domestic solar power systems. </w:t>
      </w:r>
      <w:r w:rsidR="00337B41" w:rsidRPr="00C90AC9">
        <w:rPr>
          <w:i/>
          <w:noProof w:val="0"/>
        </w:rPr>
        <w:t>Energy Policy, 34</w:t>
      </w:r>
      <w:r w:rsidR="00337B41" w:rsidRPr="00C90AC9">
        <w:rPr>
          <w:noProof w:val="0"/>
        </w:rPr>
        <w:t xml:space="preserve">(14), 1797-1806. </w:t>
      </w:r>
    </w:p>
    <w:p w:rsidR="00337B41" w:rsidRPr="00C90AC9" w:rsidRDefault="00432861" w:rsidP="00337B41">
      <w:pPr>
        <w:pStyle w:val="EndNoteBibliography"/>
        <w:spacing w:after="0"/>
        <w:ind w:left="720" w:hanging="720"/>
        <w:rPr>
          <w:noProof w:val="0"/>
        </w:rPr>
      </w:pPr>
      <w:r w:rsidRPr="00C90AC9">
        <w:rPr>
          <w:noProof w:val="0"/>
        </w:rPr>
        <w:t xml:space="preserve">A. </w:t>
      </w:r>
      <w:r w:rsidR="0038131A" w:rsidRPr="00C90AC9">
        <w:rPr>
          <w:noProof w:val="0"/>
        </w:rPr>
        <w:t>Faiers</w:t>
      </w:r>
      <w:r w:rsidR="00337B41" w:rsidRPr="00C90AC9">
        <w:rPr>
          <w:noProof w:val="0"/>
        </w:rPr>
        <w:t xml:space="preserve">, A., &amp; </w:t>
      </w:r>
      <w:r w:rsidRPr="00C90AC9">
        <w:rPr>
          <w:noProof w:val="0"/>
        </w:rPr>
        <w:t xml:space="preserve">C. Neame </w:t>
      </w:r>
      <w:r w:rsidR="00337B41" w:rsidRPr="00C90AC9">
        <w:rPr>
          <w:noProof w:val="0"/>
        </w:rPr>
        <w:t xml:space="preserve"> (2006). International Energy Agency. </w:t>
      </w:r>
      <w:r w:rsidR="00337B41" w:rsidRPr="00C90AC9">
        <w:rPr>
          <w:i/>
          <w:noProof w:val="0"/>
        </w:rPr>
        <w:t>Energy Policy, 34</w:t>
      </w:r>
      <w:r w:rsidR="00337B41" w:rsidRPr="00C90AC9">
        <w:rPr>
          <w:noProof w:val="0"/>
        </w:rPr>
        <w:t xml:space="preserve">(14), p. 160-168. </w:t>
      </w:r>
    </w:p>
    <w:p w:rsidR="00337B41" w:rsidRPr="00C90AC9" w:rsidRDefault="00432861" w:rsidP="00337B41">
      <w:pPr>
        <w:pStyle w:val="EndNoteBibliography"/>
        <w:spacing w:after="0"/>
        <w:ind w:left="720" w:hanging="720"/>
        <w:rPr>
          <w:noProof w:val="0"/>
        </w:rPr>
      </w:pPr>
      <w:r w:rsidRPr="00C90AC9">
        <w:rPr>
          <w:noProof w:val="0"/>
        </w:rPr>
        <w:t xml:space="preserve">A. </w:t>
      </w:r>
      <w:r w:rsidR="0038131A" w:rsidRPr="00C90AC9">
        <w:rPr>
          <w:noProof w:val="0"/>
        </w:rPr>
        <w:t>Faiers</w:t>
      </w:r>
      <w:r w:rsidR="00337B41" w:rsidRPr="00C90AC9">
        <w:rPr>
          <w:noProof w:val="0"/>
        </w:rPr>
        <w:t xml:space="preserve">, A., </w:t>
      </w:r>
      <w:r w:rsidRPr="00C90AC9">
        <w:rPr>
          <w:noProof w:val="0"/>
        </w:rPr>
        <w:t xml:space="preserve">C. </w:t>
      </w:r>
      <w:r w:rsidR="0038131A" w:rsidRPr="00C90AC9">
        <w:rPr>
          <w:noProof w:val="0"/>
        </w:rPr>
        <w:t>Neame,</w:t>
      </w:r>
      <w:r w:rsidR="00337B41" w:rsidRPr="00C90AC9">
        <w:rPr>
          <w:noProof w:val="0"/>
        </w:rPr>
        <w:t xml:space="preserve"> &amp; Cook, M. (2007). The adoption of domestic solar-power systems: Do consumers assess product attributes in a stepwise process? </w:t>
      </w:r>
      <w:r w:rsidR="00337B41" w:rsidRPr="00C90AC9">
        <w:rPr>
          <w:i/>
          <w:noProof w:val="0"/>
        </w:rPr>
        <w:t>Energy Policy, 35</w:t>
      </w:r>
      <w:r w:rsidR="00337B41" w:rsidRPr="00C90AC9">
        <w:rPr>
          <w:noProof w:val="0"/>
        </w:rPr>
        <w:t xml:space="preserve">(6), 3418-3423. </w:t>
      </w:r>
    </w:p>
    <w:p w:rsidR="00337B41" w:rsidRPr="00C90AC9" w:rsidRDefault="00337B41" w:rsidP="00337B41">
      <w:pPr>
        <w:pStyle w:val="EndNoteBibliography"/>
        <w:spacing w:after="0"/>
        <w:ind w:left="720" w:hanging="720"/>
        <w:rPr>
          <w:noProof w:val="0"/>
        </w:rPr>
      </w:pPr>
      <w:r w:rsidRPr="00C90AC9">
        <w:rPr>
          <w:noProof w:val="0"/>
        </w:rPr>
        <w:t xml:space="preserve">Featherman, M., &amp; Pavlou, P. (2003). </w:t>
      </w:r>
      <w:r w:rsidRPr="00C90AC9">
        <w:rPr>
          <w:i/>
          <w:noProof w:val="0"/>
        </w:rPr>
        <w:t>Predicting E-Services Adoption: A Perceived Risk Facets Perspective</w:t>
      </w:r>
      <w:r w:rsidRPr="00C90AC9">
        <w:rPr>
          <w:noProof w:val="0"/>
        </w:rPr>
        <w:t xml:space="preserve"> (Vol. 59).</w:t>
      </w:r>
    </w:p>
    <w:p w:rsidR="00337B41" w:rsidRPr="00C90AC9" w:rsidRDefault="00337B41" w:rsidP="00337B41">
      <w:pPr>
        <w:pStyle w:val="EndNoteBibliography"/>
        <w:spacing w:after="0"/>
        <w:ind w:left="720" w:hanging="720"/>
        <w:rPr>
          <w:noProof w:val="0"/>
        </w:rPr>
      </w:pPr>
      <w:r w:rsidRPr="00C90AC9">
        <w:rPr>
          <w:noProof w:val="0"/>
        </w:rPr>
        <w:t xml:space="preserve">Fishbein, M. a. A., Icek. (1975). </w:t>
      </w:r>
      <w:r w:rsidRPr="00C90AC9">
        <w:rPr>
          <w:i/>
          <w:noProof w:val="0"/>
        </w:rPr>
        <w:t>Belief, attitude, intention, and behavior : an introduction to theory and research</w:t>
      </w:r>
      <w:r w:rsidRPr="00C90AC9">
        <w:rPr>
          <w:noProof w:val="0"/>
        </w:rPr>
        <w:t>. Reading: Addison-Wesley Pub. Co.</w:t>
      </w:r>
    </w:p>
    <w:p w:rsidR="00337B41" w:rsidRPr="00C90AC9" w:rsidRDefault="00337B41" w:rsidP="00337B41">
      <w:pPr>
        <w:pStyle w:val="EndNoteBibliography"/>
        <w:spacing w:after="0"/>
        <w:ind w:left="720" w:hanging="720"/>
        <w:rPr>
          <w:noProof w:val="0"/>
        </w:rPr>
      </w:pPr>
      <w:r w:rsidRPr="00C90AC9">
        <w:rPr>
          <w:noProof w:val="0"/>
        </w:rPr>
        <w:t xml:space="preserve">Fraisse, G., Bai, Y., Le Pierrès, N., &amp; Letz, T. (2009). Comparative study of various optimization criteria for SDHWS and a suggestion for a new global evaluation. </w:t>
      </w:r>
      <w:r w:rsidRPr="00C90AC9">
        <w:rPr>
          <w:i/>
          <w:noProof w:val="0"/>
        </w:rPr>
        <w:t>Solar Energy, 83</w:t>
      </w:r>
      <w:r w:rsidRPr="00C90AC9">
        <w:rPr>
          <w:noProof w:val="0"/>
        </w:rPr>
        <w:t xml:space="preserve">(2), 232-245. </w:t>
      </w:r>
    </w:p>
    <w:p w:rsidR="00337B41" w:rsidRPr="00C90AC9" w:rsidRDefault="00982AF2" w:rsidP="00337B41">
      <w:pPr>
        <w:pStyle w:val="EndNoteBibliography"/>
        <w:spacing w:after="0"/>
        <w:ind w:left="720" w:hanging="720"/>
        <w:rPr>
          <w:noProof w:val="0"/>
        </w:rPr>
      </w:pPr>
      <w:r w:rsidRPr="00C90AC9">
        <w:rPr>
          <w:noProof w:val="0"/>
        </w:rPr>
        <w:t xml:space="preserve">Furbo, </w:t>
      </w:r>
      <w:r w:rsidR="007B44F9" w:rsidRPr="00C90AC9">
        <w:rPr>
          <w:noProof w:val="0"/>
        </w:rPr>
        <w:t>S. et al.</w:t>
      </w:r>
      <w:r w:rsidR="00337B41" w:rsidRPr="00C90AC9">
        <w:rPr>
          <w:noProof w:val="0"/>
        </w:rPr>
        <w:t xml:space="preserve"> (2005). Smart solar tanks for small solar domestic hot water systems. </w:t>
      </w:r>
      <w:r w:rsidR="00337B41" w:rsidRPr="00C90AC9">
        <w:rPr>
          <w:i/>
          <w:noProof w:val="0"/>
        </w:rPr>
        <w:t>Solar Energy, 78</w:t>
      </w:r>
      <w:r w:rsidR="00337B41" w:rsidRPr="00C90AC9">
        <w:rPr>
          <w:noProof w:val="0"/>
        </w:rPr>
        <w:t xml:space="preserve">(2), p. 269-279. </w:t>
      </w:r>
    </w:p>
    <w:p w:rsidR="00337B41" w:rsidRPr="00C90AC9" w:rsidRDefault="00337B41" w:rsidP="00337B41">
      <w:pPr>
        <w:pStyle w:val="EndNoteBibliography"/>
        <w:spacing w:after="0"/>
        <w:ind w:left="720" w:hanging="720"/>
        <w:rPr>
          <w:noProof w:val="0"/>
        </w:rPr>
      </w:pPr>
      <w:r w:rsidRPr="00C90AC9">
        <w:rPr>
          <w:noProof w:val="0"/>
        </w:rPr>
        <w:t xml:space="preserve">Gari, H. N., &amp; Loehrke, R. I. (1982). A Controlled Buoyant Jet for Enhancing Stratification in a Liquid Storage Tank. </w:t>
      </w:r>
      <w:r w:rsidRPr="00C90AC9">
        <w:rPr>
          <w:i/>
          <w:noProof w:val="0"/>
        </w:rPr>
        <w:t>Journal of Fluids Engineering, 1044</w:t>
      </w:r>
      <w:r w:rsidRPr="00C90AC9">
        <w:rPr>
          <w:noProof w:val="0"/>
        </w:rPr>
        <w:t xml:space="preserve">(4), p. 475-481. </w:t>
      </w:r>
    </w:p>
    <w:p w:rsidR="00337B41" w:rsidRPr="00C90AC9" w:rsidRDefault="00337B41" w:rsidP="00337B41">
      <w:pPr>
        <w:pStyle w:val="EndNoteBibliography"/>
        <w:spacing w:after="0"/>
        <w:ind w:left="720" w:hanging="720"/>
        <w:rPr>
          <w:noProof w:val="0"/>
        </w:rPr>
      </w:pPr>
      <w:r w:rsidRPr="00C90AC9">
        <w:rPr>
          <w:noProof w:val="0"/>
        </w:rPr>
        <w:t xml:space="preserve">Gefen, D. (2004). What Makes an ERP Implementation Relationship Worthwhile: Linking Trust Mechanisms and ERP Usefulness. </w:t>
      </w:r>
      <w:r w:rsidRPr="00C90AC9">
        <w:rPr>
          <w:i/>
          <w:noProof w:val="0"/>
        </w:rPr>
        <w:t>Journal of Management Information Systems, 21</w:t>
      </w:r>
      <w:r w:rsidRPr="00C90AC9">
        <w:rPr>
          <w:noProof w:val="0"/>
        </w:rPr>
        <w:t xml:space="preserve">(1), 263-288. </w:t>
      </w:r>
    </w:p>
    <w:p w:rsidR="00337B41" w:rsidRPr="00C90AC9" w:rsidRDefault="00337B41" w:rsidP="00337B41">
      <w:pPr>
        <w:pStyle w:val="EndNoteBibliography"/>
        <w:spacing w:after="0"/>
        <w:ind w:left="720" w:hanging="720"/>
        <w:rPr>
          <w:noProof w:val="0"/>
        </w:rPr>
      </w:pPr>
      <w:r w:rsidRPr="00C90AC9">
        <w:rPr>
          <w:noProof w:val="0"/>
        </w:rPr>
        <w:t xml:space="preserve">Greening, B., &amp; Azapagic, A. (2014). Domestic solar thermal water heating: A sustainable option for the UK? </w:t>
      </w:r>
      <w:r w:rsidRPr="00C90AC9">
        <w:rPr>
          <w:i/>
          <w:noProof w:val="0"/>
        </w:rPr>
        <w:t>Renewable Energy, 63</w:t>
      </w:r>
      <w:r w:rsidRPr="00C90AC9">
        <w:rPr>
          <w:noProof w:val="0"/>
        </w:rPr>
        <w:t xml:space="preserve">(0), p. 23-36. </w:t>
      </w:r>
    </w:p>
    <w:p w:rsidR="00337B41" w:rsidRPr="00C90AC9" w:rsidRDefault="00337B41" w:rsidP="00337B41">
      <w:pPr>
        <w:pStyle w:val="EndNoteBibliography"/>
        <w:spacing w:after="0"/>
        <w:ind w:left="720" w:hanging="720"/>
        <w:rPr>
          <w:noProof w:val="0"/>
        </w:rPr>
      </w:pPr>
      <w:r w:rsidRPr="00C90AC9">
        <w:rPr>
          <w:noProof w:val="0"/>
        </w:rPr>
        <w:t xml:space="preserve">Guest, G., MacQueen, K. M., &amp; Namey, E. E. (2011). </w:t>
      </w:r>
      <w:r w:rsidRPr="00C90AC9">
        <w:rPr>
          <w:i/>
          <w:noProof w:val="0"/>
        </w:rPr>
        <w:t>Applied Thematic Analysis</w:t>
      </w:r>
      <w:r w:rsidRPr="00C90AC9">
        <w:rPr>
          <w:noProof w:val="0"/>
        </w:rPr>
        <w:t>: SAGE Publications.</w:t>
      </w:r>
    </w:p>
    <w:p w:rsidR="00337B41" w:rsidRPr="00C90AC9" w:rsidRDefault="00337B41" w:rsidP="00337B41">
      <w:pPr>
        <w:pStyle w:val="EndNoteBibliography"/>
        <w:spacing w:after="0"/>
        <w:ind w:left="720" w:hanging="720"/>
        <w:rPr>
          <w:noProof w:val="0"/>
        </w:rPr>
      </w:pPr>
      <w:r w:rsidRPr="00C90AC9">
        <w:rPr>
          <w:noProof w:val="0"/>
        </w:rPr>
        <w:lastRenderedPageBreak/>
        <w:t xml:space="preserve">Hafez, A. Z., Soliman, A., El-Metwally, K. A., &amp; Ismail, I. M. (2017). Tilt and azimuth angles in solar energy applications – A review. </w:t>
      </w:r>
      <w:r w:rsidRPr="00C90AC9">
        <w:rPr>
          <w:i/>
          <w:noProof w:val="0"/>
        </w:rPr>
        <w:t>Renewable and Sustainable Energy Reviews, 77</w:t>
      </w:r>
      <w:r w:rsidRPr="00C90AC9">
        <w:rPr>
          <w:noProof w:val="0"/>
        </w:rPr>
        <w:t xml:space="preserve">, 147-168. </w:t>
      </w:r>
    </w:p>
    <w:p w:rsidR="00337B41" w:rsidRPr="00C90AC9" w:rsidRDefault="00337B41" w:rsidP="00337B41">
      <w:pPr>
        <w:pStyle w:val="EndNoteBibliography"/>
        <w:spacing w:after="0"/>
        <w:ind w:left="720" w:hanging="720"/>
        <w:rPr>
          <w:noProof w:val="0"/>
        </w:rPr>
      </w:pPr>
      <w:r w:rsidRPr="00C90AC9">
        <w:rPr>
          <w:noProof w:val="0"/>
        </w:rPr>
        <w:t>Han, Y. M., R.Z. Wang</w:t>
      </w:r>
      <w:r w:rsidR="007B44F9" w:rsidRPr="00C90AC9">
        <w:rPr>
          <w:noProof w:val="0"/>
        </w:rPr>
        <w:t>,</w:t>
      </w:r>
      <w:r w:rsidRPr="00C90AC9">
        <w:rPr>
          <w:noProof w:val="0"/>
        </w:rPr>
        <w:t xml:space="preserve"> &amp; Dai, Y. J. (2009). Thermal stratification within the water tank. </w:t>
      </w:r>
      <w:r w:rsidRPr="00C90AC9">
        <w:rPr>
          <w:i/>
          <w:noProof w:val="0"/>
        </w:rPr>
        <w:t>Renewable &amp; Sustainable Energy Reviews, 13</w:t>
      </w:r>
      <w:r w:rsidRPr="00C90AC9">
        <w:rPr>
          <w:noProof w:val="0"/>
        </w:rPr>
        <w:t xml:space="preserve">(5), p. 1014-1026. </w:t>
      </w:r>
    </w:p>
    <w:p w:rsidR="00337B41" w:rsidRPr="00C90AC9" w:rsidRDefault="00337B41" w:rsidP="00337B41">
      <w:pPr>
        <w:pStyle w:val="EndNoteBibliography"/>
        <w:spacing w:after="0"/>
        <w:ind w:left="720" w:hanging="720"/>
        <w:rPr>
          <w:noProof w:val="0"/>
        </w:rPr>
      </w:pPr>
      <w:r w:rsidRPr="00C90AC9">
        <w:rPr>
          <w:noProof w:val="0"/>
        </w:rPr>
        <w:t xml:space="preserve">Hawkins, G. (2011). </w:t>
      </w:r>
      <w:r w:rsidRPr="00C90AC9">
        <w:rPr>
          <w:i/>
          <w:noProof w:val="0"/>
        </w:rPr>
        <w:t>Rules of Thub, Guidelines for building services</w:t>
      </w:r>
      <w:r w:rsidRPr="00C90AC9">
        <w:rPr>
          <w:noProof w:val="0"/>
        </w:rPr>
        <w:t>: BSRIA.</w:t>
      </w:r>
    </w:p>
    <w:p w:rsidR="00337B41" w:rsidRPr="00C90AC9" w:rsidRDefault="00337B41" w:rsidP="00337B41">
      <w:pPr>
        <w:pStyle w:val="EndNoteBibliography"/>
        <w:spacing w:after="0"/>
        <w:ind w:left="720" w:hanging="720"/>
        <w:rPr>
          <w:noProof w:val="0"/>
        </w:rPr>
      </w:pPr>
      <w:r w:rsidRPr="00C90AC9">
        <w:rPr>
          <w:noProof w:val="0"/>
        </w:rPr>
        <w:t xml:space="preserve">IPCC. (2013). Annex I: Atlas of Global and Regional Climate Projections: AI. In T. F. Stocker, D. Qin, G. K. Plattner, M. Tignor, S. K. Allen, J. Boschung, A. Nauels, Y. Xia, V. Bex, &amp; P. M. Midgley (Eds.), </w:t>
      </w:r>
      <w:r w:rsidRPr="00C90AC9">
        <w:rPr>
          <w:i/>
          <w:noProof w:val="0"/>
        </w:rPr>
        <w:t>Climate Change 2013: The Physical Science Basis. Contribution of Working Group I to the Fifth Assessment Report of the Intergovernmental Panel on Climate Change</w:t>
      </w:r>
      <w:r w:rsidRPr="00C90AC9">
        <w:rPr>
          <w:noProof w:val="0"/>
        </w:rPr>
        <w:t xml:space="preserve"> (pp. 1311–1394). Cambridge, United Kingdom and New York, NY, USA: Cambridge University Press.</w:t>
      </w:r>
    </w:p>
    <w:p w:rsidR="00337B41" w:rsidRPr="00C90AC9" w:rsidRDefault="00337B41" w:rsidP="00337B41">
      <w:pPr>
        <w:pStyle w:val="EndNoteBibliography"/>
        <w:spacing w:after="0"/>
        <w:ind w:left="720" w:hanging="720"/>
        <w:rPr>
          <w:noProof w:val="0"/>
        </w:rPr>
      </w:pPr>
      <w:r w:rsidRPr="00C90AC9">
        <w:rPr>
          <w:noProof w:val="0"/>
        </w:rPr>
        <w:t>J., A. C., &amp; Mark, C. (2001). Efficacy of the Theory of Planned Behaviour: A meta</w:t>
      </w:r>
      <w:r w:rsidRPr="00C90AC9">
        <w:rPr>
          <w:rFonts w:ascii="Cambria Math" w:hAnsi="Cambria Math" w:cs="Cambria Math"/>
          <w:noProof w:val="0"/>
        </w:rPr>
        <w:t>‐</w:t>
      </w:r>
      <w:r w:rsidRPr="00C90AC9">
        <w:rPr>
          <w:noProof w:val="0"/>
        </w:rPr>
        <w:t xml:space="preserve">analytic review. </w:t>
      </w:r>
      <w:r w:rsidRPr="00C90AC9">
        <w:rPr>
          <w:i/>
          <w:noProof w:val="0"/>
        </w:rPr>
        <w:t>British Journal of Social Psychology, 40</w:t>
      </w:r>
      <w:r w:rsidRPr="00C90AC9">
        <w:rPr>
          <w:noProof w:val="0"/>
        </w:rPr>
        <w:t xml:space="preserve">(4), 471-499. </w:t>
      </w:r>
    </w:p>
    <w:p w:rsidR="00337B41" w:rsidRPr="00C90AC9" w:rsidRDefault="00337B41" w:rsidP="00337B41">
      <w:pPr>
        <w:pStyle w:val="EndNoteBibliography"/>
        <w:spacing w:after="0"/>
        <w:ind w:left="720" w:hanging="720"/>
        <w:rPr>
          <w:noProof w:val="0"/>
        </w:rPr>
      </w:pPr>
      <w:r w:rsidRPr="00C90AC9">
        <w:rPr>
          <w:noProof w:val="0"/>
        </w:rPr>
        <w:t xml:space="preserve">Jaisankar, S., </w:t>
      </w:r>
      <w:r w:rsidR="007B44F9" w:rsidRPr="00C90AC9">
        <w:rPr>
          <w:noProof w:val="0"/>
        </w:rPr>
        <w:t>et al</w:t>
      </w:r>
      <w:r w:rsidRPr="00C90AC9">
        <w:rPr>
          <w:noProof w:val="0"/>
        </w:rPr>
        <w:t xml:space="preserve">. (2011). A comprehensive review on solar water heaters. </w:t>
      </w:r>
      <w:r w:rsidRPr="00C90AC9">
        <w:rPr>
          <w:i/>
          <w:noProof w:val="0"/>
        </w:rPr>
        <w:t>Renewable and Sustainable Energy Reviews, 15</w:t>
      </w:r>
      <w:r w:rsidRPr="00C90AC9">
        <w:rPr>
          <w:noProof w:val="0"/>
        </w:rPr>
        <w:t xml:space="preserve">(6), p. 3045-3050. </w:t>
      </w:r>
    </w:p>
    <w:p w:rsidR="00337B41" w:rsidRPr="00C90AC9" w:rsidRDefault="00337B41" w:rsidP="00337B41">
      <w:pPr>
        <w:pStyle w:val="EndNoteBibliography"/>
        <w:spacing w:after="0"/>
        <w:ind w:left="720" w:hanging="720"/>
        <w:rPr>
          <w:noProof w:val="0"/>
        </w:rPr>
      </w:pPr>
      <w:r w:rsidRPr="00C90AC9">
        <w:rPr>
          <w:noProof w:val="0"/>
        </w:rPr>
        <w:t xml:space="preserve">Juntunen, J. K., </w:t>
      </w:r>
      <w:r w:rsidR="004D4B49" w:rsidRPr="00C90AC9">
        <w:rPr>
          <w:noProof w:val="0"/>
        </w:rPr>
        <w:t>and Hyysalo</w:t>
      </w:r>
      <w:r w:rsidRPr="00C90AC9">
        <w:rPr>
          <w:noProof w:val="0"/>
        </w:rPr>
        <w:t xml:space="preserve">, S. (2015). Renewable micro-generation of heat and electricity—Review on common and missing socio-technical configurations. </w:t>
      </w:r>
      <w:r w:rsidRPr="00C90AC9">
        <w:rPr>
          <w:i/>
          <w:noProof w:val="0"/>
        </w:rPr>
        <w:t>Renewable and Sustainable Energy Reviews, 49</w:t>
      </w:r>
      <w:r w:rsidRPr="00C90AC9">
        <w:rPr>
          <w:noProof w:val="0"/>
        </w:rPr>
        <w:t xml:space="preserve">, 857-870. </w:t>
      </w:r>
    </w:p>
    <w:p w:rsidR="00337B41" w:rsidRPr="00C90AC9" w:rsidRDefault="00337B41" w:rsidP="00337B41">
      <w:pPr>
        <w:pStyle w:val="EndNoteBibliography"/>
        <w:spacing w:after="0"/>
        <w:ind w:left="720" w:hanging="720"/>
        <w:rPr>
          <w:noProof w:val="0"/>
        </w:rPr>
      </w:pPr>
      <w:r w:rsidRPr="00C90AC9">
        <w:rPr>
          <w:noProof w:val="0"/>
        </w:rPr>
        <w:t xml:space="preserve">K. Vejen, S. F., L.J. Shah. (2004). Development of 12.5m2 solar collector panel for solar heating plane. </w:t>
      </w:r>
      <w:r w:rsidRPr="00C90AC9">
        <w:rPr>
          <w:i/>
          <w:noProof w:val="0"/>
        </w:rPr>
        <w:t>Solar Energy Materials &amp; Solar Cells, 84</w:t>
      </w:r>
      <w:r w:rsidRPr="00C90AC9">
        <w:rPr>
          <w:noProof w:val="0"/>
        </w:rPr>
        <w:t xml:space="preserve">, p. 205-223. </w:t>
      </w:r>
    </w:p>
    <w:p w:rsidR="00337B41" w:rsidRPr="00C90AC9" w:rsidRDefault="00337B41" w:rsidP="00337B41">
      <w:pPr>
        <w:pStyle w:val="EndNoteBibliography"/>
        <w:spacing w:after="0"/>
        <w:ind w:left="720" w:hanging="720"/>
        <w:rPr>
          <w:noProof w:val="0"/>
        </w:rPr>
      </w:pPr>
      <w:r w:rsidRPr="00C90AC9">
        <w:rPr>
          <w:noProof w:val="0"/>
        </w:rPr>
        <w:t xml:space="preserve">Kaldellis, J. K. (2005). Social attitude towards wind energy applications in Greece. </w:t>
      </w:r>
      <w:r w:rsidRPr="00C90AC9">
        <w:rPr>
          <w:i/>
          <w:noProof w:val="0"/>
        </w:rPr>
        <w:t>Energy Policy, 33</w:t>
      </w:r>
      <w:r w:rsidRPr="00C90AC9">
        <w:rPr>
          <w:noProof w:val="0"/>
        </w:rPr>
        <w:t xml:space="preserve">(5), 595-602. </w:t>
      </w:r>
    </w:p>
    <w:p w:rsidR="00337B41" w:rsidRPr="00C90AC9" w:rsidRDefault="00337B41" w:rsidP="00337B41">
      <w:pPr>
        <w:pStyle w:val="EndNoteBibliography"/>
        <w:spacing w:after="0"/>
        <w:ind w:left="720" w:hanging="720"/>
        <w:rPr>
          <w:noProof w:val="0"/>
        </w:rPr>
      </w:pPr>
      <w:r w:rsidRPr="00C90AC9">
        <w:rPr>
          <w:noProof w:val="0"/>
        </w:rPr>
        <w:t xml:space="preserve">Kantzioura, A., Kosmopoulos, P., &amp; Zoras, S. (2012). Urban surface temperature and microclimate measurements in Thessaloniki. </w:t>
      </w:r>
      <w:r w:rsidRPr="00C90AC9">
        <w:rPr>
          <w:i/>
          <w:noProof w:val="0"/>
        </w:rPr>
        <w:t>Energy and Buildings, 44</w:t>
      </w:r>
      <w:r w:rsidRPr="00C90AC9">
        <w:rPr>
          <w:noProof w:val="0"/>
        </w:rPr>
        <w:t xml:space="preserve">, 63-72. </w:t>
      </w:r>
    </w:p>
    <w:p w:rsidR="00337B41" w:rsidRPr="00C90AC9" w:rsidRDefault="00337B41" w:rsidP="00337B41">
      <w:pPr>
        <w:pStyle w:val="EndNoteBibliography"/>
        <w:spacing w:after="0"/>
        <w:ind w:left="720" w:hanging="720"/>
        <w:rPr>
          <w:noProof w:val="0"/>
        </w:rPr>
      </w:pPr>
      <w:r w:rsidRPr="00C90AC9">
        <w:rPr>
          <w:noProof w:val="0"/>
        </w:rPr>
        <w:t>Kenjo, L., C. Inard</w:t>
      </w:r>
      <w:r w:rsidR="007B44F9" w:rsidRPr="00C90AC9">
        <w:rPr>
          <w:noProof w:val="0"/>
        </w:rPr>
        <w:t>,</w:t>
      </w:r>
      <w:r w:rsidRPr="00C90AC9">
        <w:rPr>
          <w:noProof w:val="0"/>
        </w:rPr>
        <w:t xml:space="preserve"> &amp; Caccavelli, D. (2007). Experimental and numerical study of thermal stratification in a mantle tank of a solar domestic hot water system. </w:t>
      </w:r>
      <w:r w:rsidRPr="00C90AC9">
        <w:rPr>
          <w:i/>
          <w:noProof w:val="0"/>
        </w:rPr>
        <w:t>Applied Thermal Engineering</w:t>
      </w:r>
      <w:r w:rsidRPr="00C90AC9">
        <w:rPr>
          <w:noProof w:val="0"/>
        </w:rPr>
        <w:t xml:space="preserve">(27), p. 1986-1995. </w:t>
      </w:r>
    </w:p>
    <w:p w:rsidR="00337B41" w:rsidRPr="00C90AC9" w:rsidRDefault="00337B41" w:rsidP="00337B41">
      <w:pPr>
        <w:pStyle w:val="EndNoteBibliography"/>
        <w:spacing w:after="0"/>
        <w:ind w:left="720" w:hanging="720"/>
        <w:rPr>
          <w:noProof w:val="0"/>
        </w:rPr>
      </w:pPr>
      <w:r w:rsidRPr="00C90AC9">
        <w:rPr>
          <w:noProof w:val="0"/>
        </w:rPr>
        <w:t xml:space="preserve">King, W. R., &amp; He, J. (2006). A meta-analysis of the technology acceptance model. </w:t>
      </w:r>
      <w:r w:rsidRPr="00C90AC9">
        <w:rPr>
          <w:i/>
          <w:noProof w:val="0"/>
        </w:rPr>
        <w:t>Information &amp; Management, 43</w:t>
      </w:r>
      <w:r w:rsidRPr="00C90AC9">
        <w:rPr>
          <w:noProof w:val="0"/>
        </w:rPr>
        <w:t xml:space="preserve">(6), 740-755. </w:t>
      </w:r>
    </w:p>
    <w:p w:rsidR="00337B41" w:rsidRPr="00C90AC9" w:rsidRDefault="00337B41" w:rsidP="00337B41">
      <w:pPr>
        <w:pStyle w:val="EndNoteBibliography"/>
        <w:spacing w:after="0"/>
        <w:ind w:left="720" w:hanging="720"/>
        <w:rPr>
          <w:noProof w:val="0"/>
        </w:rPr>
      </w:pPr>
      <w:r w:rsidRPr="00C90AC9">
        <w:rPr>
          <w:noProof w:val="0"/>
        </w:rPr>
        <w:t xml:space="preserve">Kitzinger, J. (1994). </w:t>
      </w:r>
      <w:r w:rsidRPr="00C90AC9">
        <w:rPr>
          <w:i/>
          <w:noProof w:val="0"/>
        </w:rPr>
        <w:t>The Methodology of Focus Groups: The Importance of Interaction Between Research Participants</w:t>
      </w:r>
      <w:r w:rsidRPr="00C90AC9">
        <w:rPr>
          <w:noProof w:val="0"/>
        </w:rPr>
        <w:t xml:space="preserve"> (Vol. 16).</w:t>
      </w:r>
    </w:p>
    <w:p w:rsidR="00337B41" w:rsidRPr="00C90AC9" w:rsidRDefault="00337B41" w:rsidP="00337B41">
      <w:pPr>
        <w:pStyle w:val="EndNoteBibliography"/>
        <w:spacing w:after="0"/>
        <w:ind w:left="720" w:hanging="720"/>
        <w:rPr>
          <w:noProof w:val="0"/>
        </w:rPr>
      </w:pPr>
      <w:r w:rsidRPr="00C90AC9">
        <w:rPr>
          <w:noProof w:val="0"/>
        </w:rPr>
        <w:t xml:space="preserve">Koroneos, C. J., &amp; Nanaki, E. A. (2012). Life cycle environmental impact assessment of a solar water heater. </w:t>
      </w:r>
      <w:r w:rsidRPr="00C90AC9">
        <w:rPr>
          <w:i/>
          <w:noProof w:val="0"/>
        </w:rPr>
        <w:t>Journal of Cleaner Production, 37</w:t>
      </w:r>
      <w:r w:rsidRPr="00C90AC9">
        <w:rPr>
          <w:noProof w:val="0"/>
        </w:rPr>
        <w:t xml:space="preserve">, p. 154-161. </w:t>
      </w:r>
    </w:p>
    <w:p w:rsidR="00337B41" w:rsidRPr="00C90AC9" w:rsidRDefault="00337B41" w:rsidP="00337B41">
      <w:pPr>
        <w:pStyle w:val="EndNoteBibliography"/>
        <w:spacing w:after="0"/>
        <w:ind w:left="720" w:hanging="720"/>
        <w:rPr>
          <w:noProof w:val="0"/>
        </w:rPr>
      </w:pPr>
      <w:r w:rsidRPr="00C90AC9">
        <w:rPr>
          <w:noProof w:val="0"/>
        </w:rPr>
        <w:t xml:space="preserve">L. Cai, W. E. S. (1993). Turbulent buoyant ﬂows into a two-dimension storage tank. </w:t>
      </w:r>
      <w:r w:rsidRPr="00C90AC9">
        <w:rPr>
          <w:i/>
          <w:noProof w:val="0"/>
        </w:rPr>
        <w:t>International Journal of Heat and Mass Transfer</w:t>
      </w:r>
      <w:r w:rsidRPr="00C90AC9">
        <w:rPr>
          <w:noProof w:val="0"/>
        </w:rPr>
        <w:t xml:space="preserve">, p. 4247-4256. </w:t>
      </w:r>
    </w:p>
    <w:p w:rsidR="00337B41" w:rsidRPr="00C90AC9" w:rsidRDefault="00337B41" w:rsidP="00337B41">
      <w:pPr>
        <w:pStyle w:val="EndNoteBibliography"/>
        <w:spacing w:after="0"/>
        <w:ind w:left="720" w:hanging="720"/>
        <w:rPr>
          <w:noProof w:val="0"/>
        </w:rPr>
      </w:pPr>
      <w:r w:rsidRPr="00C90AC9">
        <w:rPr>
          <w:noProof w:val="0"/>
        </w:rPr>
        <w:t>Lachapelle, E., C.P. Borick</w:t>
      </w:r>
      <w:r w:rsidR="007B44F9" w:rsidRPr="00C90AC9">
        <w:rPr>
          <w:noProof w:val="0"/>
        </w:rPr>
        <w:t>,</w:t>
      </w:r>
      <w:r w:rsidRPr="00C90AC9">
        <w:rPr>
          <w:noProof w:val="0"/>
        </w:rPr>
        <w:t xml:space="preserve"> &amp; Rabe, B. (2012). Public Attitudes toward Climate Science and Climate Policy in Federal Systems: Canada and the United States Compared1. </w:t>
      </w:r>
      <w:r w:rsidRPr="00C90AC9">
        <w:rPr>
          <w:i/>
          <w:noProof w:val="0"/>
        </w:rPr>
        <w:t>Review of Policy Research, 29</w:t>
      </w:r>
      <w:r w:rsidRPr="00C90AC9">
        <w:rPr>
          <w:noProof w:val="0"/>
        </w:rPr>
        <w:t xml:space="preserve">(3), p. 334-357. </w:t>
      </w:r>
    </w:p>
    <w:p w:rsidR="00337B41" w:rsidRPr="00C90AC9" w:rsidRDefault="00337B41" w:rsidP="00337B41">
      <w:pPr>
        <w:pStyle w:val="EndNoteBibliography"/>
        <w:spacing w:after="0"/>
        <w:ind w:left="720" w:hanging="720"/>
        <w:rPr>
          <w:noProof w:val="0"/>
        </w:rPr>
      </w:pPr>
      <w:r w:rsidRPr="00C90AC9">
        <w:rPr>
          <w:noProof w:val="0"/>
        </w:rPr>
        <w:t xml:space="preserve">Lavan, Z., &amp; Thompson, J. (1977). Experimental study of thermally stratified hot water storage tanks. </w:t>
      </w:r>
      <w:r w:rsidRPr="00C90AC9">
        <w:rPr>
          <w:i/>
          <w:noProof w:val="0"/>
        </w:rPr>
        <w:t>Solar Energy, 19</w:t>
      </w:r>
      <w:r w:rsidRPr="00C90AC9">
        <w:rPr>
          <w:noProof w:val="0"/>
        </w:rPr>
        <w:t xml:space="preserve">(19), p. 519-524. </w:t>
      </w:r>
    </w:p>
    <w:p w:rsidR="00337B41" w:rsidRPr="00C90AC9" w:rsidRDefault="00337B41" w:rsidP="00337B41">
      <w:pPr>
        <w:pStyle w:val="EndNoteBibliography"/>
        <w:spacing w:after="0"/>
        <w:ind w:left="720" w:hanging="720"/>
        <w:rPr>
          <w:noProof w:val="0"/>
        </w:rPr>
      </w:pPr>
      <w:r w:rsidRPr="00C90AC9">
        <w:rPr>
          <w:noProof w:val="0"/>
        </w:rPr>
        <w:t xml:space="preserve">Levinthal, D. A. (1998). The Slow Pace of Rapid Technological Change: Gradualism and Punctuation in Technological Change. </w:t>
      </w:r>
      <w:r w:rsidRPr="00C90AC9">
        <w:rPr>
          <w:i/>
          <w:noProof w:val="0"/>
        </w:rPr>
        <w:t>Industrial and Corporate Change, 7</w:t>
      </w:r>
      <w:r w:rsidRPr="00C90AC9">
        <w:rPr>
          <w:noProof w:val="0"/>
        </w:rPr>
        <w:t xml:space="preserve">(2), 217-247. </w:t>
      </w:r>
    </w:p>
    <w:p w:rsidR="00337B41" w:rsidRPr="00C90AC9" w:rsidRDefault="00337B41" w:rsidP="00337B41">
      <w:pPr>
        <w:pStyle w:val="EndNoteBibliography"/>
        <w:spacing w:after="0"/>
        <w:ind w:left="720" w:hanging="720"/>
        <w:rPr>
          <w:noProof w:val="0"/>
        </w:rPr>
      </w:pPr>
      <w:r w:rsidRPr="00C90AC9">
        <w:rPr>
          <w:noProof w:val="0"/>
        </w:rPr>
        <w:t xml:space="preserve">Liao, C., Palvia, P., &amp; Chen, J.-L. (2009). Information technology adoption behavior life cycle: Toward a Technology Continuance Theory (TCT). </w:t>
      </w:r>
      <w:r w:rsidRPr="00C90AC9">
        <w:rPr>
          <w:i/>
          <w:noProof w:val="0"/>
        </w:rPr>
        <w:t>Int. J. Inf. Manag., 29</w:t>
      </w:r>
      <w:r w:rsidRPr="00C90AC9">
        <w:rPr>
          <w:noProof w:val="0"/>
        </w:rPr>
        <w:t xml:space="preserve">(4), 309-320. </w:t>
      </w:r>
    </w:p>
    <w:p w:rsidR="00337B41" w:rsidRPr="00C90AC9" w:rsidRDefault="00337B41" w:rsidP="00337B41">
      <w:pPr>
        <w:pStyle w:val="EndNoteBibliography"/>
        <w:spacing w:after="0"/>
        <w:ind w:left="720" w:hanging="720"/>
        <w:rPr>
          <w:noProof w:val="0"/>
        </w:rPr>
      </w:pPr>
      <w:r w:rsidRPr="00C90AC9">
        <w:rPr>
          <w:noProof w:val="0"/>
        </w:rPr>
        <w:t xml:space="preserve">Lienhoop, N. (2018). Acceptance of wind energy and the role of financial and procedural participation: An investigation with focus groups and choice experiments. </w:t>
      </w:r>
      <w:r w:rsidRPr="00C90AC9">
        <w:rPr>
          <w:i/>
          <w:noProof w:val="0"/>
        </w:rPr>
        <w:t>Energy Policy, 118</w:t>
      </w:r>
      <w:r w:rsidRPr="00C90AC9">
        <w:rPr>
          <w:noProof w:val="0"/>
        </w:rPr>
        <w:t xml:space="preserve">, 97-105. </w:t>
      </w:r>
    </w:p>
    <w:p w:rsidR="00337B41" w:rsidRPr="00C90AC9" w:rsidRDefault="00337B41" w:rsidP="00337B41">
      <w:pPr>
        <w:pStyle w:val="EndNoteBibliography"/>
        <w:spacing w:after="0"/>
        <w:ind w:left="720" w:hanging="720"/>
        <w:rPr>
          <w:noProof w:val="0"/>
        </w:rPr>
      </w:pPr>
      <w:r w:rsidRPr="00C90AC9">
        <w:rPr>
          <w:noProof w:val="0"/>
        </w:rPr>
        <w:t xml:space="preserve">Liu, B. Y. H., &amp; Jordan, R. C. (1960). The interrelationship and characteristic distribution of direct, diffuse and total solar radiation. </w:t>
      </w:r>
      <w:r w:rsidRPr="00C90AC9">
        <w:rPr>
          <w:i/>
          <w:noProof w:val="0"/>
        </w:rPr>
        <w:t>Solar Energy, 4</w:t>
      </w:r>
      <w:r w:rsidRPr="00C90AC9">
        <w:rPr>
          <w:noProof w:val="0"/>
        </w:rPr>
        <w:t xml:space="preserve">(3), 1-19. </w:t>
      </w:r>
    </w:p>
    <w:p w:rsidR="00337B41" w:rsidRPr="00C90AC9" w:rsidRDefault="00337B41" w:rsidP="00337B41">
      <w:pPr>
        <w:pStyle w:val="EndNoteBibliography"/>
        <w:spacing w:after="0"/>
        <w:ind w:left="720" w:hanging="720"/>
        <w:rPr>
          <w:noProof w:val="0"/>
        </w:rPr>
      </w:pPr>
      <w:r w:rsidRPr="00C90AC9">
        <w:rPr>
          <w:noProof w:val="0"/>
        </w:rPr>
        <w:t xml:space="preserve">Martin, C. J., Taylor, P. G., Upham, P., Ghiasi, G., Bale, C. S. E., James, H., . . . Helmer, S. (2014). Energy in low carbon cities and social learning: A process for defining priority research questions with UK stakeholders. </w:t>
      </w:r>
      <w:r w:rsidRPr="00C90AC9">
        <w:rPr>
          <w:i/>
          <w:noProof w:val="0"/>
        </w:rPr>
        <w:t>Sustainable Cities and Society, 10</w:t>
      </w:r>
      <w:r w:rsidRPr="00C90AC9">
        <w:rPr>
          <w:noProof w:val="0"/>
        </w:rPr>
        <w:t xml:space="preserve">, 149-160. </w:t>
      </w:r>
    </w:p>
    <w:p w:rsidR="00337B41" w:rsidRPr="00C90AC9" w:rsidRDefault="00337B41" w:rsidP="00337B41">
      <w:pPr>
        <w:pStyle w:val="EndNoteBibliography"/>
        <w:spacing w:after="0"/>
        <w:ind w:left="720" w:hanging="720"/>
        <w:rPr>
          <w:noProof w:val="0"/>
        </w:rPr>
      </w:pPr>
      <w:r w:rsidRPr="00C90AC9">
        <w:rPr>
          <w:noProof w:val="0"/>
        </w:rPr>
        <w:t xml:space="preserve">Matus, K. J. M., Clark, W. C., Anastas, P. T., &amp; Zimmerman, J. B. (2012). Barriers to the Implementation of Green Chemistry in the United States. </w:t>
      </w:r>
      <w:r w:rsidRPr="00C90AC9">
        <w:rPr>
          <w:i/>
          <w:noProof w:val="0"/>
        </w:rPr>
        <w:t>Environmental Science &amp; Technology, 46</w:t>
      </w:r>
      <w:r w:rsidRPr="00C90AC9">
        <w:rPr>
          <w:noProof w:val="0"/>
        </w:rPr>
        <w:t xml:space="preserve">(20), 10892-10899. </w:t>
      </w:r>
    </w:p>
    <w:p w:rsidR="00337B41" w:rsidRPr="00C90AC9" w:rsidRDefault="00337B41" w:rsidP="00337B41">
      <w:pPr>
        <w:pStyle w:val="EndNoteBibliography"/>
        <w:spacing w:after="0"/>
        <w:ind w:left="720" w:hanging="720"/>
        <w:rPr>
          <w:noProof w:val="0"/>
        </w:rPr>
      </w:pPr>
      <w:r w:rsidRPr="00C90AC9">
        <w:rPr>
          <w:noProof w:val="0"/>
        </w:rPr>
        <w:t xml:space="preserve">Mazman, M., Cabeza, L. F., Mehling, H., Miquel, N., Evliya, H., &amp; Paksoy, H. (2009). </w:t>
      </w:r>
      <w:r w:rsidRPr="00C90AC9">
        <w:rPr>
          <w:i/>
          <w:noProof w:val="0"/>
        </w:rPr>
        <w:t>Utilization of phase change materials in solar domestic hot water systems</w:t>
      </w:r>
      <w:r w:rsidRPr="00C90AC9">
        <w:rPr>
          <w:noProof w:val="0"/>
        </w:rPr>
        <w:t xml:space="preserve"> (Vol. 34).</w:t>
      </w:r>
    </w:p>
    <w:p w:rsidR="00337B41" w:rsidRPr="00C90AC9" w:rsidRDefault="00337B41" w:rsidP="00337B41">
      <w:pPr>
        <w:pStyle w:val="EndNoteBibliography"/>
        <w:spacing w:after="0"/>
        <w:ind w:left="720" w:hanging="720"/>
        <w:rPr>
          <w:noProof w:val="0"/>
        </w:rPr>
      </w:pPr>
      <w:r w:rsidRPr="00C90AC9">
        <w:rPr>
          <w:noProof w:val="0"/>
        </w:rPr>
        <w:lastRenderedPageBreak/>
        <w:t>Medved, S., C. Arkar</w:t>
      </w:r>
      <w:r w:rsidR="007B44F9" w:rsidRPr="00C90AC9">
        <w:rPr>
          <w:noProof w:val="0"/>
        </w:rPr>
        <w:t>,</w:t>
      </w:r>
      <w:r w:rsidRPr="00C90AC9">
        <w:rPr>
          <w:noProof w:val="0"/>
        </w:rPr>
        <w:t xml:space="preserve"> &amp; Černe, B. (2003). A large-panel unglazed roof-integrated liquid solar collector––energy and economic evaluation. </w:t>
      </w:r>
      <w:r w:rsidRPr="00C90AC9">
        <w:rPr>
          <w:i/>
          <w:noProof w:val="0"/>
        </w:rPr>
        <w:t>Solar Energy, 75</w:t>
      </w:r>
      <w:r w:rsidRPr="00C90AC9">
        <w:rPr>
          <w:noProof w:val="0"/>
        </w:rPr>
        <w:t xml:space="preserve">(6), p. 455-467. </w:t>
      </w:r>
    </w:p>
    <w:p w:rsidR="00337B41" w:rsidRPr="00C90AC9" w:rsidRDefault="00337B41" w:rsidP="00337B41">
      <w:pPr>
        <w:pStyle w:val="EndNoteBibliography"/>
        <w:spacing w:after="0"/>
        <w:ind w:left="720" w:hanging="720"/>
        <w:rPr>
          <w:noProof w:val="0"/>
        </w:rPr>
      </w:pPr>
      <w:r w:rsidRPr="00C90AC9">
        <w:rPr>
          <w:noProof w:val="0"/>
        </w:rPr>
        <w:t xml:space="preserve">Ministry of Housing, C. L. G. (2009). </w:t>
      </w:r>
      <w:r w:rsidRPr="00C90AC9">
        <w:rPr>
          <w:i/>
          <w:noProof w:val="0"/>
        </w:rPr>
        <w:t>English Housing Survey</w:t>
      </w:r>
      <w:r w:rsidRPr="00C90AC9">
        <w:rPr>
          <w:noProof w:val="0"/>
        </w:rPr>
        <w:t xml:space="preserve">. </w:t>
      </w:r>
      <w:r w:rsidR="007B44F9" w:rsidRPr="00C90AC9">
        <w:rPr>
          <w:noProof w:val="0"/>
        </w:rPr>
        <w:t xml:space="preserve"> </w:t>
      </w:r>
      <w:r w:rsidRPr="00C90AC9">
        <w:rPr>
          <w:noProof w:val="0"/>
        </w:rPr>
        <w:t xml:space="preserve"> London: </w:t>
      </w:r>
    </w:p>
    <w:p w:rsidR="00337B41" w:rsidRPr="00C90AC9" w:rsidRDefault="00337B41" w:rsidP="00337B41">
      <w:pPr>
        <w:pStyle w:val="EndNoteBibliography"/>
        <w:spacing w:after="0"/>
        <w:ind w:left="720" w:hanging="720"/>
        <w:rPr>
          <w:noProof w:val="0"/>
        </w:rPr>
      </w:pPr>
      <w:r w:rsidRPr="00C90AC9">
        <w:rPr>
          <w:noProof w:val="0"/>
        </w:rPr>
        <w:t xml:space="preserve">Monk, A. (2000). User-centred design, in Home informatics and telematics2000. </w:t>
      </w:r>
      <w:r w:rsidRPr="00C90AC9">
        <w:rPr>
          <w:i/>
          <w:noProof w:val="0"/>
        </w:rPr>
        <w:t>Springer</w:t>
      </w:r>
      <w:r w:rsidRPr="00C90AC9">
        <w:rPr>
          <w:noProof w:val="0"/>
        </w:rPr>
        <w:t xml:space="preserve">, p. 181-190. </w:t>
      </w:r>
    </w:p>
    <w:p w:rsidR="00337B41" w:rsidRPr="00C90AC9" w:rsidRDefault="00337B41" w:rsidP="00337B41">
      <w:pPr>
        <w:pStyle w:val="EndNoteBibliography"/>
        <w:spacing w:after="0"/>
        <w:ind w:left="720" w:hanging="720"/>
        <w:rPr>
          <w:noProof w:val="0"/>
        </w:rPr>
      </w:pPr>
      <w:r w:rsidRPr="00C90AC9">
        <w:rPr>
          <w:noProof w:val="0"/>
        </w:rPr>
        <w:t xml:space="preserve">NASA. (2016). </w:t>
      </w:r>
      <w:r w:rsidRPr="00C90AC9">
        <w:rPr>
          <w:i/>
          <w:noProof w:val="0"/>
        </w:rPr>
        <w:t>The Earth's Energy Budget</w:t>
      </w:r>
      <w:r w:rsidRPr="00C90AC9">
        <w:rPr>
          <w:noProof w:val="0"/>
        </w:rPr>
        <w:t xml:space="preserve">. NASA.  </w:t>
      </w:r>
      <w:r w:rsidR="007B44F9" w:rsidRPr="00C90AC9">
        <w:rPr>
          <w:noProof w:val="0"/>
        </w:rPr>
        <w:t xml:space="preserve"> </w:t>
      </w:r>
      <w:r w:rsidRPr="00C90AC9">
        <w:rPr>
          <w:noProof w:val="0"/>
        </w:rPr>
        <w:t xml:space="preserve"> </w:t>
      </w:r>
    </w:p>
    <w:p w:rsidR="00337B41" w:rsidRPr="00C90AC9" w:rsidRDefault="00337B41" w:rsidP="00337B41">
      <w:pPr>
        <w:pStyle w:val="EndNoteBibliography"/>
        <w:spacing w:after="0"/>
        <w:ind w:left="720" w:hanging="720"/>
        <w:rPr>
          <w:noProof w:val="0"/>
        </w:rPr>
      </w:pPr>
      <w:r w:rsidRPr="00C90AC9">
        <w:rPr>
          <w:noProof w:val="0"/>
        </w:rPr>
        <w:t>Nejat, P</w:t>
      </w:r>
      <w:r w:rsidR="007B44F9" w:rsidRPr="00C90AC9">
        <w:rPr>
          <w:noProof w:val="0"/>
        </w:rPr>
        <w:t>et al</w:t>
      </w:r>
      <w:r w:rsidRPr="00C90AC9">
        <w:rPr>
          <w:noProof w:val="0"/>
        </w:rPr>
        <w:t xml:space="preserve">. (2015). A global review of energy consumption, CO2 emissions and policy in the residential sector (with an overview of the top ten CO2 emitting countries). </w:t>
      </w:r>
      <w:r w:rsidRPr="00C90AC9">
        <w:rPr>
          <w:i/>
          <w:noProof w:val="0"/>
        </w:rPr>
        <w:t>Renewable and Sustainable Energy Reviews, 43</w:t>
      </w:r>
      <w:r w:rsidRPr="00C90AC9">
        <w:rPr>
          <w:noProof w:val="0"/>
        </w:rPr>
        <w:t xml:space="preserve">, p. 843-862. </w:t>
      </w:r>
    </w:p>
    <w:p w:rsidR="00337B41" w:rsidRPr="00C90AC9" w:rsidRDefault="00337B41" w:rsidP="00337B41">
      <w:pPr>
        <w:pStyle w:val="EndNoteBibliography"/>
        <w:spacing w:after="0"/>
        <w:ind w:left="720" w:hanging="720"/>
        <w:rPr>
          <w:noProof w:val="0"/>
        </w:rPr>
      </w:pPr>
      <w:r w:rsidRPr="00C90AC9">
        <w:rPr>
          <w:noProof w:val="0"/>
        </w:rPr>
        <w:t xml:space="preserve">Norman, D. A., &amp; Draper, S. W. (1986). </w:t>
      </w:r>
      <w:r w:rsidRPr="00C90AC9">
        <w:rPr>
          <w:i/>
          <w:noProof w:val="0"/>
        </w:rPr>
        <w:t>User Centered System Design; New Perspectives on Human-Computer Interaction</w:t>
      </w:r>
      <w:r w:rsidRPr="00C90AC9">
        <w:rPr>
          <w:noProof w:val="0"/>
        </w:rPr>
        <w:t>.</w:t>
      </w:r>
    </w:p>
    <w:p w:rsidR="00337B41" w:rsidRPr="00C90AC9" w:rsidRDefault="00337B41" w:rsidP="00337B41">
      <w:pPr>
        <w:pStyle w:val="EndNoteBibliography"/>
        <w:spacing w:after="0"/>
        <w:ind w:left="720" w:hanging="720"/>
        <w:rPr>
          <w:noProof w:val="0"/>
        </w:rPr>
      </w:pPr>
      <w:r w:rsidRPr="00C90AC9">
        <w:rPr>
          <w:noProof w:val="0"/>
        </w:rPr>
        <w:t xml:space="preserve">Pellizzone, A., </w:t>
      </w:r>
      <w:r w:rsidR="007B44F9" w:rsidRPr="00C90AC9">
        <w:rPr>
          <w:noProof w:val="0"/>
        </w:rPr>
        <w:t>et al</w:t>
      </w:r>
      <w:r w:rsidRPr="00C90AC9">
        <w:rPr>
          <w:noProof w:val="0"/>
        </w:rPr>
        <w:t xml:space="preserve">. (2015). Exploring public engagement with geothermal energy in southern Italy: A case study. </w:t>
      </w:r>
      <w:r w:rsidRPr="00C90AC9">
        <w:rPr>
          <w:i/>
          <w:noProof w:val="0"/>
        </w:rPr>
        <w:t>Energy Policy, 85</w:t>
      </w:r>
      <w:r w:rsidRPr="00C90AC9">
        <w:rPr>
          <w:noProof w:val="0"/>
        </w:rPr>
        <w:t xml:space="preserve">(85), p. 1-11. </w:t>
      </w:r>
    </w:p>
    <w:p w:rsidR="00337B41" w:rsidRPr="00C90AC9" w:rsidRDefault="00337B41" w:rsidP="00337B41">
      <w:pPr>
        <w:pStyle w:val="EndNoteBibliography"/>
        <w:spacing w:after="0"/>
        <w:ind w:left="720" w:hanging="720"/>
        <w:rPr>
          <w:noProof w:val="0"/>
        </w:rPr>
      </w:pPr>
      <w:r w:rsidRPr="00C90AC9">
        <w:rPr>
          <w:noProof w:val="0"/>
        </w:rPr>
        <w:t xml:space="preserve">Peng, G., Fan, M., &amp; Dey, D. (2011). Impact of network effects and diffusion channels on home computer adoption. </w:t>
      </w:r>
      <w:r w:rsidRPr="00C90AC9">
        <w:rPr>
          <w:i/>
          <w:noProof w:val="0"/>
        </w:rPr>
        <w:t>Decision Support Systems, 51</w:t>
      </w:r>
      <w:r w:rsidRPr="00C90AC9">
        <w:rPr>
          <w:noProof w:val="0"/>
        </w:rPr>
        <w:t xml:space="preserve">(3), 384-393. </w:t>
      </w:r>
    </w:p>
    <w:p w:rsidR="00337B41" w:rsidRPr="00C90AC9" w:rsidRDefault="00337B41" w:rsidP="00337B41">
      <w:pPr>
        <w:pStyle w:val="EndNoteBibliography"/>
        <w:spacing w:after="0"/>
        <w:ind w:left="720" w:hanging="720"/>
        <w:rPr>
          <w:noProof w:val="0"/>
        </w:rPr>
      </w:pPr>
      <w:r w:rsidRPr="00C90AC9">
        <w:rPr>
          <w:noProof w:val="0"/>
        </w:rPr>
        <w:t xml:space="preserve">Plouffe, C. R., Hulland, J. S., &amp; Vandenbosch, M. (2001). Research Report: Richness Versus Parsimony in Modeling Technology Adoption Decisions—Understanding Merchant Adoption of a Smart Card-Based Payment System. </w:t>
      </w:r>
      <w:r w:rsidRPr="00C90AC9">
        <w:rPr>
          <w:i/>
          <w:noProof w:val="0"/>
        </w:rPr>
        <w:t>Information Systems Research, 12</w:t>
      </w:r>
      <w:r w:rsidRPr="00C90AC9">
        <w:rPr>
          <w:noProof w:val="0"/>
        </w:rPr>
        <w:t xml:space="preserve">(2), 208-222. </w:t>
      </w:r>
    </w:p>
    <w:p w:rsidR="00337B41" w:rsidRPr="00C90AC9" w:rsidRDefault="00337B41" w:rsidP="00337B41">
      <w:pPr>
        <w:pStyle w:val="EndNoteBibliography"/>
        <w:spacing w:after="0"/>
        <w:ind w:left="720" w:hanging="720"/>
        <w:rPr>
          <w:noProof w:val="0"/>
        </w:rPr>
      </w:pPr>
      <w:r w:rsidRPr="00C90AC9">
        <w:rPr>
          <w:noProof w:val="0"/>
        </w:rPr>
        <w:t xml:space="preserve">Prud’homme, T., &amp; Gillet, D. (2001). Advanced control strategy of a solar domestic hot water system with a segmented auxiliary heater. </w:t>
      </w:r>
      <w:r w:rsidRPr="00C90AC9">
        <w:rPr>
          <w:i/>
          <w:noProof w:val="0"/>
        </w:rPr>
        <w:t>Energy and Buildings, 33</w:t>
      </w:r>
      <w:r w:rsidRPr="00C90AC9">
        <w:rPr>
          <w:noProof w:val="0"/>
        </w:rPr>
        <w:t xml:space="preserve">(5). </w:t>
      </w:r>
    </w:p>
    <w:p w:rsidR="00337B41" w:rsidRPr="00C90AC9" w:rsidRDefault="00337B41" w:rsidP="00337B41">
      <w:pPr>
        <w:pStyle w:val="EndNoteBibliography"/>
        <w:spacing w:after="0"/>
        <w:ind w:left="720" w:hanging="720"/>
        <w:rPr>
          <w:noProof w:val="0"/>
        </w:rPr>
      </w:pPr>
      <w:r w:rsidRPr="00C90AC9">
        <w:rPr>
          <w:noProof w:val="0"/>
        </w:rPr>
        <w:t xml:space="preserve">Rejón-Guardia, F., Sánchez-Fernández, J., &amp; Muñoz-Leiva, F. (2013). The acceptance of microblogging in the learning process: The µBAM model. </w:t>
      </w:r>
      <w:r w:rsidRPr="00C90AC9">
        <w:rPr>
          <w:i/>
          <w:noProof w:val="0"/>
        </w:rPr>
        <w:t>2013, 3</w:t>
      </w:r>
      <w:r w:rsidRPr="00C90AC9">
        <w:rPr>
          <w:noProof w:val="0"/>
        </w:rPr>
        <w:t xml:space="preserve">(1), 18. </w:t>
      </w:r>
    </w:p>
    <w:p w:rsidR="00337B41" w:rsidRPr="00C90AC9" w:rsidRDefault="00337B41" w:rsidP="00337B41">
      <w:pPr>
        <w:pStyle w:val="EndNoteBibliography"/>
        <w:spacing w:after="0"/>
        <w:ind w:left="720" w:hanging="720"/>
        <w:rPr>
          <w:noProof w:val="0"/>
        </w:rPr>
      </w:pPr>
      <w:r w:rsidRPr="00C90AC9">
        <w:rPr>
          <w:noProof w:val="0"/>
        </w:rPr>
        <w:t xml:space="preserve">Rezaei, R., &amp; Ghofranfarid, M. (2018). Rural households' renewable energy usage intention in Iran: Extending the unified theory of acceptance and use of technology. </w:t>
      </w:r>
      <w:r w:rsidRPr="00C90AC9">
        <w:rPr>
          <w:i/>
          <w:noProof w:val="0"/>
        </w:rPr>
        <w:t>Renewable Energy, 122</w:t>
      </w:r>
      <w:r w:rsidRPr="00C90AC9">
        <w:rPr>
          <w:noProof w:val="0"/>
        </w:rPr>
        <w:t xml:space="preserve">, 382-391. </w:t>
      </w:r>
    </w:p>
    <w:p w:rsidR="00337B41" w:rsidRPr="00C90AC9" w:rsidRDefault="00337B41" w:rsidP="00337B41">
      <w:pPr>
        <w:pStyle w:val="EndNoteBibliography"/>
        <w:spacing w:after="0"/>
        <w:ind w:left="720" w:hanging="720"/>
        <w:rPr>
          <w:noProof w:val="0"/>
        </w:rPr>
      </w:pPr>
      <w:r w:rsidRPr="00C90AC9">
        <w:rPr>
          <w:noProof w:val="0"/>
        </w:rPr>
        <w:t xml:space="preserve">Rodríguez-Hidalgo, M. C., </w:t>
      </w:r>
      <w:r w:rsidR="007B44F9" w:rsidRPr="00C90AC9">
        <w:rPr>
          <w:noProof w:val="0"/>
        </w:rPr>
        <w:t>et al</w:t>
      </w:r>
      <w:r w:rsidRPr="00C90AC9">
        <w:rPr>
          <w:noProof w:val="0"/>
        </w:rPr>
        <w:t xml:space="preserve">. (2012). Domestic hot water consumption vs. solar thermal energy storage: The optimum size of the storage tank. </w:t>
      </w:r>
      <w:r w:rsidRPr="00C90AC9">
        <w:rPr>
          <w:i/>
          <w:noProof w:val="0"/>
        </w:rPr>
        <w:t>Solar Energy, 97</w:t>
      </w:r>
      <w:r w:rsidRPr="00C90AC9">
        <w:rPr>
          <w:noProof w:val="0"/>
        </w:rPr>
        <w:t xml:space="preserve">(0), p. 897-906. </w:t>
      </w:r>
    </w:p>
    <w:p w:rsidR="00337B41" w:rsidRPr="00C90AC9" w:rsidRDefault="00337B41" w:rsidP="00337B41">
      <w:pPr>
        <w:pStyle w:val="EndNoteBibliography"/>
        <w:spacing w:after="0"/>
        <w:ind w:left="720" w:hanging="720"/>
        <w:rPr>
          <w:noProof w:val="0"/>
        </w:rPr>
      </w:pPr>
      <w:r w:rsidRPr="00C90AC9">
        <w:rPr>
          <w:noProof w:val="0"/>
        </w:rPr>
        <w:t xml:space="preserve">Rogers, J. G., McManus, M. C., &amp; Cooper, S. J. G. (2013). Potential for reliance on solar water heating throughout the summer in northern cloudy climates. </w:t>
      </w:r>
      <w:r w:rsidRPr="00C90AC9">
        <w:rPr>
          <w:i/>
          <w:noProof w:val="0"/>
        </w:rPr>
        <w:t>Energy and Buildings, 66</w:t>
      </w:r>
      <w:r w:rsidRPr="00C90AC9">
        <w:rPr>
          <w:noProof w:val="0"/>
        </w:rPr>
        <w:t xml:space="preserve">, 128-135. </w:t>
      </w:r>
    </w:p>
    <w:p w:rsidR="00337B41" w:rsidRPr="00C90AC9" w:rsidRDefault="00337B41" w:rsidP="00337B41">
      <w:pPr>
        <w:pStyle w:val="EndNoteBibliography"/>
        <w:spacing w:after="0"/>
        <w:ind w:left="720" w:hanging="720"/>
        <w:rPr>
          <w:noProof w:val="0"/>
        </w:rPr>
      </w:pPr>
      <w:r w:rsidRPr="00C90AC9">
        <w:rPr>
          <w:noProof w:val="0"/>
        </w:rPr>
        <w:t xml:space="preserve">Ruggiero, S., Onkila, T., &amp; Kuittinen, V. (2014). Realizing the social acceptance of community renewable energy: A process-outcome analysis of stakeholder influence. </w:t>
      </w:r>
      <w:r w:rsidRPr="00C90AC9">
        <w:rPr>
          <w:i/>
          <w:noProof w:val="0"/>
        </w:rPr>
        <w:t>Energy Research &amp; Social Science, 4</w:t>
      </w:r>
      <w:r w:rsidRPr="00C90AC9">
        <w:rPr>
          <w:noProof w:val="0"/>
        </w:rPr>
        <w:t xml:space="preserve">, 53-63. </w:t>
      </w:r>
    </w:p>
    <w:p w:rsidR="00337B41" w:rsidRPr="00C90AC9" w:rsidRDefault="00337B41" w:rsidP="00337B41">
      <w:pPr>
        <w:pStyle w:val="EndNoteBibliography"/>
        <w:spacing w:after="0"/>
        <w:ind w:left="720" w:hanging="720"/>
        <w:rPr>
          <w:noProof w:val="0"/>
        </w:rPr>
      </w:pPr>
      <w:r w:rsidRPr="00C90AC9">
        <w:rPr>
          <w:noProof w:val="0"/>
        </w:rPr>
        <w:t xml:space="preserve">Ruggiero, S., Varho, V., &amp; Rikkonen, P. (2015). Transition to distributed energy generation in Finland: Prospects and barriers. </w:t>
      </w:r>
      <w:r w:rsidRPr="00C90AC9">
        <w:rPr>
          <w:i/>
          <w:noProof w:val="0"/>
        </w:rPr>
        <w:t>Energy Policy, 86</w:t>
      </w:r>
      <w:r w:rsidRPr="00C90AC9">
        <w:rPr>
          <w:noProof w:val="0"/>
        </w:rPr>
        <w:t xml:space="preserve">, 433-443. </w:t>
      </w:r>
    </w:p>
    <w:p w:rsidR="00337B41" w:rsidRPr="00C90AC9" w:rsidRDefault="00337B41" w:rsidP="00337B41">
      <w:pPr>
        <w:pStyle w:val="EndNoteBibliography"/>
        <w:spacing w:after="0"/>
        <w:ind w:left="720" w:hanging="720"/>
        <w:rPr>
          <w:noProof w:val="0"/>
        </w:rPr>
      </w:pPr>
      <w:r w:rsidRPr="00C90AC9">
        <w:rPr>
          <w:noProof w:val="0"/>
        </w:rPr>
        <w:t xml:space="preserve">Sahnoune, F., </w:t>
      </w:r>
      <w:r w:rsidR="007B44F9" w:rsidRPr="00C90AC9">
        <w:rPr>
          <w:noProof w:val="0"/>
        </w:rPr>
        <w:t>et al</w:t>
      </w:r>
      <w:r w:rsidRPr="00C90AC9">
        <w:rPr>
          <w:noProof w:val="0"/>
        </w:rPr>
        <w:t xml:space="preserve">. (2014). Comparative Study between Solar and Conventional Heating – Economic Study and Environmental Impact. </w:t>
      </w:r>
      <w:r w:rsidRPr="00C90AC9">
        <w:rPr>
          <w:i/>
          <w:noProof w:val="0"/>
        </w:rPr>
        <w:t>Energy Procedia, 50</w:t>
      </w:r>
      <w:r w:rsidRPr="00C90AC9">
        <w:rPr>
          <w:noProof w:val="0"/>
        </w:rPr>
        <w:t xml:space="preserve">, p. 841–852. </w:t>
      </w:r>
    </w:p>
    <w:p w:rsidR="00337B41" w:rsidRPr="00C90AC9" w:rsidRDefault="00337B41" w:rsidP="00337B41">
      <w:pPr>
        <w:pStyle w:val="EndNoteBibliography"/>
        <w:spacing w:after="0"/>
        <w:ind w:left="720" w:hanging="720"/>
        <w:rPr>
          <w:noProof w:val="0"/>
        </w:rPr>
      </w:pPr>
      <w:r w:rsidRPr="00C90AC9">
        <w:rPr>
          <w:noProof w:val="0"/>
        </w:rPr>
        <w:t xml:space="preserve">Sauter, R., &amp; Watson, J. (2007). Strategies for the deployment of micro-generation: Implications for social acceptance. </w:t>
      </w:r>
      <w:r w:rsidRPr="00C90AC9">
        <w:rPr>
          <w:i/>
          <w:noProof w:val="0"/>
        </w:rPr>
        <w:t>Energy Policy, 35</w:t>
      </w:r>
      <w:r w:rsidRPr="00C90AC9">
        <w:rPr>
          <w:noProof w:val="0"/>
        </w:rPr>
        <w:t xml:space="preserve">(5), 2770-2779. </w:t>
      </w:r>
    </w:p>
    <w:p w:rsidR="00337B41" w:rsidRPr="00C90AC9" w:rsidRDefault="00337B41" w:rsidP="00337B41">
      <w:pPr>
        <w:pStyle w:val="EndNoteBibliography"/>
        <w:spacing w:after="0"/>
        <w:ind w:left="720" w:hanging="720"/>
        <w:rPr>
          <w:noProof w:val="0"/>
        </w:rPr>
      </w:pPr>
      <w:r w:rsidRPr="00C90AC9">
        <w:rPr>
          <w:noProof w:val="0"/>
        </w:rPr>
        <w:t xml:space="preserve">Scarpa, R., &amp; Willis, K. (2010). Willingness-to-pay for renewable energy: Primary and discretionary choice of British households' </w:t>
      </w:r>
      <w:r w:rsidRPr="00C90AC9">
        <w:rPr>
          <w:i/>
          <w:noProof w:val="0"/>
        </w:rPr>
        <w:t>Energy Econmics, 32</w:t>
      </w:r>
      <w:r w:rsidRPr="00C90AC9">
        <w:rPr>
          <w:noProof w:val="0"/>
        </w:rPr>
        <w:t xml:space="preserve">(1), p. 129-136. </w:t>
      </w:r>
    </w:p>
    <w:p w:rsidR="00337B41" w:rsidRPr="00C90AC9" w:rsidRDefault="00337B41" w:rsidP="00337B41">
      <w:pPr>
        <w:pStyle w:val="EndNoteBibliography"/>
        <w:spacing w:after="0"/>
        <w:ind w:left="720" w:hanging="720"/>
        <w:rPr>
          <w:noProof w:val="0"/>
        </w:rPr>
      </w:pPr>
      <w:r w:rsidRPr="00C90AC9">
        <w:rPr>
          <w:noProof w:val="0"/>
        </w:rPr>
        <w:t xml:space="preserve">Scarpa, R., &amp; Willis, K. (2010). Willingness-to-pay for renewable energy: Primary and discretionary choice of British households' for micro-generation technologies. </w:t>
      </w:r>
      <w:r w:rsidRPr="00C90AC9">
        <w:rPr>
          <w:i/>
          <w:noProof w:val="0"/>
        </w:rPr>
        <w:t>Energy Economics, 32</w:t>
      </w:r>
      <w:r w:rsidRPr="00C90AC9">
        <w:rPr>
          <w:noProof w:val="0"/>
        </w:rPr>
        <w:t xml:space="preserve">(1), 129-136. </w:t>
      </w:r>
    </w:p>
    <w:p w:rsidR="00337B41" w:rsidRPr="00C90AC9" w:rsidRDefault="00337B41" w:rsidP="00337B41">
      <w:pPr>
        <w:pStyle w:val="EndNoteBibliography"/>
        <w:spacing w:after="0"/>
        <w:ind w:left="720" w:hanging="720"/>
        <w:rPr>
          <w:noProof w:val="0"/>
        </w:rPr>
      </w:pPr>
      <w:r w:rsidRPr="00C90AC9">
        <w:rPr>
          <w:noProof w:val="0"/>
        </w:rPr>
        <w:t xml:space="preserve">Scott, F. L., Jones, C. R., &amp; Webb, T. L. (2014). What do people living in deprived communities in the UK think about household energy efficiency interventions? </w:t>
      </w:r>
      <w:r w:rsidRPr="00C90AC9">
        <w:rPr>
          <w:i/>
          <w:noProof w:val="0"/>
        </w:rPr>
        <w:t>Energy Policy, 66</w:t>
      </w:r>
      <w:r w:rsidRPr="00C90AC9">
        <w:rPr>
          <w:noProof w:val="0"/>
        </w:rPr>
        <w:t xml:space="preserve">, 335-349. </w:t>
      </w:r>
    </w:p>
    <w:p w:rsidR="00337B41" w:rsidRPr="00C90AC9" w:rsidRDefault="00337B41" w:rsidP="00337B41">
      <w:pPr>
        <w:pStyle w:val="EndNoteBibliography"/>
        <w:spacing w:after="0"/>
        <w:ind w:left="720" w:hanging="720"/>
        <w:rPr>
          <w:noProof w:val="0"/>
        </w:rPr>
      </w:pPr>
      <w:r w:rsidRPr="00C90AC9">
        <w:rPr>
          <w:noProof w:val="0"/>
        </w:rPr>
        <w:t xml:space="preserve">Simcock, N., MacGregor, S., Catney, P., Dobson, A., Ormerod, M., Robinson, Z., . . . Marie Hall, S. (2014). Factors influencing perceptions of domestic energy information: Content, source and process. </w:t>
      </w:r>
      <w:r w:rsidRPr="00C90AC9">
        <w:rPr>
          <w:i/>
          <w:noProof w:val="0"/>
        </w:rPr>
        <w:t>Energy Policy, 65</w:t>
      </w:r>
      <w:r w:rsidRPr="00C90AC9">
        <w:rPr>
          <w:noProof w:val="0"/>
        </w:rPr>
        <w:t xml:space="preserve">, 455-464. </w:t>
      </w:r>
    </w:p>
    <w:p w:rsidR="00337B41" w:rsidRPr="00C90AC9" w:rsidRDefault="00337B41" w:rsidP="00337B41">
      <w:pPr>
        <w:pStyle w:val="EndNoteBibliography"/>
        <w:spacing w:after="0"/>
        <w:ind w:left="720" w:hanging="720"/>
        <w:rPr>
          <w:noProof w:val="0"/>
        </w:rPr>
      </w:pPr>
      <w:r w:rsidRPr="00C90AC9">
        <w:rPr>
          <w:noProof w:val="0"/>
        </w:rPr>
        <w:t xml:space="preserve">Sindico, F. (2016). Paris, climate change, and sustainable development. </w:t>
      </w:r>
      <w:r w:rsidRPr="00C90AC9">
        <w:rPr>
          <w:i/>
          <w:noProof w:val="0"/>
        </w:rPr>
        <w:t>Climate Law, 6</w:t>
      </w:r>
      <w:r w:rsidRPr="00C90AC9">
        <w:rPr>
          <w:noProof w:val="0"/>
        </w:rPr>
        <w:t xml:space="preserve">((1-2)), p. 130-141. </w:t>
      </w:r>
    </w:p>
    <w:p w:rsidR="00337B41" w:rsidRPr="00C90AC9" w:rsidRDefault="00337B41" w:rsidP="00337B41">
      <w:pPr>
        <w:pStyle w:val="EndNoteBibliography"/>
        <w:spacing w:after="0"/>
        <w:ind w:left="720" w:hanging="720"/>
        <w:rPr>
          <w:noProof w:val="0"/>
        </w:rPr>
      </w:pPr>
      <w:r w:rsidRPr="00C90AC9">
        <w:rPr>
          <w:noProof w:val="0"/>
        </w:rPr>
        <w:t xml:space="preserve">Smil, V. (1991). </w:t>
      </w:r>
      <w:r w:rsidRPr="00C90AC9">
        <w:rPr>
          <w:i/>
          <w:noProof w:val="0"/>
        </w:rPr>
        <w:t>General energetics: energy in the biosphere and civilization</w:t>
      </w:r>
      <w:r w:rsidRPr="00C90AC9">
        <w:rPr>
          <w:noProof w:val="0"/>
        </w:rPr>
        <w:t>: Wiley.</w:t>
      </w:r>
    </w:p>
    <w:p w:rsidR="00337B41" w:rsidRPr="00C90AC9" w:rsidRDefault="00337B41" w:rsidP="00337B41">
      <w:pPr>
        <w:pStyle w:val="EndNoteBibliography"/>
        <w:spacing w:after="0"/>
        <w:ind w:left="720" w:hanging="720"/>
        <w:rPr>
          <w:noProof w:val="0"/>
        </w:rPr>
      </w:pPr>
      <w:r w:rsidRPr="00C90AC9">
        <w:rPr>
          <w:noProof w:val="0"/>
        </w:rPr>
        <w:t xml:space="preserve">Speyer, E. (1959). Optimum storage of heat with a solar house. </w:t>
      </w:r>
      <w:r w:rsidRPr="00C90AC9">
        <w:rPr>
          <w:i/>
          <w:noProof w:val="0"/>
        </w:rPr>
        <w:t>Solar Energy, 3</w:t>
      </w:r>
      <w:r w:rsidRPr="00C90AC9">
        <w:rPr>
          <w:noProof w:val="0"/>
        </w:rPr>
        <w:t xml:space="preserve">(4), p. 24-48. </w:t>
      </w:r>
    </w:p>
    <w:p w:rsidR="00337B41" w:rsidRPr="00C90AC9" w:rsidRDefault="00337B41" w:rsidP="00337B41">
      <w:pPr>
        <w:pStyle w:val="EndNoteBibliography"/>
        <w:spacing w:after="0"/>
        <w:ind w:left="720" w:hanging="720"/>
        <w:rPr>
          <w:noProof w:val="0"/>
        </w:rPr>
      </w:pPr>
      <w:r w:rsidRPr="00C90AC9">
        <w:rPr>
          <w:noProof w:val="0"/>
        </w:rPr>
        <w:t xml:space="preserve">Speyer, E. (1968). Optimum storage of heat with a solar house. </w:t>
      </w:r>
      <w:r w:rsidRPr="00C90AC9">
        <w:rPr>
          <w:i/>
          <w:noProof w:val="0"/>
        </w:rPr>
        <w:t>Solar Energy, 12</w:t>
      </w:r>
      <w:r w:rsidRPr="00C90AC9">
        <w:rPr>
          <w:noProof w:val="0"/>
        </w:rPr>
        <w:t xml:space="preserve">(1), p. 24-48. </w:t>
      </w:r>
    </w:p>
    <w:p w:rsidR="00337B41" w:rsidRPr="00C90AC9" w:rsidRDefault="00337B41" w:rsidP="00337B41">
      <w:pPr>
        <w:pStyle w:val="EndNoteBibliography"/>
        <w:spacing w:after="0"/>
        <w:ind w:left="720" w:hanging="720"/>
        <w:rPr>
          <w:noProof w:val="0"/>
        </w:rPr>
      </w:pPr>
      <w:r w:rsidRPr="00C90AC9">
        <w:rPr>
          <w:noProof w:val="0"/>
        </w:rPr>
        <w:t xml:space="preserve">Srinivas, M. (2011). Domestic solar hot water systems: Developments, evaluations and essentials for “viability” with a special reference to India. </w:t>
      </w:r>
      <w:r w:rsidRPr="00C90AC9">
        <w:rPr>
          <w:i/>
          <w:noProof w:val="0"/>
        </w:rPr>
        <w:t>Renewable and Sustainable Energy Reviews, 15</w:t>
      </w:r>
      <w:r w:rsidRPr="00C90AC9">
        <w:rPr>
          <w:noProof w:val="0"/>
        </w:rPr>
        <w:t xml:space="preserve">(15), p. 3850-3861. </w:t>
      </w:r>
    </w:p>
    <w:p w:rsidR="00337B41" w:rsidRPr="00C90AC9" w:rsidRDefault="00337B41" w:rsidP="00337B41">
      <w:pPr>
        <w:pStyle w:val="EndNoteBibliography"/>
        <w:spacing w:after="0"/>
        <w:ind w:left="720" w:hanging="720"/>
        <w:rPr>
          <w:noProof w:val="0"/>
        </w:rPr>
      </w:pPr>
      <w:r w:rsidRPr="00C90AC9">
        <w:rPr>
          <w:noProof w:val="0"/>
        </w:rPr>
        <w:lastRenderedPageBreak/>
        <w:t xml:space="preserve">Stanciu, C., &amp; Stanciu, D. (2014). Optimum tilt angle for flat plate collectors all over the World – A declination dependence formula and comparisons of three solar radiation models. </w:t>
      </w:r>
      <w:r w:rsidRPr="00C90AC9">
        <w:rPr>
          <w:i/>
          <w:noProof w:val="0"/>
        </w:rPr>
        <w:t>Energy Conversion and Management, 81</w:t>
      </w:r>
      <w:r w:rsidRPr="00C90AC9">
        <w:rPr>
          <w:noProof w:val="0"/>
        </w:rPr>
        <w:t xml:space="preserve">, 133-143. </w:t>
      </w:r>
    </w:p>
    <w:p w:rsidR="00337B41" w:rsidRPr="00C90AC9" w:rsidRDefault="00337B41" w:rsidP="00337B41">
      <w:pPr>
        <w:pStyle w:val="EndNoteBibliography"/>
        <w:spacing w:after="0"/>
        <w:ind w:left="720" w:hanging="720"/>
        <w:rPr>
          <w:noProof w:val="0"/>
        </w:rPr>
      </w:pPr>
      <w:r w:rsidRPr="00C90AC9">
        <w:rPr>
          <w:noProof w:val="0"/>
        </w:rPr>
        <w:t xml:space="preserve">Stigka, E. K., Paravantis, J. A., &amp; Mihalakakou, G. K. (2014). Social acceptance of renewable energy sources: A review of contingent valuation applications. </w:t>
      </w:r>
      <w:r w:rsidRPr="00C90AC9">
        <w:rPr>
          <w:i/>
          <w:noProof w:val="0"/>
        </w:rPr>
        <w:t>Renewable and Sustainable Energy Reviews, 32</w:t>
      </w:r>
      <w:r w:rsidRPr="00C90AC9">
        <w:rPr>
          <w:noProof w:val="0"/>
        </w:rPr>
        <w:t xml:space="preserve">, 100-106. </w:t>
      </w:r>
    </w:p>
    <w:p w:rsidR="00337B41" w:rsidRPr="00C90AC9" w:rsidRDefault="00337B41" w:rsidP="00337B41">
      <w:pPr>
        <w:pStyle w:val="EndNoteBibliography"/>
        <w:spacing w:after="0"/>
        <w:ind w:left="720" w:hanging="720"/>
        <w:rPr>
          <w:noProof w:val="0"/>
        </w:rPr>
      </w:pPr>
      <w:r w:rsidRPr="00C90AC9">
        <w:rPr>
          <w:noProof w:val="0"/>
        </w:rPr>
        <w:t xml:space="preserve">Stragier, J., Hauttekeete, L., &amp; Marez, L. D. (2010, 27-29 Sept. 2010). </w:t>
      </w:r>
      <w:r w:rsidRPr="00C90AC9">
        <w:rPr>
          <w:i/>
          <w:noProof w:val="0"/>
        </w:rPr>
        <w:t>Introducing Smart grids in residential contexts: Consumers' perception of smart household appliances.</w:t>
      </w:r>
      <w:r w:rsidRPr="00C90AC9">
        <w:rPr>
          <w:noProof w:val="0"/>
        </w:rPr>
        <w:t xml:space="preserve"> Paper presented at the 2010 IEEE Conference on Innovative Technologies for an Efficient and Reliable Electricity Supply.</w:t>
      </w:r>
    </w:p>
    <w:p w:rsidR="00337B41" w:rsidRPr="00C90AC9" w:rsidRDefault="00337B41" w:rsidP="00337B41">
      <w:pPr>
        <w:pStyle w:val="EndNoteBibliography"/>
        <w:spacing w:after="0"/>
        <w:ind w:left="720" w:hanging="720"/>
        <w:rPr>
          <w:noProof w:val="0"/>
        </w:rPr>
      </w:pPr>
      <w:r w:rsidRPr="00C90AC9">
        <w:rPr>
          <w:noProof w:val="0"/>
        </w:rPr>
        <w:t xml:space="preserve">Straub, D., Keil, M., &amp; Brenner, W. (1997). Testing the technology acceptance model across cultures: A three country study. </w:t>
      </w:r>
      <w:r w:rsidRPr="00C90AC9">
        <w:rPr>
          <w:i/>
          <w:noProof w:val="0"/>
        </w:rPr>
        <w:t>Information &amp; Management, 33</w:t>
      </w:r>
      <w:r w:rsidRPr="00C90AC9">
        <w:rPr>
          <w:noProof w:val="0"/>
        </w:rPr>
        <w:t xml:space="preserve">(1), 1-11. </w:t>
      </w:r>
    </w:p>
    <w:p w:rsidR="00337B41" w:rsidRPr="00C90AC9" w:rsidRDefault="00337B41" w:rsidP="00337B41">
      <w:pPr>
        <w:pStyle w:val="EndNoteBibliography"/>
        <w:spacing w:after="0"/>
        <w:ind w:left="720" w:hanging="720"/>
        <w:rPr>
          <w:noProof w:val="0"/>
        </w:rPr>
      </w:pPr>
      <w:r w:rsidRPr="00C90AC9">
        <w:rPr>
          <w:noProof w:val="0"/>
        </w:rPr>
        <w:t>Tagliafico, L. A., F. Scarpa</w:t>
      </w:r>
      <w:r w:rsidR="007B44F9" w:rsidRPr="00C90AC9">
        <w:rPr>
          <w:noProof w:val="0"/>
        </w:rPr>
        <w:t>,</w:t>
      </w:r>
      <w:r w:rsidRPr="00C90AC9">
        <w:rPr>
          <w:noProof w:val="0"/>
        </w:rPr>
        <w:t xml:space="preserve"> &amp; Rosa, M. D. (2014). Dynamic thermal models and CFD analysis for flat-plate thermal solar collectors - A review. </w:t>
      </w:r>
      <w:r w:rsidRPr="00C90AC9">
        <w:rPr>
          <w:i/>
          <w:noProof w:val="0"/>
        </w:rPr>
        <w:t>Renewable &amp; Sustainable Energy Reviews, 30</w:t>
      </w:r>
      <w:r w:rsidRPr="00C90AC9">
        <w:rPr>
          <w:noProof w:val="0"/>
        </w:rPr>
        <w:t xml:space="preserve">(0), p. 526-537. </w:t>
      </w:r>
    </w:p>
    <w:p w:rsidR="00337B41" w:rsidRPr="00C90AC9" w:rsidRDefault="00337B41" w:rsidP="00337B41">
      <w:pPr>
        <w:pStyle w:val="EndNoteBibliography"/>
        <w:spacing w:after="0"/>
        <w:ind w:left="720" w:hanging="720"/>
        <w:rPr>
          <w:noProof w:val="0"/>
        </w:rPr>
      </w:pPr>
      <w:r w:rsidRPr="00C90AC9">
        <w:rPr>
          <w:noProof w:val="0"/>
        </w:rPr>
        <w:t xml:space="preserve">Tarhan, S., Sari, A., &amp; Yardim, M. H. (2006). Temperature distributions in trapezoidal built in storage solar water heaters with/without phase change materials. </w:t>
      </w:r>
      <w:r w:rsidRPr="00C90AC9">
        <w:rPr>
          <w:i/>
          <w:noProof w:val="0"/>
        </w:rPr>
        <w:t>Energy Conversion and Management, 47</w:t>
      </w:r>
      <w:r w:rsidRPr="00C90AC9">
        <w:rPr>
          <w:noProof w:val="0"/>
        </w:rPr>
        <w:t xml:space="preserve">(15), 2143-2154. </w:t>
      </w:r>
    </w:p>
    <w:p w:rsidR="00337B41" w:rsidRPr="00C90AC9" w:rsidRDefault="00337B41" w:rsidP="00337B41">
      <w:pPr>
        <w:pStyle w:val="EndNoteBibliography"/>
        <w:spacing w:after="0"/>
        <w:ind w:left="720" w:hanging="720"/>
        <w:rPr>
          <w:noProof w:val="0"/>
        </w:rPr>
      </w:pPr>
      <w:r w:rsidRPr="00C90AC9">
        <w:rPr>
          <w:noProof w:val="0"/>
        </w:rPr>
        <w:t>Thür, A., S. Furbo</w:t>
      </w:r>
      <w:r w:rsidR="007B44F9" w:rsidRPr="00C90AC9">
        <w:rPr>
          <w:noProof w:val="0"/>
        </w:rPr>
        <w:t>,</w:t>
      </w:r>
      <w:r w:rsidRPr="00C90AC9">
        <w:rPr>
          <w:noProof w:val="0"/>
        </w:rPr>
        <w:t xml:space="preserve"> &amp; Shah, L. J. (2006). Energy savings for solar heating systems. </w:t>
      </w:r>
      <w:r w:rsidRPr="00C90AC9">
        <w:rPr>
          <w:i/>
          <w:noProof w:val="0"/>
        </w:rPr>
        <w:t>Solar Energy, 80</w:t>
      </w:r>
      <w:r w:rsidRPr="00C90AC9">
        <w:rPr>
          <w:noProof w:val="0"/>
        </w:rPr>
        <w:t xml:space="preserve">(80), p. 1463-1474. </w:t>
      </w:r>
    </w:p>
    <w:p w:rsidR="00337B41" w:rsidRPr="00C90AC9" w:rsidRDefault="00337B41" w:rsidP="00337B41">
      <w:pPr>
        <w:pStyle w:val="EndNoteBibliography"/>
        <w:spacing w:after="0"/>
        <w:ind w:left="720" w:hanging="720"/>
        <w:rPr>
          <w:noProof w:val="0"/>
        </w:rPr>
      </w:pPr>
      <w:r w:rsidRPr="00C90AC9">
        <w:rPr>
          <w:noProof w:val="0"/>
        </w:rPr>
        <w:t xml:space="preserve">Tian, Y., &amp; Zhao, C. Y. (2013). A review of solar collectors and thermal energy storage in solar thermal applications. </w:t>
      </w:r>
      <w:r w:rsidRPr="00C90AC9">
        <w:rPr>
          <w:i/>
          <w:noProof w:val="0"/>
        </w:rPr>
        <w:t>Applied Energy, 104</w:t>
      </w:r>
      <w:r w:rsidRPr="00C90AC9">
        <w:rPr>
          <w:noProof w:val="0"/>
        </w:rPr>
        <w:t xml:space="preserve">, p. 538-553. </w:t>
      </w:r>
    </w:p>
    <w:p w:rsidR="00337B41" w:rsidRPr="00C90AC9" w:rsidRDefault="00337B41" w:rsidP="00337B41">
      <w:pPr>
        <w:pStyle w:val="EndNoteBibliography"/>
        <w:spacing w:after="0"/>
        <w:ind w:left="720" w:hanging="720"/>
        <w:rPr>
          <w:noProof w:val="0"/>
        </w:rPr>
      </w:pPr>
      <w:r w:rsidRPr="00C90AC9">
        <w:rPr>
          <w:noProof w:val="0"/>
        </w:rPr>
        <w:t xml:space="preserve">Trust, E. S. (2005). </w:t>
      </w:r>
      <w:r w:rsidRPr="00C90AC9">
        <w:rPr>
          <w:i/>
          <w:noProof w:val="0"/>
        </w:rPr>
        <w:t>Energy Use in Homes</w:t>
      </w:r>
      <w:r w:rsidRPr="00C90AC9">
        <w:rPr>
          <w:noProof w:val="0"/>
        </w:rPr>
        <w:t xml:space="preserve">. DEFRA. London. </w:t>
      </w:r>
      <w:r w:rsidR="007B44F9" w:rsidRPr="00C90AC9">
        <w:rPr>
          <w:noProof w:val="0"/>
        </w:rPr>
        <w:t xml:space="preserve"> </w:t>
      </w:r>
      <w:r w:rsidRPr="00C90AC9">
        <w:rPr>
          <w:noProof w:val="0"/>
        </w:rPr>
        <w:t xml:space="preserve"> </w:t>
      </w:r>
    </w:p>
    <w:p w:rsidR="00337B41" w:rsidRPr="00C90AC9" w:rsidRDefault="00337B41" w:rsidP="00337B41">
      <w:pPr>
        <w:pStyle w:val="EndNoteBibliography"/>
        <w:spacing w:after="0"/>
        <w:ind w:left="720" w:hanging="720"/>
        <w:rPr>
          <w:noProof w:val="0"/>
        </w:rPr>
      </w:pPr>
      <w:r w:rsidRPr="00C90AC9">
        <w:rPr>
          <w:noProof w:val="0"/>
        </w:rPr>
        <w:t xml:space="preserve">Tsai, H.-y. S., &amp; LaRose, R. (2015). Broadband Internet adoption and utilization in the inner city: A comparison of competing theories. </w:t>
      </w:r>
      <w:r w:rsidRPr="00C90AC9">
        <w:rPr>
          <w:i/>
          <w:noProof w:val="0"/>
        </w:rPr>
        <w:t>Computers in Human Behavior, 51</w:t>
      </w:r>
      <w:r w:rsidRPr="00C90AC9">
        <w:rPr>
          <w:noProof w:val="0"/>
        </w:rPr>
        <w:t xml:space="preserve">, 344-355. </w:t>
      </w:r>
    </w:p>
    <w:p w:rsidR="00337B41" w:rsidRPr="00C90AC9" w:rsidRDefault="00337B41" w:rsidP="00337B41">
      <w:pPr>
        <w:pStyle w:val="EndNoteBibliography"/>
        <w:spacing w:after="0"/>
        <w:ind w:left="720" w:hanging="720"/>
        <w:rPr>
          <w:noProof w:val="0"/>
        </w:rPr>
      </w:pPr>
      <w:r w:rsidRPr="00C90AC9">
        <w:rPr>
          <w:noProof w:val="0"/>
        </w:rPr>
        <w:t xml:space="preserve">Turner, M., Kitchenham, B., Brereton, P., Charters, S., &amp; Budgen, D. (2010). Does the technology acceptance model predict actual use? A systematic literature review. </w:t>
      </w:r>
      <w:r w:rsidRPr="00C90AC9">
        <w:rPr>
          <w:i/>
          <w:noProof w:val="0"/>
        </w:rPr>
        <w:t>Information and Software Technology, 52</w:t>
      </w:r>
      <w:r w:rsidRPr="00C90AC9">
        <w:rPr>
          <w:noProof w:val="0"/>
        </w:rPr>
        <w:t xml:space="preserve">(5), 463-479. </w:t>
      </w:r>
    </w:p>
    <w:p w:rsidR="00337B41" w:rsidRPr="00C90AC9" w:rsidRDefault="00337B41" w:rsidP="00337B41">
      <w:pPr>
        <w:pStyle w:val="EndNoteBibliography"/>
        <w:spacing w:after="0"/>
        <w:ind w:left="720" w:hanging="720"/>
        <w:rPr>
          <w:noProof w:val="0"/>
        </w:rPr>
      </w:pPr>
      <w:r w:rsidRPr="00C90AC9">
        <w:rPr>
          <w:noProof w:val="0"/>
        </w:rPr>
        <w:t xml:space="preserve">Valan Arasu, A., &amp; Sornakumar, T. (2007). Design, manufacture and testing of fiberglass reinforced parabola trough for parabolic trough solar collectors. </w:t>
      </w:r>
      <w:r w:rsidRPr="00C90AC9">
        <w:rPr>
          <w:i/>
          <w:noProof w:val="0"/>
        </w:rPr>
        <w:t>Solar Energy, 81</w:t>
      </w:r>
      <w:r w:rsidRPr="00C90AC9">
        <w:rPr>
          <w:noProof w:val="0"/>
        </w:rPr>
        <w:t xml:space="preserve">(10), p. 1273-1279. </w:t>
      </w:r>
    </w:p>
    <w:p w:rsidR="00337B41" w:rsidRPr="00C90AC9" w:rsidRDefault="00337B41" w:rsidP="00337B41">
      <w:pPr>
        <w:pStyle w:val="EndNoteBibliography"/>
        <w:spacing w:after="0"/>
        <w:ind w:left="720" w:hanging="720"/>
        <w:rPr>
          <w:noProof w:val="0"/>
        </w:rPr>
      </w:pPr>
      <w:r w:rsidRPr="00C90AC9">
        <w:rPr>
          <w:noProof w:val="0"/>
        </w:rPr>
        <w:t>van Berkel, J., C.C.M. Rindt</w:t>
      </w:r>
      <w:r w:rsidR="007B44F9" w:rsidRPr="00C90AC9">
        <w:rPr>
          <w:noProof w:val="0"/>
        </w:rPr>
        <w:t>,</w:t>
      </w:r>
      <w:r w:rsidRPr="00C90AC9">
        <w:rPr>
          <w:noProof w:val="0"/>
        </w:rPr>
        <w:t xml:space="preserve"> &amp; Steenhoven, A. A. v. (1999). Modelling of two-layer stratified stores. </w:t>
      </w:r>
      <w:r w:rsidRPr="00C90AC9">
        <w:rPr>
          <w:i/>
          <w:noProof w:val="0"/>
        </w:rPr>
        <w:t>Solar Energy, 67</w:t>
      </w:r>
      <w:r w:rsidRPr="00C90AC9">
        <w:rPr>
          <w:noProof w:val="0"/>
        </w:rPr>
        <w:t xml:space="preserve">(1-3), p. 65-78. </w:t>
      </w:r>
    </w:p>
    <w:p w:rsidR="00337B41" w:rsidRPr="00C90AC9" w:rsidRDefault="00337B41" w:rsidP="00337B41">
      <w:pPr>
        <w:pStyle w:val="EndNoteBibliography"/>
        <w:spacing w:after="0"/>
        <w:ind w:left="720" w:hanging="720"/>
        <w:rPr>
          <w:noProof w:val="0"/>
        </w:rPr>
      </w:pPr>
      <w:r w:rsidRPr="00C90AC9">
        <w:rPr>
          <w:noProof w:val="0"/>
        </w:rPr>
        <w:t xml:space="preserve">Venkatesh, V., Morris, M. G., Davis, G. B., &amp; Davis, F. D. (2003). User Acceptance of Information Technology: Toward a Unified View. </w:t>
      </w:r>
      <w:r w:rsidRPr="00C90AC9">
        <w:rPr>
          <w:i/>
          <w:noProof w:val="0"/>
        </w:rPr>
        <w:t>MIS Quarterly, 27</w:t>
      </w:r>
      <w:r w:rsidRPr="00C90AC9">
        <w:rPr>
          <w:noProof w:val="0"/>
        </w:rPr>
        <w:t xml:space="preserve">(3), 425-478. </w:t>
      </w:r>
    </w:p>
    <w:p w:rsidR="00337B41" w:rsidRPr="00C90AC9" w:rsidRDefault="00337B41" w:rsidP="00337B41">
      <w:pPr>
        <w:pStyle w:val="EndNoteBibliography"/>
        <w:spacing w:after="0"/>
        <w:ind w:left="720" w:hanging="720"/>
        <w:rPr>
          <w:noProof w:val="0"/>
        </w:rPr>
      </w:pPr>
      <w:r w:rsidRPr="00C90AC9">
        <w:rPr>
          <w:noProof w:val="0"/>
        </w:rPr>
        <w:t>Watson, J</w:t>
      </w:r>
      <w:r w:rsidR="007B44F9" w:rsidRPr="00C90AC9">
        <w:rPr>
          <w:noProof w:val="0"/>
        </w:rPr>
        <w:t>et al</w:t>
      </w:r>
      <w:r w:rsidRPr="00C90AC9">
        <w:rPr>
          <w:noProof w:val="0"/>
        </w:rPr>
        <w:t xml:space="preserve">. (2008). Domestic micro-generation: Economic, regulatory and policy issues for the UK. </w:t>
      </w:r>
      <w:r w:rsidRPr="00C90AC9">
        <w:rPr>
          <w:i/>
          <w:noProof w:val="0"/>
        </w:rPr>
        <w:t>Energy Policy, 36</w:t>
      </w:r>
      <w:r w:rsidRPr="00C90AC9">
        <w:rPr>
          <w:noProof w:val="0"/>
        </w:rPr>
        <w:t xml:space="preserve">(8), p. 3095-3106. </w:t>
      </w:r>
    </w:p>
    <w:p w:rsidR="00337B41" w:rsidRPr="00C90AC9" w:rsidRDefault="00337B41" w:rsidP="00337B41">
      <w:pPr>
        <w:pStyle w:val="EndNoteBibliography"/>
        <w:spacing w:after="0"/>
        <w:ind w:left="720" w:hanging="720"/>
        <w:rPr>
          <w:noProof w:val="0"/>
        </w:rPr>
      </w:pPr>
      <w:r w:rsidRPr="00C90AC9">
        <w:rPr>
          <w:noProof w:val="0"/>
        </w:rPr>
        <w:t xml:space="preserve">Weijermars, R., Taylor, P., Bahn, O., Das, S. R., &amp; Wei, Y.-M. (2012). Review of models and actors in energy mix optimization – can leader visions and decisions align with optimum model strategies for our future energy systems? </w:t>
      </w:r>
      <w:r w:rsidRPr="00C90AC9">
        <w:rPr>
          <w:i/>
          <w:noProof w:val="0"/>
        </w:rPr>
        <w:t>Energy Strategy Reviews, 1</w:t>
      </w:r>
      <w:r w:rsidRPr="00C90AC9">
        <w:rPr>
          <w:noProof w:val="0"/>
        </w:rPr>
        <w:t xml:space="preserve">(1), 5-18. </w:t>
      </w:r>
    </w:p>
    <w:p w:rsidR="00337B41" w:rsidRPr="00C90AC9" w:rsidRDefault="00337B41" w:rsidP="00337B41">
      <w:pPr>
        <w:pStyle w:val="EndNoteBibliography"/>
        <w:spacing w:after="0"/>
        <w:ind w:left="720" w:hanging="720"/>
        <w:rPr>
          <w:noProof w:val="0"/>
        </w:rPr>
      </w:pPr>
      <w:r w:rsidRPr="00C90AC9">
        <w:rPr>
          <w:noProof w:val="0"/>
        </w:rPr>
        <w:t xml:space="preserve">Weiner, M. D., Puniello, O. T., Noland, R. B., Ciemnecki, D., &amp; Turakhia, C. (2012). Consider the non-adopter: Developing a prediction model for the adoption of household-level broadband access. </w:t>
      </w:r>
      <w:r w:rsidRPr="00C90AC9">
        <w:rPr>
          <w:i/>
          <w:noProof w:val="0"/>
        </w:rPr>
        <w:t>Socio-Economic Planning Sciences, 46</w:t>
      </w:r>
      <w:r w:rsidRPr="00C90AC9">
        <w:rPr>
          <w:noProof w:val="0"/>
        </w:rPr>
        <w:t xml:space="preserve">(3), 183-193. </w:t>
      </w:r>
    </w:p>
    <w:p w:rsidR="00337B41" w:rsidRPr="00C90AC9" w:rsidRDefault="00337B41" w:rsidP="00337B41">
      <w:pPr>
        <w:pStyle w:val="EndNoteBibliography"/>
        <w:spacing w:after="0"/>
        <w:ind w:left="720" w:hanging="720"/>
        <w:rPr>
          <w:noProof w:val="0"/>
        </w:rPr>
      </w:pPr>
      <w:r w:rsidRPr="00C90AC9">
        <w:rPr>
          <w:noProof w:val="0"/>
        </w:rPr>
        <w:t xml:space="preserve">Wong, I. L., &amp; Eames, P. (2015). A method for calculating the solar transmittance, absorptance and reflectance of a transparent insulation system. </w:t>
      </w:r>
      <w:r w:rsidRPr="00C90AC9">
        <w:rPr>
          <w:i/>
          <w:noProof w:val="0"/>
        </w:rPr>
        <w:t>Solar Energy, 111</w:t>
      </w:r>
      <w:r w:rsidRPr="00C90AC9">
        <w:rPr>
          <w:noProof w:val="0"/>
        </w:rPr>
        <w:t xml:space="preserve">, 418-425. </w:t>
      </w:r>
    </w:p>
    <w:p w:rsidR="00337B41" w:rsidRPr="00C90AC9" w:rsidRDefault="00337B41" w:rsidP="00337B41">
      <w:pPr>
        <w:pStyle w:val="EndNoteBibliography"/>
        <w:spacing w:after="0"/>
        <w:ind w:left="720" w:hanging="720"/>
        <w:rPr>
          <w:noProof w:val="0"/>
        </w:rPr>
      </w:pPr>
      <w:r w:rsidRPr="00C90AC9">
        <w:rPr>
          <w:noProof w:val="0"/>
        </w:rPr>
        <w:t xml:space="preserve">Wüstenhagen, R., Wolsink, M., &amp; Bürer, M. J. (2007). Social acceptance of renewable energy innovation: An introduction to the concept. </w:t>
      </w:r>
      <w:r w:rsidRPr="00C90AC9">
        <w:rPr>
          <w:i/>
          <w:noProof w:val="0"/>
        </w:rPr>
        <w:t>Energy Policy, 35</w:t>
      </w:r>
      <w:r w:rsidRPr="00C90AC9">
        <w:rPr>
          <w:noProof w:val="0"/>
        </w:rPr>
        <w:t xml:space="preserve">(5), 2683-2691. </w:t>
      </w:r>
    </w:p>
    <w:p w:rsidR="00337B41" w:rsidRPr="00C90AC9" w:rsidRDefault="00337B41" w:rsidP="00337B41">
      <w:pPr>
        <w:pStyle w:val="EndNoteBibliography"/>
        <w:spacing w:after="0"/>
        <w:ind w:left="720" w:hanging="720"/>
        <w:rPr>
          <w:noProof w:val="0"/>
        </w:rPr>
      </w:pPr>
      <w:r w:rsidRPr="00C90AC9">
        <w:rPr>
          <w:noProof w:val="0"/>
        </w:rPr>
        <w:t xml:space="preserve">Yao, R., Luo, Q., Luo, Z., Jiang, L., &amp; Yang, Y. (2015). An integrated study of urban microclimates in Chongqing, China: Historical weather data, transverse measurement and numerical simulation. </w:t>
      </w:r>
      <w:r w:rsidRPr="00C90AC9">
        <w:rPr>
          <w:i/>
          <w:noProof w:val="0"/>
        </w:rPr>
        <w:t>Sustainable Cities and Society, 14</w:t>
      </w:r>
      <w:r w:rsidRPr="00C90AC9">
        <w:rPr>
          <w:noProof w:val="0"/>
        </w:rPr>
        <w:t xml:space="preserve">, 187-199. </w:t>
      </w:r>
    </w:p>
    <w:p w:rsidR="00337B41" w:rsidRPr="00C90AC9" w:rsidRDefault="00337B41" w:rsidP="00337B41">
      <w:pPr>
        <w:pStyle w:val="EndNoteBibliography"/>
        <w:ind w:left="720" w:hanging="720"/>
        <w:rPr>
          <w:noProof w:val="0"/>
        </w:rPr>
      </w:pPr>
      <w:r w:rsidRPr="00C90AC9">
        <w:rPr>
          <w:noProof w:val="0"/>
        </w:rPr>
        <w:t xml:space="preserve">Zambolin, E., &amp; Col, D. D. (2010). Experimental analysis of thermal performance of flat plate and evacuated tube solar collectors in stationary standard and daily conditions. </w:t>
      </w:r>
      <w:r w:rsidRPr="00C90AC9">
        <w:rPr>
          <w:i/>
          <w:noProof w:val="0"/>
        </w:rPr>
        <w:t>Solar Energy, 84</w:t>
      </w:r>
      <w:r w:rsidRPr="00C90AC9">
        <w:rPr>
          <w:noProof w:val="0"/>
        </w:rPr>
        <w:t xml:space="preserve">(8), p. 1382-1396. </w:t>
      </w:r>
    </w:p>
    <w:p w:rsidR="005B1ABC" w:rsidRPr="00C90AC9" w:rsidRDefault="002C4A30" w:rsidP="007835E8">
      <w:pPr>
        <w:pStyle w:val="CitaviBibliographyEntry"/>
      </w:pPr>
      <w:r w:rsidRPr="00C90AC9">
        <w:fldChar w:fldCharType="end"/>
      </w:r>
      <w:bookmarkEnd w:id="1"/>
    </w:p>
    <w:sectPr w:rsidR="005B1ABC" w:rsidRPr="00C90AC9" w:rsidSect="006D39FA">
      <w:pgSz w:w="11906" w:h="16838" w:code="9"/>
      <w:pgMar w:top="1440" w:right="1440" w:bottom="1135"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F0C85" w:rsidRDefault="006F0C85" w:rsidP="00B06779">
      <w:r>
        <w:separator/>
      </w:r>
    </w:p>
    <w:p w:rsidR="006F0C85" w:rsidRDefault="006F0C85" w:rsidP="00B06779"/>
  </w:endnote>
  <w:endnote w:type="continuationSeparator" w:id="0">
    <w:p w:rsidR="006F0C85" w:rsidRDefault="006F0C85" w:rsidP="00B06779">
      <w:r>
        <w:continuationSeparator/>
      </w:r>
    </w:p>
    <w:p w:rsidR="006F0C85" w:rsidRDefault="006F0C85" w:rsidP="00B0677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UOS Blake">
    <w:altName w:val="Calibri"/>
    <w:charset w:val="00"/>
    <w:family w:val="swiss"/>
    <w:pitch w:val="variable"/>
    <w:sig w:usb0="8000002F" w:usb1="4000004A" w:usb2="00000000" w:usb3="00000000" w:csb0="0000001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32731018"/>
      <w:docPartObj>
        <w:docPartGallery w:val="Page Numbers (Bottom of Page)"/>
        <w:docPartUnique/>
      </w:docPartObj>
    </w:sdtPr>
    <w:sdtEndPr>
      <w:rPr>
        <w:noProof/>
      </w:rPr>
    </w:sdtEndPr>
    <w:sdtContent>
      <w:p w:rsidR="00521573" w:rsidRDefault="00521573" w:rsidP="00B06779">
        <w:pPr>
          <w:pStyle w:val="Footer"/>
        </w:pPr>
        <w:r>
          <w:fldChar w:fldCharType="begin"/>
        </w:r>
        <w:r>
          <w:instrText xml:space="preserve"> PAGE   \* MERGEFORMAT </w:instrText>
        </w:r>
        <w:r>
          <w:fldChar w:fldCharType="separate"/>
        </w:r>
        <w:r>
          <w:rPr>
            <w:noProof/>
          </w:rPr>
          <w:t>51</w:t>
        </w:r>
        <w:r>
          <w:rPr>
            <w:noProof/>
          </w:rPr>
          <w:fldChar w:fldCharType="end"/>
        </w:r>
      </w:p>
    </w:sdtContent>
  </w:sdt>
  <w:p w:rsidR="00521573" w:rsidRDefault="00521573" w:rsidP="00B0677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13871303"/>
      <w:docPartObj>
        <w:docPartGallery w:val="Page Numbers (Bottom of Page)"/>
        <w:docPartUnique/>
      </w:docPartObj>
    </w:sdtPr>
    <w:sdtEndPr>
      <w:rPr>
        <w:noProof/>
      </w:rPr>
    </w:sdtEndPr>
    <w:sdtContent>
      <w:p w:rsidR="00521573" w:rsidRDefault="00521573" w:rsidP="00B06779">
        <w:pPr>
          <w:pStyle w:val="Footer"/>
        </w:pPr>
        <w:r>
          <w:fldChar w:fldCharType="begin"/>
        </w:r>
        <w:r>
          <w:instrText xml:space="preserve"> PAGE   \* MERGEFORMAT </w:instrText>
        </w:r>
        <w:r>
          <w:fldChar w:fldCharType="separate"/>
        </w:r>
        <w:r>
          <w:rPr>
            <w:noProof/>
          </w:rPr>
          <w:t>52</w:t>
        </w:r>
        <w:r>
          <w:rPr>
            <w:noProof/>
          </w:rPr>
          <w:fldChar w:fldCharType="end"/>
        </w:r>
      </w:p>
    </w:sdtContent>
  </w:sdt>
  <w:p w:rsidR="00521573" w:rsidRDefault="00521573" w:rsidP="00B0677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79530240"/>
      <w:docPartObj>
        <w:docPartGallery w:val="Page Numbers (Bottom of Page)"/>
        <w:docPartUnique/>
      </w:docPartObj>
    </w:sdtPr>
    <w:sdtEndPr>
      <w:rPr>
        <w:noProof/>
      </w:rPr>
    </w:sdtEndPr>
    <w:sdtContent>
      <w:p w:rsidR="00521573" w:rsidRDefault="00521573" w:rsidP="00B06779">
        <w:pPr>
          <w:pStyle w:val="Footer"/>
        </w:pPr>
        <w:r>
          <w:fldChar w:fldCharType="begin"/>
        </w:r>
        <w:r>
          <w:instrText xml:space="preserve"> PAGE   \* MERGEFORMAT </w:instrText>
        </w:r>
        <w:r>
          <w:fldChar w:fldCharType="separate"/>
        </w:r>
        <w:r>
          <w:rPr>
            <w:noProof/>
          </w:rPr>
          <w:t>188</w:t>
        </w:r>
        <w:r>
          <w:rPr>
            <w:noProof/>
          </w:rPr>
          <w:fldChar w:fldCharType="end"/>
        </w:r>
      </w:p>
    </w:sdtContent>
  </w:sdt>
  <w:p w:rsidR="00521573" w:rsidRDefault="00521573" w:rsidP="00B0677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08023181"/>
      <w:docPartObj>
        <w:docPartGallery w:val="Page Numbers (Bottom of Page)"/>
        <w:docPartUnique/>
      </w:docPartObj>
    </w:sdtPr>
    <w:sdtEndPr>
      <w:rPr>
        <w:noProof/>
      </w:rPr>
    </w:sdtEndPr>
    <w:sdtContent>
      <w:p w:rsidR="00521573" w:rsidRDefault="00521573" w:rsidP="00B06779">
        <w:pPr>
          <w:pStyle w:val="Footer"/>
        </w:pPr>
        <w:r>
          <w:fldChar w:fldCharType="begin"/>
        </w:r>
        <w:r>
          <w:instrText xml:space="preserve"> PAGE   \* MERGEFORMAT </w:instrText>
        </w:r>
        <w:r>
          <w:fldChar w:fldCharType="separate"/>
        </w:r>
        <w:r>
          <w:rPr>
            <w:noProof/>
          </w:rPr>
          <w:t>188</w:t>
        </w:r>
        <w:r>
          <w:rPr>
            <w:noProof/>
          </w:rPr>
          <w:fldChar w:fldCharType="end"/>
        </w:r>
      </w:p>
    </w:sdtContent>
  </w:sdt>
  <w:p w:rsidR="00521573" w:rsidRDefault="00521573" w:rsidP="00B0677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F0C85" w:rsidRDefault="006F0C85" w:rsidP="00B06779">
      <w:r>
        <w:separator/>
      </w:r>
    </w:p>
    <w:p w:rsidR="006F0C85" w:rsidRDefault="006F0C85" w:rsidP="00B06779"/>
  </w:footnote>
  <w:footnote w:type="continuationSeparator" w:id="0">
    <w:p w:rsidR="006F0C85" w:rsidRDefault="006F0C85" w:rsidP="00B06779">
      <w:r>
        <w:continuationSeparator/>
      </w:r>
    </w:p>
    <w:p w:rsidR="006F0C85" w:rsidRDefault="006F0C85" w:rsidP="00B0677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AE3E1998"/>
    <w:lvl w:ilvl="0">
      <w:start w:val="1"/>
      <w:numFmt w:val="bullet"/>
      <w:pStyle w:val="ListBullet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44804D14"/>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A0904892"/>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0101354"/>
    <w:multiLevelType w:val="hybridMultilevel"/>
    <w:tmpl w:val="5DC4A7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0724976"/>
    <w:multiLevelType w:val="hybridMultilevel"/>
    <w:tmpl w:val="E5C41F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49A3C02"/>
    <w:multiLevelType w:val="hybridMultilevel"/>
    <w:tmpl w:val="D60649E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04EF7851"/>
    <w:multiLevelType w:val="hybridMultilevel"/>
    <w:tmpl w:val="D158DAA4"/>
    <w:lvl w:ilvl="0" w:tplc="3DC8A89E">
      <w:start w:val="1"/>
      <w:numFmt w:val="decimal"/>
      <w:lvlText w:val="%1."/>
      <w:lvlJc w:val="left"/>
      <w:pPr>
        <w:ind w:left="1069" w:hanging="360"/>
      </w:pPr>
      <w:rPr>
        <w:rFonts w:ascii="Times New Roman" w:hAnsi="Times New Roman" w:cs="Times New Roman" w:hint="default"/>
        <w:b/>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7" w15:restartNumberingAfterBreak="0">
    <w:nsid w:val="057A54D2"/>
    <w:multiLevelType w:val="hybridMultilevel"/>
    <w:tmpl w:val="8D906DAE"/>
    <w:lvl w:ilvl="0" w:tplc="16D67CA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9F06B40"/>
    <w:multiLevelType w:val="multilevel"/>
    <w:tmpl w:val="D730E45A"/>
    <w:lvl w:ilvl="0">
      <w:start w:val="1"/>
      <w:numFmt w:val="decimal"/>
      <w:lvlText w:val="%1."/>
      <w:lvlJc w:val="left"/>
      <w:pPr>
        <w:ind w:left="720" w:hanging="360"/>
      </w:pPr>
      <w:rPr>
        <w:rFonts w:hint="default"/>
      </w:rPr>
    </w:lvl>
    <w:lvl w:ilvl="1">
      <w:start w:val="3"/>
      <w:numFmt w:val="decimal"/>
      <w:isLgl/>
      <w:lvlText w:val="%1.%2."/>
      <w:lvlJc w:val="left"/>
      <w:pPr>
        <w:ind w:left="1146" w:hanging="720"/>
      </w:pPr>
      <w:rPr>
        <w:rFonts w:asciiTheme="majorBidi" w:hAnsiTheme="majorBidi" w:cstheme="majorBidi" w:hint="default"/>
        <w:color w:val="auto"/>
        <w:sz w:val="28"/>
      </w:rPr>
    </w:lvl>
    <w:lvl w:ilvl="2">
      <w:start w:val="1"/>
      <w:numFmt w:val="decimal"/>
      <w:isLgl/>
      <w:lvlText w:val="%1.%2.%3."/>
      <w:lvlJc w:val="left"/>
      <w:pPr>
        <w:ind w:left="1080" w:hanging="720"/>
      </w:pPr>
      <w:rPr>
        <w:rFonts w:hint="default"/>
        <w:color w:val="auto"/>
        <w:sz w:val="28"/>
        <w:szCs w:val="28"/>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0DEE08F5"/>
    <w:multiLevelType w:val="hybridMultilevel"/>
    <w:tmpl w:val="AAF2AAB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0FD92E3B"/>
    <w:multiLevelType w:val="hybridMultilevel"/>
    <w:tmpl w:val="858014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121A2F5D"/>
    <w:multiLevelType w:val="hybridMultilevel"/>
    <w:tmpl w:val="5DC4B6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2CA0B89"/>
    <w:multiLevelType w:val="hybridMultilevel"/>
    <w:tmpl w:val="8AF699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3973463"/>
    <w:multiLevelType w:val="hybridMultilevel"/>
    <w:tmpl w:val="9AF4F326"/>
    <w:lvl w:ilvl="0" w:tplc="62F25176">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4647D13"/>
    <w:multiLevelType w:val="hybridMultilevel"/>
    <w:tmpl w:val="0B32F4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5FE6953"/>
    <w:multiLevelType w:val="multilevel"/>
    <w:tmpl w:val="5984AD60"/>
    <w:lvl w:ilvl="0">
      <w:start w:val="5"/>
      <w:numFmt w:val="decimal"/>
      <w:lvlText w:val="%1."/>
      <w:lvlJc w:val="left"/>
      <w:pPr>
        <w:ind w:left="450" w:hanging="450"/>
      </w:pPr>
      <w:rPr>
        <w:rFonts w:hint="default"/>
      </w:rPr>
    </w:lvl>
    <w:lvl w:ilvl="1">
      <w:start w:val="1"/>
      <w:numFmt w:val="decimal"/>
      <w:lvlText w:val="%1.%2."/>
      <w:lvlJc w:val="left"/>
      <w:pPr>
        <w:ind w:left="1004" w:hanging="720"/>
      </w:pPr>
      <w:rPr>
        <w:rFonts w:hint="default"/>
        <w:sz w:val="28"/>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6" w15:restartNumberingAfterBreak="0">
    <w:nsid w:val="16044436"/>
    <w:multiLevelType w:val="multilevel"/>
    <w:tmpl w:val="07242A98"/>
    <w:lvl w:ilvl="0">
      <w:start w:val="1"/>
      <w:numFmt w:val="decimal"/>
      <w:lvlText w:val="%1."/>
      <w:lvlJc w:val="left"/>
      <w:pPr>
        <w:ind w:left="480" w:hanging="480"/>
      </w:pPr>
      <w:rPr>
        <w:rFonts w:eastAsiaTheme="minorEastAsia" w:hint="default"/>
        <w:color w:val="FFFFFF" w:themeColor="background1"/>
      </w:rPr>
    </w:lvl>
    <w:lvl w:ilvl="1">
      <w:start w:val="1"/>
      <w:numFmt w:val="decimal"/>
      <w:pStyle w:val="Heading1"/>
      <w:lvlText w:val="%1.%2."/>
      <w:lvlJc w:val="left"/>
      <w:pPr>
        <w:ind w:left="720" w:hanging="720"/>
      </w:pPr>
      <w:rPr>
        <w:b w:val="0"/>
        <w:bCs w:val="0"/>
        <w:i w:val="0"/>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eastAsiaTheme="minorEastAsia" w:hint="default"/>
      </w:rPr>
    </w:lvl>
    <w:lvl w:ilvl="3">
      <w:start w:val="1"/>
      <w:numFmt w:val="decimal"/>
      <w:lvlText w:val="%1.%2.%3.%4."/>
      <w:lvlJc w:val="left"/>
      <w:pPr>
        <w:ind w:left="1080" w:hanging="1080"/>
      </w:pPr>
      <w:rPr>
        <w:rFonts w:eastAsiaTheme="minorEastAsia" w:hint="default"/>
      </w:rPr>
    </w:lvl>
    <w:lvl w:ilvl="4">
      <w:start w:val="1"/>
      <w:numFmt w:val="decimal"/>
      <w:lvlText w:val="%1.%2.%3.%4.%5."/>
      <w:lvlJc w:val="left"/>
      <w:pPr>
        <w:ind w:left="1440" w:hanging="1440"/>
      </w:pPr>
      <w:rPr>
        <w:rFonts w:eastAsiaTheme="minorEastAsia" w:hint="default"/>
      </w:rPr>
    </w:lvl>
    <w:lvl w:ilvl="5">
      <w:start w:val="1"/>
      <w:numFmt w:val="decimal"/>
      <w:lvlText w:val="%1.%2.%3.%4.%5.%6."/>
      <w:lvlJc w:val="left"/>
      <w:pPr>
        <w:ind w:left="1440" w:hanging="1440"/>
      </w:pPr>
      <w:rPr>
        <w:rFonts w:eastAsiaTheme="minorEastAsia" w:hint="default"/>
      </w:rPr>
    </w:lvl>
    <w:lvl w:ilvl="6">
      <w:start w:val="1"/>
      <w:numFmt w:val="decimal"/>
      <w:lvlText w:val="%1.%2.%3.%4.%5.%6.%7."/>
      <w:lvlJc w:val="left"/>
      <w:pPr>
        <w:ind w:left="1800" w:hanging="1800"/>
      </w:pPr>
      <w:rPr>
        <w:rFonts w:eastAsiaTheme="minorEastAsia" w:hint="default"/>
      </w:rPr>
    </w:lvl>
    <w:lvl w:ilvl="7">
      <w:start w:val="1"/>
      <w:numFmt w:val="decimal"/>
      <w:lvlText w:val="%1.%2.%3.%4.%5.%6.%7.%8."/>
      <w:lvlJc w:val="left"/>
      <w:pPr>
        <w:ind w:left="2160" w:hanging="2160"/>
      </w:pPr>
      <w:rPr>
        <w:rFonts w:eastAsiaTheme="minorEastAsia" w:hint="default"/>
      </w:rPr>
    </w:lvl>
    <w:lvl w:ilvl="8">
      <w:start w:val="1"/>
      <w:numFmt w:val="decimal"/>
      <w:lvlText w:val="%1.%2.%3.%4.%5.%6.%7.%8.%9."/>
      <w:lvlJc w:val="left"/>
      <w:pPr>
        <w:ind w:left="2160" w:hanging="2160"/>
      </w:pPr>
      <w:rPr>
        <w:rFonts w:eastAsiaTheme="minorEastAsia" w:hint="default"/>
      </w:rPr>
    </w:lvl>
  </w:abstractNum>
  <w:abstractNum w:abstractNumId="17" w15:restartNumberingAfterBreak="0">
    <w:nsid w:val="1EFC6AB0"/>
    <w:multiLevelType w:val="hybridMultilevel"/>
    <w:tmpl w:val="FE3E38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5196413"/>
    <w:multiLevelType w:val="hybridMultilevel"/>
    <w:tmpl w:val="E91A46E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271D410A"/>
    <w:multiLevelType w:val="hybridMultilevel"/>
    <w:tmpl w:val="A9B65F8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20" w15:restartNumberingAfterBreak="0">
    <w:nsid w:val="2F1745C4"/>
    <w:multiLevelType w:val="hybridMultilevel"/>
    <w:tmpl w:val="485694E2"/>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21" w15:restartNumberingAfterBreak="0">
    <w:nsid w:val="40426018"/>
    <w:multiLevelType w:val="multilevel"/>
    <w:tmpl w:val="F7843326"/>
    <w:lvl w:ilvl="0">
      <w:start w:val="1"/>
      <w:numFmt w:val="decimal"/>
      <w:lvlText w:val="%1."/>
      <w:lvlJc w:val="left"/>
      <w:pPr>
        <w:ind w:left="375" w:hanging="375"/>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2" w15:restartNumberingAfterBreak="0">
    <w:nsid w:val="4E001730"/>
    <w:multiLevelType w:val="hybridMultilevel"/>
    <w:tmpl w:val="9AF4F326"/>
    <w:lvl w:ilvl="0" w:tplc="62F25176">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416154A"/>
    <w:multiLevelType w:val="hybridMultilevel"/>
    <w:tmpl w:val="2BF25E0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474297A"/>
    <w:multiLevelType w:val="hybridMultilevel"/>
    <w:tmpl w:val="8EDE52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7D71771"/>
    <w:multiLevelType w:val="multilevel"/>
    <w:tmpl w:val="9DF072EA"/>
    <w:lvl w:ilvl="0">
      <w:start w:val="1"/>
      <w:numFmt w:val="decimal"/>
      <w:lvlText w:val="%1."/>
      <w:lvlJc w:val="left"/>
      <w:pPr>
        <w:ind w:left="720" w:hanging="360"/>
      </w:pPr>
      <w:rPr>
        <w:rFonts w:hint="default"/>
      </w:rPr>
    </w:lvl>
    <w:lvl w:ilvl="1">
      <w:start w:val="3"/>
      <w:numFmt w:val="decimal"/>
      <w:isLgl/>
      <w:lvlText w:val="%1.%2."/>
      <w:lvlJc w:val="left"/>
      <w:pPr>
        <w:ind w:left="1146" w:hanging="720"/>
      </w:pPr>
      <w:rPr>
        <w:rFonts w:hint="default"/>
        <w:sz w:val="28"/>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15:restartNumberingAfterBreak="0">
    <w:nsid w:val="59FF4341"/>
    <w:multiLevelType w:val="multilevel"/>
    <w:tmpl w:val="78BEB362"/>
    <w:lvl w:ilvl="0">
      <w:start w:val="1"/>
      <w:numFmt w:val="decimal"/>
      <w:lvlText w:val="%1."/>
      <w:lvlJc w:val="left"/>
      <w:pPr>
        <w:ind w:left="720" w:hanging="360"/>
      </w:pPr>
      <w:rPr>
        <w:rFonts w:hint="default"/>
      </w:rPr>
    </w:lvl>
    <w:lvl w:ilvl="1">
      <w:start w:val="3"/>
      <w:numFmt w:val="decimal"/>
      <w:isLgl/>
      <w:lvlText w:val="%1.%2."/>
      <w:lvlJc w:val="left"/>
      <w:pPr>
        <w:ind w:left="1146" w:hanging="720"/>
      </w:pPr>
      <w:rPr>
        <w:rFonts w:ascii="TUOS Blake" w:hAnsi="TUOS Blake" w:hint="default"/>
        <w:color w:val="auto"/>
        <w:sz w:val="28"/>
      </w:rPr>
    </w:lvl>
    <w:lvl w:ilvl="2">
      <w:start w:val="1"/>
      <w:numFmt w:val="decimal"/>
      <w:isLgl/>
      <w:lvlText w:val="%1.%2.%3."/>
      <w:lvlJc w:val="left"/>
      <w:pPr>
        <w:ind w:left="1080" w:hanging="720"/>
      </w:pPr>
      <w:rPr>
        <w:rFonts w:hint="default"/>
        <w:color w:val="auto"/>
        <w:sz w:val="28"/>
        <w:szCs w:val="28"/>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15:restartNumberingAfterBreak="0">
    <w:nsid w:val="5C975A39"/>
    <w:multiLevelType w:val="hybridMultilevel"/>
    <w:tmpl w:val="05E0A206"/>
    <w:lvl w:ilvl="0" w:tplc="08090001">
      <w:start w:val="1"/>
      <w:numFmt w:val="bullet"/>
      <w:lvlText w:val=""/>
      <w:lvlJc w:val="left"/>
      <w:pPr>
        <w:ind w:left="773" w:hanging="360"/>
      </w:pPr>
      <w:rPr>
        <w:rFonts w:ascii="Symbol" w:hAnsi="Symbol"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28" w15:restartNumberingAfterBreak="0">
    <w:nsid w:val="5DF705F1"/>
    <w:multiLevelType w:val="multilevel"/>
    <w:tmpl w:val="752471F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15:restartNumberingAfterBreak="0">
    <w:nsid w:val="63394979"/>
    <w:multiLevelType w:val="hybridMultilevel"/>
    <w:tmpl w:val="FE3E38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C0D05A0"/>
    <w:multiLevelType w:val="hybridMultilevel"/>
    <w:tmpl w:val="DB141758"/>
    <w:lvl w:ilvl="0" w:tplc="B25AD116">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DEF42A3"/>
    <w:multiLevelType w:val="hybridMultilevel"/>
    <w:tmpl w:val="72C2E6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27E2182"/>
    <w:multiLevelType w:val="multilevel"/>
    <w:tmpl w:val="7FE02230"/>
    <w:lvl w:ilvl="0">
      <w:start w:val="2"/>
      <w:numFmt w:val="decimal"/>
      <w:lvlText w:val="%1"/>
      <w:lvlJc w:val="left"/>
      <w:pPr>
        <w:ind w:left="750" w:hanging="750"/>
      </w:pPr>
      <w:rPr>
        <w:rFonts w:eastAsiaTheme="minorEastAsia" w:hint="default"/>
      </w:rPr>
    </w:lvl>
    <w:lvl w:ilvl="1">
      <w:start w:val="12"/>
      <w:numFmt w:val="decimal"/>
      <w:lvlText w:val="%1.%2"/>
      <w:lvlJc w:val="left"/>
      <w:pPr>
        <w:ind w:left="750" w:hanging="750"/>
      </w:pPr>
      <w:rPr>
        <w:rFonts w:eastAsiaTheme="minorEastAsia" w:hint="default"/>
      </w:rPr>
    </w:lvl>
    <w:lvl w:ilvl="2">
      <w:start w:val="1"/>
      <w:numFmt w:val="decimal"/>
      <w:lvlText w:val="%1.%2.%3"/>
      <w:lvlJc w:val="left"/>
      <w:pPr>
        <w:ind w:left="750" w:hanging="750"/>
      </w:pPr>
      <w:rPr>
        <w:rFonts w:eastAsiaTheme="minorEastAsia" w:hint="default"/>
      </w:rPr>
    </w:lvl>
    <w:lvl w:ilvl="3">
      <w:start w:val="1"/>
      <w:numFmt w:val="decimal"/>
      <w:lvlText w:val="%1.%2.%3.%4"/>
      <w:lvlJc w:val="left"/>
      <w:pPr>
        <w:ind w:left="1080" w:hanging="1080"/>
      </w:pPr>
      <w:rPr>
        <w:rFonts w:eastAsiaTheme="minorEastAsia" w:hint="default"/>
      </w:rPr>
    </w:lvl>
    <w:lvl w:ilvl="4">
      <w:start w:val="1"/>
      <w:numFmt w:val="decimal"/>
      <w:lvlText w:val="%1.%2.%3.%4.%5"/>
      <w:lvlJc w:val="left"/>
      <w:pPr>
        <w:ind w:left="1080" w:hanging="1080"/>
      </w:pPr>
      <w:rPr>
        <w:rFonts w:eastAsiaTheme="minorEastAsia" w:hint="default"/>
      </w:rPr>
    </w:lvl>
    <w:lvl w:ilvl="5">
      <w:start w:val="1"/>
      <w:numFmt w:val="decimal"/>
      <w:lvlText w:val="%1.%2.%3.%4.%5.%6"/>
      <w:lvlJc w:val="left"/>
      <w:pPr>
        <w:ind w:left="1440" w:hanging="1440"/>
      </w:pPr>
      <w:rPr>
        <w:rFonts w:eastAsiaTheme="minorEastAsia" w:hint="default"/>
      </w:rPr>
    </w:lvl>
    <w:lvl w:ilvl="6">
      <w:start w:val="1"/>
      <w:numFmt w:val="decimal"/>
      <w:lvlText w:val="%1.%2.%3.%4.%5.%6.%7"/>
      <w:lvlJc w:val="left"/>
      <w:pPr>
        <w:ind w:left="1440" w:hanging="1440"/>
      </w:pPr>
      <w:rPr>
        <w:rFonts w:eastAsiaTheme="minorEastAsia" w:hint="default"/>
      </w:rPr>
    </w:lvl>
    <w:lvl w:ilvl="7">
      <w:start w:val="1"/>
      <w:numFmt w:val="decimal"/>
      <w:lvlText w:val="%1.%2.%3.%4.%5.%6.%7.%8"/>
      <w:lvlJc w:val="left"/>
      <w:pPr>
        <w:ind w:left="1800" w:hanging="1800"/>
      </w:pPr>
      <w:rPr>
        <w:rFonts w:eastAsiaTheme="minorEastAsia" w:hint="default"/>
      </w:rPr>
    </w:lvl>
    <w:lvl w:ilvl="8">
      <w:start w:val="1"/>
      <w:numFmt w:val="decimal"/>
      <w:lvlText w:val="%1.%2.%3.%4.%5.%6.%7.%8.%9"/>
      <w:lvlJc w:val="left"/>
      <w:pPr>
        <w:ind w:left="2160" w:hanging="2160"/>
      </w:pPr>
      <w:rPr>
        <w:rFonts w:eastAsiaTheme="minorEastAsia" w:hint="default"/>
      </w:rPr>
    </w:lvl>
  </w:abstractNum>
  <w:abstractNum w:abstractNumId="33" w15:restartNumberingAfterBreak="0">
    <w:nsid w:val="72AB5943"/>
    <w:multiLevelType w:val="hybridMultilevel"/>
    <w:tmpl w:val="172427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5545921"/>
    <w:multiLevelType w:val="multilevel"/>
    <w:tmpl w:val="458C7646"/>
    <w:lvl w:ilvl="0">
      <w:start w:val="1"/>
      <w:numFmt w:val="decimal"/>
      <w:lvlText w:val="%1."/>
      <w:lvlJc w:val="left"/>
      <w:pPr>
        <w:ind w:left="720" w:hanging="360"/>
      </w:pPr>
    </w:lvl>
    <w:lvl w:ilvl="1">
      <w:start w:val="1"/>
      <w:numFmt w:val="decimal"/>
      <w:isLgl/>
      <w:lvlText w:val="%1.%2."/>
      <w:lvlJc w:val="left"/>
      <w:pPr>
        <w:ind w:left="720" w:hanging="360"/>
      </w:pPr>
      <w:rPr>
        <w:rFonts w:hint="default"/>
        <w:i w:val="0"/>
        <w:color w:val="auto"/>
        <w:sz w:val="28"/>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7A641A24"/>
    <w:multiLevelType w:val="hybridMultilevel"/>
    <w:tmpl w:val="FC0ABC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C1177EC"/>
    <w:multiLevelType w:val="hybridMultilevel"/>
    <w:tmpl w:val="C4464554"/>
    <w:lvl w:ilvl="0" w:tplc="15FA8156">
      <w:start w:val="1"/>
      <w:numFmt w:val="decimal"/>
      <w:lvlText w:val="%1."/>
      <w:lvlJc w:val="left"/>
      <w:pPr>
        <w:ind w:left="720" w:hanging="360"/>
      </w:pPr>
      <w:rPr>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D8B1F52"/>
    <w:multiLevelType w:val="hybridMultilevel"/>
    <w:tmpl w:val="7ED2D1F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8" w15:restartNumberingAfterBreak="0">
    <w:nsid w:val="7DD10139"/>
    <w:multiLevelType w:val="multilevel"/>
    <w:tmpl w:val="12AC943A"/>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sz w:val="28"/>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28"/>
  </w:num>
  <w:num w:numId="2">
    <w:abstractNumId w:val="20"/>
  </w:num>
  <w:num w:numId="3">
    <w:abstractNumId w:val="34"/>
  </w:num>
  <w:num w:numId="4">
    <w:abstractNumId w:val="10"/>
  </w:num>
  <w:num w:numId="5">
    <w:abstractNumId w:val="37"/>
  </w:num>
  <w:num w:numId="6">
    <w:abstractNumId w:val="18"/>
  </w:num>
  <w:num w:numId="7">
    <w:abstractNumId w:val="9"/>
  </w:num>
  <w:num w:numId="8">
    <w:abstractNumId w:val="21"/>
  </w:num>
  <w:num w:numId="9">
    <w:abstractNumId w:val="5"/>
  </w:num>
  <w:num w:numId="10">
    <w:abstractNumId w:val="12"/>
  </w:num>
  <w:num w:numId="11">
    <w:abstractNumId w:val="8"/>
  </w:num>
  <w:num w:numId="12">
    <w:abstractNumId w:val="38"/>
  </w:num>
  <w:num w:numId="13">
    <w:abstractNumId w:val="19"/>
  </w:num>
  <w:num w:numId="14">
    <w:abstractNumId w:val="25"/>
  </w:num>
  <w:num w:numId="15">
    <w:abstractNumId w:val="3"/>
  </w:num>
  <w:num w:numId="16">
    <w:abstractNumId w:val="27"/>
  </w:num>
  <w:num w:numId="17">
    <w:abstractNumId w:val="26"/>
  </w:num>
  <w:num w:numId="18">
    <w:abstractNumId w:val="11"/>
  </w:num>
  <w:num w:numId="19">
    <w:abstractNumId w:val="2"/>
  </w:num>
  <w:num w:numId="20">
    <w:abstractNumId w:val="1"/>
  </w:num>
  <w:num w:numId="21">
    <w:abstractNumId w:val="0"/>
  </w:num>
  <w:num w:numId="22">
    <w:abstractNumId w:val="16"/>
    <w:lvlOverride w:ilvl="0">
      <w:startOverride w:val="1"/>
    </w:lvlOverride>
    <w:lvlOverride w:ilvl="1">
      <w:startOverride w:val="1"/>
    </w:lvlOverride>
  </w:num>
  <w:num w:numId="23">
    <w:abstractNumId w:val="16"/>
  </w:num>
  <w:num w:numId="24">
    <w:abstractNumId w:val="16"/>
    <w:lvlOverride w:ilvl="0">
      <w:startOverride w:val="2"/>
    </w:lvlOverride>
    <w:lvlOverride w:ilvl="1">
      <w:startOverride w:val="1"/>
    </w:lvlOverride>
  </w:num>
  <w:num w:numId="25">
    <w:abstractNumId w:val="32"/>
  </w:num>
  <w:num w:numId="26">
    <w:abstractNumId w:val="16"/>
    <w:lvlOverride w:ilvl="0">
      <w:startOverride w:val="2"/>
    </w:lvlOverride>
    <w:lvlOverride w:ilvl="1">
      <w:startOverride w:val="1"/>
    </w:lvlOverride>
    <w:lvlOverride w:ilvl="2">
      <w:startOverride w:val="1"/>
    </w:lvlOverride>
  </w:num>
  <w:num w:numId="27">
    <w:abstractNumId w:val="31"/>
  </w:num>
  <w:num w:numId="28">
    <w:abstractNumId w:val="15"/>
  </w:num>
  <w:num w:numId="29">
    <w:abstractNumId w:val="4"/>
  </w:num>
  <w:num w:numId="30">
    <w:abstractNumId w:val="35"/>
  </w:num>
  <w:num w:numId="31">
    <w:abstractNumId w:val="33"/>
  </w:num>
  <w:num w:numId="32">
    <w:abstractNumId w:val="24"/>
  </w:num>
  <w:num w:numId="33">
    <w:abstractNumId w:val="6"/>
  </w:num>
  <w:num w:numId="34">
    <w:abstractNumId w:val="23"/>
  </w:num>
  <w:num w:numId="35">
    <w:abstractNumId w:val="36"/>
  </w:num>
  <w:num w:numId="36">
    <w:abstractNumId w:val="17"/>
  </w:num>
  <w:num w:numId="37">
    <w:abstractNumId w:val="30"/>
  </w:num>
  <w:num w:numId="38">
    <w:abstractNumId w:val="7"/>
  </w:num>
  <w:num w:numId="39">
    <w:abstractNumId w:val="22"/>
  </w:num>
  <w:num w:numId="40">
    <w:abstractNumId w:val="29"/>
  </w:num>
  <w:num w:numId="41">
    <w:abstractNumId w:val="13"/>
  </w:num>
  <w:num w:numId="42">
    <w:abstractNumId w:val="14"/>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BA5F9E21-3484-4CDE-B558-887FF76988B8}"/>
    <w:docVar w:name="dgnword-eventsink" w:val="271647784"/>
    <w:docVar w:name="EN.InstantFormat" w:val="&lt;ENInstantFormat&gt;&lt;Enabled&gt;0&lt;/Enabled&gt;&lt;ScanUnformatted&gt;1&lt;/ScanUnformatted&gt;&lt;ScanChanges&gt;1&lt;/ScanChanges&gt;&lt;Suspended&gt;0&lt;/Suspended&gt;&lt;/ENInstantFormat&gt;"/>
    <w:docVar w:name="EN.Layout" w:val="&lt;ENLayout&gt;&lt;Style&gt;APA 6th Copy&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0wxdpzd9vd5r7e9t5b595djrfpttrxw9avp&quot;&gt;Sample_Library_X5&lt;record-ids&gt;&lt;item&gt;108&lt;/item&gt;&lt;item&gt;109&lt;/item&gt;&lt;item&gt;110&lt;/item&gt;&lt;item&gt;111&lt;/item&gt;&lt;item&gt;112&lt;/item&gt;&lt;item&gt;113&lt;/item&gt;&lt;item&gt;115&lt;/item&gt;&lt;item&gt;117&lt;/item&gt;&lt;item&gt;118&lt;/item&gt;&lt;item&gt;119&lt;/item&gt;&lt;item&gt;120&lt;/item&gt;&lt;item&gt;122&lt;/item&gt;&lt;item&gt;124&lt;/item&gt;&lt;item&gt;125&lt;/item&gt;&lt;item&gt;126&lt;/item&gt;&lt;item&gt;127&lt;/item&gt;&lt;item&gt;128&lt;/item&gt;&lt;item&gt;134&lt;/item&gt;&lt;item&gt;138&lt;/item&gt;&lt;item&gt;139&lt;/item&gt;&lt;item&gt;140&lt;/item&gt;&lt;item&gt;141&lt;/item&gt;&lt;item&gt;143&lt;/item&gt;&lt;item&gt;144&lt;/item&gt;&lt;item&gt;145&lt;/item&gt;&lt;item&gt;146&lt;/item&gt;&lt;item&gt;147&lt;/item&gt;&lt;item&gt;149&lt;/item&gt;&lt;item&gt;151&lt;/item&gt;&lt;item&gt;152&lt;/item&gt;&lt;item&gt;161&lt;/item&gt;&lt;item&gt;164&lt;/item&gt;&lt;item&gt;166&lt;/item&gt;&lt;item&gt;167&lt;/item&gt;&lt;item&gt;168&lt;/item&gt;&lt;item&gt;169&lt;/item&gt;&lt;item&gt;171&lt;/item&gt;&lt;item&gt;173&lt;/item&gt;&lt;item&gt;176&lt;/item&gt;&lt;item&gt;178&lt;/item&gt;&lt;item&gt;180&lt;/item&gt;&lt;item&gt;183&lt;/item&gt;&lt;item&gt;184&lt;/item&gt;&lt;item&gt;185&lt;/item&gt;&lt;item&gt;186&lt;/item&gt;&lt;item&gt;187&lt;/item&gt;&lt;item&gt;188&lt;/item&gt;&lt;item&gt;189&lt;/item&gt;&lt;item&gt;190&lt;/item&gt;&lt;item&gt;191&lt;/item&gt;&lt;item&gt;192&lt;/item&gt;&lt;item&gt;196&lt;/item&gt;&lt;item&gt;198&lt;/item&gt;&lt;item&gt;199&lt;/item&gt;&lt;item&gt;200&lt;/item&gt;&lt;item&gt;201&lt;/item&gt;&lt;item&gt;202&lt;/item&gt;&lt;item&gt;204&lt;/item&gt;&lt;item&gt;207&lt;/item&gt;&lt;item&gt;209&lt;/item&gt;&lt;item&gt;210&lt;/item&gt;&lt;item&gt;211&lt;/item&gt;&lt;item&gt;214&lt;/item&gt;&lt;item&gt;215&lt;/item&gt;&lt;item&gt;216&lt;/item&gt;&lt;item&gt;217&lt;/item&gt;&lt;item&gt;218&lt;/item&gt;&lt;item&gt;219&lt;/item&gt;&lt;item&gt;220&lt;/item&gt;&lt;item&gt;221&lt;/item&gt;&lt;item&gt;222&lt;/item&gt;&lt;item&gt;223&lt;/item&gt;&lt;item&gt;224&lt;/item&gt;&lt;item&gt;225&lt;/item&gt;&lt;item&gt;226&lt;/item&gt;&lt;item&gt;227&lt;/item&gt;&lt;item&gt;228&lt;/item&gt;&lt;item&gt;230&lt;/item&gt;&lt;item&gt;231&lt;/item&gt;&lt;item&gt;233&lt;/item&gt;&lt;item&gt;234&lt;/item&gt;&lt;item&gt;235&lt;/item&gt;&lt;item&gt;237&lt;/item&gt;&lt;item&gt;238&lt;/item&gt;&lt;item&gt;239&lt;/item&gt;&lt;item&gt;240&lt;/item&gt;&lt;item&gt;241&lt;/item&gt;&lt;item&gt;242&lt;/item&gt;&lt;item&gt;243&lt;/item&gt;&lt;item&gt;244&lt;/item&gt;&lt;item&gt;245&lt;/item&gt;&lt;item&gt;246&lt;/item&gt;&lt;item&gt;247&lt;/item&gt;&lt;item&gt;248&lt;/item&gt;&lt;item&gt;249&lt;/item&gt;&lt;item&gt;250&lt;/item&gt;&lt;item&gt;251&lt;/item&gt;&lt;item&gt;252&lt;/item&gt;&lt;item&gt;253&lt;/item&gt;&lt;item&gt;254&lt;/item&gt;&lt;item&gt;255&lt;/item&gt;&lt;item&gt;256&lt;/item&gt;&lt;item&gt;258&lt;/item&gt;&lt;item&gt;259&lt;/item&gt;&lt;item&gt;260&lt;/item&gt;&lt;item&gt;261&lt;/item&gt;&lt;item&gt;262&lt;/item&gt;&lt;item&gt;264&lt;/item&gt;&lt;item&gt;265&lt;/item&gt;&lt;item&gt;266&lt;/item&gt;&lt;item&gt;268&lt;/item&gt;&lt;item&gt;269&lt;/item&gt;&lt;item&gt;270&lt;/item&gt;&lt;item&gt;271&lt;/item&gt;&lt;item&gt;272&lt;/item&gt;&lt;item&gt;273&lt;/item&gt;&lt;item&gt;275&lt;/item&gt;&lt;item&gt;276&lt;/item&gt;&lt;item&gt;277&lt;/item&gt;&lt;item&gt;278&lt;/item&gt;&lt;item&gt;279&lt;/item&gt;&lt;item&gt;280&lt;/item&gt;&lt;item&gt;281&lt;/item&gt;&lt;item&gt;284&lt;/item&gt;&lt;/record-ids&gt;&lt;/item&gt;&lt;/Libraries&gt;"/>
  </w:docVars>
  <w:rsids>
    <w:rsidRoot w:val="00A16B8C"/>
    <w:rsid w:val="00001059"/>
    <w:rsid w:val="00001783"/>
    <w:rsid w:val="0000373F"/>
    <w:rsid w:val="000055F6"/>
    <w:rsid w:val="0000633D"/>
    <w:rsid w:val="00012236"/>
    <w:rsid w:val="00012484"/>
    <w:rsid w:val="000132A3"/>
    <w:rsid w:val="00014599"/>
    <w:rsid w:val="0001462D"/>
    <w:rsid w:val="0001699E"/>
    <w:rsid w:val="00021EF8"/>
    <w:rsid w:val="000236EC"/>
    <w:rsid w:val="00024464"/>
    <w:rsid w:val="00025FBA"/>
    <w:rsid w:val="00033079"/>
    <w:rsid w:val="0003627E"/>
    <w:rsid w:val="00040467"/>
    <w:rsid w:val="00042FA7"/>
    <w:rsid w:val="000446A7"/>
    <w:rsid w:val="000450FC"/>
    <w:rsid w:val="00045804"/>
    <w:rsid w:val="000467F4"/>
    <w:rsid w:val="00047A14"/>
    <w:rsid w:val="00052EB6"/>
    <w:rsid w:val="000538E6"/>
    <w:rsid w:val="00053CC2"/>
    <w:rsid w:val="0005563E"/>
    <w:rsid w:val="000559B8"/>
    <w:rsid w:val="00055F00"/>
    <w:rsid w:val="00064395"/>
    <w:rsid w:val="0006504B"/>
    <w:rsid w:val="00065512"/>
    <w:rsid w:val="00070842"/>
    <w:rsid w:val="00072D29"/>
    <w:rsid w:val="00073614"/>
    <w:rsid w:val="00074509"/>
    <w:rsid w:val="00074AEC"/>
    <w:rsid w:val="00074F08"/>
    <w:rsid w:val="000758AF"/>
    <w:rsid w:val="000758C6"/>
    <w:rsid w:val="00077E54"/>
    <w:rsid w:val="00077FD7"/>
    <w:rsid w:val="000805A7"/>
    <w:rsid w:val="00080FEB"/>
    <w:rsid w:val="00081C98"/>
    <w:rsid w:val="000858B3"/>
    <w:rsid w:val="00091094"/>
    <w:rsid w:val="00092318"/>
    <w:rsid w:val="00092EB7"/>
    <w:rsid w:val="00093ADB"/>
    <w:rsid w:val="00095D50"/>
    <w:rsid w:val="00097539"/>
    <w:rsid w:val="000A1696"/>
    <w:rsid w:val="000A28B7"/>
    <w:rsid w:val="000A6409"/>
    <w:rsid w:val="000B0214"/>
    <w:rsid w:val="000B03D1"/>
    <w:rsid w:val="000B252B"/>
    <w:rsid w:val="000B2E93"/>
    <w:rsid w:val="000B3D7C"/>
    <w:rsid w:val="000C1D24"/>
    <w:rsid w:val="000C5541"/>
    <w:rsid w:val="000C6019"/>
    <w:rsid w:val="000D1256"/>
    <w:rsid w:val="000D1AD0"/>
    <w:rsid w:val="000D312B"/>
    <w:rsid w:val="000D4541"/>
    <w:rsid w:val="000D7762"/>
    <w:rsid w:val="000E1236"/>
    <w:rsid w:val="000E17D2"/>
    <w:rsid w:val="000E1CF9"/>
    <w:rsid w:val="000E4398"/>
    <w:rsid w:val="000E49EA"/>
    <w:rsid w:val="000E5C31"/>
    <w:rsid w:val="000E6BD1"/>
    <w:rsid w:val="000E7112"/>
    <w:rsid w:val="000F2059"/>
    <w:rsid w:val="000F3322"/>
    <w:rsid w:val="000F6229"/>
    <w:rsid w:val="001021CB"/>
    <w:rsid w:val="00106796"/>
    <w:rsid w:val="001117F7"/>
    <w:rsid w:val="00114F19"/>
    <w:rsid w:val="00117A0A"/>
    <w:rsid w:val="00117EA4"/>
    <w:rsid w:val="00120237"/>
    <w:rsid w:val="00120DC5"/>
    <w:rsid w:val="0012250C"/>
    <w:rsid w:val="00124D24"/>
    <w:rsid w:val="001259B5"/>
    <w:rsid w:val="00127291"/>
    <w:rsid w:val="00127734"/>
    <w:rsid w:val="00132843"/>
    <w:rsid w:val="00134536"/>
    <w:rsid w:val="00136838"/>
    <w:rsid w:val="00137400"/>
    <w:rsid w:val="0014612B"/>
    <w:rsid w:val="00147E1D"/>
    <w:rsid w:val="00151CBC"/>
    <w:rsid w:val="00151E72"/>
    <w:rsid w:val="00152F06"/>
    <w:rsid w:val="00153D7C"/>
    <w:rsid w:val="001546F2"/>
    <w:rsid w:val="001574B7"/>
    <w:rsid w:val="001604DB"/>
    <w:rsid w:val="00160E77"/>
    <w:rsid w:val="0016141F"/>
    <w:rsid w:val="00162965"/>
    <w:rsid w:val="00170E5C"/>
    <w:rsid w:val="00175944"/>
    <w:rsid w:val="00177432"/>
    <w:rsid w:val="00177972"/>
    <w:rsid w:val="00182124"/>
    <w:rsid w:val="00183677"/>
    <w:rsid w:val="00187CB4"/>
    <w:rsid w:val="001901E4"/>
    <w:rsid w:val="00191628"/>
    <w:rsid w:val="00191BE1"/>
    <w:rsid w:val="0019244D"/>
    <w:rsid w:val="001931FC"/>
    <w:rsid w:val="0019397E"/>
    <w:rsid w:val="001953A7"/>
    <w:rsid w:val="001A7C48"/>
    <w:rsid w:val="001B2697"/>
    <w:rsid w:val="001B350B"/>
    <w:rsid w:val="001B3BCB"/>
    <w:rsid w:val="001B437C"/>
    <w:rsid w:val="001B5070"/>
    <w:rsid w:val="001B59F5"/>
    <w:rsid w:val="001C13AB"/>
    <w:rsid w:val="001C3E02"/>
    <w:rsid w:val="001C40B1"/>
    <w:rsid w:val="001C4379"/>
    <w:rsid w:val="001C5870"/>
    <w:rsid w:val="001C5974"/>
    <w:rsid w:val="001C7077"/>
    <w:rsid w:val="001D658A"/>
    <w:rsid w:val="001E1879"/>
    <w:rsid w:val="001E54BF"/>
    <w:rsid w:val="001E770A"/>
    <w:rsid w:val="001F396A"/>
    <w:rsid w:val="001F3B93"/>
    <w:rsid w:val="001F41C1"/>
    <w:rsid w:val="00203887"/>
    <w:rsid w:val="00207F34"/>
    <w:rsid w:val="00210030"/>
    <w:rsid w:val="002167AF"/>
    <w:rsid w:val="00216A09"/>
    <w:rsid w:val="00222106"/>
    <w:rsid w:val="00223D73"/>
    <w:rsid w:val="00227E3F"/>
    <w:rsid w:val="002302CC"/>
    <w:rsid w:val="0023049F"/>
    <w:rsid w:val="002314AC"/>
    <w:rsid w:val="00232B82"/>
    <w:rsid w:val="00233E9D"/>
    <w:rsid w:val="002342C5"/>
    <w:rsid w:val="00235159"/>
    <w:rsid w:val="002365AE"/>
    <w:rsid w:val="00236EB9"/>
    <w:rsid w:val="00237715"/>
    <w:rsid w:val="002413A9"/>
    <w:rsid w:val="00241D38"/>
    <w:rsid w:val="00247483"/>
    <w:rsid w:val="00251467"/>
    <w:rsid w:val="0025425C"/>
    <w:rsid w:val="00254749"/>
    <w:rsid w:val="00254F7D"/>
    <w:rsid w:val="00257C0F"/>
    <w:rsid w:val="002608F6"/>
    <w:rsid w:val="0026335B"/>
    <w:rsid w:val="00263DB5"/>
    <w:rsid w:val="002651CE"/>
    <w:rsid w:val="002700F3"/>
    <w:rsid w:val="00271D0C"/>
    <w:rsid w:val="00273360"/>
    <w:rsid w:val="00275F68"/>
    <w:rsid w:val="002773C2"/>
    <w:rsid w:val="00285BAE"/>
    <w:rsid w:val="002A103C"/>
    <w:rsid w:val="002A208F"/>
    <w:rsid w:val="002A2645"/>
    <w:rsid w:val="002A3697"/>
    <w:rsid w:val="002A5F18"/>
    <w:rsid w:val="002B028C"/>
    <w:rsid w:val="002B2A1C"/>
    <w:rsid w:val="002B2CAC"/>
    <w:rsid w:val="002B3148"/>
    <w:rsid w:val="002B349D"/>
    <w:rsid w:val="002B3563"/>
    <w:rsid w:val="002B3A92"/>
    <w:rsid w:val="002B75F0"/>
    <w:rsid w:val="002C001C"/>
    <w:rsid w:val="002C196F"/>
    <w:rsid w:val="002C2EFC"/>
    <w:rsid w:val="002C33D4"/>
    <w:rsid w:val="002C3D94"/>
    <w:rsid w:val="002C4A30"/>
    <w:rsid w:val="002C4EE9"/>
    <w:rsid w:val="002C646F"/>
    <w:rsid w:val="002D13EC"/>
    <w:rsid w:val="002D18AD"/>
    <w:rsid w:val="002D3890"/>
    <w:rsid w:val="002D5276"/>
    <w:rsid w:val="002E02CD"/>
    <w:rsid w:val="002E1250"/>
    <w:rsid w:val="002E2048"/>
    <w:rsid w:val="002E2617"/>
    <w:rsid w:val="002E5A37"/>
    <w:rsid w:val="002E64EA"/>
    <w:rsid w:val="002F1B05"/>
    <w:rsid w:val="002F1CC1"/>
    <w:rsid w:val="002F25EA"/>
    <w:rsid w:val="002F325F"/>
    <w:rsid w:val="002F3DFD"/>
    <w:rsid w:val="002F47F9"/>
    <w:rsid w:val="002F595C"/>
    <w:rsid w:val="002F63CA"/>
    <w:rsid w:val="003014B5"/>
    <w:rsid w:val="00302837"/>
    <w:rsid w:val="00304DFD"/>
    <w:rsid w:val="00307610"/>
    <w:rsid w:val="00310B64"/>
    <w:rsid w:val="00310C75"/>
    <w:rsid w:val="00312B1E"/>
    <w:rsid w:val="00313E25"/>
    <w:rsid w:val="00314031"/>
    <w:rsid w:val="003207E6"/>
    <w:rsid w:val="00325112"/>
    <w:rsid w:val="00325A67"/>
    <w:rsid w:val="00327BBF"/>
    <w:rsid w:val="003324F9"/>
    <w:rsid w:val="0033643A"/>
    <w:rsid w:val="003369B2"/>
    <w:rsid w:val="00336B0A"/>
    <w:rsid w:val="00337B41"/>
    <w:rsid w:val="00340C5A"/>
    <w:rsid w:val="00343D85"/>
    <w:rsid w:val="003459BC"/>
    <w:rsid w:val="00352BAF"/>
    <w:rsid w:val="00355403"/>
    <w:rsid w:val="003564C2"/>
    <w:rsid w:val="00357DA7"/>
    <w:rsid w:val="00361779"/>
    <w:rsid w:val="00365733"/>
    <w:rsid w:val="00365DAF"/>
    <w:rsid w:val="0036743B"/>
    <w:rsid w:val="00367E26"/>
    <w:rsid w:val="00370A75"/>
    <w:rsid w:val="0037115D"/>
    <w:rsid w:val="00371470"/>
    <w:rsid w:val="00373A8B"/>
    <w:rsid w:val="00373C3A"/>
    <w:rsid w:val="0037454B"/>
    <w:rsid w:val="00374FAB"/>
    <w:rsid w:val="00375E5A"/>
    <w:rsid w:val="00375F3B"/>
    <w:rsid w:val="00376B4A"/>
    <w:rsid w:val="00377864"/>
    <w:rsid w:val="00380D5E"/>
    <w:rsid w:val="00380DAD"/>
    <w:rsid w:val="0038131A"/>
    <w:rsid w:val="00383245"/>
    <w:rsid w:val="00393B22"/>
    <w:rsid w:val="00394A1F"/>
    <w:rsid w:val="003967B7"/>
    <w:rsid w:val="003A0EF5"/>
    <w:rsid w:val="003A0FE6"/>
    <w:rsid w:val="003A11B6"/>
    <w:rsid w:val="003A2980"/>
    <w:rsid w:val="003A4966"/>
    <w:rsid w:val="003A6BA8"/>
    <w:rsid w:val="003A705A"/>
    <w:rsid w:val="003B0545"/>
    <w:rsid w:val="003B102A"/>
    <w:rsid w:val="003B23E1"/>
    <w:rsid w:val="003B2463"/>
    <w:rsid w:val="003B26CD"/>
    <w:rsid w:val="003B5F6E"/>
    <w:rsid w:val="003B6B18"/>
    <w:rsid w:val="003C0D62"/>
    <w:rsid w:val="003C52A4"/>
    <w:rsid w:val="003C5546"/>
    <w:rsid w:val="003C7525"/>
    <w:rsid w:val="003D093C"/>
    <w:rsid w:val="003D0A2A"/>
    <w:rsid w:val="003D1805"/>
    <w:rsid w:val="003D1E0B"/>
    <w:rsid w:val="003D1EF4"/>
    <w:rsid w:val="003D456F"/>
    <w:rsid w:val="003D5761"/>
    <w:rsid w:val="003D5C8C"/>
    <w:rsid w:val="003D6237"/>
    <w:rsid w:val="003D7E7D"/>
    <w:rsid w:val="003E0497"/>
    <w:rsid w:val="003E315D"/>
    <w:rsid w:val="003E4C67"/>
    <w:rsid w:val="003E76C5"/>
    <w:rsid w:val="003E7797"/>
    <w:rsid w:val="003F0EE6"/>
    <w:rsid w:val="003F2357"/>
    <w:rsid w:val="003F295A"/>
    <w:rsid w:val="003F3C03"/>
    <w:rsid w:val="003F4BEE"/>
    <w:rsid w:val="003F611B"/>
    <w:rsid w:val="003F700A"/>
    <w:rsid w:val="0040021F"/>
    <w:rsid w:val="00400878"/>
    <w:rsid w:val="004015D0"/>
    <w:rsid w:val="00403388"/>
    <w:rsid w:val="00403640"/>
    <w:rsid w:val="004050BA"/>
    <w:rsid w:val="00405F45"/>
    <w:rsid w:val="0040600B"/>
    <w:rsid w:val="00411310"/>
    <w:rsid w:val="00412097"/>
    <w:rsid w:val="00416D02"/>
    <w:rsid w:val="00417CCD"/>
    <w:rsid w:val="00422591"/>
    <w:rsid w:val="00424032"/>
    <w:rsid w:val="00424EDE"/>
    <w:rsid w:val="00426545"/>
    <w:rsid w:val="00426D28"/>
    <w:rsid w:val="00432639"/>
    <w:rsid w:val="00432861"/>
    <w:rsid w:val="00433E01"/>
    <w:rsid w:val="00447320"/>
    <w:rsid w:val="00450453"/>
    <w:rsid w:val="004524CB"/>
    <w:rsid w:val="004540B8"/>
    <w:rsid w:val="00457C3E"/>
    <w:rsid w:val="00464CD3"/>
    <w:rsid w:val="00470975"/>
    <w:rsid w:val="00471B12"/>
    <w:rsid w:val="00474871"/>
    <w:rsid w:val="0047560E"/>
    <w:rsid w:val="0047562B"/>
    <w:rsid w:val="0048060D"/>
    <w:rsid w:val="00481751"/>
    <w:rsid w:val="00481AED"/>
    <w:rsid w:val="00484A32"/>
    <w:rsid w:val="00485008"/>
    <w:rsid w:val="00485CD2"/>
    <w:rsid w:val="00487717"/>
    <w:rsid w:val="00487C8C"/>
    <w:rsid w:val="004914E0"/>
    <w:rsid w:val="004917C9"/>
    <w:rsid w:val="00495C25"/>
    <w:rsid w:val="004970BC"/>
    <w:rsid w:val="00497D2E"/>
    <w:rsid w:val="004A02B5"/>
    <w:rsid w:val="004A0956"/>
    <w:rsid w:val="004A476A"/>
    <w:rsid w:val="004A6BE0"/>
    <w:rsid w:val="004A7DF2"/>
    <w:rsid w:val="004B00CC"/>
    <w:rsid w:val="004B6496"/>
    <w:rsid w:val="004B6CFB"/>
    <w:rsid w:val="004C40BB"/>
    <w:rsid w:val="004D16AA"/>
    <w:rsid w:val="004D4516"/>
    <w:rsid w:val="004D4B49"/>
    <w:rsid w:val="004E0E3A"/>
    <w:rsid w:val="004E14F3"/>
    <w:rsid w:val="004E53E5"/>
    <w:rsid w:val="004E5E42"/>
    <w:rsid w:val="004F2096"/>
    <w:rsid w:val="004F4022"/>
    <w:rsid w:val="004F7188"/>
    <w:rsid w:val="0050323B"/>
    <w:rsid w:val="00505A85"/>
    <w:rsid w:val="00512504"/>
    <w:rsid w:val="00513387"/>
    <w:rsid w:val="00514BFD"/>
    <w:rsid w:val="00514E93"/>
    <w:rsid w:val="005161EC"/>
    <w:rsid w:val="00516B41"/>
    <w:rsid w:val="00521386"/>
    <w:rsid w:val="00521573"/>
    <w:rsid w:val="00530DEB"/>
    <w:rsid w:val="00534287"/>
    <w:rsid w:val="0054009B"/>
    <w:rsid w:val="0054544B"/>
    <w:rsid w:val="0054702E"/>
    <w:rsid w:val="00547E62"/>
    <w:rsid w:val="00555381"/>
    <w:rsid w:val="00555634"/>
    <w:rsid w:val="005573E1"/>
    <w:rsid w:val="005615FE"/>
    <w:rsid w:val="005632CC"/>
    <w:rsid w:val="00566ADE"/>
    <w:rsid w:val="005675E9"/>
    <w:rsid w:val="00570714"/>
    <w:rsid w:val="0057156D"/>
    <w:rsid w:val="005721D0"/>
    <w:rsid w:val="0057679D"/>
    <w:rsid w:val="0057730F"/>
    <w:rsid w:val="005812E9"/>
    <w:rsid w:val="005815B4"/>
    <w:rsid w:val="00582A8D"/>
    <w:rsid w:val="00582C85"/>
    <w:rsid w:val="005838FB"/>
    <w:rsid w:val="00585567"/>
    <w:rsid w:val="0058575B"/>
    <w:rsid w:val="00586368"/>
    <w:rsid w:val="00590413"/>
    <w:rsid w:val="00590AFC"/>
    <w:rsid w:val="00592394"/>
    <w:rsid w:val="00594426"/>
    <w:rsid w:val="005A06E3"/>
    <w:rsid w:val="005A530A"/>
    <w:rsid w:val="005A6022"/>
    <w:rsid w:val="005B0468"/>
    <w:rsid w:val="005B103D"/>
    <w:rsid w:val="005B1ABC"/>
    <w:rsid w:val="005B4076"/>
    <w:rsid w:val="005B7166"/>
    <w:rsid w:val="005B7ACD"/>
    <w:rsid w:val="005C583F"/>
    <w:rsid w:val="005C5B8B"/>
    <w:rsid w:val="005C709F"/>
    <w:rsid w:val="005D18FA"/>
    <w:rsid w:val="005D1C05"/>
    <w:rsid w:val="005D3557"/>
    <w:rsid w:val="005D3791"/>
    <w:rsid w:val="005D46A3"/>
    <w:rsid w:val="005D6EA9"/>
    <w:rsid w:val="005E10C4"/>
    <w:rsid w:val="005E49C9"/>
    <w:rsid w:val="005E5FBA"/>
    <w:rsid w:val="005F0D69"/>
    <w:rsid w:val="005F2F9B"/>
    <w:rsid w:val="005F5008"/>
    <w:rsid w:val="005F54AB"/>
    <w:rsid w:val="005F6571"/>
    <w:rsid w:val="005F7512"/>
    <w:rsid w:val="005F7513"/>
    <w:rsid w:val="00600093"/>
    <w:rsid w:val="006010E7"/>
    <w:rsid w:val="00605474"/>
    <w:rsid w:val="006054A6"/>
    <w:rsid w:val="00606BAA"/>
    <w:rsid w:val="00610360"/>
    <w:rsid w:val="00615226"/>
    <w:rsid w:val="00615E2D"/>
    <w:rsid w:val="00616314"/>
    <w:rsid w:val="0062014F"/>
    <w:rsid w:val="006202A3"/>
    <w:rsid w:val="00622205"/>
    <w:rsid w:val="006237C0"/>
    <w:rsid w:val="00623D98"/>
    <w:rsid w:val="006306F9"/>
    <w:rsid w:val="0063274C"/>
    <w:rsid w:val="00634005"/>
    <w:rsid w:val="00634405"/>
    <w:rsid w:val="00635D36"/>
    <w:rsid w:val="006435AC"/>
    <w:rsid w:val="0064439E"/>
    <w:rsid w:val="00645D86"/>
    <w:rsid w:val="00646621"/>
    <w:rsid w:val="00646DF0"/>
    <w:rsid w:val="006474B4"/>
    <w:rsid w:val="00647E77"/>
    <w:rsid w:val="006518C0"/>
    <w:rsid w:val="00653220"/>
    <w:rsid w:val="00656316"/>
    <w:rsid w:val="00660F6A"/>
    <w:rsid w:val="00662107"/>
    <w:rsid w:val="006664E5"/>
    <w:rsid w:val="00670539"/>
    <w:rsid w:val="006773E5"/>
    <w:rsid w:val="0068115A"/>
    <w:rsid w:val="00682328"/>
    <w:rsid w:val="00682CD6"/>
    <w:rsid w:val="0068317F"/>
    <w:rsid w:val="00685559"/>
    <w:rsid w:val="00691391"/>
    <w:rsid w:val="006930DF"/>
    <w:rsid w:val="006947D9"/>
    <w:rsid w:val="00695196"/>
    <w:rsid w:val="00695446"/>
    <w:rsid w:val="00695EDC"/>
    <w:rsid w:val="006A0615"/>
    <w:rsid w:val="006A5E47"/>
    <w:rsid w:val="006B0040"/>
    <w:rsid w:val="006B07E4"/>
    <w:rsid w:val="006B13D1"/>
    <w:rsid w:val="006B1659"/>
    <w:rsid w:val="006B584C"/>
    <w:rsid w:val="006B7A60"/>
    <w:rsid w:val="006B7AC6"/>
    <w:rsid w:val="006C186E"/>
    <w:rsid w:val="006C3ADC"/>
    <w:rsid w:val="006C5214"/>
    <w:rsid w:val="006C7013"/>
    <w:rsid w:val="006D0184"/>
    <w:rsid w:val="006D0847"/>
    <w:rsid w:val="006D1FD7"/>
    <w:rsid w:val="006D39FA"/>
    <w:rsid w:val="006D752E"/>
    <w:rsid w:val="006D78D2"/>
    <w:rsid w:val="006E53E9"/>
    <w:rsid w:val="006E778D"/>
    <w:rsid w:val="006F0C85"/>
    <w:rsid w:val="006F4316"/>
    <w:rsid w:val="007009C2"/>
    <w:rsid w:val="0070548A"/>
    <w:rsid w:val="0070678B"/>
    <w:rsid w:val="0070759E"/>
    <w:rsid w:val="00711039"/>
    <w:rsid w:val="00711D9C"/>
    <w:rsid w:val="0071701E"/>
    <w:rsid w:val="0072102D"/>
    <w:rsid w:val="007232A8"/>
    <w:rsid w:val="00724F19"/>
    <w:rsid w:val="00726C93"/>
    <w:rsid w:val="00727B7A"/>
    <w:rsid w:val="007343E1"/>
    <w:rsid w:val="007353D6"/>
    <w:rsid w:val="00736506"/>
    <w:rsid w:val="007373A6"/>
    <w:rsid w:val="00737716"/>
    <w:rsid w:val="007407CD"/>
    <w:rsid w:val="00741811"/>
    <w:rsid w:val="0074402A"/>
    <w:rsid w:val="00744B16"/>
    <w:rsid w:val="007470A4"/>
    <w:rsid w:val="00747B83"/>
    <w:rsid w:val="007513A1"/>
    <w:rsid w:val="00753DA8"/>
    <w:rsid w:val="007574AE"/>
    <w:rsid w:val="00760535"/>
    <w:rsid w:val="00760B0D"/>
    <w:rsid w:val="00767167"/>
    <w:rsid w:val="007703C0"/>
    <w:rsid w:val="007709B1"/>
    <w:rsid w:val="007719C0"/>
    <w:rsid w:val="00771BA7"/>
    <w:rsid w:val="00772E0E"/>
    <w:rsid w:val="00774B9D"/>
    <w:rsid w:val="00775580"/>
    <w:rsid w:val="00777533"/>
    <w:rsid w:val="0077762F"/>
    <w:rsid w:val="007803E1"/>
    <w:rsid w:val="007835E8"/>
    <w:rsid w:val="00783D58"/>
    <w:rsid w:val="00784616"/>
    <w:rsid w:val="00786117"/>
    <w:rsid w:val="007868D9"/>
    <w:rsid w:val="00796643"/>
    <w:rsid w:val="007A0E9A"/>
    <w:rsid w:val="007A3242"/>
    <w:rsid w:val="007A3BF8"/>
    <w:rsid w:val="007A49AA"/>
    <w:rsid w:val="007B01CA"/>
    <w:rsid w:val="007B1B44"/>
    <w:rsid w:val="007B3A8E"/>
    <w:rsid w:val="007B3FCF"/>
    <w:rsid w:val="007B4144"/>
    <w:rsid w:val="007B44F9"/>
    <w:rsid w:val="007B480D"/>
    <w:rsid w:val="007B7876"/>
    <w:rsid w:val="007C2EBF"/>
    <w:rsid w:val="007C30C6"/>
    <w:rsid w:val="007C591F"/>
    <w:rsid w:val="007C5D06"/>
    <w:rsid w:val="007D41D5"/>
    <w:rsid w:val="007D648D"/>
    <w:rsid w:val="007D76F5"/>
    <w:rsid w:val="007E00BF"/>
    <w:rsid w:val="007E6333"/>
    <w:rsid w:val="007E6CD5"/>
    <w:rsid w:val="007E6F1C"/>
    <w:rsid w:val="007E7C0E"/>
    <w:rsid w:val="007F1951"/>
    <w:rsid w:val="007F2748"/>
    <w:rsid w:val="007F525B"/>
    <w:rsid w:val="007F5327"/>
    <w:rsid w:val="007F6E01"/>
    <w:rsid w:val="008021E7"/>
    <w:rsid w:val="0080468E"/>
    <w:rsid w:val="008046BF"/>
    <w:rsid w:val="0080565C"/>
    <w:rsid w:val="008127A0"/>
    <w:rsid w:val="0081339A"/>
    <w:rsid w:val="00813CC1"/>
    <w:rsid w:val="00814116"/>
    <w:rsid w:val="00815B1A"/>
    <w:rsid w:val="008204AD"/>
    <w:rsid w:val="00820A23"/>
    <w:rsid w:val="008234FD"/>
    <w:rsid w:val="0082495A"/>
    <w:rsid w:val="00826E54"/>
    <w:rsid w:val="008313A0"/>
    <w:rsid w:val="00835512"/>
    <w:rsid w:val="008360B2"/>
    <w:rsid w:val="00841C0F"/>
    <w:rsid w:val="00842D1D"/>
    <w:rsid w:val="00843EB3"/>
    <w:rsid w:val="00844581"/>
    <w:rsid w:val="00847437"/>
    <w:rsid w:val="008505D9"/>
    <w:rsid w:val="00850C26"/>
    <w:rsid w:val="00853BAF"/>
    <w:rsid w:val="00860241"/>
    <w:rsid w:val="008606D1"/>
    <w:rsid w:val="00861DEC"/>
    <w:rsid w:val="00863C7C"/>
    <w:rsid w:val="00864BF2"/>
    <w:rsid w:val="008665C2"/>
    <w:rsid w:val="00871208"/>
    <w:rsid w:val="00871BFE"/>
    <w:rsid w:val="00874239"/>
    <w:rsid w:val="008761A6"/>
    <w:rsid w:val="00876C1C"/>
    <w:rsid w:val="00877EB3"/>
    <w:rsid w:val="008807F5"/>
    <w:rsid w:val="00882351"/>
    <w:rsid w:val="00884816"/>
    <w:rsid w:val="00885546"/>
    <w:rsid w:val="00887DB7"/>
    <w:rsid w:val="0089644F"/>
    <w:rsid w:val="008972F9"/>
    <w:rsid w:val="008976EB"/>
    <w:rsid w:val="008A019C"/>
    <w:rsid w:val="008A11DC"/>
    <w:rsid w:val="008A18F7"/>
    <w:rsid w:val="008A2BE6"/>
    <w:rsid w:val="008A4865"/>
    <w:rsid w:val="008B35BA"/>
    <w:rsid w:val="008B3835"/>
    <w:rsid w:val="008B6B4C"/>
    <w:rsid w:val="008C170F"/>
    <w:rsid w:val="008C2881"/>
    <w:rsid w:val="008C4189"/>
    <w:rsid w:val="008C75E5"/>
    <w:rsid w:val="008D2596"/>
    <w:rsid w:val="008D2795"/>
    <w:rsid w:val="008D51BC"/>
    <w:rsid w:val="008D5530"/>
    <w:rsid w:val="008E008E"/>
    <w:rsid w:val="008E18C2"/>
    <w:rsid w:val="008E22B4"/>
    <w:rsid w:val="008E2DE7"/>
    <w:rsid w:val="008E3F33"/>
    <w:rsid w:val="008E49B0"/>
    <w:rsid w:val="008F2F53"/>
    <w:rsid w:val="008F33AF"/>
    <w:rsid w:val="008F4031"/>
    <w:rsid w:val="008F4385"/>
    <w:rsid w:val="008F5070"/>
    <w:rsid w:val="00900FB9"/>
    <w:rsid w:val="009010D4"/>
    <w:rsid w:val="009017E2"/>
    <w:rsid w:val="00901E1C"/>
    <w:rsid w:val="00905C6E"/>
    <w:rsid w:val="00906448"/>
    <w:rsid w:val="00906911"/>
    <w:rsid w:val="00910AB8"/>
    <w:rsid w:val="00913117"/>
    <w:rsid w:val="009132EA"/>
    <w:rsid w:val="00920084"/>
    <w:rsid w:val="0092236E"/>
    <w:rsid w:val="00922AF6"/>
    <w:rsid w:val="00925AB1"/>
    <w:rsid w:val="009264DF"/>
    <w:rsid w:val="009319DD"/>
    <w:rsid w:val="00933256"/>
    <w:rsid w:val="0093376F"/>
    <w:rsid w:val="00935419"/>
    <w:rsid w:val="0094013A"/>
    <w:rsid w:val="00941E69"/>
    <w:rsid w:val="00942B7E"/>
    <w:rsid w:val="00946FF4"/>
    <w:rsid w:val="009531E8"/>
    <w:rsid w:val="00955386"/>
    <w:rsid w:val="009556A0"/>
    <w:rsid w:val="009579D5"/>
    <w:rsid w:val="009601D8"/>
    <w:rsid w:val="0096033E"/>
    <w:rsid w:val="00961E5C"/>
    <w:rsid w:val="0096344D"/>
    <w:rsid w:val="0096395E"/>
    <w:rsid w:val="00964488"/>
    <w:rsid w:val="0096464C"/>
    <w:rsid w:val="009651A6"/>
    <w:rsid w:val="0096721A"/>
    <w:rsid w:val="0096723A"/>
    <w:rsid w:val="009676F7"/>
    <w:rsid w:val="009715C7"/>
    <w:rsid w:val="00972302"/>
    <w:rsid w:val="00976E26"/>
    <w:rsid w:val="0097777E"/>
    <w:rsid w:val="00981AE0"/>
    <w:rsid w:val="00982AF2"/>
    <w:rsid w:val="00984852"/>
    <w:rsid w:val="009871AE"/>
    <w:rsid w:val="009902C3"/>
    <w:rsid w:val="0099093E"/>
    <w:rsid w:val="00991323"/>
    <w:rsid w:val="00991489"/>
    <w:rsid w:val="009A1449"/>
    <w:rsid w:val="009A74F6"/>
    <w:rsid w:val="009B1471"/>
    <w:rsid w:val="009B2E2C"/>
    <w:rsid w:val="009B37F2"/>
    <w:rsid w:val="009B480D"/>
    <w:rsid w:val="009B65FC"/>
    <w:rsid w:val="009C0A43"/>
    <w:rsid w:val="009C1816"/>
    <w:rsid w:val="009C33C5"/>
    <w:rsid w:val="009C50A5"/>
    <w:rsid w:val="009C5839"/>
    <w:rsid w:val="009C760F"/>
    <w:rsid w:val="009D23AA"/>
    <w:rsid w:val="009D293C"/>
    <w:rsid w:val="009D5A81"/>
    <w:rsid w:val="009D60D4"/>
    <w:rsid w:val="009D65E9"/>
    <w:rsid w:val="009E1D36"/>
    <w:rsid w:val="009E28C7"/>
    <w:rsid w:val="009E646F"/>
    <w:rsid w:val="009E7F84"/>
    <w:rsid w:val="009F1B41"/>
    <w:rsid w:val="009F32A7"/>
    <w:rsid w:val="009F45DE"/>
    <w:rsid w:val="009F5AD8"/>
    <w:rsid w:val="00A03C59"/>
    <w:rsid w:val="00A06361"/>
    <w:rsid w:val="00A07B9E"/>
    <w:rsid w:val="00A1072E"/>
    <w:rsid w:val="00A11B5C"/>
    <w:rsid w:val="00A14E77"/>
    <w:rsid w:val="00A15685"/>
    <w:rsid w:val="00A16B8C"/>
    <w:rsid w:val="00A21546"/>
    <w:rsid w:val="00A21C86"/>
    <w:rsid w:val="00A22953"/>
    <w:rsid w:val="00A24894"/>
    <w:rsid w:val="00A2656F"/>
    <w:rsid w:val="00A35E3E"/>
    <w:rsid w:val="00A37C83"/>
    <w:rsid w:val="00A433CA"/>
    <w:rsid w:val="00A443A3"/>
    <w:rsid w:val="00A44788"/>
    <w:rsid w:val="00A45195"/>
    <w:rsid w:val="00A4563C"/>
    <w:rsid w:val="00A46642"/>
    <w:rsid w:val="00A478EB"/>
    <w:rsid w:val="00A47C50"/>
    <w:rsid w:val="00A51C46"/>
    <w:rsid w:val="00A526B7"/>
    <w:rsid w:val="00A52775"/>
    <w:rsid w:val="00A540B4"/>
    <w:rsid w:val="00A60B2E"/>
    <w:rsid w:val="00A60B73"/>
    <w:rsid w:val="00A62302"/>
    <w:rsid w:val="00A626CB"/>
    <w:rsid w:val="00A64C09"/>
    <w:rsid w:val="00A6508A"/>
    <w:rsid w:val="00A6686F"/>
    <w:rsid w:val="00A670A5"/>
    <w:rsid w:val="00A70631"/>
    <w:rsid w:val="00A7133E"/>
    <w:rsid w:val="00A730D1"/>
    <w:rsid w:val="00A75368"/>
    <w:rsid w:val="00A7615F"/>
    <w:rsid w:val="00A76501"/>
    <w:rsid w:val="00A77CB3"/>
    <w:rsid w:val="00A8043A"/>
    <w:rsid w:val="00A80929"/>
    <w:rsid w:val="00A83496"/>
    <w:rsid w:val="00A83B59"/>
    <w:rsid w:val="00A83F6D"/>
    <w:rsid w:val="00A85ECC"/>
    <w:rsid w:val="00A93381"/>
    <w:rsid w:val="00A945E8"/>
    <w:rsid w:val="00A94D8C"/>
    <w:rsid w:val="00A971E3"/>
    <w:rsid w:val="00AA004E"/>
    <w:rsid w:val="00AA601A"/>
    <w:rsid w:val="00AB2691"/>
    <w:rsid w:val="00AB26CC"/>
    <w:rsid w:val="00AB49E4"/>
    <w:rsid w:val="00AB4C4C"/>
    <w:rsid w:val="00AB6753"/>
    <w:rsid w:val="00AC0F0C"/>
    <w:rsid w:val="00AC124C"/>
    <w:rsid w:val="00AC2BB5"/>
    <w:rsid w:val="00AC75F2"/>
    <w:rsid w:val="00AD10B1"/>
    <w:rsid w:val="00AD1497"/>
    <w:rsid w:val="00AD36AD"/>
    <w:rsid w:val="00AD4D31"/>
    <w:rsid w:val="00AD7CAC"/>
    <w:rsid w:val="00AE21AD"/>
    <w:rsid w:val="00AE2C8E"/>
    <w:rsid w:val="00AE5397"/>
    <w:rsid w:val="00AE554A"/>
    <w:rsid w:val="00AE6DE9"/>
    <w:rsid w:val="00AE79DB"/>
    <w:rsid w:val="00AF68CD"/>
    <w:rsid w:val="00B040E4"/>
    <w:rsid w:val="00B046B0"/>
    <w:rsid w:val="00B06779"/>
    <w:rsid w:val="00B0797D"/>
    <w:rsid w:val="00B1348D"/>
    <w:rsid w:val="00B1379B"/>
    <w:rsid w:val="00B203CB"/>
    <w:rsid w:val="00B20C96"/>
    <w:rsid w:val="00B242AD"/>
    <w:rsid w:val="00B257C0"/>
    <w:rsid w:val="00B275B3"/>
    <w:rsid w:val="00B35A6E"/>
    <w:rsid w:val="00B367C2"/>
    <w:rsid w:val="00B41856"/>
    <w:rsid w:val="00B435B0"/>
    <w:rsid w:val="00B45919"/>
    <w:rsid w:val="00B46A2F"/>
    <w:rsid w:val="00B4769C"/>
    <w:rsid w:val="00B505AE"/>
    <w:rsid w:val="00B5492B"/>
    <w:rsid w:val="00B57807"/>
    <w:rsid w:val="00B625E7"/>
    <w:rsid w:val="00B62FBE"/>
    <w:rsid w:val="00B63E40"/>
    <w:rsid w:val="00B64C0F"/>
    <w:rsid w:val="00B662A5"/>
    <w:rsid w:val="00B6748A"/>
    <w:rsid w:val="00B77A06"/>
    <w:rsid w:val="00B80A02"/>
    <w:rsid w:val="00B80F12"/>
    <w:rsid w:val="00B82BA7"/>
    <w:rsid w:val="00B839E8"/>
    <w:rsid w:val="00B84AF7"/>
    <w:rsid w:val="00B854B3"/>
    <w:rsid w:val="00B85CCF"/>
    <w:rsid w:val="00B90BEE"/>
    <w:rsid w:val="00B90C04"/>
    <w:rsid w:val="00B94094"/>
    <w:rsid w:val="00B961A0"/>
    <w:rsid w:val="00B96E0B"/>
    <w:rsid w:val="00B97E46"/>
    <w:rsid w:val="00BA0596"/>
    <w:rsid w:val="00BA0959"/>
    <w:rsid w:val="00BA2505"/>
    <w:rsid w:val="00BA2FAC"/>
    <w:rsid w:val="00BA7307"/>
    <w:rsid w:val="00BB1B41"/>
    <w:rsid w:val="00BC1D74"/>
    <w:rsid w:val="00BC282D"/>
    <w:rsid w:val="00BC5EE2"/>
    <w:rsid w:val="00BC7E2C"/>
    <w:rsid w:val="00BD17E3"/>
    <w:rsid w:val="00BD50B3"/>
    <w:rsid w:val="00BD56D7"/>
    <w:rsid w:val="00BD603F"/>
    <w:rsid w:val="00BD606E"/>
    <w:rsid w:val="00BE097B"/>
    <w:rsid w:val="00BE50B9"/>
    <w:rsid w:val="00BF0861"/>
    <w:rsid w:val="00BF0A11"/>
    <w:rsid w:val="00BF282D"/>
    <w:rsid w:val="00BF2917"/>
    <w:rsid w:val="00BF3B73"/>
    <w:rsid w:val="00BF635E"/>
    <w:rsid w:val="00BF7C4D"/>
    <w:rsid w:val="00C000FC"/>
    <w:rsid w:val="00C03514"/>
    <w:rsid w:val="00C03B43"/>
    <w:rsid w:val="00C04627"/>
    <w:rsid w:val="00C0462B"/>
    <w:rsid w:val="00C05E2B"/>
    <w:rsid w:val="00C06780"/>
    <w:rsid w:val="00C1433B"/>
    <w:rsid w:val="00C14FCA"/>
    <w:rsid w:val="00C17544"/>
    <w:rsid w:val="00C207A7"/>
    <w:rsid w:val="00C215F3"/>
    <w:rsid w:val="00C24504"/>
    <w:rsid w:val="00C24BD6"/>
    <w:rsid w:val="00C26745"/>
    <w:rsid w:val="00C366CF"/>
    <w:rsid w:val="00C37E13"/>
    <w:rsid w:val="00C417F2"/>
    <w:rsid w:val="00C41B10"/>
    <w:rsid w:val="00C44286"/>
    <w:rsid w:val="00C4457A"/>
    <w:rsid w:val="00C44838"/>
    <w:rsid w:val="00C51F88"/>
    <w:rsid w:val="00C5511F"/>
    <w:rsid w:val="00C55DA9"/>
    <w:rsid w:val="00C573B9"/>
    <w:rsid w:val="00C60B9C"/>
    <w:rsid w:val="00C61035"/>
    <w:rsid w:val="00C646CA"/>
    <w:rsid w:val="00C648C4"/>
    <w:rsid w:val="00C668F7"/>
    <w:rsid w:val="00C67C16"/>
    <w:rsid w:val="00C7304D"/>
    <w:rsid w:val="00C739A6"/>
    <w:rsid w:val="00C73D6A"/>
    <w:rsid w:val="00C747A5"/>
    <w:rsid w:val="00C75D32"/>
    <w:rsid w:val="00C76368"/>
    <w:rsid w:val="00C807A3"/>
    <w:rsid w:val="00C80892"/>
    <w:rsid w:val="00C82AB9"/>
    <w:rsid w:val="00C83056"/>
    <w:rsid w:val="00C83176"/>
    <w:rsid w:val="00C842F9"/>
    <w:rsid w:val="00C87185"/>
    <w:rsid w:val="00C90AC9"/>
    <w:rsid w:val="00C9486F"/>
    <w:rsid w:val="00C976C8"/>
    <w:rsid w:val="00CA5670"/>
    <w:rsid w:val="00CA6D3F"/>
    <w:rsid w:val="00CA6E35"/>
    <w:rsid w:val="00CA6E7E"/>
    <w:rsid w:val="00CB1ADA"/>
    <w:rsid w:val="00CB2595"/>
    <w:rsid w:val="00CB394A"/>
    <w:rsid w:val="00CC01A4"/>
    <w:rsid w:val="00CC0943"/>
    <w:rsid w:val="00CC2D96"/>
    <w:rsid w:val="00CC33DC"/>
    <w:rsid w:val="00CC432B"/>
    <w:rsid w:val="00CC4B9C"/>
    <w:rsid w:val="00CD63F8"/>
    <w:rsid w:val="00CD6CED"/>
    <w:rsid w:val="00CD756F"/>
    <w:rsid w:val="00CE347F"/>
    <w:rsid w:val="00CE56D5"/>
    <w:rsid w:val="00CE56F1"/>
    <w:rsid w:val="00CE58B9"/>
    <w:rsid w:val="00CE640D"/>
    <w:rsid w:val="00CF002C"/>
    <w:rsid w:val="00CF4DC6"/>
    <w:rsid w:val="00CF75F1"/>
    <w:rsid w:val="00CF7FF5"/>
    <w:rsid w:val="00D00441"/>
    <w:rsid w:val="00D0095B"/>
    <w:rsid w:val="00D01EBF"/>
    <w:rsid w:val="00D0230D"/>
    <w:rsid w:val="00D0440F"/>
    <w:rsid w:val="00D07222"/>
    <w:rsid w:val="00D07263"/>
    <w:rsid w:val="00D07CBD"/>
    <w:rsid w:val="00D07E54"/>
    <w:rsid w:val="00D1482C"/>
    <w:rsid w:val="00D14CA2"/>
    <w:rsid w:val="00D153B3"/>
    <w:rsid w:val="00D1566C"/>
    <w:rsid w:val="00D168B0"/>
    <w:rsid w:val="00D2139D"/>
    <w:rsid w:val="00D23A2C"/>
    <w:rsid w:val="00D31B0A"/>
    <w:rsid w:val="00D3356E"/>
    <w:rsid w:val="00D35A9A"/>
    <w:rsid w:val="00D40E8E"/>
    <w:rsid w:val="00D428DD"/>
    <w:rsid w:val="00D45B2C"/>
    <w:rsid w:val="00D45B4D"/>
    <w:rsid w:val="00D500A8"/>
    <w:rsid w:val="00D50D16"/>
    <w:rsid w:val="00D526E8"/>
    <w:rsid w:val="00D55BC3"/>
    <w:rsid w:val="00D57552"/>
    <w:rsid w:val="00D60CC1"/>
    <w:rsid w:val="00D61146"/>
    <w:rsid w:val="00D62B11"/>
    <w:rsid w:val="00D648D3"/>
    <w:rsid w:val="00D66E53"/>
    <w:rsid w:val="00D67FA6"/>
    <w:rsid w:val="00D73E66"/>
    <w:rsid w:val="00D73EB3"/>
    <w:rsid w:val="00D747DC"/>
    <w:rsid w:val="00D74AF8"/>
    <w:rsid w:val="00D81494"/>
    <w:rsid w:val="00D82303"/>
    <w:rsid w:val="00D8618A"/>
    <w:rsid w:val="00D87C6A"/>
    <w:rsid w:val="00D92255"/>
    <w:rsid w:val="00D93850"/>
    <w:rsid w:val="00D94ED6"/>
    <w:rsid w:val="00D9582F"/>
    <w:rsid w:val="00D96B00"/>
    <w:rsid w:val="00DA0D9A"/>
    <w:rsid w:val="00DA1D78"/>
    <w:rsid w:val="00DA49B4"/>
    <w:rsid w:val="00DA54A0"/>
    <w:rsid w:val="00DA5E91"/>
    <w:rsid w:val="00DB7E0E"/>
    <w:rsid w:val="00DC1163"/>
    <w:rsid w:val="00DC2348"/>
    <w:rsid w:val="00DC2B08"/>
    <w:rsid w:val="00DC4D13"/>
    <w:rsid w:val="00DD0811"/>
    <w:rsid w:val="00DD179C"/>
    <w:rsid w:val="00DD23D0"/>
    <w:rsid w:val="00DD3066"/>
    <w:rsid w:val="00DD54B2"/>
    <w:rsid w:val="00DD75CB"/>
    <w:rsid w:val="00DE49B0"/>
    <w:rsid w:val="00DE4D5A"/>
    <w:rsid w:val="00DE53AC"/>
    <w:rsid w:val="00DE6C1C"/>
    <w:rsid w:val="00DE6C29"/>
    <w:rsid w:val="00DE7844"/>
    <w:rsid w:val="00E02558"/>
    <w:rsid w:val="00E1005F"/>
    <w:rsid w:val="00E12450"/>
    <w:rsid w:val="00E132B8"/>
    <w:rsid w:val="00E13435"/>
    <w:rsid w:val="00E14BC1"/>
    <w:rsid w:val="00E20E47"/>
    <w:rsid w:val="00E24329"/>
    <w:rsid w:val="00E27154"/>
    <w:rsid w:val="00E31D2A"/>
    <w:rsid w:val="00E31EAD"/>
    <w:rsid w:val="00E3645A"/>
    <w:rsid w:val="00E364F1"/>
    <w:rsid w:val="00E3686B"/>
    <w:rsid w:val="00E3709E"/>
    <w:rsid w:val="00E37973"/>
    <w:rsid w:val="00E37E65"/>
    <w:rsid w:val="00E4253A"/>
    <w:rsid w:val="00E521BC"/>
    <w:rsid w:val="00E540E4"/>
    <w:rsid w:val="00E549EC"/>
    <w:rsid w:val="00E5602A"/>
    <w:rsid w:val="00E616A1"/>
    <w:rsid w:val="00E6761B"/>
    <w:rsid w:val="00E717CC"/>
    <w:rsid w:val="00E724E1"/>
    <w:rsid w:val="00E74A74"/>
    <w:rsid w:val="00E753D2"/>
    <w:rsid w:val="00E75D3F"/>
    <w:rsid w:val="00E76CAF"/>
    <w:rsid w:val="00E772A2"/>
    <w:rsid w:val="00E80479"/>
    <w:rsid w:val="00E82522"/>
    <w:rsid w:val="00E82D6C"/>
    <w:rsid w:val="00E86649"/>
    <w:rsid w:val="00E90BA8"/>
    <w:rsid w:val="00E92722"/>
    <w:rsid w:val="00E94755"/>
    <w:rsid w:val="00E957F0"/>
    <w:rsid w:val="00E966EF"/>
    <w:rsid w:val="00E97678"/>
    <w:rsid w:val="00EA1AB9"/>
    <w:rsid w:val="00EA3714"/>
    <w:rsid w:val="00EA4A27"/>
    <w:rsid w:val="00EA5438"/>
    <w:rsid w:val="00EA5B20"/>
    <w:rsid w:val="00EA70AA"/>
    <w:rsid w:val="00EA7380"/>
    <w:rsid w:val="00EB18ED"/>
    <w:rsid w:val="00EB4615"/>
    <w:rsid w:val="00EC14DF"/>
    <w:rsid w:val="00EC46BB"/>
    <w:rsid w:val="00EC5EF7"/>
    <w:rsid w:val="00EC73BE"/>
    <w:rsid w:val="00EC7D12"/>
    <w:rsid w:val="00ED1094"/>
    <w:rsid w:val="00ED3091"/>
    <w:rsid w:val="00ED36C8"/>
    <w:rsid w:val="00ED3F45"/>
    <w:rsid w:val="00ED6B26"/>
    <w:rsid w:val="00ED7BEB"/>
    <w:rsid w:val="00EE66A8"/>
    <w:rsid w:val="00EE6DC2"/>
    <w:rsid w:val="00EF4BE3"/>
    <w:rsid w:val="00EF4F26"/>
    <w:rsid w:val="00EF7270"/>
    <w:rsid w:val="00F04CEE"/>
    <w:rsid w:val="00F05018"/>
    <w:rsid w:val="00F05511"/>
    <w:rsid w:val="00F064E4"/>
    <w:rsid w:val="00F06989"/>
    <w:rsid w:val="00F0783D"/>
    <w:rsid w:val="00F103AF"/>
    <w:rsid w:val="00F106FA"/>
    <w:rsid w:val="00F13984"/>
    <w:rsid w:val="00F14109"/>
    <w:rsid w:val="00F171E4"/>
    <w:rsid w:val="00F17541"/>
    <w:rsid w:val="00F255C9"/>
    <w:rsid w:val="00F40196"/>
    <w:rsid w:val="00F409B4"/>
    <w:rsid w:val="00F42B01"/>
    <w:rsid w:val="00F43A3F"/>
    <w:rsid w:val="00F45320"/>
    <w:rsid w:val="00F46FBA"/>
    <w:rsid w:val="00F51D86"/>
    <w:rsid w:val="00F521EF"/>
    <w:rsid w:val="00F52E82"/>
    <w:rsid w:val="00F57683"/>
    <w:rsid w:val="00F64112"/>
    <w:rsid w:val="00F65C63"/>
    <w:rsid w:val="00F662C9"/>
    <w:rsid w:val="00F67615"/>
    <w:rsid w:val="00F708EE"/>
    <w:rsid w:val="00F7423A"/>
    <w:rsid w:val="00F751E6"/>
    <w:rsid w:val="00F84059"/>
    <w:rsid w:val="00F91222"/>
    <w:rsid w:val="00F93ADC"/>
    <w:rsid w:val="00F9457E"/>
    <w:rsid w:val="00F96A20"/>
    <w:rsid w:val="00F97E6C"/>
    <w:rsid w:val="00FA1047"/>
    <w:rsid w:val="00FA1465"/>
    <w:rsid w:val="00FA1B00"/>
    <w:rsid w:val="00FA1B77"/>
    <w:rsid w:val="00FA1EAD"/>
    <w:rsid w:val="00FA3098"/>
    <w:rsid w:val="00FA5E7D"/>
    <w:rsid w:val="00FB05EA"/>
    <w:rsid w:val="00FB06D5"/>
    <w:rsid w:val="00FB0C33"/>
    <w:rsid w:val="00FB1BEF"/>
    <w:rsid w:val="00FB46DB"/>
    <w:rsid w:val="00FB4823"/>
    <w:rsid w:val="00FB4B3E"/>
    <w:rsid w:val="00FB57CC"/>
    <w:rsid w:val="00FC0C59"/>
    <w:rsid w:val="00FC38E5"/>
    <w:rsid w:val="00FD10CE"/>
    <w:rsid w:val="00FD78AC"/>
    <w:rsid w:val="00FE24CD"/>
    <w:rsid w:val="00FE3509"/>
    <w:rsid w:val="00FE3B84"/>
    <w:rsid w:val="00FE7ED7"/>
    <w:rsid w:val="00FF1220"/>
    <w:rsid w:val="00FF15D4"/>
    <w:rsid w:val="00FF15E5"/>
    <w:rsid w:val="00FF167D"/>
    <w:rsid w:val="00FF1CD1"/>
    <w:rsid w:val="00FF46F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16486FC-8DB9-49D8-A315-80850EDA9C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20" w:line="276"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para1"/>
    <w:qFormat/>
    <w:rsid w:val="00B06779"/>
    <w:rPr>
      <w:rFonts w:ascii="Times New Roman" w:eastAsiaTheme="minorEastAsia" w:hAnsi="Times New Roman"/>
      <w:sz w:val="24"/>
      <w:lang w:eastAsia="en-GB"/>
    </w:rPr>
  </w:style>
  <w:style w:type="paragraph" w:styleId="Heading1">
    <w:name w:val="heading 1"/>
    <w:basedOn w:val="title1"/>
    <w:next w:val="Normal"/>
    <w:link w:val="Heading1Char"/>
    <w:uiPriority w:val="9"/>
    <w:qFormat/>
    <w:rsid w:val="00162965"/>
    <w:pPr>
      <w:numPr>
        <w:ilvl w:val="1"/>
        <w:numId w:val="23"/>
      </w:numPr>
      <w:jc w:val="left"/>
      <w:outlineLvl w:val="0"/>
    </w:pPr>
    <w:rPr>
      <w:iCs/>
      <w:sz w:val="28"/>
    </w:rPr>
  </w:style>
  <w:style w:type="paragraph" w:styleId="Heading2">
    <w:name w:val="heading 2"/>
    <w:basedOn w:val="Heading11"/>
    <w:next w:val="Normal"/>
    <w:link w:val="Heading2Char"/>
    <w:uiPriority w:val="9"/>
    <w:unhideWhenUsed/>
    <w:qFormat/>
    <w:rsid w:val="007574AE"/>
    <w:pPr>
      <w:outlineLvl w:val="1"/>
    </w:pPr>
    <w:rPr>
      <w:rFonts w:ascii="Times New Roman" w:hAnsi="Times New Roman" w:cs="Times New Roman"/>
      <w:sz w:val="32"/>
      <w:szCs w:val="24"/>
    </w:rPr>
  </w:style>
  <w:style w:type="paragraph" w:styleId="Heading3">
    <w:name w:val="heading 3"/>
    <w:basedOn w:val="Normal"/>
    <w:next w:val="Normal"/>
    <w:link w:val="Heading3Char"/>
    <w:uiPriority w:val="9"/>
    <w:unhideWhenUsed/>
    <w:qFormat/>
    <w:rsid w:val="00A16B8C"/>
    <w:pPr>
      <w:keepNext/>
      <w:keepLines/>
      <w:spacing w:before="200" w:after="0"/>
      <w:outlineLvl w:val="2"/>
    </w:pPr>
    <w:rPr>
      <w:rFonts w:asciiTheme="majorHAnsi" w:eastAsiaTheme="majorEastAsia" w:hAnsiTheme="majorHAnsi" w:cstheme="majorBidi"/>
      <w:b/>
      <w:bCs/>
      <w:color w:val="4F81BD" w:themeColor="accent1"/>
      <w:lang w:eastAsia="en-US"/>
    </w:rPr>
  </w:style>
  <w:style w:type="paragraph" w:styleId="Heading4">
    <w:name w:val="heading 4"/>
    <w:basedOn w:val="Normal"/>
    <w:next w:val="Normal"/>
    <w:link w:val="Heading4Char"/>
    <w:uiPriority w:val="9"/>
    <w:unhideWhenUsed/>
    <w:qFormat/>
    <w:rsid w:val="00A16B8C"/>
    <w:pPr>
      <w:keepNext/>
      <w:keepLines/>
      <w:spacing w:before="200" w:after="0"/>
      <w:outlineLvl w:val="3"/>
    </w:pPr>
    <w:rPr>
      <w:rFonts w:asciiTheme="majorHAnsi" w:eastAsiaTheme="majorEastAsia" w:hAnsiTheme="majorHAnsi" w:cstheme="majorBidi"/>
      <w:b/>
      <w:bCs/>
      <w:i/>
      <w:iCs/>
      <w:color w:val="4F81BD" w:themeColor="accent1"/>
      <w:lang w:eastAsia="en-US"/>
    </w:rPr>
  </w:style>
  <w:style w:type="paragraph" w:styleId="Heading5">
    <w:name w:val="heading 5"/>
    <w:basedOn w:val="Normal"/>
    <w:next w:val="Normal"/>
    <w:link w:val="Heading5Char"/>
    <w:uiPriority w:val="9"/>
    <w:unhideWhenUsed/>
    <w:qFormat/>
    <w:rsid w:val="00646621"/>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646621"/>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5B1AB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B1ABC"/>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5B1AB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62965"/>
    <w:rPr>
      <w:rFonts w:ascii="Times New Roman" w:eastAsiaTheme="minorEastAsia" w:hAnsi="Times New Roman" w:cs="Times New Roman"/>
      <w:iCs/>
      <w:color w:val="000000" w:themeColor="text1"/>
      <w:sz w:val="28"/>
      <w:szCs w:val="24"/>
      <w:lang w:eastAsia="en-GB"/>
    </w:rPr>
  </w:style>
  <w:style w:type="paragraph" w:styleId="TOCHeading">
    <w:name w:val="TOC Heading"/>
    <w:basedOn w:val="Heading1"/>
    <w:next w:val="Normal"/>
    <w:uiPriority w:val="39"/>
    <w:unhideWhenUsed/>
    <w:qFormat/>
    <w:rsid w:val="00A16B8C"/>
    <w:pPr>
      <w:outlineLvl w:val="9"/>
    </w:pPr>
    <w:rPr>
      <w:lang w:val="en-US" w:eastAsia="ja-JP"/>
    </w:rPr>
  </w:style>
  <w:style w:type="paragraph" w:styleId="TOC1">
    <w:name w:val="toc 1"/>
    <w:basedOn w:val="Normal"/>
    <w:next w:val="Normal"/>
    <w:autoRedefine/>
    <w:uiPriority w:val="39"/>
    <w:unhideWhenUsed/>
    <w:rsid w:val="00A16B8C"/>
    <w:pPr>
      <w:spacing w:after="100"/>
    </w:pPr>
  </w:style>
  <w:style w:type="character" w:styleId="Hyperlink">
    <w:name w:val="Hyperlink"/>
    <w:basedOn w:val="DefaultParagraphFont"/>
    <w:uiPriority w:val="99"/>
    <w:unhideWhenUsed/>
    <w:rsid w:val="00A16B8C"/>
    <w:rPr>
      <w:color w:val="0000FF" w:themeColor="hyperlink"/>
      <w:u w:val="single"/>
    </w:rPr>
  </w:style>
  <w:style w:type="paragraph" w:styleId="Footer">
    <w:name w:val="footer"/>
    <w:basedOn w:val="Normal"/>
    <w:link w:val="FooterChar"/>
    <w:uiPriority w:val="99"/>
    <w:unhideWhenUsed/>
    <w:rsid w:val="00A16B8C"/>
    <w:pPr>
      <w:tabs>
        <w:tab w:val="center" w:pos="4513"/>
        <w:tab w:val="right" w:pos="9026"/>
      </w:tabs>
      <w:spacing w:after="0" w:line="240" w:lineRule="auto"/>
    </w:pPr>
  </w:style>
  <w:style w:type="character" w:customStyle="1" w:styleId="FooterChar">
    <w:name w:val="Footer Char"/>
    <w:basedOn w:val="DefaultParagraphFont"/>
    <w:link w:val="Footer"/>
    <w:uiPriority w:val="99"/>
    <w:rsid w:val="00A16B8C"/>
    <w:rPr>
      <w:rFonts w:eastAsiaTheme="minorEastAsia"/>
      <w:lang w:eastAsia="en-GB"/>
    </w:rPr>
  </w:style>
  <w:style w:type="paragraph" w:styleId="NoSpacing">
    <w:name w:val="No Spacing"/>
    <w:link w:val="NoSpacingChar"/>
    <w:uiPriority w:val="1"/>
    <w:qFormat/>
    <w:rsid w:val="00A16B8C"/>
    <w:pPr>
      <w:spacing w:after="0" w:line="240" w:lineRule="auto"/>
      <w:jc w:val="left"/>
    </w:pPr>
    <w:rPr>
      <w:rFonts w:eastAsiaTheme="minorEastAsia"/>
      <w:lang w:val="en-US" w:eastAsia="en-GB"/>
    </w:rPr>
  </w:style>
  <w:style w:type="character" w:customStyle="1" w:styleId="NoSpacingChar">
    <w:name w:val="No Spacing Char"/>
    <w:basedOn w:val="DefaultParagraphFont"/>
    <w:link w:val="NoSpacing"/>
    <w:uiPriority w:val="1"/>
    <w:rsid w:val="00A16B8C"/>
    <w:rPr>
      <w:rFonts w:eastAsiaTheme="minorEastAsia"/>
      <w:lang w:val="en-US" w:eastAsia="en-GB"/>
    </w:rPr>
  </w:style>
  <w:style w:type="paragraph" w:styleId="TOC2">
    <w:name w:val="toc 2"/>
    <w:basedOn w:val="Normal"/>
    <w:next w:val="Normal"/>
    <w:autoRedefine/>
    <w:uiPriority w:val="39"/>
    <w:unhideWhenUsed/>
    <w:rsid w:val="00A16B8C"/>
    <w:pPr>
      <w:spacing w:after="100"/>
      <w:ind w:left="220"/>
    </w:pPr>
  </w:style>
  <w:style w:type="table" w:styleId="TableGrid">
    <w:name w:val="Table Grid"/>
    <w:basedOn w:val="TableNormal"/>
    <w:uiPriority w:val="59"/>
    <w:rsid w:val="00A16B8C"/>
    <w:pPr>
      <w:spacing w:after="0" w:line="240" w:lineRule="auto"/>
      <w:jc w:val="left"/>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16B8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6B8C"/>
    <w:rPr>
      <w:rFonts w:ascii="Tahoma" w:eastAsiaTheme="minorEastAsia" w:hAnsi="Tahoma" w:cs="Tahoma"/>
      <w:sz w:val="16"/>
      <w:szCs w:val="16"/>
      <w:lang w:eastAsia="en-GB"/>
    </w:rPr>
  </w:style>
  <w:style w:type="character" w:customStyle="1" w:styleId="Heading2Char">
    <w:name w:val="Heading 2 Char"/>
    <w:basedOn w:val="DefaultParagraphFont"/>
    <w:link w:val="Heading2"/>
    <w:uiPriority w:val="9"/>
    <w:rsid w:val="007574AE"/>
    <w:rPr>
      <w:rFonts w:ascii="Times New Roman" w:eastAsiaTheme="minorEastAsia" w:hAnsi="Times New Roman" w:cs="Times New Roman"/>
      <w:color w:val="000000" w:themeColor="text1"/>
      <w:sz w:val="32"/>
      <w:szCs w:val="24"/>
      <w:lang w:eastAsia="en-GB"/>
    </w:rPr>
  </w:style>
  <w:style w:type="paragraph" w:styleId="Subtitle">
    <w:name w:val="Subtitle"/>
    <w:basedOn w:val="Normal"/>
    <w:next w:val="Normal"/>
    <w:link w:val="SubtitleChar"/>
    <w:uiPriority w:val="11"/>
    <w:qFormat/>
    <w:rsid w:val="00A16B8C"/>
    <w:pPr>
      <w:numPr>
        <w:ilvl w:val="1"/>
      </w:numPr>
    </w:pPr>
    <w:rPr>
      <w:rFonts w:asciiTheme="majorHAnsi" w:eastAsiaTheme="majorEastAsia" w:hAnsiTheme="majorHAnsi" w:cstheme="majorBidi"/>
      <w:i/>
      <w:iCs/>
      <w:spacing w:val="15"/>
      <w:szCs w:val="24"/>
      <w:lang w:eastAsia="en-US"/>
    </w:rPr>
  </w:style>
  <w:style w:type="character" w:customStyle="1" w:styleId="SubtitleChar">
    <w:name w:val="Subtitle Char"/>
    <w:basedOn w:val="DefaultParagraphFont"/>
    <w:link w:val="Subtitle"/>
    <w:uiPriority w:val="11"/>
    <w:rsid w:val="00A16B8C"/>
    <w:rPr>
      <w:rFonts w:asciiTheme="majorHAnsi" w:eastAsiaTheme="majorEastAsia" w:hAnsiTheme="majorHAnsi" w:cstheme="majorBidi"/>
      <w:i/>
      <w:iCs/>
      <w:spacing w:val="15"/>
      <w:sz w:val="24"/>
      <w:szCs w:val="24"/>
    </w:rPr>
  </w:style>
  <w:style w:type="character" w:styleId="SubtleEmphasis">
    <w:name w:val="Subtle Emphasis"/>
    <w:basedOn w:val="DefaultParagraphFont"/>
    <w:uiPriority w:val="19"/>
    <w:qFormat/>
    <w:rsid w:val="00375E5A"/>
    <w:rPr>
      <w:sz w:val="28"/>
    </w:rPr>
  </w:style>
  <w:style w:type="paragraph" w:styleId="ListParagraph">
    <w:name w:val="List Paragraph"/>
    <w:basedOn w:val="Normal"/>
    <w:uiPriority w:val="34"/>
    <w:qFormat/>
    <w:rsid w:val="00A16B8C"/>
    <w:pPr>
      <w:ind w:left="720"/>
      <w:contextualSpacing/>
    </w:pPr>
    <w:rPr>
      <w:rFonts w:ascii="TUOS Blake" w:eastAsiaTheme="minorHAnsi" w:hAnsi="TUOS Blake"/>
      <w:lang w:eastAsia="en-US"/>
    </w:rPr>
  </w:style>
  <w:style w:type="paragraph" w:styleId="Title">
    <w:name w:val="Title"/>
    <w:aliases w:val="Chapter"/>
    <w:basedOn w:val="Normal"/>
    <w:next w:val="Normal"/>
    <w:link w:val="TitleChar"/>
    <w:uiPriority w:val="10"/>
    <w:qFormat/>
    <w:rsid w:val="00A16B8C"/>
    <w:pPr>
      <w:pBdr>
        <w:bottom w:val="single" w:sz="8" w:space="4" w:color="4F81BD" w:themeColor="accent1"/>
      </w:pBdr>
      <w:spacing w:after="300" w:line="240" w:lineRule="auto"/>
      <w:contextualSpacing/>
    </w:pPr>
    <w:rPr>
      <w:rFonts w:ascii="TUOS Blake" w:eastAsiaTheme="majorEastAsia" w:hAnsi="TUOS Blake" w:cstheme="majorBidi"/>
      <w:color w:val="0D0D0D" w:themeColor="text1" w:themeTint="F2"/>
      <w:spacing w:val="5"/>
      <w:kern w:val="28"/>
      <w:sz w:val="52"/>
      <w:szCs w:val="52"/>
      <w:lang w:eastAsia="en-US"/>
    </w:rPr>
  </w:style>
  <w:style w:type="character" w:customStyle="1" w:styleId="TitleChar">
    <w:name w:val="Title Char"/>
    <w:aliases w:val="Chapter Char"/>
    <w:basedOn w:val="DefaultParagraphFont"/>
    <w:link w:val="Title"/>
    <w:uiPriority w:val="10"/>
    <w:rsid w:val="00A16B8C"/>
    <w:rPr>
      <w:rFonts w:ascii="TUOS Blake" w:eastAsiaTheme="majorEastAsia" w:hAnsi="TUOS Blake" w:cstheme="majorBidi"/>
      <w:color w:val="0D0D0D" w:themeColor="text1" w:themeTint="F2"/>
      <w:spacing w:val="5"/>
      <w:kern w:val="28"/>
      <w:sz w:val="52"/>
      <w:szCs w:val="52"/>
    </w:rPr>
  </w:style>
  <w:style w:type="character" w:styleId="Emphasis">
    <w:name w:val="Emphasis"/>
    <w:basedOn w:val="DefaultParagraphFont"/>
    <w:uiPriority w:val="20"/>
    <w:qFormat/>
    <w:rsid w:val="00646621"/>
    <w:rPr>
      <w:rFonts w:ascii="TUOS Blake" w:hAnsi="TUOS Blake"/>
      <w:i/>
      <w:iCs/>
      <w:sz w:val="28"/>
    </w:rPr>
  </w:style>
  <w:style w:type="paragraph" w:styleId="FootnoteText">
    <w:name w:val="footnote text"/>
    <w:basedOn w:val="Normal"/>
    <w:link w:val="FootnoteTextChar"/>
    <w:uiPriority w:val="99"/>
    <w:unhideWhenUsed/>
    <w:rsid w:val="00A16B8C"/>
    <w:pPr>
      <w:spacing w:after="0" w:line="240" w:lineRule="auto"/>
    </w:pPr>
    <w:rPr>
      <w:rFonts w:ascii="TUOS Blake" w:eastAsiaTheme="minorHAnsi" w:hAnsi="TUOS Blake"/>
      <w:sz w:val="20"/>
      <w:szCs w:val="20"/>
      <w:lang w:eastAsia="en-US"/>
    </w:rPr>
  </w:style>
  <w:style w:type="character" w:customStyle="1" w:styleId="FootnoteTextChar">
    <w:name w:val="Footnote Text Char"/>
    <w:basedOn w:val="DefaultParagraphFont"/>
    <w:link w:val="FootnoteText"/>
    <w:uiPriority w:val="99"/>
    <w:rsid w:val="00A16B8C"/>
    <w:rPr>
      <w:rFonts w:ascii="TUOS Blake" w:hAnsi="TUOS Blake"/>
      <w:sz w:val="20"/>
      <w:szCs w:val="20"/>
    </w:rPr>
  </w:style>
  <w:style w:type="character" w:styleId="FootnoteReference">
    <w:name w:val="footnote reference"/>
    <w:basedOn w:val="DefaultParagraphFont"/>
    <w:uiPriority w:val="99"/>
    <w:semiHidden/>
    <w:unhideWhenUsed/>
    <w:rsid w:val="00A16B8C"/>
    <w:rPr>
      <w:vertAlign w:val="superscript"/>
    </w:rPr>
  </w:style>
  <w:style w:type="paragraph" w:styleId="Header">
    <w:name w:val="header"/>
    <w:basedOn w:val="Normal"/>
    <w:link w:val="HeaderChar"/>
    <w:uiPriority w:val="99"/>
    <w:unhideWhenUsed/>
    <w:rsid w:val="00A16B8C"/>
    <w:pPr>
      <w:tabs>
        <w:tab w:val="center" w:pos="4513"/>
        <w:tab w:val="right" w:pos="9026"/>
      </w:tabs>
      <w:spacing w:after="0" w:line="240" w:lineRule="auto"/>
    </w:pPr>
    <w:rPr>
      <w:rFonts w:ascii="TUOS Blake" w:eastAsiaTheme="minorHAnsi" w:hAnsi="TUOS Blake"/>
      <w:lang w:eastAsia="en-US"/>
    </w:rPr>
  </w:style>
  <w:style w:type="character" w:customStyle="1" w:styleId="HeaderChar">
    <w:name w:val="Header Char"/>
    <w:basedOn w:val="DefaultParagraphFont"/>
    <w:link w:val="Header"/>
    <w:uiPriority w:val="99"/>
    <w:rsid w:val="00A16B8C"/>
    <w:rPr>
      <w:rFonts w:ascii="TUOS Blake" w:hAnsi="TUOS Blake"/>
      <w:sz w:val="24"/>
    </w:rPr>
  </w:style>
  <w:style w:type="paragraph" w:styleId="Quote">
    <w:name w:val="Quote"/>
    <w:basedOn w:val="Normal"/>
    <w:next w:val="Normal"/>
    <w:link w:val="QuoteChar"/>
    <w:uiPriority w:val="29"/>
    <w:qFormat/>
    <w:rsid w:val="00A16B8C"/>
    <w:rPr>
      <w:rFonts w:ascii="TUOS Blake" w:eastAsiaTheme="minorHAnsi" w:hAnsi="TUOS Blake"/>
      <w:i/>
      <w:iCs/>
      <w:color w:val="000000" w:themeColor="text1"/>
      <w:lang w:eastAsia="en-US"/>
    </w:rPr>
  </w:style>
  <w:style w:type="character" w:customStyle="1" w:styleId="QuoteChar">
    <w:name w:val="Quote Char"/>
    <w:basedOn w:val="DefaultParagraphFont"/>
    <w:link w:val="Quote"/>
    <w:uiPriority w:val="29"/>
    <w:rsid w:val="00A16B8C"/>
    <w:rPr>
      <w:rFonts w:ascii="TUOS Blake" w:hAnsi="TUOS Blake"/>
      <w:i/>
      <w:iCs/>
      <w:color w:val="000000" w:themeColor="text1"/>
      <w:sz w:val="24"/>
    </w:rPr>
  </w:style>
  <w:style w:type="numbering" w:customStyle="1" w:styleId="NoList1">
    <w:name w:val="No List1"/>
    <w:next w:val="NoList"/>
    <w:uiPriority w:val="99"/>
    <w:semiHidden/>
    <w:unhideWhenUsed/>
    <w:rsid w:val="00A16B8C"/>
  </w:style>
  <w:style w:type="table" w:customStyle="1" w:styleId="TableGrid1">
    <w:name w:val="Table Grid1"/>
    <w:basedOn w:val="TableNormal"/>
    <w:next w:val="TableGrid"/>
    <w:uiPriority w:val="59"/>
    <w:rsid w:val="00A16B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A16B8C"/>
    <w:rPr>
      <w:rFonts w:asciiTheme="majorHAnsi" w:eastAsiaTheme="majorEastAsia" w:hAnsiTheme="majorHAnsi" w:cstheme="majorBidi"/>
      <w:b/>
      <w:bCs/>
      <w:color w:val="4F81BD" w:themeColor="accent1"/>
    </w:rPr>
  </w:style>
  <w:style w:type="numbering" w:customStyle="1" w:styleId="NoList2">
    <w:name w:val="No List2"/>
    <w:next w:val="NoList"/>
    <w:uiPriority w:val="99"/>
    <w:semiHidden/>
    <w:unhideWhenUsed/>
    <w:rsid w:val="00A16B8C"/>
  </w:style>
  <w:style w:type="paragraph" w:styleId="NormalWeb">
    <w:name w:val="Normal (Web)"/>
    <w:basedOn w:val="Normal"/>
    <w:uiPriority w:val="99"/>
    <w:unhideWhenUsed/>
    <w:rsid w:val="00A16B8C"/>
    <w:pPr>
      <w:spacing w:before="100" w:beforeAutospacing="1" w:after="100" w:afterAutospacing="1" w:line="240" w:lineRule="auto"/>
    </w:pPr>
    <w:rPr>
      <w:rFonts w:eastAsia="Times New Roman" w:cs="Times New Roman"/>
      <w:szCs w:val="24"/>
    </w:rPr>
  </w:style>
  <w:style w:type="table" w:customStyle="1" w:styleId="TableGrid2">
    <w:name w:val="Table Grid2"/>
    <w:basedOn w:val="TableNormal"/>
    <w:next w:val="TableGrid"/>
    <w:uiPriority w:val="59"/>
    <w:rsid w:val="00A16B8C"/>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A16B8C"/>
    <w:rPr>
      <w:color w:val="808080"/>
    </w:rPr>
  </w:style>
  <w:style w:type="paragraph" w:customStyle="1" w:styleId="EndNoteBibliography">
    <w:name w:val="EndNote Bibliography"/>
    <w:basedOn w:val="Normal"/>
    <w:link w:val="EndNoteBibliographyChar"/>
    <w:rsid w:val="00A16B8C"/>
    <w:pPr>
      <w:spacing w:line="240" w:lineRule="auto"/>
    </w:pPr>
    <w:rPr>
      <w:rFonts w:cs="Times New Roman"/>
      <w:noProof/>
      <w:sz w:val="22"/>
      <w:lang w:eastAsia="zh-CN"/>
    </w:rPr>
  </w:style>
  <w:style w:type="character" w:customStyle="1" w:styleId="EndNoteBibliographyChar">
    <w:name w:val="EndNote Bibliography Char"/>
    <w:basedOn w:val="DefaultParagraphFont"/>
    <w:link w:val="EndNoteBibliography"/>
    <w:rsid w:val="00A16B8C"/>
    <w:rPr>
      <w:rFonts w:ascii="Times New Roman" w:eastAsiaTheme="minorEastAsia" w:hAnsi="Times New Roman" w:cs="Times New Roman"/>
      <w:noProof/>
      <w:lang w:eastAsia="zh-CN"/>
    </w:rPr>
  </w:style>
  <w:style w:type="character" w:customStyle="1" w:styleId="CommentTextChar">
    <w:name w:val="Comment Text Char"/>
    <w:basedOn w:val="DefaultParagraphFont"/>
    <w:link w:val="CommentText"/>
    <w:uiPriority w:val="99"/>
    <w:semiHidden/>
    <w:rsid w:val="00A16B8C"/>
    <w:rPr>
      <w:sz w:val="20"/>
      <w:szCs w:val="20"/>
    </w:rPr>
  </w:style>
  <w:style w:type="paragraph" w:styleId="CommentText">
    <w:name w:val="annotation text"/>
    <w:basedOn w:val="Normal"/>
    <w:link w:val="CommentTextChar"/>
    <w:uiPriority w:val="99"/>
    <w:semiHidden/>
    <w:unhideWhenUsed/>
    <w:rsid w:val="00A16B8C"/>
    <w:pPr>
      <w:spacing w:line="240" w:lineRule="auto"/>
    </w:pPr>
    <w:rPr>
      <w:rFonts w:eastAsiaTheme="minorHAnsi"/>
      <w:sz w:val="20"/>
      <w:szCs w:val="20"/>
      <w:lang w:eastAsia="en-US"/>
    </w:rPr>
  </w:style>
  <w:style w:type="character" w:customStyle="1" w:styleId="CommentTextChar1">
    <w:name w:val="Comment Text Char1"/>
    <w:basedOn w:val="DefaultParagraphFont"/>
    <w:uiPriority w:val="99"/>
    <w:semiHidden/>
    <w:rsid w:val="00A16B8C"/>
    <w:rPr>
      <w:rFonts w:eastAsiaTheme="minorEastAsia"/>
      <w:sz w:val="20"/>
      <w:szCs w:val="20"/>
      <w:lang w:eastAsia="en-GB"/>
    </w:rPr>
  </w:style>
  <w:style w:type="character" w:customStyle="1" w:styleId="TitleChar1">
    <w:name w:val="Title Char1"/>
    <w:aliases w:val="Chapter Char1"/>
    <w:basedOn w:val="DefaultParagraphFont"/>
    <w:uiPriority w:val="10"/>
    <w:rsid w:val="00A16B8C"/>
    <w:rPr>
      <w:rFonts w:asciiTheme="majorHAnsi" w:eastAsiaTheme="majorEastAsia" w:hAnsiTheme="majorHAnsi" w:cstheme="majorBidi"/>
      <w:color w:val="17365D" w:themeColor="text2" w:themeShade="BF"/>
      <w:spacing w:val="5"/>
      <w:kern w:val="28"/>
      <w:sz w:val="52"/>
      <w:szCs w:val="52"/>
    </w:rPr>
  </w:style>
  <w:style w:type="paragraph" w:customStyle="1" w:styleId="xl24">
    <w:name w:val="xl24"/>
    <w:basedOn w:val="Normal"/>
    <w:rsid w:val="00A16B8C"/>
    <w:pPr>
      <w:spacing w:before="100" w:after="100" w:line="240" w:lineRule="auto"/>
      <w:jc w:val="center"/>
    </w:pPr>
    <w:rPr>
      <w:rFonts w:ascii="Arial" w:eastAsia="Times New Roman" w:hAnsi="Arial" w:cs="Times New Roman"/>
      <w:sz w:val="16"/>
      <w:szCs w:val="20"/>
    </w:rPr>
  </w:style>
  <w:style w:type="character" w:customStyle="1" w:styleId="apple-style-span">
    <w:name w:val="apple-style-span"/>
    <w:basedOn w:val="DefaultParagraphFont"/>
    <w:rsid w:val="00A16B8C"/>
  </w:style>
  <w:style w:type="numbering" w:customStyle="1" w:styleId="NoList3">
    <w:name w:val="No List3"/>
    <w:next w:val="NoList"/>
    <w:uiPriority w:val="99"/>
    <w:semiHidden/>
    <w:unhideWhenUsed/>
    <w:rsid w:val="00A16B8C"/>
  </w:style>
  <w:style w:type="character" w:styleId="FollowedHyperlink">
    <w:name w:val="FollowedHyperlink"/>
    <w:basedOn w:val="DefaultParagraphFont"/>
    <w:uiPriority w:val="99"/>
    <w:semiHidden/>
    <w:unhideWhenUsed/>
    <w:rsid w:val="00A16B8C"/>
    <w:rPr>
      <w:color w:val="800080" w:themeColor="followedHyperlink"/>
      <w:u w:val="single"/>
    </w:rPr>
  </w:style>
  <w:style w:type="table" w:customStyle="1" w:styleId="TableGrid3">
    <w:name w:val="Table Grid3"/>
    <w:basedOn w:val="TableNormal"/>
    <w:next w:val="TableGrid"/>
    <w:uiPriority w:val="59"/>
    <w:rsid w:val="00A16B8C"/>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16B8C"/>
    <w:rPr>
      <w:sz w:val="16"/>
      <w:szCs w:val="16"/>
    </w:rPr>
  </w:style>
  <w:style w:type="character" w:styleId="LineNumber">
    <w:name w:val="line number"/>
    <w:basedOn w:val="DefaultParagraphFont"/>
    <w:uiPriority w:val="99"/>
    <w:semiHidden/>
    <w:unhideWhenUsed/>
    <w:rsid w:val="00A16B8C"/>
  </w:style>
  <w:style w:type="paragraph" w:styleId="EndnoteText">
    <w:name w:val="endnote text"/>
    <w:basedOn w:val="Normal"/>
    <w:link w:val="EndnoteTextChar"/>
    <w:uiPriority w:val="99"/>
    <w:semiHidden/>
    <w:unhideWhenUsed/>
    <w:rsid w:val="00A16B8C"/>
    <w:pPr>
      <w:spacing w:after="0" w:line="240" w:lineRule="auto"/>
    </w:pPr>
    <w:rPr>
      <w:rFonts w:ascii="TUOS Blake" w:eastAsiaTheme="minorHAnsi" w:hAnsi="TUOS Blake"/>
      <w:sz w:val="20"/>
      <w:szCs w:val="20"/>
      <w:lang w:eastAsia="en-US"/>
    </w:rPr>
  </w:style>
  <w:style w:type="character" w:customStyle="1" w:styleId="EndnoteTextChar">
    <w:name w:val="Endnote Text Char"/>
    <w:basedOn w:val="DefaultParagraphFont"/>
    <w:link w:val="EndnoteText"/>
    <w:uiPriority w:val="99"/>
    <w:semiHidden/>
    <w:rsid w:val="00A16B8C"/>
    <w:rPr>
      <w:rFonts w:ascii="TUOS Blake" w:hAnsi="TUOS Blake"/>
      <w:sz w:val="20"/>
      <w:szCs w:val="20"/>
    </w:rPr>
  </w:style>
  <w:style w:type="character" w:styleId="EndnoteReference">
    <w:name w:val="endnote reference"/>
    <w:basedOn w:val="DefaultParagraphFont"/>
    <w:uiPriority w:val="99"/>
    <w:semiHidden/>
    <w:unhideWhenUsed/>
    <w:rsid w:val="00A16B8C"/>
    <w:rPr>
      <w:vertAlign w:val="superscript"/>
    </w:rPr>
  </w:style>
  <w:style w:type="character" w:customStyle="1" w:styleId="Heading4Char">
    <w:name w:val="Heading 4 Char"/>
    <w:basedOn w:val="DefaultParagraphFont"/>
    <w:link w:val="Heading4"/>
    <w:uiPriority w:val="9"/>
    <w:rsid w:val="00A16B8C"/>
    <w:rPr>
      <w:rFonts w:asciiTheme="majorHAnsi" w:eastAsiaTheme="majorEastAsia" w:hAnsiTheme="majorHAnsi" w:cstheme="majorBidi"/>
      <w:b/>
      <w:bCs/>
      <w:i/>
      <w:iCs/>
      <w:color w:val="4F81BD" w:themeColor="accent1"/>
    </w:rPr>
  </w:style>
  <w:style w:type="numbering" w:customStyle="1" w:styleId="NoList4">
    <w:name w:val="No List4"/>
    <w:next w:val="NoList"/>
    <w:uiPriority w:val="99"/>
    <w:semiHidden/>
    <w:unhideWhenUsed/>
    <w:rsid w:val="00A16B8C"/>
  </w:style>
  <w:style w:type="table" w:customStyle="1" w:styleId="TableGrid4">
    <w:name w:val="Table Grid4"/>
    <w:basedOn w:val="TableNormal"/>
    <w:next w:val="TableGrid"/>
    <w:uiPriority w:val="59"/>
    <w:rsid w:val="00A16B8C"/>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Normal]"/>
    <w:uiPriority w:val="99"/>
    <w:rsid w:val="00A16B8C"/>
    <w:pPr>
      <w:widowControl w:val="0"/>
      <w:autoSpaceDE w:val="0"/>
      <w:autoSpaceDN w:val="0"/>
      <w:adjustRightInd w:val="0"/>
      <w:spacing w:after="0" w:line="240" w:lineRule="auto"/>
      <w:jc w:val="left"/>
    </w:pPr>
    <w:rPr>
      <w:rFonts w:ascii="Arial" w:hAnsi="Arial" w:cs="Arial"/>
      <w:sz w:val="24"/>
      <w:szCs w:val="24"/>
    </w:rPr>
  </w:style>
  <w:style w:type="paragraph" w:customStyle="1" w:styleId="LO-Normal">
    <w:name w:val="LO-Normal"/>
    <w:basedOn w:val="Normal0"/>
    <w:uiPriority w:val="99"/>
    <w:rsid w:val="00A16B8C"/>
    <w:pPr>
      <w:widowControl/>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pPr>
    <w:rPr>
      <w:rFonts w:ascii="Times New Roman" w:hAnsi="Times New Roman" w:cs="Times New Roman"/>
      <w:color w:val="000000"/>
    </w:rPr>
  </w:style>
  <w:style w:type="character" w:customStyle="1" w:styleId="a-size-large">
    <w:name w:val="a-size-large"/>
    <w:basedOn w:val="DefaultParagraphFont"/>
    <w:rsid w:val="00A16B8C"/>
  </w:style>
  <w:style w:type="character" w:customStyle="1" w:styleId="apple-converted-space">
    <w:name w:val="apple-converted-space"/>
    <w:basedOn w:val="DefaultParagraphFont"/>
    <w:rsid w:val="00A16B8C"/>
  </w:style>
  <w:style w:type="character" w:customStyle="1" w:styleId="a-size-medium">
    <w:name w:val="a-size-medium"/>
    <w:basedOn w:val="DefaultParagraphFont"/>
    <w:rsid w:val="00A16B8C"/>
  </w:style>
  <w:style w:type="character" w:customStyle="1" w:styleId="a-declarative">
    <w:name w:val="a-declarative"/>
    <w:basedOn w:val="DefaultParagraphFont"/>
    <w:rsid w:val="00A16B8C"/>
  </w:style>
  <w:style w:type="paragraph" w:styleId="TOC3">
    <w:name w:val="toc 3"/>
    <w:basedOn w:val="Normal"/>
    <w:next w:val="Normal"/>
    <w:autoRedefine/>
    <w:uiPriority w:val="39"/>
    <w:unhideWhenUsed/>
    <w:rsid w:val="00D3356E"/>
    <w:pPr>
      <w:spacing w:after="100"/>
      <w:ind w:left="440"/>
    </w:pPr>
  </w:style>
  <w:style w:type="paragraph" w:styleId="ListBullet">
    <w:name w:val="List Bullet"/>
    <w:basedOn w:val="Normal"/>
    <w:uiPriority w:val="99"/>
    <w:unhideWhenUsed/>
    <w:rsid w:val="00C4457A"/>
    <w:pPr>
      <w:numPr>
        <w:numId w:val="19"/>
      </w:numPr>
      <w:spacing w:after="200"/>
      <w:contextualSpacing/>
      <w:jc w:val="left"/>
    </w:pPr>
  </w:style>
  <w:style w:type="character" w:customStyle="1" w:styleId="Heading5Char">
    <w:name w:val="Heading 5 Char"/>
    <w:basedOn w:val="DefaultParagraphFont"/>
    <w:link w:val="Heading5"/>
    <w:uiPriority w:val="9"/>
    <w:rsid w:val="00646621"/>
    <w:rPr>
      <w:rFonts w:asciiTheme="majorHAnsi" w:eastAsiaTheme="majorEastAsia" w:hAnsiTheme="majorHAnsi" w:cstheme="majorBidi"/>
      <w:color w:val="243F60" w:themeColor="accent1" w:themeShade="7F"/>
      <w:lang w:eastAsia="en-GB"/>
    </w:rPr>
  </w:style>
  <w:style w:type="character" w:customStyle="1" w:styleId="Heading6Char">
    <w:name w:val="Heading 6 Char"/>
    <w:basedOn w:val="DefaultParagraphFont"/>
    <w:link w:val="Heading6"/>
    <w:uiPriority w:val="9"/>
    <w:rsid w:val="00646621"/>
    <w:rPr>
      <w:rFonts w:asciiTheme="majorHAnsi" w:eastAsiaTheme="majorEastAsia" w:hAnsiTheme="majorHAnsi" w:cstheme="majorBidi"/>
      <w:i/>
      <w:iCs/>
      <w:color w:val="243F60" w:themeColor="accent1" w:themeShade="7F"/>
      <w:lang w:eastAsia="en-GB"/>
    </w:rPr>
  </w:style>
  <w:style w:type="paragraph" w:customStyle="1" w:styleId="EndNoteBibliographyTitle">
    <w:name w:val="EndNote Bibliography Title"/>
    <w:basedOn w:val="Normal"/>
    <w:link w:val="EndNoteBibliographyTitleChar"/>
    <w:rsid w:val="003D093C"/>
    <w:pPr>
      <w:spacing w:after="0"/>
      <w:jc w:val="center"/>
    </w:pPr>
    <w:rPr>
      <w:rFonts w:cs="Times New Roman"/>
      <w:noProof/>
      <w:sz w:val="22"/>
    </w:rPr>
  </w:style>
  <w:style w:type="character" w:customStyle="1" w:styleId="EndNoteBibliographyTitleChar">
    <w:name w:val="EndNote Bibliography Title Char"/>
    <w:basedOn w:val="Heading1Char"/>
    <w:link w:val="EndNoteBibliographyTitle"/>
    <w:rsid w:val="003D093C"/>
    <w:rPr>
      <w:rFonts w:ascii="Times New Roman" w:eastAsiaTheme="minorEastAsia" w:hAnsi="Times New Roman" w:cs="Times New Roman"/>
      <w:iCs w:val="0"/>
      <w:noProof/>
      <w:color w:val="000000" w:themeColor="text1"/>
      <w:sz w:val="28"/>
      <w:szCs w:val="24"/>
      <w:lang w:eastAsia="en-GB"/>
    </w:rPr>
  </w:style>
  <w:style w:type="paragraph" w:customStyle="1" w:styleId="Heading11">
    <w:name w:val="Heading 11"/>
    <w:basedOn w:val="Normal"/>
    <w:next w:val="Normal"/>
    <w:link w:val="Heading11Char"/>
    <w:qFormat/>
    <w:rsid w:val="00EF7270"/>
    <w:pPr>
      <w:jc w:val="center"/>
    </w:pPr>
    <w:rPr>
      <w:rFonts w:asciiTheme="majorBidi" w:hAnsiTheme="majorBidi"/>
      <w:color w:val="000000" w:themeColor="text1"/>
      <w:sz w:val="36"/>
    </w:rPr>
  </w:style>
  <w:style w:type="character" w:customStyle="1" w:styleId="Heading11Char">
    <w:name w:val="Heading 11 Char"/>
    <w:basedOn w:val="Heading1Char"/>
    <w:link w:val="Heading11"/>
    <w:rsid w:val="00EF7270"/>
    <w:rPr>
      <w:rFonts w:asciiTheme="majorBidi" w:eastAsiaTheme="minorEastAsia" w:hAnsiTheme="majorBidi" w:cstheme="majorBidi"/>
      <w:bCs/>
      <w:iCs/>
      <w:color w:val="000000" w:themeColor="text1"/>
      <w:sz w:val="36"/>
      <w:szCs w:val="28"/>
      <w:lang w:eastAsia="en-GB"/>
    </w:rPr>
  </w:style>
  <w:style w:type="paragraph" w:styleId="List">
    <w:name w:val="List"/>
    <w:basedOn w:val="Normal"/>
    <w:uiPriority w:val="99"/>
    <w:unhideWhenUsed/>
    <w:rsid w:val="00C80892"/>
    <w:pPr>
      <w:ind w:left="283" w:hanging="283"/>
      <w:contextualSpacing/>
    </w:pPr>
  </w:style>
  <w:style w:type="paragraph" w:styleId="List2">
    <w:name w:val="List 2"/>
    <w:basedOn w:val="Normal"/>
    <w:uiPriority w:val="99"/>
    <w:unhideWhenUsed/>
    <w:rsid w:val="00C80892"/>
    <w:pPr>
      <w:ind w:left="566" w:hanging="283"/>
      <w:contextualSpacing/>
    </w:pPr>
  </w:style>
  <w:style w:type="paragraph" w:styleId="List3">
    <w:name w:val="List 3"/>
    <w:basedOn w:val="Normal"/>
    <w:uiPriority w:val="99"/>
    <w:unhideWhenUsed/>
    <w:rsid w:val="00C80892"/>
    <w:pPr>
      <w:ind w:left="849" w:hanging="283"/>
      <w:contextualSpacing/>
    </w:pPr>
  </w:style>
  <w:style w:type="paragraph" w:styleId="MessageHeader">
    <w:name w:val="Message Header"/>
    <w:basedOn w:val="Normal"/>
    <w:link w:val="MessageHeaderChar"/>
    <w:uiPriority w:val="99"/>
    <w:unhideWhenUsed/>
    <w:rsid w:val="00C80892"/>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rsid w:val="00C80892"/>
    <w:rPr>
      <w:rFonts w:asciiTheme="majorHAnsi" w:eastAsiaTheme="majorEastAsia" w:hAnsiTheme="majorHAnsi" w:cstheme="majorBidi"/>
      <w:sz w:val="24"/>
      <w:szCs w:val="24"/>
      <w:shd w:val="pct20" w:color="auto" w:fill="auto"/>
      <w:lang w:eastAsia="en-GB"/>
    </w:rPr>
  </w:style>
  <w:style w:type="paragraph" w:styleId="ListBullet2">
    <w:name w:val="List Bullet 2"/>
    <w:basedOn w:val="Normal"/>
    <w:uiPriority w:val="99"/>
    <w:unhideWhenUsed/>
    <w:rsid w:val="00C80892"/>
    <w:pPr>
      <w:numPr>
        <w:numId w:val="20"/>
      </w:numPr>
      <w:contextualSpacing/>
    </w:pPr>
  </w:style>
  <w:style w:type="paragraph" w:styleId="ListBullet3">
    <w:name w:val="List Bullet 3"/>
    <w:basedOn w:val="Normal"/>
    <w:uiPriority w:val="99"/>
    <w:unhideWhenUsed/>
    <w:rsid w:val="00C80892"/>
    <w:pPr>
      <w:numPr>
        <w:numId w:val="21"/>
      </w:numPr>
      <w:contextualSpacing/>
    </w:pPr>
  </w:style>
  <w:style w:type="paragraph" w:styleId="ListContinue">
    <w:name w:val="List Continue"/>
    <w:basedOn w:val="Normal"/>
    <w:uiPriority w:val="99"/>
    <w:unhideWhenUsed/>
    <w:rsid w:val="00C80892"/>
    <w:pPr>
      <w:ind w:left="283"/>
      <w:contextualSpacing/>
    </w:pPr>
  </w:style>
  <w:style w:type="paragraph" w:styleId="ListContinue2">
    <w:name w:val="List Continue 2"/>
    <w:basedOn w:val="Normal"/>
    <w:uiPriority w:val="99"/>
    <w:unhideWhenUsed/>
    <w:rsid w:val="00C80892"/>
    <w:pPr>
      <w:ind w:left="566"/>
      <w:contextualSpacing/>
    </w:pPr>
  </w:style>
  <w:style w:type="paragraph" w:styleId="Caption">
    <w:name w:val="caption"/>
    <w:basedOn w:val="Normal"/>
    <w:next w:val="Normal"/>
    <w:uiPriority w:val="35"/>
    <w:unhideWhenUsed/>
    <w:qFormat/>
    <w:rsid w:val="00C80892"/>
    <w:pPr>
      <w:spacing w:after="200" w:line="240" w:lineRule="auto"/>
    </w:pPr>
    <w:rPr>
      <w:b/>
      <w:bCs/>
      <w:color w:val="4F81BD" w:themeColor="accent1"/>
      <w:sz w:val="18"/>
      <w:szCs w:val="18"/>
    </w:rPr>
  </w:style>
  <w:style w:type="paragraph" w:styleId="BodyText">
    <w:name w:val="Body Text"/>
    <w:basedOn w:val="Normal"/>
    <w:link w:val="BodyTextChar"/>
    <w:uiPriority w:val="99"/>
    <w:unhideWhenUsed/>
    <w:rsid w:val="00C80892"/>
  </w:style>
  <w:style w:type="character" w:customStyle="1" w:styleId="BodyTextChar">
    <w:name w:val="Body Text Char"/>
    <w:basedOn w:val="DefaultParagraphFont"/>
    <w:link w:val="BodyText"/>
    <w:uiPriority w:val="99"/>
    <w:rsid w:val="00C80892"/>
    <w:rPr>
      <w:rFonts w:eastAsiaTheme="minorEastAsia"/>
      <w:lang w:eastAsia="en-GB"/>
    </w:rPr>
  </w:style>
  <w:style w:type="paragraph" w:styleId="BodyTextIndent">
    <w:name w:val="Body Text Indent"/>
    <w:basedOn w:val="Normal"/>
    <w:link w:val="BodyTextIndentChar"/>
    <w:uiPriority w:val="99"/>
    <w:unhideWhenUsed/>
    <w:rsid w:val="00C80892"/>
    <w:pPr>
      <w:ind w:left="283"/>
    </w:pPr>
  </w:style>
  <w:style w:type="character" w:customStyle="1" w:styleId="BodyTextIndentChar">
    <w:name w:val="Body Text Indent Char"/>
    <w:basedOn w:val="DefaultParagraphFont"/>
    <w:link w:val="BodyTextIndent"/>
    <w:uiPriority w:val="99"/>
    <w:rsid w:val="00C80892"/>
    <w:rPr>
      <w:rFonts w:eastAsiaTheme="minorEastAsia"/>
      <w:lang w:eastAsia="en-GB"/>
    </w:rPr>
  </w:style>
  <w:style w:type="paragraph" w:customStyle="1" w:styleId="Byline">
    <w:name w:val="Byline"/>
    <w:basedOn w:val="BodyText"/>
    <w:rsid w:val="00C80892"/>
  </w:style>
  <w:style w:type="paragraph" w:styleId="BodyTextFirstIndent">
    <w:name w:val="Body Text First Indent"/>
    <w:basedOn w:val="BodyText"/>
    <w:link w:val="BodyTextFirstIndentChar"/>
    <w:uiPriority w:val="99"/>
    <w:unhideWhenUsed/>
    <w:rsid w:val="00C80892"/>
    <w:pPr>
      <w:ind w:firstLine="360"/>
    </w:pPr>
  </w:style>
  <w:style w:type="character" w:customStyle="1" w:styleId="BodyTextFirstIndentChar">
    <w:name w:val="Body Text First Indent Char"/>
    <w:basedOn w:val="BodyTextChar"/>
    <w:link w:val="BodyTextFirstIndent"/>
    <w:uiPriority w:val="99"/>
    <w:rsid w:val="00C80892"/>
    <w:rPr>
      <w:rFonts w:eastAsiaTheme="minorEastAsia"/>
      <w:lang w:eastAsia="en-GB"/>
    </w:rPr>
  </w:style>
  <w:style w:type="paragraph" w:styleId="BodyTextFirstIndent2">
    <w:name w:val="Body Text First Indent 2"/>
    <w:basedOn w:val="BodyTextIndent"/>
    <w:link w:val="BodyTextFirstIndent2Char"/>
    <w:uiPriority w:val="99"/>
    <w:unhideWhenUsed/>
    <w:rsid w:val="00C80892"/>
    <w:pPr>
      <w:ind w:left="360" w:firstLine="360"/>
    </w:pPr>
  </w:style>
  <w:style w:type="character" w:customStyle="1" w:styleId="BodyTextFirstIndent2Char">
    <w:name w:val="Body Text First Indent 2 Char"/>
    <w:basedOn w:val="BodyTextIndentChar"/>
    <w:link w:val="BodyTextFirstIndent2"/>
    <w:uiPriority w:val="99"/>
    <w:rsid w:val="00C80892"/>
    <w:rPr>
      <w:rFonts w:eastAsiaTheme="minorEastAsia"/>
      <w:lang w:eastAsia="en-GB"/>
    </w:rPr>
  </w:style>
  <w:style w:type="paragraph" w:customStyle="1" w:styleId="title1">
    <w:name w:val="title1"/>
    <w:basedOn w:val="Heading2"/>
    <w:link w:val="title1Char"/>
    <w:qFormat/>
    <w:rsid w:val="0099093E"/>
  </w:style>
  <w:style w:type="character" w:customStyle="1" w:styleId="title1Char">
    <w:name w:val="title1 Char"/>
    <w:basedOn w:val="Heading2Char"/>
    <w:link w:val="title1"/>
    <w:rsid w:val="0099093E"/>
    <w:rPr>
      <w:rFonts w:ascii="Times New Roman" w:eastAsiaTheme="minorEastAsia" w:hAnsi="Times New Roman" w:cs="Times New Roman"/>
      <w:color w:val="000000" w:themeColor="text1"/>
      <w:sz w:val="32"/>
      <w:szCs w:val="24"/>
      <w:lang w:eastAsia="en-GB"/>
    </w:rPr>
  </w:style>
  <w:style w:type="paragraph" w:styleId="CommentSubject">
    <w:name w:val="annotation subject"/>
    <w:basedOn w:val="CommentText"/>
    <w:next w:val="CommentText"/>
    <w:link w:val="CommentSubjectChar"/>
    <w:uiPriority w:val="99"/>
    <w:semiHidden/>
    <w:unhideWhenUsed/>
    <w:rsid w:val="008E22B4"/>
    <w:rPr>
      <w:rFonts w:eastAsiaTheme="minorEastAsia"/>
      <w:b/>
      <w:bCs/>
      <w:lang w:eastAsia="en-GB"/>
    </w:rPr>
  </w:style>
  <w:style w:type="character" w:customStyle="1" w:styleId="CommentSubjectChar">
    <w:name w:val="Comment Subject Char"/>
    <w:basedOn w:val="CommentTextChar"/>
    <w:link w:val="CommentSubject"/>
    <w:uiPriority w:val="99"/>
    <w:semiHidden/>
    <w:rsid w:val="008E22B4"/>
    <w:rPr>
      <w:rFonts w:ascii="Times New Roman" w:eastAsiaTheme="minorEastAsia" w:hAnsi="Times New Roman"/>
      <w:b/>
      <w:bCs/>
      <w:sz w:val="20"/>
      <w:szCs w:val="20"/>
      <w:lang w:eastAsia="en-GB"/>
    </w:rPr>
  </w:style>
  <w:style w:type="paragraph" w:customStyle="1" w:styleId="CitaviBibliographyEntry">
    <w:name w:val="Citavi Bibliography Entry"/>
    <w:basedOn w:val="Normal"/>
    <w:link w:val="CitaviBibliographyEntryChar"/>
    <w:rsid w:val="005B1ABC"/>
    <w:pPr>
      <w:jc w:val="left"/>
    </w:pPr>
  </w:style>
  <w:style w:type="character" w:customStyle="1" w:styleId="CitaviBibliographyEntryChar">
    <w:name w:val="Citavi Bibliography Entry Char"/>
    <w:basedOn w:val="BodyTextFirstIndentChar"/>
    <w:link w:val="CitaviBibliographyEntry"/>
    <w:rsid w:val="005B1ABC"/>
    <w:rPr>
      <w:rFonts w:ascii="Times New Roman" w:eastAsiaTheme="minorEastAsia" w:hAnsi="Times New Roman"/>
      <w:sz w:val="24"/>
      <w:lang w:eastAsia="en-GB"/>
    </w:rPr>
  </w:style>
  <w:style w:type="paragraph" w:customStyle="1" w:styleId="CitaviBibliographyHeading">
    <w:name w:val="Citavi Bibliography Heading"/>
    <w:basedOn w:val="Heading1"/>
    <w:link w:val="CitaviBibliographyHeadingChar"/>
    <w:rsid w:val="005B1ABC"/>
  </w:style>
  <w:style w:type="character" w:customStyle="1" w:styleId="CitaviBibliographyHeadingChar">
    <w:name w:val="Citavi Bibliography Heading Char"/>
    <w:basedOn w:val="BodyTextFirstIndentChar"/>
    <w:link w:val="CitaviBibliographyHeading"/>
    <w:rsid w:val="005B1ABC"/>
    <w:rPr>
      <w:rFonts w:ascii="Times New Roman" w:eastAsiaTheme="minorEastAsia" w:hAnsi="Times New Roman" w:cs="Times New Roman"/>
      <w:iCs/>
      <w:color w:val="000000" w:themeColor="text1"/>
      <w:sz w:val="28"/>
      <w:szCs w:val="24"/>
      <w:lang w:eastAsia="en-GB"/>
    </w:rPr>
  </w:style>
  <w:style w:type="paragraph" w:customStyle="1" w:styleId="CitaviBibliographySubheading1">
    <w:name w:val="Citavi Bibliography Subheading 1"/>
    <w:basedOn w:val="Heading2"/>
    <w:link w:val="CitaviBibliographySubheading1Char"/>
    <w:rsid w:val="005B1ABC"/>
    <w:pPr>
      <w:spacing w:line="360" w:lineRule="auto"/>
      <w:ind w:firstLine="357"/>
      <w:outlineLvl w:val="9"/>
    </w:pPr>
    <w:rPr>
      <w:rFonts w:eastAsia="Calibri"/>
    </w:rPr>
  </w:style>
  <w:style w:type="character" w:customStyle="1" w:styleId="CitaviBibliographySubheading1Char">
    <w:name w:val="Citavi Bibliography Subheading 1 Char"/>
    <w:basedOn w:val="BodyTextFirstIndentChar"/>
    <w:link w:val="CitaviBibliographySubheading1"/>
    <w:rsid w:val="005B1ABC"/>
    <w:rPr>
      <w:rFonts w:ascii="Times New Roman" w:eastAsia="Calibri" w:hAnsi="Times New Roman" w:cs="Times New Roman"/>
      <w:color w:val="000000" w:themeColor="text1"/>
      <w:sz w:val="32"/>
      <w:szCs w:val="24"/>
      <w:lang w:eastAsia="en-GB"/>
    </w:rPr>
  </w:style>
  <w:style w:type="paragraph" w:customStyle="1" w:styleId="CitaviBibliographySubheading2">
    <w:name w:val="Citavi Bibliography Subheading 2"/>
    <w:basedOn w:val="Heading3"/>
    <w:link w:val="CitaviBibliographySubheading2Char"/>
    <w:rsid w:val="005B1ABC"/>
    <w:pPr>
      <w:spacing w:line="360" w:lineRule="auto"/>
      <w:ind w:firstLine="357"/>
      <w:outlineLvl w:val="9"/>
    </w:pPr>
    <w:rPr>
      <w:rFonts w:eastAsia="Calibri"/>
      <w:lang w:eastAsia="en-GB"/>
    </w:rPr>
  </w:style>
  <w:style w:type="character" w:customStyle="1" w:styleId="CitaviBibliographySubheading2Char">
    <w:name w:val="Citavi Bibliography Subheading 2 Char"/>
    <w:basedOn w:val="BodyTextFirstIndentChar"/>
    <w:link w:val="CitaviBibliographySubheading2"/>
    <w:rsid w:val="005B1ABC"/>
    <w:rPr>
      <w:rFonts w:asciiTheme="majorHAnsi" w:eastAsia="Calibri" w:hAnsiTheme="majorHAnsi" w:cstheme="majorBidi"/>
      <w:b/>
      <w:bCs/>
      <w:color w:val="4F81BD" w:themeColor="accent1"/>
      <w:sz w:val="24"/>
      <w:lang w:eastAsia="en-GB"/>
    </w:rPr>
  </w:style>
  <w:style w:type="paragraph" w:customStyle="1" w:styleId="CitaviBibliographySubheading3">
    <w:name w:val="Citavi Bibliography Subheading 3"/>
    <w:basedOn w:val="Heading4"/>
    <w:link w:val="CitaviBibliographySubheading3Char"/>
    <w:rsid w:val="005B1ABC"/>
    <w:pPr>
      <w:spacing w:line="360" w:lineRule="auto"/>
      <w:ind w:firstLine="357"/>
      <w:outlineLvl w:val="9"/>
    </w:pPr>
    <w:rPr>
      <w:rFonts w:eastAsia="Calibri"/>
      <w:lang w:eastAsia="en-GB"/>
    </w:rPr>
  </w:style>
  <w:style w:type="character" w:customStyle="1" w:styleId="CitaviBibliographySubheading3Char">
    <w:name w:val="Citavi Bibliography Subheading 3 Char"/>
    <w:basedOn w:val="BodyTextFirstIndentChar"/>
    <w:link w:val="CitaviBibliographySubheading3"/>
    <w:rsid w:val="005B1ABC"/>
    <w:rPr>
      <w:rFonts w:asciiTheme="majorHAnsi" w:eastAsia="Calibri" w:hAnsiTheme="majorHAnsi" w:cstheme="majorBidi"/>
      <w:b/>
      <w:bCs/>
      <w:i/>
      <w:iCs/>
      <w:color w:val="4F81BD" w:themeColor="accent1"/>
      <w:sz w:val="24"/>
      <w:lang w:eastAsia="en-GB"/>
    </w:rPr>
  </w:style>
  <w:style w:type="paragraph" w:customStyle="1" w:styleId="CitaviBibliographySubheading4">
    <w:name w:val="Citavi Bibliography Subheading 4"/>
    <w:basedOn w:val="Heading5"/>
    <w:link w:val="CitaviBibliographySubheading4Char"/>
    <w:rsid w:val="005B1ABC"/>
    <w:pPr>
      <w:spacing w:line="360" w:lineRule="auto"/>
      <w:ind w:firstLine="357"/>
      <w:outlineLvl w:val="9"/>
    </w:pPr>
    <w:rPr>
      <w:rFonts w:eastAsia="Calibri"/>
    </w:rPr>
  </w:style>
  <w:style w:type="character" w:customStyle="1" w:styleId="CitaviBibliographySubheading4Char">
    <w:name w:val="Citavi Bibliography Subheading 4 Char"/>
    <w:basedOn w:val="BodyTextFirstIndentChar"/>
    <w:link w:val="CitaviBibliographySubheading4"/>
    <w:rsid w:val="005B1ABC"/>
    <w:rPr>
      <w:rFonts w:asciiTheme="majorHAnsi" w:eastAsia="Calibri" w:hAnsiTheme="majorHAnsi" w:cstheme="majorBidi"/>
      <w:color w:val="243F60" w:themeColor="accent1" w:themeShade="7F"/>
      <w:sz w:val="24"/>
      <w:lang w:eastAsia="en-GB"/>
    </w:rPr>
  </w:style>
  <w:style w:type="paragraph" w:customStyle="1" w:styleId="CitaviBibliographySubheading5">
    <w:name w:val="Citavi Bibliography Subheading 5"/>
    <w:basedOn w:val="Heading6"/>
    <w:link w:val="CitaviBibliographySubheading5Char"/>
    <w:rsid w:val="005B1ABC"/>
    <w:pPr>
      <w:spacing w:line="360" w:lineRule="auto"/>
      <w:ind w:firstLine="357"/>
      <w:outlineLvl w:val="9"/>
    </w:pPr>
    <w:rPr>
      <w:rFonts w:eastAsia="Calibri"/>
    </w:rPr>
  </w:style>
  <w:style w:type="character" w:customStyle="1" w:styleId="CitaviBibliographySubheading5Char">
    <w:name w:val="Citavi Bibliography Subheading 5 Char"/>
    <w:basedOn w:val="BodyTextFirstIndentChar"/>
    <w:link w:val="CitaviBibliographySubheading5"/>
    <w:rsid w:val="005B1ABC"/>
    <w:rPr>
      <w:rFonts w:asciiTheme="majorHAnsi" w:eastAsia="Calibri" w:hAnsiTheme="majorHAnsi" w:cstheme="majorBidi"/>
      <w:i/>
      <w:iCs/>
      <w:color w:val="243F60" w:themeColor="accent1" w:themeShade="7F"/>
      <w:sz w:val="24"/>
      <w:lang w:eastAsia="en-GB"/>
    </w:rPr>
  </w:style>
  <w:style w:type="paragraph" w:customStyle="1" w:styleId="CitaviBibliographySubheading6">
    <w:name w:val="Citavi Bibliography Subheading 6"/>
    <w:basedOn w:val="Heading7"/>
    <w:link w:val="CitaviBibliographySubheading6Char"/>
    <w:rsid w:val="005B1ABC"/>
    <w:pPr>
      <w:spacing w:line="360" w:lineRule="auto"/>
      <w:ind w:firstLine="357"/>
      <w:outlineLvl w:val="9"/>
    </w:pPr>
    <w:rPr>
      <w:rFonts w:eastAsia="Calibri"/>
    </w:rPr>
  </w:style>
  <w:style w:type="character" w:customStyle="1" w:styleId="CitaviBibliographySubheading6Char">
    <w:name w:val="Citavi Bibliography Subheading 6 Char"/>
    <w:basedOn w:val="BodyTextFirstIndentChar"/>
    <w:link w:val="CitaviBibliographySubheading6"/>
    <w:rsid w:val="005B1ABC"/>
    <w:rPr>
      <w:rFonts w:asciiTheme="majorHAnsi" w:eastAsia="Calibri" w:hAnsiTheme="majorHAnsi" w:cstheme="majorBidi"/>
      <w:i/>
      <w:iCs/>
      <w:color w:val="404040" w:themeColor="text1" w:themeTint="BF"/>
      <w:sz w:val="24"/>
      <w:lang w:eastAsia="en-GB"/>
    </w:rPr>
  </w:style>
  <w:style w:type="character" w:customStyle="1" w:styleId="Heading7Char">
    <w:name w:val="Heading 7 Char"/>
    <w:basedOn w:val="DefaultParagraphFont"/>
    <w:link w:val="Heading7"/>
    <w:uiPriority w:val="9"/>
    <w:semiHidden/>
    <w:rsid w:val="005B1ABC"/>
    <w:rPr>
      <w:rFonts w:asciiTheme="majorHAnsi" w:eastAsiaTheme="majorEastAsia" w:hAnsiTheme="majorHAnsi" w:cstheme="majorBidi"/>
      <w:i/>
      <w:iCs/>
      <w:color w:val="404040" w:themeColor="text1" w:themeTint="BF"/>
      <w:sz w:val="24"/>
      <w:lang w:eastAsia="en-GB"/>
    </w:rPr>
  </w:style>
  <w:style w:type="paragraph" w:customStyle="1" w:styleId="CitaviBibliographySubheading7">
    <w:name w:val="Citavi Bibliography Subheading 7"/>
    <w:basedOn w:val="Heading8"/>
    <w:link w:val="CitaviBibliographySubheading7Char"/>
    <w:rsid w:val="005B1ABC"/>
    <w:pPr>
      <w:spacing w:line="360" w:lineRule="auto"/>
      <w:ind w:firstLine="357"/>
      <w:outlineLvl w:val="9"/>
    </w:pPr>
    <w:rPr>
      <w:rFonts w:eastAsia="Calibri"/>
    </w:rPr>
  </w:style>
  <w:style w:type="character" w:customStyle="1" w:styleId="CitaviBibliographySubheading7Char">
    <w:name w:val="Citavi Bibliography Subheading 7 Char"/>
    <w:basedOn w:val="BodyTextFirstIndentChar"/>
    <w:link w:val="CitaviBibliographySubheading7"/>
    <w:rsid w:val="005B1ABC"/>
    <w:rPr>
      <w:rFonts w:asciiTheme="majorHAnsi" w:eastAsia="Calibri" w:hAnsiTheme="majorHAnsi" w:cstheme="majorBidi"/>
      <w:color w:val="404040" w:themeColor="text1" w:themeTint="BF"/>
      <w:sz w:val="20"/>
      <w:szCs w:val="20"/>
      <w:lang w:eastAsia="en-GB"/>
    </w:rPr>
  </w:style>
  <w:style w:type="character" w:customStyle="1" w:styleId="Heading8Char">
    <w:name w:val="Heading 8 Char"/>
    <w:basedOn w:val="DefaultParagraphFont"/>
    <w:link w:val="Heading8"/>
    <w:uiPriority w:val="9"/>
    <w:semiHidden/>
    <w:rsid w:val="005B1ABC"/>
    <w:rPr>
      <w:rFonts w:asciiTheme="majorHAnsi" w:eastAsiaTheme="majorEastAsia" w:hAnsiTheme="majorHAnsi" w:cstheme="majorBidi"/>
      <w:color w:val="404040" w:themeColor="text1" w:themeTint="BF"/>
      <w:sz w:val="20"/>
      <w:szCs w:val="20"/>
      <w:lang w:eastAsia="en-GB"/>
    </w:rPr>
  </w:style>
  <w:style w:type="paragraph" w:customStyle="1" w:styleId="CitaviBibliographySubheading8">
    <w:name w:val="Citavi Bibliography Subheading 8"/>
    <w:basedOn w:val="Heading9"/>
    <w:link w:val="CitaviBibliographySubheading8Char"/>
    <w:rsid w:val="005B1ABC"/>
    <w:pPr>
      <w:spacing w:line="360" w:lineRule="auto"/>
      <w:ind w:firstLine="357"/>
      <w:outlineLvl w:val="9"/>
    </w:pPr>
    <w:rPr>
      <w:rFonts w:eastAsia="Calibri"/>
    </w:rPr>
  </w:style>
  <w:style w:type="character" w:customStyle="1" w:styleId="CitaviBibliographySubheading8Char">
    <w:name w:val="Citavi Bibliography Subheading 8 Char"/>
    <w:basedOn w:val="BodyTextFirstIndentChar"/>
    <w:link w:val="CitaviBibliographySubheading8"/>
    <w:rsid w:val="005B1ABC"/>
    <w:rPr>
      <w:rFonts w:asciiTheme="majorHAnsi" w:eastAsia="Calibri" w:hAnsiTheme="majorHAnsi" w:cstheme="majorBidi"/>
      <w:i/>
      <w:iCs/>
      <w:color w:val="404040" w:themeColor="text1" w:themeTint="BF"/>
      <w:sz w:val="20"/>
      <w:szCs w:val="20"/>
      <w:lang w:eastAsia="en-GB"/>
    </w:rPr>
  </w:style>
  <w:style w:type="character" w:customStyle="1" w:styleId="Heading9Char">
    <w:name w:val="Heading 9 Char"/>
    <w:basedOn w:val="DefaultParagraphFont"/>
    <w:link w:val="Heading9"/>
    <w:uiPriority w:val="9"/>
    <w:semiHidden/>
    <w:rsid w:val="005B1ABC"/>
    <w:rPr>
      <w:rFonts w:asciiTheme="majorHAnsi" w:eastAsiaTheme="majorEastAsia" w:hAnsiTheme="majorHAnsi" w:cstheme="majorBidi"/>
      <w:i/>
      <w:iCs/>
      <w:color w:val="404040" w:themeColor="text1" w:themeTint="BF"/>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54084">
      <w:bodyDiv w:val="1"/>
      <w:marLeft w:val="0"/>
      <w:marRight w:val="0"/>
      <w:marTop w:val="0"/>
      <w:marBottom w:val="0"/>
      <w:divBdr>
        <w:top w:val="none" w:sz="0" w:space="0" w:color="auto"/>
        <w:left w:val="none" w:sz="0" w:space="0" w:color="auto"/>
        <w:bottom w:val="none" w:sz="0" w:space="0" w:color="auto"/>
        <w:right w:val="none" w:sz="0" w:space="0" w:color="auto"/>
      </w:divBdr>
    </w:div>
    <w:div w:id="799805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oleObject" Target="embeddings/oleObject1.bin"/><Relationship Id="rId47" Type="http://schemas.openxmlformats.org/officeDocument/2006/relationships/footer" Target="footer4.xml"/><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theme" Target="theme/theme1.xml"/><Relationship Id="rId16" Type="http://schemas.openxmlformats.org/officeDocument/2006/relationships/chart" Target="charts/chart3.xml"/><Relationship Id="rId11" Type="http://schemas.openxmlformats.org/officeDocument/2006/relationships/image" Target="media/image2.png"/><Relationship Id="rId32" Type="http://schemas.openxmlformats.org/officeDocument/2006/relationships/footer" Target="footer2.xml"/><Relationship Id="rId37" Type="http://schemas.openxmlformats.org/officeDocument/2006/relationships/image" Target="media/image21.png"/><Relationship Id="rId53" Type="http://schemas.openxmlformats.org/officeDocument/2006/relationships/chart" Target="charts/chart11.xml"/><Relationship Id="rId58" Type="http://schemas.openxmlformats.org/officeDocument/2006/relationships/image" Target="media/image31.png"/><Relationship Id="rId74" Type="http://schemas.openxmlformats.org/officeDocument/2006/relationships/image" Target="media/image47.jpeg"/><Relationship Id="rId79" Type="http://schemas.openxmlformats.org/officeDocument/2006/relationships/image" Target="media/image52.png"/><Relationship Id="rId5" Type="http://schemas.openxmlformats.org/officeDocument/2006/relationships/webSettings" Target="webSettings.xml"/><Relationship Id="rId61" Type="http://schemas.openxmlformats.org/officeDocument/2006/relationships/image" Target="media/image34.png"/><Relationship Id="rId82" Type="http://schemas.openxmlformats.org/officeDocument/2006/relationships/image" Target="media/image55.jpeg"/><Relationship Id="rId19" Type="http://schemas.openxmlformats.org/officeDocument/2006/relationships/image" Target="media/image6.png"/><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19.png"/><Relationship Id="rId43" Type="http://schemas.openxmlformats.org/officeDocument/2006/relationships/oleObject" Target="embeddings/oleObject2.bin"/><Relationship Id="rId48" Type="http://schemas.openxmlformats.org/officeDocument/2006/relationships/chart" Target="charts/chart6.xml"/><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image" Target="media/image42.png"/><Relationship Id="rId77" Type="http://schemas.openxmlformats.org/officeDocument/2006/relationships/image" Target="media/image50.jpeg"/><Relationship Id="rId8" Type="http://schemas.openxmlformats.org/officeDocument/2006/relationships/footer" Target="footer1.xml"/><Relationship Id="rId51" Type="http://schemas.openxmlformats.org/officeDocument/2006/relationships/chart" Target="charts/chart9.xml"/><Relationship Id="rId72" Type="http://schemas.openxmlformats.org/officeDocument/2006/relationships/image" Target="media/image45.png"/><Relationship Id="rId80" Type="http://schemas.openxmlformats.org/officeDocument/2006/relationships/image" Target="media/image53.jpe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chart" Target="charts/chart4.xml"/><Relationship Id="rId25" Type="http://schemas.openxmlformats.org/officeDocument/2006/relationships/image" Target="media/image12.png"/><Relationship Id="rId33" Type="http://schemas.openxmlformats.org/officeDocument/2006/relationships/footer" Target="footer3.xml"/><Relationship Id="rId38" Type="http://schemas.openxmlformats.org/officeDocument/2006/relationships/image" Target="media/image22.jpeg"/><Relationship Id="rId46" Type="http://schemas.openxmlformats.org/officeDocument/2006/relationships/image" Target="media/image26.png"/><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image" Target="media/image7.png"/><Relationship Id="rId41" Type="http://schemas.openxmlformats.org/officeDocument/2006/relationships/image" Target="media/image25.wmf"/><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image" Target="media/image43.png"/><Relationship Id="rId75" Type="http://schemas.openxmlformats.org/officeDocument/2006/relationships/image" Target="media/image48.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0.png"/><Relationship Id="rId49" Type="http://schemas.openxmlformats.org/officeDocument/2006/relationships/chart" Target="charts/chart7.xml"/><Relationship Id="rId57" Type="http://schemas.openxmlformats.org/officeDocument/2006/relationships/image" Target="media/image30.png"/><Relationship Id="rId10" Type="http://schemas.openxmlformats.org/officeDocument/2006/relationships/chart" Target="charts/chart1.xml"/><Relationship Id="rId31" Type="http://schemas.openxmlformats.org/officeDocument/2006/relationships/chart" Target="charts/chart5.xml"/><Relationship Id="rId44" Type="http://schemas.openxmlformats.org/officeDocument/2006/relationships/oleObject" Target="embeddings/oleObject3.bin"/><Relationship Id="rId52" Type="http://schemas.openxmlformats.org/officeDocument/2006/relationships/chart" Target="charts/chart10.xml"/><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6.png"/><Relationship Id="rId78" Type="http://schemas.openxmlformats.org/officeDocument/2006/relationships/image" Target="media/image51.jpeg"/><Relationship Id="rId81" Type="http://schemas.openxmlformats.org/officeDocument/2006/relationships/image" Target="media/image54.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chart" Target="charts/chart2.xml"/><Relationship Id="rId18" Type="http://schemas.openxmlformats.org/officeDocument/2006/relationships/image" Target="media/image5.jpeg"/><Relationship Id="rId39" Type="http://schemas.openxmlformats.org/officeDocument/2006/relationships/image" Target="media/image23.png"/><Relationship Id="rId34" Type="http://schemas.openxmlformats.org/officeDocument/2006/relationships/image" Target="media/image18.JPG"/><Relationship Id="rId50" Type="http://schemas.openxmlformats.org/officeDocument/2006/relationships/chart" Target="charts/chart8.xml"/><Relationship Id="rId55" Type="http://schemas.openxmlformats.org/officeDocument/2006/relationships/image" Target="media/image28.png"/><Relationship Id="rId76" Type="http://schemas.openxmlformats.org/officeDocument/2006/relationships/image" Target="media/image49.jpeg"/><Relationship Id="rId7" Type="http://schemas.openxmlformats.org/officeDocument/2006/relationships/endnotes" Target="endnotes.xml"/><Relationship Id="rId71" Type="http://schemas.openxmlformats.org/officeDocument/2006/relationships/image" Target="media/image44.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4.png"/><Relationship Id="rId45" Type="http://schemas.openxmlformats.org/officeDocument/2006/relationships/oleObject" Target="embeddings/oleObject4.bin"/><Relationship Id="rId66" Type="http://schemas.openxmlformats.org/officeDocument/2006/relationships/image" Target="media/image39.png"/></Relationships>
</file>

<file path=word/charts/_rels/chart1.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jimbo\Desktop\Dissertation\Septembr.xlsx" TargetMode="External"/></Relationships>
</file>

<file path=word/charts/_rels/chart11.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7.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User\Google%20Drive\Thesis\Chapter%201\Book1.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Book3"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2120151647710712E-2"/>
          <c:y val="4.9861130014917932E-2"/>
          <c:w val="0.51003431806750554"/>
          <c:h val="0.93149980245861796"/>
        </c:manualLayout>
      </c:layout>
      <c:pieChart>
        <c:varyColors val="1"/>
        <c:ser>
          <c:idx val="0"/>
          <c:order val="0"/>
          <c:explosion val="6"/>
          <c:dPt>
            <c:idx val="4"/>
            <c:bubble3D val="0"/>
            <c:explosion val="3"/>
            <c:spPr>
              <a:solidFill>
                <a:schemeClr val="accent6">
                  <a:lumMod val="75000"/>
                </a:schemeClr>
              </a:solidFill>
            </c:spPr>
            <c:extLst>
              <c:ext xmlns:c16="http://schemas.microsoft.com/office/drawing/2014/chart" uri="{C3380CC4-5D6E-409C-BE32-E72D297353CC}">
                <c16:uniqueId val="{00000001-D6F2-40B0-BDF4-AA8A574968CC}"/>
              </c:ext>
            </c:extLst>
          </c:dPt>
          <c:dLbls>
            <c:dLbl>
              <c:idx val="0"/>
              <c:layout>
                <c:manualLayout>
                  <c:x val="-0.10470194104815607"/>
                  <c:y val="0.1482682080470281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6F2-40B0-BDF4-AA8A574968CC}"/>
                </c:ext>
              </c:extLst>
            </c:dLbl>
            <c:dLbl>
              <c:idx val="1"/>
              <c:layout>
                <c:manualLayout>
                  <c:x val="-9.3749745928223618E-2"/>
                  <c:y val="-0.13325889991305268"/>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6F2-40B0-BDF4-AA8A574968CC}"/>
                </c:ext>
              </c:extLst>
            </c:dLbl>
            <c:dLbl>
              <c:idx val="2"/>
              <c:layout>
                <c:manualLayout>
                  <c:x val="5.8005519464440866E-2"/>
                  <c:y val="-0.1400917309578728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6F2-40B0-BDF4-AA8A574968CC}"/>
                </c:ext>
              </c:extLst>
            </c:dLbl>
            <c:dLbl>
              <c:idx val="3"/>
              <c:layout>
                <c:manualLayout>
                  <c:x val="0.11566294350427472"/>
                  <c:y val="9.975167245508469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6F2-40B0-BDF4-AA8A574968CC}"/>
                </c:ext>
              </c:extLst>
            </c:dLbl>
            <c:dLbl>
              <c:idx val="4"/>
              <c:layout>
                <c:manualLayout>
                  <c:x val="1.150071430944551E-2"/>
                  <c:y val="9.617443973349494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6F2-40B0-BDF4-AA8A574968CC}"/>
                </c:ext>
              </c:extLst>
            </c:dLbl>
            <c:numFmt formatCode="General" sourceLinked="0"/>
            <c:spPr>
              <a:noFill/>
              <a:ln>
                <a:noFill/>
              </a:ln>
              <a:effectLst/>
            </c:spPr>
            <c:txPr>
              <a:bodyPr/>
              <a:lstStyle/>
              <a:p>
                <a:pPr>
                  <a:defRPr sz="1600">
                    <a:latin typeface="Times New Roman" panose="02020603050405020304" pitchFamily="18" charset="0"/>
                    <a:cs typeface="Times New Roman" panose="02020603050405020304" pitchFamily="18" charset="0"/>
                  </a:defRPr>
                </a:pPr>
                <a:endParaRPr lang="en-US"/>
              </a:p>
            </c:txPr>
            <c:dLblPos val="ctr"/>
            <c:showLegendKey val="0"/>
            <c:showVal val="1"/>
            <c:showCatName val="0"/>
            <c:showSerName val="0"/>
            <c:showPercent val="0"/>
            <c:showBubbleSize val="0"/>
            <c:showLeaderLines val="1"/>
            <c:extLst>
              <c:ext xmlns:c15="http://schemas.microsoft.com/office/drawing/2012/chart" uri="{CE6537A1-D6FC-4f65-9D91-7224C49458BB}"/>
            </c:extLst>
          </c:dLbls>
          <c:cat>
            <c:strRef>
              <c:f>Sheet1!$A$1:$A$5</c:f>
              <c:strCache>
                <c:ptCount val="5"/>
                <c:pt idx="0">
                  <c:v>Industry</c:v>
                </c:pt>
                <c:pt idx="1">
                  <c:v>Residential</c:v>
                </c:pt>
                <c:pt idx="2">
                  <c:v>Commercial</c:v>
                </c:pt>
                <c:pt idx="3">
                  <c:v>Transportation</c:v>
                </c:pt>
                <c:pt idx="4">
                  <c:v>Others</c:v>
                </c:pt>
              </c:strCache>
            </c:strRef>
          </c:cat>
          <c:val>
            <c:numRef>
              <c:f>Sheet1!$B$1:$B$5</c:f>
              <c:numCache>
                <c:formatCode>General</c:formatCode>
                <c:ptCount val="5"/>
                <c:pt idx="0">
                  <c:v>29</c:v>
                </c:pt>
                <c:pt idx="1">
                  <c:v>27</c:v>
                </c:pt>
                <c:pt idx="2">
                  <c:v>8</c:v>
                </c:pt>
                <c:pt idx="3">
                  <c:v>33</c:v>
                </c:pt>
                <c:pt idx="4">
                  <c:v>3</c:v>
                </c:pt>
              </c:numCache>
            </c:numRef>
          </c:val>
          <c:extLst>
            <c:ext xmlns:c16="http://schemas.microsoft.com/office/drawing/2014/chart" uri="{C3380CC4-5D6E-409C-BE32-E72D297353CC}">
              <c16:uniqueId val="{00000006-D6F2-40B0-BDF4-AA8A574968CC}"/>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2768201432448067"/>
          <c:y val="0.11519852153312303"/>
          <c:w val="0.30911624182570396"/>
          <c:h val="0.78660909321818784"/>
        </c:manualLayout>
      </c:layout>
      <c:overlay val="0"/>
      <c:txPr>
        <a:bodyPr/>
        <a:lstStyle/>
        <a:p>
          <a:pPr>
            <a:defRPr sz="1400">
              <a:latin typeface="Times New Roman" panose="02020603050405020304" pitchFamily="18" charset="0"/>
              <a:cs typeface="Times New Roman" panose="02020603050405020304" pitchFamily="18" charset="0"/>
            </a:defRPr>
          </a:pPr>
          <a:endParaRPr lang="en-US"/>
        </a:p>
      </c:txPr>
    </c:legend>
    <c:plotVisOnly val="1"/>
    <c:dispBlanksAs val="zero"/>
    <c:showDLblsOverMax val="0"/>
  </c:chart>
  <c:spPr>
    <a:ln>
      <a:solidFill>
        <a:schemeClr val="tx1"/>
      </a:solid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58011239620972"/>
          <c:y val="3.1523773282986473E-2"/>
          <c:w val="0.84784035716465678"/>
          <c:h val="0.85528567293400581"/>
        </c:manualLayout>
      </c:layout>
      <c:scatterChart>
        <c:scatterStyle val="smoothMarker"/>
        <c:varyColors val="0"/>
        <c:ser>
          <c:idx val="0"/>
          <c:order val="0"/>
          <c:tx>
            <c:strRef>
              <c:f>Sheet1!$B$1</c:f>
              <c:strCache>
                <c:ptCount val="1"/>
                <c:pt idx="0">
                  <c:v>Direct irradiance (W/m^2)</c:v>
                </c:pt>
              </c:strCache>
            </c:strRef>
          </c:tx>
          <c:spPr>
            <a:ln w="12700" cap="rnd">
              <a:solidFill>
                <a:srgbClr val="00B050"/>
              </a:solidFill>
              <a:round/>
            </a:ln>
            <a:effectLst/>
          </c:spPr>
          <c:marker>
            <c:symbol val="none"/>
          </c:marker>
          <c:xVal>
            <c:numRef>
              <c:f>Sheet1!$A$2:$A$1441</c:f>
              <c:numCache>
                <c:formatCode>h:mm</c:formatCode>
                <c:ptCount val="1440"/>
                <c:pt idx="0">
                  <c:v>41883</c:v>
                </c:pt>
                <c:pt idx="1">
                  <c:v>41883.000694444447</c:v>
                </c:pt>
                <c:pt idx="2">
                  <c:v>41883.001388888886</c:v>
                </c:pt>
                <c:pt idx="3">
                  <c:v>41883.002083333333</c:v>
                </c:pt>
                <c:pt idx="4">
                  <c:v>41883.00277777778</c:v>
                </c:pt>
                <c:pt idx="5">
                  <c:v>41883.003472222219</c:v>
                </c:pt>
                <c:pt idx="6">
                  <c:v>41883.004166666666</c:v>
                </c:pt>
                <c:pt idx="7">
                  <c:v>41883.004861111112</c:v>
                </c:pt>
                <c:pt idx="8">
                  <c:v>41883.005555555559</c:v>
                </c:pt>
                <c:pt idx="9">
                  <c:v>41883.006249999999</c:v>
                </c:pt>
                <c:pt idx="10">
                  <c:v>41883.006944444445</c:v>
                </c:pt>
                <c:pt idx="11">
                  <c:v>41883.007638888892</c:v>
                </c:pt>
                <c:pt idx="12">
                  <c:v>41883.008333333331</c:v>
                </c:pt>
                <c:pt idx="13">
                  <c:v>41883.009027777778</c:v>
                </c:pt>
                <c:pt idx="14">
                  <c:v>41883.009722222225</c:v>
                </c:pt>
                <c:pt idx="15">
                  <c:v>41883.010416666664</c:v>
                </c:pt>
                <c:pt idx="16">
                  <c:v>41883.011111111111</c:v>
                </c:pt>
                <c:pt idx="17">
                  <c:v>41883.011805555558</c:v>
                </c:pt>
                <c:pt idx="18">
                  <c:v>41883.012499999997</c:v>
                </c:pt>
                <c:pt idx="19">
                  <c:v>41883.013194444444</c:v>
                </c:pt>
                <c:pt idx="20">
                  <c:v>41883.013888888891</c:v>
                </c:pt>
                <c:pt idx="21">
                  <c:v>41883.01458333333</c:v>
                </c:pt>
                <c:pt idx="22">
                  <c:v>41883.015277777777</c:v>
                </c:pt>
                <c:pt idx="23">
                  <c:v>41883.015972222223</c:v>
                </c:pt>
                <c:pt idx="24">
                  <c:v>41883.01666666667</c:v>
                </c:pt>
                <c:pt idx="25">
                  <c:v>41883.017361111109</c:v>
                </c:pt>
                <c:pt idx="26">
                  <c:v>41883.018055555556</c:v>
                </c:pt>
                <c:pt idx="27">
                  <c:v>41883.018750000003</c:v>
                </c:pt>
                <c:pt idx="28">
                  <c:v>41883.019444444442</c:v>
                </c:pt>
                <c:pt idx="29">
                  <c:v>41883.020138888889</c:v>
                </c:pt>
                <c:pt idx="30">
                  <c:v>41883.020833333336</c:v>
                </c:pt>
                <c:pt idx="31">
                  <c:v>41883.021527777775</c:v>
                </c:pt>
                <c:pt idx="32">
                  <c:v>41883.022222222222</c:v>
                </c:pt>
                <c:pt idx="33">
                  <c:v>41883.022916666669</c:v>
                </c:pt>
                <c:pt idx="34">
                  <c:v>41883.023611111108</c:v>
                </c:pt>
                <c:pt idx="35">
                  <c:v>41883.024305555555</c:v>
                </c:pt>
                <c:pt idx="36">
                  <c:v>41883.025000000001</c:v>
                </c:pt>
                <c:pt idx="37">
                  <c:v>41883.025694444441</c:v>
                </c:pt>
                <c:pt idx="38">
                  <c:v>41883.026388888888</c:v>
                </c:pt>
                <c:pt idx="39">
                  <c:v>41883.027083333334</c:v>
                </c:pt>
                <c:pt idx="40">
                  <c:v>41883.027777777781</c:v>
                </c:pt>
                <c:pt idx="41">
                  <c:v>41883.02847222222</c:v>
                </c:pt>
                <c:pt idx="42">
                  <c:v>41883.029166666667</c:v>
                </c:pt>
                <c:pt idx="43">
                  <c:v>41883.029861111114</c:v>
                </c:pt>
                <c:pt idx="44">
                  <c:v>41883.030555555553</c:v>
                </c:pt>
                <c:pt idx="45">
                  <c:v>41883.03125</c:v>
                </c:pt>
                <c:pt idx="46">
                  <c:v>41883.031944444447</c:v>
                </c:pt>
                <c:pt idx="47">
                  <c:v>41883.032638888886</c:v>
                </c:pt>
                <c:pt idx="48">
                  <c:v>41883.033333333333</c:v>
                </c:pt>
                <c:pt idx="49">
                  <c:v>41883.03402777778</c:v>
                </c:pt>
                <c:pt idx="50">
                  <c:v>41883.034722222219</c:v>
                </c:pt>
                <c:pt idx="51">
                  <c:v>41883.035416666666</c:v>
                </c:pt>
                <c:pt idx="52">
                  <c:v>41883.036111111112</c:v>
                </c:pt>
                <c:pt idx="53">
                  <c:v>41883.036805555559</c:v>
                </c:pt>
                <c:pt idx="54">
                  <c:v>41883.037499999999</c:v>
                </c:pt>
                <c:pt idx="55">
                  <c:v>41883.038194444445</c:v>
                </c:pt>
                <c:pt idx="56">
                  <c:v>41883.038888888892</c:v>
                </c:pt>
                <c:pt idx="57">
                  <c:v>41883.039583333331</c:v>
                </c:pt>
                <c:pt idx="58">
                  <c:v>41883.040277777778</c:v>
                </c:pt>
                <c:pt idx="59">
                  <c:v>41883.040972222225</c:v>
                </c:pt>
                <c:pt idx="60">
                  <c:v>41883.041666666664</c:v>
                </c:pt>
                <c:pt idx="61">
                  <c:v>41883.042361111111</c:v>
                </c:pt>
                <c:pt idx="62">
                  <c:v>41883.043055555558</c:v>
                </c:pt>
                <c:pt idx="63">
                  <c:v>41883.043749999997</c:v>
                </c:pt>
                <c:pt idx="64">
                  <c:v>41883.044444444444</c:v>
                </c:pt>
                <c:pt idx="65">
                  <c:v>41883.045138888891</c:v>
                </c:pt>
                <c:pt idx="66">
                  <c:v>41883.04583333333</c:v>
                </c:pt>
                <c:pt idx="67">
                  <c:v>41883.046527777777</c:v>
                </c:pt>
                <c:pt idx="68">
                  <c:v>41883.047222222223</c:v>
                </c:pt>
                <c:pt idx="69">
                  <c:v>41883.04791666667</c:v>
                </c:pt>
                <c:pt idx="70">
                  <c:v>41883.048611111109</c:v>
                </c:pt>
                <c:pt idx="71">
                  <c:v>41883.049305555556</c:v>
                </c:pt>
                <c:pt idx="72">
                  <c:v>41883.050000000003</c:v>
                </c:pt>
                <c:pt idx="73">
                  <c:v>41883.050694444442</c:v>
                </c:pt>
                <c:pt idx="74">
                  <c:v>41883.051388888889</c:v>
                </c:pt>
                <c:pt idx="75">
                  <c:v>41883.052083333336</c:v>
                </c:pt>
                <c:pt idx="76">
                  <c:v>41883.052777777775</c:v>
                </c:pt>
                <c:pt idx="77">
                  <c:v>41883.053472222222</c:v>
                </c:pt>
                <c:pt idx="78">
                  <c:v>41883.054166666669</c:v>
                </c:pt>
                <c:pt idx="79">
                  <c:v>41883.054861111108</c:v>
                </c:pt>
                <c:pt idx="80">
                  <c:v>41883.055555555555</c:v>
                </c:pt>
                <c:pt idx="81">
                  <c:v>41883.056250000001</c:v>
                </c:pt>
                <c:pt idx="82">
                  <c:v>41883.056944444441</c:v>
                </c:pt>
                <c:pt idx="83">
                  <c:v>41883.057638888888</c:v>
                </c:pt>
                <c:pt idx="84">
                  <c:v>41883.058333333334</c:v>
                </c:pt>
                <c:pt idx="85">
                  <c:v>41883.059027777781</c:v>
                </c:pt>
                <c:pt idx="86">
                  <c:v>41883.05972222222</c:v>
                </c:pt>
                <c:pt idx="87">
                  <c:v>41883.060416666667</c:v>
                </c:pt>
                <c:pt idx="88">
                  <c:v>41883.061111111114</c:v>
                </c:pt>
                <c:pt idx="89">
                  <c:v>41883.061805555553</c:v>
                </c:pt>
                <c:pt idx="90">
                  <c:v>41883.0625</c:v>
                </c:pt>
                <c:pt idx="91">
                  <c:v>41883.063194444447</c:v>
                </c:pt>
                <c:pt idx="92">
                  <c:v>41883.063888888886</c:v>
                </c:pt>
                <c:pt idx="93">
                  <c:v>41883.064583333333</c:v>
                </c:pt>
                <c:pt idx="94">
                  <c:v>41883.06527777778</c:v>
                </c:pt>
                <c:pt idx="95">
                  <c:v>41883.065972222219</c:v>
                </c:pt>
                <c:pt idx="96">
                  <c:v>41883.066666666666</c:v>
                </c:pt>
                <c:pt idx="97">
                  <c:v>41883.067361111112</c:v>
                </c:pt>
                <c:pt idx="98">
                  <c:v>41883.068055555559</c:v>
                </c:pt>
                <c:pt idx="99">
                  <c:v>41883.068749999999</c:v>
                </c:pt>
                <c:pt idx="100">
                  <c:v>41883.069444444445</c:v>
                </c:pt>
                <c:pt idx="101">
                  <c:v>41883.070138888892</c:v>
                </c:pt>
                <c:pt idx="102">
                  <c:v>41883.070833333331</c:v>
                </c:pt>
                <c:pt idx="103">
                  <c:v>41883.071527777778</c:v>
                </c:pt>
                <c:pt idx="104">
                  <c:v>41883.072222222225</c:v>
                </c:pt>
                <c:pt idx="105">
                  <c:v>41883.072916666664</c:v>
                </c:pt>
                <c:pt idx="106">
                  <c:v>41883.073611111111</c:v>
                </c:pt>
                <c:pt idx="107">
                  <c:v>41883.074305555558</c:v>
                </c:pt>
                <c:pt idx="108">
                  <c:v>41883.074999999997</c:v>
                </c:pt>
                <c:pt idx="109">
                  <c:v>41883.075694444444</c:v>
                </c:pt>
                <c:pt idx="110">
                  <c:v>41883.076388888891</c:v>
                </c:pt>
                <c:pt idx="111">
                  <c:v>41883.07708333333</c:v>
                </c:pt>
                <c:pt idx="112">
                  <c:v>41883.077777777777</c:v>
                </c:pt>
                <c:pt idx="113">
                  <c:v>41883.078472222223</c:v>
                </c:pt>
                <c:pt idx="114">
                  <c:v>41883.07916666667</c:v>
                </c:pt>
                <c:pt idx="115">
                  <c:v>41883.079861111109</c:v>
                </c:pt>
                <c:pt idx="116">
                  <c:v>41883.080555555556</c:v>
                </c:pt>
                <c:pt idx="117">
                  <c:v>41883.081250000003</c:v>
                </c:pt>
                <c:pt idx="118">
                  <c:v>41883.081944444442</c:v>
                </c:pt>
                <c:pt idx="119">
                  <c:v>41883.082638888889</c:v>
                </c:pt>
                <c:pt idx="120">
                  <c:v>41883.083333333336</c:v>
                </c:pt>
                <c:pt idx="121">
                  <c:v>41883.084027777775</c:v>
                </c:pt>
                <c:pt idx="122">
                  <c:v>41883.084722222222</c:v>
                </c:pt>
                <c:pt idx="123">
                  <c:v>41883.085416666669</c:v>
                </c:pt>
                <c:pt idx="124">
                  <c:v>41883.086111111108</c:v>
                </c:pt>
                <c:pt idx="125">
                  <c:v>41883.086805555555</c:v>
                </c:pt>
                <c:pt idx="126">
                  <c:v>41883.087500000001</c:v>
                </c:pt>
                <c:pt idx="127">
                  <c:v>41883.088194444441</c:v>
                </c:pt>
                <c:pt idx="128">
                  <c:v>41883.088888888888</c:v>
                </c:pt>
                <c:pt idx="129">
                  <c:v>41883.089583333334</c:v>
                </c:pt>
                <c:pt idx="130">
                  <c:v>41883.090277777781</c:v>
                </c:pt>
                <c:pt idx="131">
                  <c:v>41883.09097222222</c:v>
                </c:pt>
                <c:pt idx="132">
                  <c:v>41883.091666666667</c:v>
                </c:pt>
                <c:pt idx="133">
                  <c:v>41883.092361111114</c:v>
                </c:pt>
                <c:pt idx="134">
                  <c:v>41883.093055555553</c:v>
                </c:pt>
                <c:pt idx="135">
                  <c:v>41883.09375</c:v>
                </c:pt>
                <c:pt idx="136">
                  <c:v>41883.094444444447</c:v>
                </c:pt>
                <c:pt idx="137">
                  <c:v>41883.095138888886</c:v>
                </c:pt>
                <c:pt idx="138">
                  <c:v>41883.095833333333</c:v>
                </c:pt>
                <c:pt idx="139">
                  <c:v>41883.09652777778</c:v>
                </c:pt>
                <c:pt idx="140">
                  <c:v>41883.097222222219</c:v>
                </c:pt>
                <c:pt idx="141">
                  <c:v>41883.097916666666</c:v>
                </c:pt>
                <c:pt idx="142">
                  <c:v>41883.098611111112</c:v>
                </c:pt>
                <c:pt idx="143">
                  <c:v>41883.099305555559</c:v>
                </c:pt>
                <c:pt idx="144">
                  <c:v>41883.1</c:v>
                </c:pt>
                <c:pt idx="145">
                  <c:v>41883.100694444445</c:v>
                </c:pt>
                <c:pt idx="146">
                  <c:v>41883.101388888892</c:v>
                </c:pt>
                <c:pt idx="147">
                  <c:v>41883.102083333331</c:v>
                </c:pt>
                <c:pt idx="148">
                  <c:v>41883.102777777778</c:v>
                </c:pt>
                <c:pt idx="149">
                  <c:v>41883.103472222225</c:v>
                </c:pt>
                <c:pt idx="150">
                  <c:v>41883.104166666664</c:v>
                </c:pt>
                <c:pt idx="151">
                  <c:v>41883.104861111111</c:v>
                </c:pt>
                <c:pt idx="152">
                  <c:v>41883.105555555558</c:v>
                </c:pt>
                <c:pt idx="153">
                  <c:v>41883.106249999997</c:v>
                </c:pt>
                <c:pt idx="154">
                  <c:v>41883.106944444444</c:v>
                </c:pt>
                <c:pt idx="155">
                  <c:v>41883.107638888891</c:v>
                </c:pt>
                <c:pt idx="156">
                  <c:v>41883.10833333333</c:v>
                </c:pt>
                <c:pt idx="157">
                  <c:v>41883.109027777777</c:v>
                </c:pt>
                <c:pt idx="158">
                  <c:v>41883.109722222223</c:v>
                </c:pt>
                <c:pt idx="159">
                  <c:v>41883.11041666667</c:v>
                </c:pt>
                <c:pt idx="160">
                  <c:v>41883.111111111109</c:v>
                </c:pt>
                <c:pt idx="161">
                  <c:v>41883.111805555556</c:v>
                </c:pt>
                <c:pt idx="162">
                  <c:v>41883.112500000003</c:v>
                </c:pt>
                <c:pt idx="163">
                  <c:v>41883.113194444442</c:v>
                </c:pt>
                <c:pt idx="164">
                  <c:v>41883.113888888889</c:v>
                </c:pt>
                <c:pt idx="165">
                  <c:v>41883.114583333336</c:v>
                </c:pt>
                <c:pt idx="166">
                  <c:v>41883.115277777775</c:v>
                </c:pt>
                <c:pt idx="167">
                  <c:v>41883.115972222222</c:v>
                </c:pt>
                <c:pt idx="168">
                  <c:v>41883.116666666669</c:v>
                </c:pt>
                <c:pt idx="169">
                  <c:v>41883.117361111108</c:v>
                </c:pt>
                <c:pt idx="170">
                  <c:v>41883.118055555555</c:v>
                </c:pt>
                <c:pt idx="171">
                  <c:v>41883.118750000001</c:v>
                </c:pt>
                <c:pt idx="172">
                  <c:v>41883.119444444441</c:v>
                </c:pt>
                <c:pt idx="173">
                  <c:v>41883.120138888888</c:v>
                </c:pt>
                <c:pt idx="174">
                  <c:v>41883.120833333334</c:v>
                </c:pt>
                <c:pt idx="175">
                  <c:v>41883.121527777781</c:v>
                </c:pt>
                <c:pt idx="176">
                  <c:v>41883.12222222222</c:v>
                </c:pt>
                <c:pt idx="177">
                  <c:v>41883.122916666667</c:v>
                </c:pt>
                <c:pt idx="178">
                  <c:v>41883.123611111114</c:v>
                </c:pt>
                <c:pt idx="179">
                  <c:v>41883.124305555553</c:v>
                </c:pt>
                <c:pt idx="180">
                  <c:v>41883.125</c:v>
                </c:pt>
                <c:pt idx="181">
                  <c:v>41883.125694444447</c:v>
                </c:pt>
                <c:pt idx="182">
                  <c:v>41883.126388888886</c:v>
                </c:pt>
                <c:pt idx="183">
                  <c:v>41883.127083333333</c:v>
                </c:pt>
                <c:pt idx="184">
                  <c:v>41883.12777777778</c:v>
                </c:pt>
                <c:pt idx="185">
                  <c:v>41883.128472222219</c:v>
                </c:pt>
                <c:pt idx="186">
                  <c:v>41883.129166666666</c:v>
                </c:pt>
                <c:pt idx="187">
                  <c:v>41883.129861111112</c:v>
                </c:pt>
                <c:pt idx="188">
                  <c:v>41883.130555555559</c:v>
                </c:pt>
                <c:pt idx="189">
                  <c:v>41883.131249999999</c:v>
                </c:pt>
                <c:pt idx="190">
                  <c:v>41883.131944444445</c:v>
                </c:pt>
                <c:pt idx="191">
                  <c:v>41883.132638888892</c:v>
                </c:pt>
                <c:pt idx="192">
                  <c:v>41883.133333333331</c:v>
                </c:pt>
                <c:pt idx="193">
                  <c:v>41883.134027777778</c:v>
                </c:pt>
                <c:pt idx="194">
                  <c:v>41883.134722222225</c:v>
                </c:pt>
                <c:pt idx="195">
                  <c:v>41883.135416666664</c:v>
                </c:pt>
                <c:pt idx="196">
                  <c:v>41883.136111111111</c:v>
                </c:pt>
                <c:pt idx="197">
                  <c:v>41883.136805555558</c:v>
                </c:pt>
                <c:pt idx="198">
                  <c:v>41883.137499999997</c:v>
                </c:pt>
                <c:pt idx="199">
                  <c:v>41883.138194444444</c:v>
                </c:pt>
                <c:pt idx="200">
                  <c:v>41883.138888888891</c:v>
                </c:pt>
                <c:pt idx="201">
                  <c:v>41883.13958333333</c:v>
                </c:pt>
                <c:pt idx="202">
                  <c:v>41883.140277777777</c:v>
                </c:pt>
                <c:pt idx="203">
                  <c:v>41883.140972222223</c:v>
                </c:pt>
                <c:pt idx="204">
                  <c:v>41883.14166666667</c:v>
                </c:pt>
                <c:pt idx="205">
                  <c:v>41883.142361111109</c:v>
                </c:pt>
                <c:pt idx="206">
                  <c:v>41883.143055555556</c:v>
                </c:pt>
                <c:pt idx="207">
                  <c:v>41883.143750000003</c:v>
                </c:pt>
                <c:pt idx="208">
                  <c:v>41883.144444444442</c:v>
                </c:pt>
                <c:pt idx="209">
                  <c:v>41883.145138888889</c:v>
                </c:pt>
                <c:pt idx="210">
                  <c:v>41883.145833333336</c:v>
                </c:pt>
                <c:pt idx="211">
                  <c:v>41883.146527777775</c:v>
                </c:pt>
                <c:pt idx="212">
                  <c:v>41883.147222222222</c:v>
                </c:pt>
                <c:pt idx="213">
                  <c:v>41883.147916666669</c:v>
                </c:pt>
                <c:pt idx="214">
                  <c:v>41883.148611111108</c:v>
                </c:pt>
                <c:pt idx="215">
                  <c:v>41883.149305555555</c:v>
                </c:pt>
                <c:pt idx="216">
                  <c:v>41883.15</c:v>
                </c:pt>
                <c:pt idx="217">
                  <c:v>41883.150694444441</c:v>
                </c:pt>
                <c:pt idx="218">
                  <c:v>41883.151388888888</c:v>
                </c:pt>
                <c:pt idx="219">
                  <c:v>41883.152083333334</c:v>
                </c:pt>
                <c:pt idx="220">
                  <c:v>41883.152777777781</c:v>
                </c:pt>
                <c:pt idx="221">
                  <c:v>41883.15347222222</c:v>
                </c:pt>
                <c:pt idx="222">
                  <c:v>41883.154166666667</c:v>
                </c:pt>
                <c:pt idx="223">
                  <c:v>41883.154861111114</c:v>
                </c:pt>
                <c:pt idx="224">
                  <c:v>41883.155555555553</c:v>
                </c:pt>
                <c:pt idx="225">
                  <c:v>41883.15625</c:v>
                </c:pt>
                <c:pt idx="226">
                  <c:v>41883.156944444447</c:v>
                </c:pt>
                <c:pt idx="227">
                  <c:v>41883.157638888886</c:v>
                </c:pt>
                <c:pt idx="228">
                  <c:v>41883.158333333333</c:v>
                </c:pt>
                <c:pt idx="229">
                  <c:v>41883.15902777778</c:v>
                </c:pt>
                <c:pt idx="230">
                  <c:v>41883.159722222219</c:v>
                </c:pt>
                <c:pt idx="231">
                  <c:v>41883.160416666666</c:v>
                </c:pt>
                <c:pt idx="232">
                  <c:v>41883.161111111112</c:v>
                </c:pt>
                <c:pt idx="233">
                  <c:v>41883.161805555559</c:v>
                </c:pt>
                <c:pt idx="234">
                  <c:v>41883.162499999999</c:v>
                </c:pt>
                <c:pt idx="235">
                  <c:v>41883.163194444445</c:v>
                </c:pt>
                <c:pt idx="236">
                  <c:v>41883.163888888892</c:v>
                </c:pt>
                <c:pt idx="237">
                  <c:v>41883.164583333331</c:v>
                </c:pt>
                <c:pt idx="238">
                  <c:v>41883.165277777778</c:v>
                </c:pt>
                <c:pt idx="239">
                  <c:v>41883.165972222225</c:v>
                </c:pt>
                <c:pt idx="240">
                  <c:v>41883.166666666664</c:v>
                </c:pt>
                <c:pt idx="241">
                  <c:v>41883.167361111111</c:v>
                </c:pt>
                <c:pt idx="242">
                  <c:v>41883.168055555558</c:v>
                </c:pt>
                <c:pt idx="243">
                  <c:v>41883.168749999997</c:v>
                </c:pt>
                <c:pt idx="244">
                  <c:v>41883.169444444444</c:v>
                </c:pt>
                <c:pt idx="245">
                  <c:v>41883.170138888891</c:v>
                </c:pt>
                <c:pt idx="246">
                  <c:v>41883.17083333333</c:v>
                </c:pt>
                <c:pt idx="247">
                  <c:v>41883.171527777777</c:v>
                </c:pt>
                <c:pt idx="248">
                  <c:v>41883.172222222223</c:v>
                </c:pt>
                <c:pt idx="249">
                  <c:v>41883.17291666667</c:v>
                </c:pt>
                <c:pt idx="250">
                  <c:v>41883.173611111109</c:v>
                </c:pt>
                <c:pt idx="251">
                  <c:v>41883.174305555556</c:v>
                </c:pt>
                <c:pt idx="252">
                  <c:v>41883.175000000003</c:v>
                </c:pt>
                <c:pt idx="253">
                  <c:v>41883.175694444442</c:v>
                </c:pt>
                <c:pt idx="254">
                  <c:v>41883.176388888889</c:v>
                </c:pt>
                <c:pt idx="255">
                  <c:v>41883.177083333336</c:v>
                </c:pt>
                <c:pt idx="256">
                  <c:v>41883.177777777775</c:v>
                </c:pt>
                <c:pt idx="257">
                  <c:v>41883.178472222222</c:v>
                </c:pt>
                <c:pt idx="258">
                  <c:v>41883.179166666669</c:v>
                </c:pt>
                <c:pt idx="259">
                  <c:v>41883.179861111108</c:v>
                </c:pt>
                <c:pt idx="260">
                  <c:v>41883.180555555555</c:v>
                </c:pt>
                <c:pt idx="261">
                  <c:v>41883.181250000001</c:v>
                </c:pt>
                <c:pt idx="262">
                  <c:v>41883.181944444441</c:v>
                </c:pt>
                <c:pt idx="263">
                  <c:v>41883.182638888888</c:v>
                </c:pt>
                <c:pt idx="264">
                  <c:v>41883.183333333334</c:v>
                </c:pt>
                <c:pt idx="265">
                  <c:v>41883.184027777781</c:v>
                </c:pt>
                <c:pt idx="266">
                  <c:v>41883.18472222222</c:v>
                </c:pt>
                <c:pt idx="267">
                  <c:v>41883.185416666667</c:v>
                </c:pt>
                <c:pt idx="268">
                  <c:v>41883.186111111114</c:v>
                </c:pt>
                <c:pt idx="269">
                  <c:v>41883.186805555553</c:v>
                </c:pt>
                <c:pt idx="270">
                  <c:v>41883.1875</c:v>
                </c:pt>
                <c:pt idx="271">
                  <c:v>41883.188194444447</c:v>
                </c:pt>
                <c:pt idx="272">
                  <c:v>41883.188888888886</c:v>
                </c:pt>
                <c:pt idx="273">
                  <c:v>41883.189583333333</c:v>
                </c:pt>
                <c:pt idx="274">
                  <c:v>41883.19027777778</c:v>
                </c:pt>
                <c:pt idx="275">
                  <c:v>41883.190972222219</c:v>
                </c:pt>
                <c:pt idx="276">
                  <c:v>41883.191666666666</c:v>
                </c:pt>
                <c:pt idx="277">
                  <c:v>41883.192361111112</c:v>
                </c:pt>
                <c:pt idx="278">
                  <c:v>41883.193055555559</c:v>
                </c:pt>
                <c:pt idx="279">
                  <c:v>41883.193749999999</c:v>
                </c:pt>
                <c:pt idx="280">
                  <c:v>41883.194444444445</c:v>
                </c:pt>
                <c:pt idx="281">
                  <c:v>41883.195138888892</c:v>
                </c:pt>
                <c:pt idx="282">
                  <c:v>41883.195833333331</c:v>
                </c:pt>
                <c:pt idx="283">
                  <c:v>41883.196527777778</c:v>
                </c:pt>
                <c:pt idx="284">
                  <c:v>41883.197222222225</c:v>
                </c:pt>
                <c:pt idx="285">
                  <c:v>41883.197916666664</c:v>
                </c:pt>
                <c:pt idx="286">
                  <c:v>41883.198611111111</c:v>
                </c:pt>
                <c:pt idx="287">
                  <c:v>41883.199305555558</c:v>
                </c:pt>
                <c:pt idx="288">
                  <c:v>41883.199999999997</c:v>
                </c:pt>
                <c:pt idx="289">
                  <c:v>41883.200694444444</c:v>
                </c:pt>
                <c:pt idx="290">
                  <c:v>41883.201388888891</c:v>
                </c:pt>
                <c:pt idx="291">
                  <c:v>41883.20208333333</c:v>
                </c:pt>
                <c:pt idx="292">
                  <c:v>41883.202777777777</c:v>
                </c:pt>
                <c:pt idx="293">
                  <c:v>41883.203472222223</c:v>
                </c:pt>
                <c:pt idx="294">
                  <c:v>41883.20416666667</c:v>
                </c:pt>
                <c:pt idx="295">
                  <c:v>41883.204861111109</c:v>
                </c:pt>
                <c:pt idx="296">
                  <c:v>41883.205555555556</c:v>
                </c:pt>
                <c:pt idx="297">
                  <c:v>41883.206250000003</c:v>
                </c:pt>
                <c:pt idx="298">
                  <c:v>41883.206944444442</c:v>
                </c:pt>
                <c:pt idx="299">
                  <c:v>41883.207638888889</c:v>
                </c:pt>
                <c:pt idx="300">
                  <c:v>41883.208333333336</c:v>
                </c:pt>
                <c:pt idx="301">
                  <c:v>41883.209027777775</c:v>
                </c:pt>
                <c:pt idx="302">
                  <c:v>41883.209722222222</c:v>
                </c:pt>
                <c:pt idx="303">
                  <c:v>41883.210416666669</c:v>
                </c:pt>
                <c:pt idx="304">
                  <c:v>41883.211111111108</c:v>
                </c:pt>
                <c:pt idx="305">
                  <c:v>41883.211805555555</c:v>
                </c:pt>
                <c:pt idx="306">
                  <c:v>41883.212500000001</c:v>
                </c:pt>
                <c:pt idx="307">
                  <c:v>41883.213194444441</c:v>
                </c:pt>
                <c:pt idx="308">
                  <c:v>41883.213888888888</c:v>
                </c:pt>
                <c:pt idx="309">
                  <c:v>41883.214583333334</c:v>
                </c:pt>
                <c:pt idx="310">
                  <c:v>41883.215277777781</c:v>
                </c:pt>
                <c:pt idx="311">
                  <c:v>41883.21597222222</c:v>
                </c:pt>
                <c:pt idx="312">
                  <c:v>41883.216666666667</c:v>
                </c:pt>
                <c:pt idx="313">
                  <c:v>41883.217361111114</c:v>
                </c:pt>
                <c:pt idx="314">
                  <c:v>41883.218055555553</c:v>
                </c:pt>
                <c:pt idx="315">
                  <c:v>41883.21875</c:v>
                </c:pt>
                <c:pt idx="316">
                  <c:v>41883.219444444447</c:v>
                </c:pt>
                <c:pt idx="317">
                  <c:v>41883.220138888886</c:v>
                </c:pt>
                <c:pt idx="318">
                  <c:v>41883.220833333333</c:v>
                </c:pt>
                <c:pt idx="319">
                  <c:v>41883.22152777778</c:v>
                </c:pt>
                <c:pt idx="320">
                  <c:v>41883.222222222219</c:v>
                </c:pt>
                <c:pt idx="321">
                  <c:v>41883.222916666666</c:v>
                </c:pt>
                <c:pt idx="322">
                  <c:v>41883.223611111112</c:v>
                </c:pt>
                <c:pt idx="323">
                  <c:v>41883.224305555559</c:v>
                </c:pt>
                <c:pt idx="324">
                  <c:v>41883.224999999999</c:v>
                </c:pt>
                <c:pt idx="325">
                  <c:v>41883.225694444445</c:v>
                </c:pt>
                <c:pt idx="326">
                  <c:v>41883.226388888892</c:v>
                </c:pt>
                <c:pt idx="327">
                  <c:v>41883.227083333331</c:v>
                </c:pt>
                <c:pt idx="328">
                  <c:v>41883.227777777778</c:v>
                </c:pt>
                <c:pt idx="329">
                  <c:v>41883.228472222225</c:v>
                </c:pt>
                <c:pt idx="330">
                  <c:v>41883.229166666664</c:v>
                </c:pt>
                <c:pt idx="331">
                  <c:v>41883.229861111111</c:v>
                </c:pt>
                <c:pt idx="332">
                  <c:v>41883.230555555558</c:v>
                </c:pt>
                <c:pt idx="333">
                  <c:v>41883.231249999997</c:v>
                </c:pt>
                <c:pt idx="334">
                  <c:v>41883.231944444444</c:v>
                </c:pt>
                <c:pt idx="335">
                  <c:v>41883.232638888891</c:v>
                </c:pt>
                <c:pt idx="336">
                  <c:v>41883.23333333333</c:v>
                </c:pt>
                <c:pt idx="337">
                  <c:v>41883.234027777777</c:v>
                </c:pt>
                <c:pt idx="338">
                  <c:v>41883.234722222223</c:v>
                </c:pt>
                <c:pt idx="339">
                  <c:v>41883.23541666667</c:v>
                </c:pt>
                <c:pt idx="340">
                  <c:v>41883.236111111109</c:v>
                </c:pt>
                <c:pt idx="341">
                  <c:v>41883.236805555556</c:v>
                </c:pt>
                <c:pt idx="342">
                  <c:v>41883.237500000003</c:v>
                </c:pt>
                <c:pt idx="343">
                  <c:v>41883.238194444442</c:v>
                </c:pt>
                <c:pt idx="344">
                  <c:v>41883.238888888889</c:v>
                </c:pt>
                <c:pt idx="345">
                  <c:v>41883.239583333336</c:v>
                </c:pt>
                <c:pt idx="346">
                  <c:v>41883.240277777775</c:v>
                </c:pt>
                <c:pt idx="347">
                  <c:v>41883.240972222222</c:v>
                </c:pt>
                <c:pt idx="348">
                  <c:v>41883.241666666669</c:v>
                </c:pt>
                <c:pt idx="349">
                  <c:v>41883.242361111108</c:v>
                </c:pt>
                <c:pt idx="350">
                  <c:v>41883.243055555555</c:v>
                </c:pt>
                <c:pt idx="351">
                  <c:v>41883.243750000001</c:v>
                </c:pt>
                <c:pt idx="352">
                  <c:v>41883.244444444441</c:v>
                </c:pt>
                <c:pt idx="353">
                  <c:v>41883.245138888888</c:v>
                </c:pt>
                <c:pt idx="354">
                  <c:v>41883.245833333334</c:v>
                </c:pt>
                <c:pt idx="355">
                  <c:v>41883.246527777781</c:v>
                </c:pt>
                <c:pt idx="356">
                  <c:v>41883.24722222222</c:v>
                </c:pt>
                <c:pt idx="357">
                  <c:v>41883.247916666667</c:v>
                </c:pt>
                <c:pt idx="358">
                  <c:v>41883.248611111114</c:v>
                </c:pt>
                <c:pt idx="359">
                  <c:v>41883.249305555553</c:v>
                </c:pt>
                <c:pt idx="360">
                  <c:v>41883.25</c:v>
                </c:pt>
                <c:pt idx="361">
                  <c:v>41883.250694444447</c:v>
                </c:pt>
                <c:pt idx="362">
                  <c:v>41883.251388888886</c:v>
                </c:pt>
                <c:pt idx="363">
                  <c:v>41883.252083333333</c:v>
                </c:pt>
                <c:pt idx="364">
                  <c:v>41883.25277777778</c:v>
                </c:pt>
                <c:pt idx="365">
                  <c:v>41883.253472222219</c:v>
                </c:pt>
                <c:pt idx="366">
                  <c:v>41883.254166666666</c:v>
                </c:pt>
                <c:pt idx="367">
                  <c:v>41883.254861111112</c:v>
                </c:pt>
                <c:pt idx="368">
                  <c:v>41883.255555555559</c:v>
                </c:pt>
                <c:pt idx="369">
                  <c:v>41883.256249999999</c:v>
                </c:pt>
                <c:pt idx="370">
                  <c:v>41883.256944444445</c:v>
                </c:pt>
                <c:pt idx="371">
                  <c:v>41883.257638888892</c:v>
                </c:pt>
                <c:pt idx="372">
                  <c:v>41883.258333333331</c:v>
                </c:pt>
                <c:pt idx="373">
                  <c:v>41883.259027777778</c:v>
                </c:pt>
                <c:pt idx="374">
                  <c:v>41883.259722222225</c:v>
                </c:pt>
                <c:pt idx="375">
                  <c:v>41883.260416666664</c:v>
                </c:pt>
                <c:pt idx="376">
                  <c:v>41883.261111111111</c:v>
                </c:pt>
                <c:pt idx="377">
                  <c:v>41883.261805555558</c:v>
                </c:pt>
                <c:pt idx="378">
                  <c:v>41883.262499999997</c:v>
                </c:pt>
                <c:pt idx="379">
                  <c:v>41883.263194444444</c:v>
                </c:pt>
                <c:pt idx="380">
                  <c:v>41883.263888888891</c:v>
                </c:pt>
                <c:pt idx="381">
                  <c:v>41883.26458333333</c:v>
                </c:pt>
                <c:pt idx="382">
                  <c:v>41883.265277777777</c:v>
                </c:pt>
                <c:pt idx="383">
                  <c:v>41883.265972222223</c:v>
                </c:pt>
                <c:pt idx="384">
                  <c:v>41883.26666666667</c:v>
                </c:pt>
                <c:pt idx="385">
                  <c:v>41883.267361111109</c:v>
                </c:pt>
                <c:pt idx="386">
                  <c:v>41883.268055555556</c:v>
                </c:pt>
                <c:pt idx="387">
                  <c:v>41883.268750000003</c:v>
                </c:pt>
                <c:pt idx="388">
                  <c:v>41883.269444444442</c:v>
                </c:pt>
                <c:pt idx="389">
                  <c:v>41883.270138888889</c:v>
                </c:pt>
                <c:pt idx="390">
                  <c:v>41883.270833333336</c:v>
                </c:pt>
                <c:pt idx="391">
                  <c:v>41883.271527777775</c:v>
                </c:pt>
                <c:pt idx="392">
                  <c:v>41883.272222222222</c:v>
                </c:pt>
                <c:pt idx="393">
                  <c:v>41883.272916666669</c:v>
                </c:pt>
                <c:pt idx="394">
                  <c:v>41883.273611111108</c:v>
                </c:pt>
                <c:pt idx="395">
                  <c:v>41883.274305555555</c:v>
                </c:pt>
                <c:pt idx="396">
                  <c:v>41883.275000000001</c:v>
                </c:pt>
                <c:pt idx="397">
                  <c:v>41883.275694444441</c:v>
                </c:pt>
                <c:pt idx="398">
                  <c:v>41883.276388888888</c:v>
                </c:pt>
                <c:pt idx="399">
                  <c:v>41883.277083333334</c:v>
                </c:pt>
                <c:pt idx="400">
                  <c:v>41883.277777777781</c:v>
                </c:pt>
                <c:pt idx="401">
                  <c:v>41883.27847222222</c:v>
                </c:pt>
                <c:pt idx="402">
                  <c:v>41883.279166666667</c:v>
                </c:pt>
                <c:pt idx="403">
                  <c:v>41883.279861111114</c:v>
                </c:pt>
                <c:pt idx="404">
                  <c:v>41883.280555555553</c:v>
                </c:pt>
                <c:pt idx="405">
                  <c:v>41883.28125</c:v>
                </c:pt>
                <c:pt idx="406">
                  <c:v>41883.281944444447</c:v>
                </c:pt>
                <c:pt idx="407">
                  <c:v>41883.282638888886</c:v>
                </c:pt>
                <c:pt idx="408">
                  <c:v>41883.283333333333</c:v>
                </c:pt>
                <c:pt idx="409">
                  <c:v>41883.28402777778</c:v>
                </c:pt>
                <c:pt idx="410">
                  <c:v>41883.284722222219</c:v>
                </c:pt>
                <c:pt idx="411">
                  <c:v>41883.285416666666</c:v>
                </c:pt>
                <c:pt idx="412">
                  <c:v>41883.286111111112</c:v>
                </c:pt>
                <c:pt idx="413">
                  <c:v>41883.286805555559</c:v>
                </c:pt>
                <c:pt idx="414">
                  <c:v>41883.287499999999</c:v>
                </c:pt>
                <c:pt idx="415">
                  <c:v>41883.288194444445</c:v>
                </c:pt>
                <c:pt idx="416">
                  <c:v>41883.288888888892</c:v>
                </c:pt>
                <c:pt idx="417">
                  <c:v>41883.289583333331</c:v>
                </c:pt>
                <c:pt idx="418">
                  <c:v>41883.290277777778</c:v>
                </c:pt>
                <c:pt idx="419">
                  <c:v>41883.290972222225</c:v>
                </c:pt>
                <c:pt idx="420">
                  <c:v>41883.291666666664</c:v>
                </c:pt>
                <c:pt idx="421">
                  <c:v>41883.292361111111</c:v>
                </c:pt>
                <c:pt idx="422">
                  <c:v>41883.293055555558</c:v>
                </c:pt>
                <c:pt idx="423">
                  <c:v>41883.293749999997</c:v>
                </c:pt>
                <c:pt idx="424">
                  <c:v>41883.294444444444</c:v>
                </c:pt>
                <c:pt idx="425">
                  <c:v>41883.295138888891</c:v>
                </c:pt>
                <c:pt idx="426">
                  <c:v>41883.29583333333</c:v>
                </c:pt>
                <c:pt idx="427">
                  <c:v>41883.296527777777</c:v>
                </c:pt>
                <c:pt idx="428">
                  <c:v>41883.297222222223</c:v>
                </c:pt>
                <c:pt idx="429">
                  <c:v>41883.29791666667</c:v>
                </c:pt>
                <c:pt idx="430">
                  <c:v>41883.298611111109</c:v>
                </c:pt>
                <c:pt idx="431">
                  <c:v>41883.299305555556</c:v>
                </c:pt>
                <c:pt idx="432">
                  <c:v>41883.300000000003</c:v>
                </c:pt>
                <c:pt idx="433">
                  <c:v>41883.300694444442</c:v>
                </c:pt>
                <c:pt idx="434">
                  <c:v>41883.301388888889</c:v>
                </c:pt>
                <c:pt idx="435">
                  <c:v>41883.302083333336</c:v>
                </c:pt>
                <c:pt idx="436">
                  <c:v>41883.302777777775</c:v>
                </c:pt>
                <c:pt idx="437">
                  <c:v>41883.303472222222</c:v>
                </c:pt>
                <c:pt idx="438">
                  <c:v>41883.304166666669</c:v>
                </c:pt>
                <c:pt idx="439">
                  <c:v>41883.304861111108</c:v>
                </c:pt>
                <c:pt idx="440">
                  <c:v>41883.305555555555</c:v>
                </c:pt>
                <c:pt idx="441">
                  <c:v>41883.306250000001</c:v>
                </c:pt>
                <c:pt idx="442">
                  <c:v>41883.306944444441</c:v>
                </c:pt>
                <c:pt idx="443">
                  <c:v>41883.307638888888</c:v>
                </c:pt>
                <c:pt idx="444">
                  <c:v>41883.308333333334</c:v>
                </c:pt>
                <c:pt idx="445">
                  <c:v>41883.309027777781</c:v>
                </c:pt>
                <c:pt idx="446">
                  <c:v>41883.30972222222</c:v>
                </c:pt>
                <c:pt idx="447">
                  <c:v>41883.310416666667</c:v>
                </c:pt>
                <c:pt idx="448">
                  <c:v>41883.311111111114</c:v>
                </c:pt>
                <c:pt idx="449">
                  <c:v>41883.311805555553</c:v>
                </c:pt>
                <c:pt idx="450">
                  <c:v>41883.3125</c:v>
                </c:pt>
                <c:pt idx="451">
                  <c:v>41883.313194444447</c:v>
                </c:pt>
                <c:pt idx="452">
                  <c:v>41883.313888888886</c:v>
                </c:pt>
                <c:pt idx="453">
                  <c:v>41883.314583333333</c:v>
                </c:pt>
                <c:pt idx="454">
                  <c:v>41883.31527777778</c:v>
                </c:pt>
                <c:pt idx="455">
                  <c:v>41883.315972222219</c:v>
                </c:pt>
                <c:pt idx="456">
                  <c:v>41883.316666666666</c:v>
                </c:pt>
                <c:pt idx="457">
                  <c:v>41883.317361111112</c:v>
                </c:pt>
                <c:pt idx="458">
                  <c:v>41883.318055555559</c:v>
                </c:pt>
                <c:pt idx="459">
                  <c:v>41883.318749999999</c:v>
                </c:pt>
                <c:pt idx="460">
                  <c:v>41883.319444444445</c:v>
                </c:pt>
                <c:pt idx="461">
                  <c:v>41883.320138888892</c:v>
                </c:pt>
                <c:pt idx="462">
                  <c:v>41883.320833333331</c:v>
                </c:pt>
                <c:pt idx="463">
                  <c:v>41883.321527777778</c:v>
                </c:pt>
                <c:pt idx="464">
                  <c:v>41883.322222222225</c:v>
                </c:pt>
                <c:pt idx="465">
                  <c:v>41883.322916666664</c:v>
                </c:pt>
                <c:pt idx="466">
                  <c:v>41883.323611111111</c:v>
                </c:pt>
                <c:pt idx="467">
                  <c:v>41883.324305555558</c:v>
                </c:pt>
                <c:pt idx="468">
                  <c:v>41883.324999999997</c:v>
                </c:pt>
                <c:pt idx="469">
                  <c:v>41883.325694444444</c:v>
                </c:pt>
                <c:pt idx="470">
                  <c:v>41883.326388888891</c:v>
                </c:pt>
                <c:pt idx="471">
                  <c:v>41883.32708333333</c:v>
                </c:pt>
                <c:pt idx="472">
                  <c:v>41883.327777777777</c:v>
                </c:pt>
                <c:pt idx="473">
                  <c:v>41883.328472222223</c:v>
                </c:pt>
                <c:pt idx="474">
                  <c:v>41883.32916666667</c:v>
                </c:pt>
                <c:pt idx="475">
                  <c:v>41883.329861111109</c:v>
                </c:pt>
                <c:pt idx="476">
                  <c:v>41883.330555555556</c:v>
                </c:pt>
                <c:pt idx="477">
                  <c:v>41883.331250000003</c:v>
                </c:pt>
                <c:pt idx="478">
                  <c:v>41883.331944444442</c:v>
                </c:pt>
                <c:pt idx="479">
                  <c:v>41883.332638888889</c:v>
                </c:pt>
                <c:pt idx="480">
                  <c:v>41883.333333333336</c:v>
                </c:pt>
                <c:pt idx="481">
                  <c:v>41883.334027777775</c:v>
                </c:pt>
                <c:pt idx="482">
                  <c:v>41883.334722222222</c:v>
                </c:pt>
                <c:pt idx="483">
                  <c:v>41883.335416666669</c:v>
                </c:pt>
                <c:pt idx="484">
                  <c:v>41883.336111111108</c:v>
                </c:pt>
                <c:pt idx="485">
                  <c:v>41883.336805555555</c:v>
                </c:pt>
                <c:pt idx="486">
                  <c:v>41883.337500000001</c:v>
                </c:pt>
                <c:pt idx="487">
                  <c:v>41883.338194444441</c:v>
                </c:pt>
                <c:pt idx="488">
                  <c:v>41883.338888888888</c:v>
                </c:pt>
                <c:pt idx="489">
                  <c:v>41883.339583333334</c:v>
                </c:pt>
                <c:pt idx="490">
                  <c:v>41883.340277777781</c:v>
                </c:pt>
                <c:pt idx="491">
                  <c:v>41883.34097222222</c:v>
                </c:pt>
                <c:pt idx="492">
                  <c:v>41883.341666666667</c:v>
                </c:pt>
                <c:pt idx="493">
                  <c:v>41883.342361111114</c:v>
                </c:pt>
                <c:pt idx="494">
                  <c:v>41883.343055555553</c:v>
                </c:pt>
                <c:pt idx="495">
                  <c:v>41883.34375</c:v>
                </c:pt>
                <c:pt idx="496">
                  <c:v>41883.344444444447</c:v>
                </c:pt>
                <c:pt idx="497">
                  <c:v>41883.345138888886</c:v>
                </c:pt>
                <c:pt idx="498">
                  <c:v>41883.345833333333</c:v>
                </c:pt>
                <c:pt idx="499">
                  <c:v>41883.34652777778</c:v>
                </c:pt>
                <c:pt idx="500">
                  <c:v>41883.347222222219</c:v>
                </c:pt>
                <c:pt idx="501">
                  <c:v>41883.347916666666</c:v>
                </c:pt>
                <c:pt idx="502">
                  <c:v>41883.348611111112</c:v>
                </c:pt>
                <c:pt idx="503">
                  <c:v>41883.349305555559</c:v>
                </c:pt>
                <c:pt idx="504">
                  <c:v>41883.35</c:v>
                </c:pt>
                <c:pt idx="505">
                  <c:v>41883.350694444445</c:v>
                </c:pt>
                <c:pt idx="506">
                  <c:v>41883.351388888892</c:v>
                </c:pt>
                <c:pt idx="507">
                  <c:v>41883.352083333331</c:v>
                </c:pt>
                <c:pt idx="508">
                  <c:v>41883.352777777778</c:v>
                </c:pt>
                <c:pt idx="509">
                  <c:v>41883.353472222225</c:v>
                </c:pt>
                <c:pt idx="510">
                  <c:v>41883.354166666664</c:v>
                </c:pt>
                <c:pt idx="511">
                  <c:v>41883.354861111111</c:v>
                </c:pt>
                <c:pt idx="512">
                  <c:v>41883.355555555558</c:v>
                </c:pt>
                <c:pt idx="513">
                  <c:v>41883.356249999997</c:v>
                </c:pt>
                <c:pt idx="514">
                  <c:v>41883.356944444444</c:v>
                </c:pt>
                <c:pt idx="515">
                  <c:v>41883.357638888891</c:v>
                </c:pt>
                <c:pt idx="516">
                  <c:v>41883.35833333333</c:v>
                </c:pt>
                <c:pt idx="517">
                  <c:v>41883.359027777777</c:v>
                </c:pt>
                <c:pt idx="518">
                  <c:v>41883.359722222223</c:v>
                </c:pt>
                <c:pt idx="519">
                  <c:v>41883.36041666667</c:v>
                </c:pt>
                <c:pt idx="520">
                  <c:v>41883.361111111109</c:v>
                </c:pt>
                <c:pt idx="521">
                  <c:v>41883.361805555556</c:v>
                </c:pt>
                <c:pt idx="522">
                  <c:v>41883.362500000003</c:v>
                </c:pt>
                <c:pt idx="523">
                  <c:v>41883.363194444442</c:v>
                </c:pt>
                <c:pt idx="524">
                  <c:v>41883.363888888889</c:v>
                </c:pt>
                <c:pt idx="525">
                  <c:v>41883.364583333336</c:v>
                </c:pt>
                <c:pt idx="526">
                  <c:v>41883.365277777775</c:v>
                </c:pt>
                <c:pt idx="527">
                  <c:v>41883.365972222222</c:v>
                </c:pt>
                <c:pt idx="528">
                  <c:v>41883.366666666669</c:v>
                </c:pt>
                <c:pt idx="529">
                  <c:v>41883.367361111108</c:v>
                </c:pt>
                <c:pt idx="530">
                  <c:v>41883.368055555555</c:v>
                </c:pt>
                <c:pt idx="531">
                  <c:v>41883.368750000001</c:v>
                </c:pt>
                <c:pt idx="532">
                  <c:v>41883.369444444441</c:v>
                </c:pt>
                <c:pt idx="533">
                  <c:v>41883.370138888888</c:v>
                </c:pt>
                <c:pt idx="534">
                  <c:v>41883.370833333334</c:v>
                </c:pt>
                <c:pt idx="535">
                  <c:v>41883.371527777781</c:v>
                </c:pt>
                <c:pt idx="536">
                  <c:v>41883.37222222222</c:v>
                </c:pt>
                <c:pt idx="537">
                  <c:v>41883.372916666667</c:v>
                </c:pt>
                <c:pt idx="538">
                  <c:v>41883.373611111114</c:v>
                </c:pt>
                <c:pt idx="539">
                  <c:v>41883.374305555553</c:v>
                </c:pt>
                <c:pt idx="540">
                  <c:v>41883.375</c:v>
                </c:pt>
                <c:pt idx="541">
                  <c:v>41883.375694444447</c:v>
                </c:pt>
                <c:pt idx="542">
                  <c:v>41883.376388888886</c:v>
                </c:pt>
                <c:pt idx="543">
                  <c:v>41883.377083333333</c:v>
                </c:pt>
                <c:pt idx="544">
                  <c:v>41883.37777777778</c:v>
                </c:pt>
                <c:pt idx="545">
                  <c:v>41883.378472222219</c:v>
                </c:pt>
                <c:pt idx="546">
                  <c:v>41883.379166666666</c:v>
                </c:pt>
                <c:pt idx="547">
                  <c:v>41883.379861111112</c:v>
                </c:pt>
                <c:pt idx="548">
                  <c:v>41883.380555555559</c:v>
                </c:pt>
                <c:pt idx="549">
                  <c:v>41883.381249999999</c:v>
                </c:pt>
                <c:pt idx="550">
                  <c:v>41883.381944444445</c:v>
                </c:pt>
                <c:pt idx="551">
                  <c:v>41883.382638888892</c:v>
                </c:pt>
                <c:pt idx="552">
                  <c:v>41883.383333333331</c:v>
                </c:pt>
                <c:pt idx="553">
                  <c:v>41883.384027777778</c:v>
                </c:pt>
                <c:pt idx="554">
                  <c:v>41883.384722222225</c:v>
                </c:pt>
                <c:pt idx="555">
                  <c:v>41883.385416666664</c:v>
                </c:pt>
                <c:pt idx="556">
                  <c:v>41883.386111111111</c:v>
                </c:pt>
                <c:pt idx="557">
                  <c:v>41883.386805555558</c:v>
                </c:pt>
                <c:pt idx="558">
                  <c:v>41883.387499999997</c:v>
                </c:pt>
                <c:pt idx="559">
                  <c:v>41883.388194444444</c:v>
                </c:pt>
                <c:pt idx="560">
                  <c:v>41883.388888888891</c:v>
                </c:pt>
                <c:pt idx="561">
                  <c:v>41883.38958333333</c:v>
                </c:pt>
                <c:pt idx="562">
                  <c:v>41883.390277777777</c:v>
                </c:pt>
                <c:pt idx="563">
                  <c:v>41883.390972222223</c:v>
                </c:pt>
                <c:pt idx="564">
                  <c:v>41883.39166666667</c:v>
                </c:pt>
                <c:pt idx="565">
                  <c:v>41883.392361111109</c:v>
                </c:pt>
                <c:pt idx="566">
                  <c:v>41883.393055555556</c:v>
                </c:pt>
                <c:pt idx="567">
                  <c:v>41883.393750000003</c:v>
                </c:pt>
                <c:pt idx="568">
                  <c:v>41883.394444444442</c:v>
                </c:pt>
                <c:pt idx="569">
                  <c:v>41883.395138888889</c:v>
                </c:pt>
                <c:pt idx="570">
                  <c:v>41883.395833333336</c:v>
                </c:pt>
                <c:pt idx="571">
                  <c:v>41883.396527777775</c:v>
                </c:pt>
                <c:pt idx="572">
                  <c:v>41883.397222222222</c:v>
                </c:pt>
                <c:pt idx="573">
                  <c:v>41883.397916666669</c:v>
                </c:pt>
                <c:pt idx="574">
                  <c:v>41883.398611111108</c:v>
                </c:pt>
                <c:pt idx="575">
                  <c:v>41883.399305555555</c:v>
                </c:pt>
                <c:pt idx="576">
                  <c:v>41883.4</c:v>
                </c:pt>
                <c:pt idx="577">
                  <c:v>41883.400694444441</c:v>
                </c:pt>
                <c:pt idx="578">
                  <c:v>41883.401388888888</c:v>
                </c:pt>
                <c:pt idx="579">
                  <c:v>41883.402083333334</c:v>
                </c:pt>
                <c:pt idx="580">
                  <c:v>41883.402777777781</c:v>
                </c:pt>
                <c:pt idx="581">
                  <c:v>41883.40347222222</c:v>
                </c:pt>
                <c:pt idx="582">
                  <c:v>41883.404166666667</c:v>
                </c:pt>
                <c:pt idx="583">
                  <c:v>41883.404861111114</c:v>
                </c:pt>
                <c:pt idx="584">
                  <c:v>41883.405555555553</c:v>
                </c:pt>
                <c:pt idx="585">
                  <c:v>41883.40625</c:v>
                </c:pt>
                <c:pt idx="586">
                  <c:v>41883.406944444447</c:v>
                </c:pt>
                <c:pt idx="587">
                  <c:v>41883.407638888886</c:v>
                </c:pt>
                <c:pt idx="588">
                  <c:v>41883.408333333333</c:v>
                </c:pt>
                <c:pt idx="589">
                  <c:v>41883.40902777778</c:v>
                </c:pt>
                <c:pt idx="590">
                  <c:v>41883.409722222219</c:v>
                </c:pt>
                <c:pt idx="591">
                  <c:v>41883.410416666666</c:v>
                </c:pt>
                <c:pt idx="592">
                  <c:v>41883.411111111112</c:v>
                </c:pt>
                <c:pt idx="593">
                  <c:v>41883.411805555559</c:v>
                </c:pt>
                <c:pt idx="594">
                  <c:v>41883.412499999999</c:v>
                </c:pt>
                <c:pt idx="595">
                  <c:v>41883.413194444445</c:v>
                </c:pt>
                <c:pt idx="596">
                  <c:v>41883.413888888892</c:v>
                </c:pt>
                <c:pt idx="597">
                  <c:v>41883.414583333331</c:v>
                </c:pt>
                <c:pt idx="598">
                  <c:v>41883.415277777778</c:v>
                </c:pt>
                <c:pt idx="599">
                  <c:v>41883.415972222225</c:v>
                </c:pt>
                <c:pt idx="600">
                  <c:v>41883.416666666664</c:v>
                </c:pt>
                <c:pt idx="601">
                  <c:v>41883.417361111111</c:v>
                </c:pt>
                <c:pt idx="602">
                  <c:v>41883.418055555558</c:v>
                </c:pt>
                <c:pt idx="603">
                  <c:v>41883.418749999997</c:v>
                </c:pt>
                <c:pt idx="604">
                  <c:v>41883.419444444444</c:v>
                </c:pt>
                <c:pt idx="605">
                  <c:v>41883.420138888891</c:v>
                </c:pt>
                <c:pt idx="606">
                  <c:v>41883.42083333333</c:v>
                </c:pt>
                <c:pt idx="607">
                  <c:v>41883.421527777777</c:v>
                </c:pt>
                <c:pt idx="608">
                  <c:v>41883.422222222223</c:v>
                </c:pt>
                <c:pt idx="609">
                  <c:v>41883.42291666667</c:v>
                </c:pt>
                <c:pt idx="610">
                  <c:v>41883.423611111109</c:v>
                </c:pt>
                <c:pt idx="611">
                  <c:v>41883.424305555556</c:v>
                </c:pt>
                <c:pt idx="612">
                  <c:v>41883.425000000003</c:v>
                </c:pt>
                <c:pt idx="613">
                  <c:v>41883.425694444442</c:v>
                </c:pt>
                <c:pt idx="614">
                  <c:v>41883.426388888889</c:v>
                </c:pt>
                <c:pt idx="615">
                  <c:v>41883.427083333336</c:v>
                </c:pt>
                <c:pt idx="616">
                  <c:v>41883.427777777775</c:v>
                </c:pt>
                <c:pt idx="617">
                  <c:v>41883.428472222222</c:v>
                </c:pt>
                <c:pt idx="618">
                  <c:v>41883.429166666669</c:v>
                </c:pt>
                <c:pt idx="619">
                  <c:v>41883.429861111108</c:v>
                </c:pt>
                <c:pt idx="620">
                  <c:v>41883.430555555555</c:v>
                </c:pt>
                <c:pt idx="621">
                  <c:v>41883.431250000001</c:v>
                </c:pt>
                <c:pt idx="622">
                  <c:v>41883.431944444441</c:v>
                </c:pt>
                <c:pt idx="623">
                  <c:v>41883.432638888888</c:v>
                </c:pt>
                <c:pt idx="624">
                  <c:v>41883.433333333334</c:v>
                </c:pt>
                <c:pt idx="625">
                  <c:v>41883.434027777781</c:v>
                </c:pt>
                <c:pt idx="626">
                  <c:v>41883.43472222222</c:v>
                </c:pt>
                <c:pt idx="627">
                  <c:v>41883.435416666667</c:v>
                </c:pt>
                <c:pt idx="628">
                  <c:v>41883.436111111114</c:v>
                </c:pt>
                <c:pt idx="629">
                  <c:v>41883.436805555553</c:v>
                </c:pt>
                <c:pt idx="630">
                  <c:v>41883.4375</c:v>
                </c:pt>
                <c:pt idx="631">
                  <c:v>41883.438194444447</c:v>
                </c:pt>
                <c:pt idx="632">
                  <c:v>41883.438888888886</c:v>
                </c:pt>
                <c:pt idx="633">
                  <c:v>41883.439583333333</c:v>
                </c:pt>
                <c:pt idx="634">
                  <c:v>41883.44027777778</c:v>
                </c:pt>
                <c:pt idx="635">
                  <c:v>41883.440972222219</c:v>
                </c:pt>
                <c:pt idx="636">
                  <c:v>41883.441666666666</c:v>
                </c:pt>
                <c:pt idx="637">
                  <c:v>41883.442361111112</c:v>
                </c:pt>
                <c:pt idx="638">
                  <c:v>41883.443055555559</c:v>
                </c:pt>
                <c:pt idx="639">
                  <c:v>41883.443749999999</c:v>
                </c:pt>
                <c:pt idx="640">
                  <c:v>41883.444444444445</c:v>
                </c:pt>
                <c:pt idx="641">
                  <c:v>41883.445138888892</c:v>
                </c:pt>
                <c:pt idx="642">
                  <c:v>41883.445833333331</c:v>
                </c:pt>
                <c:pt idx="643">
                  <c:v>41883.446527777778</c:v>
                </c:pt>
                <c:pt idx="644">
                  <c:v>41883.447222222225</c:v>
                </c:pt>
                <c:pt idx="645">
                  <c:v>41883.447916666664</c:v>
                </c:pt>
                <c:pt idx="646">
                  <c:v>41883.448611111111</c:v>
                </c:pt>
                <c:pt idx="647">
                  <c:v>41883.449305555558</c:v>
                </c:pt>
                <c:pt idx="648">
                  <c:v>41883.449999999997</c:v>
                </c:pt>
                <c:pt idx="649">
                  <c:v>41883.450694444444</c:v>
                </c:pt>
                <c:pt idx="650">
                  <c:v>41883.451388888891</c:v>
                </c:pt>
                <c:pt idx="651">
                  <c:v>41883.45208333333</c:v>
                </c:pt>
                <c:pt idx="652">
                  <c:v>41883.452777777777</c:v>
                </c:pt>
                <c:pt idx="653">
                  <c:v>41883.453472222223</c:v>
                </c:pt>
                <c:pt idx="654">
                  <c:v>41883.45416666667</c:v>
                </c:pt>
                <c:pt idx="655">
                  <c:v>41883.454861111109</c:v>
                </c:pt>
                <c:pt idx="656">
                  <c:v>41883.455555555556</c:v>
                </c:pt>
                <c:pt idx="657">
                  <c:v>41883.456250000003</c:v>
                </c:pt>
                <c:pt idx="658">
                  <c:v>41883.456944444442</c:v>
                </c:pt>
                <c:pt idx="659">
                  <c:v>41883.457638888889</c:v>
                </c:pt>
                <c:pt idx="660">
                  <c:v>41883.458333333336</c:v>
                </c:pt>
                <c:pt idx="661">
                  <c:v>41883.459027777775</c:v>
                </c:pt>
                <c:pt idx="662">
                  <c:v>41883.459722222222</c:v>
                </c:pt>
                <c:pt idx="663">
                  <c:v>41883.460416666669</c:v>
                </c:pt>
                <c:pt idx="664">
                  <c:v>41883.461111111108</c:v>
                </c:pt>
                <c:pt idx="665">
                  <c:v>41883.461805555555</c:v>
                </c:pt>
                <c:pt idx="666">
                  <c:v>41883.462500000001</c:v>
                </c:pt>
                <c:pt idx="667">
                  <c:v>41883.463194444441</c:v>
                </c:pt>
                <c:pt idx="668">
                  <c:v>41883.463888888888</c:v>
                </c:pt>
                <c:pt idx="669">
                  <c:v>41883.464583333334</c:v>
                </c:pt>
                <c:pt idx="670">
                  <c:v>41883.465277777781</c:v>
                </c:pt>
                <c:pt idx="671">
                  <c:v>41883.46597222222</c:v>
                </c:pt>
                <c:pt idx="672">
                  <c:v>41883.466666666667</c:v>
                </c:pt>
                <c:pt idx="673">
                  <c:v>41883.467361111114</c:v>
                </c:pt>
                <c:pt idx="674">
                  <c:v>41883.468055555553</c:v>
                </c:pt>
                <c:pt idx="675">
                  <c:v>41883.46875</c:v>
                </c:pt>
                <c:pt idx="676">
                  <c:v>41883.469444444447</c:v>
                </c:pt>
                <c:pt idx="677">
                  <c:v>41883.470138888886</c:v>
                </c:pt>
                <c:pt idx="678">
                  <c:v>41883.470833333333</c:v>
                </c:pt>
                <c:pt idx="679">
                  <c:v>41883.47152777778</c:v>
                </c:pt>
                <c:pt idx="680">
                  <c:v>41883.472222222219</c:v>
                </c:pt>
                <c:pt idx="681">
                  <c:v>41883.472916666666</c:v>
                </c:pt>
                <c:pt idx="682">
                  <c:v>41883.473611111112</c:v>
                </c:pt>
                <c:pt idx="683">
                  <c:v>41883.474305555559</c:v>
                </c:pt>
                <c:pt idx="684">
                  <c:v>41883.474999999999</c:v>
                </c:pt>
                <c:pt idx="685">
                  <c:v>41883.475694444445</c:v>
                </c:pt>
                <c:pt idx="686">
                  <c:v>41883.476388888892</c:v>
                </c:pt>
                <c:pt idx="687">
                  <c:v>41883.477083333331</c:v>
                </c:pt>
                <c:pt idx="688">
                  <c:v>41883.477777777778</c:v>
                </c:pt>
                <c:pt idx="689">
                  <c:v>41883.478472222225</c:v>
                </c:pt>
                <c:pt idx="690">
                  <c:v>41883.479166666664</c:v>
                </c:pt>
                <c:pt idx="691">
                  <c:v>41883.479861111111</c:v>
                </c:pt>
                <c:pt idx="692">
                  <c:v>41883.480555555558</c:v>
                </c:pt>
                <c:pt idx="693">
                  <c:v>41883.481249999997</c:v>
                </c:pt>
                <c:pt idx="694">
                  <c:v>41883.481944444444</c:v>
                </c:pt>
                <c:pt idx="695">
                  <c:v>41883.482638888891</c:v>
                </c:pt>
                <c:pt idx="696">
                  <c:v>41883.48333333333</c:v>
                </c:pt>
                <c:pt idx="697">
                  <c:v>41883.484027777777</c:v>
                </c:pt>
                <c:pt idx="698">
                  <c:v>41883.484722222223</c:v>
                </c:pt>
                <c:pt idx="699">
                  <c:v>41883.48541666667</c:v>
                </c:pt>
                <c:pt idx="700">
                  <c:v>41883.486111111109</c:v>
                </c:pt>
                <c:pt idx="701">
                  <c:v>41883.486805555556</c:v>
                </c:pt>
                <c:pt idx="702">
                  <c:v>41883.487500000003</c:v>
                </c:pt>
                <c:pt idx="703">
                  <c:v>41883.488194444442</c:v>
                </c:pt>
                <c:pt idx="704">
                  <c:v>41883.488888888889</c:v>
                </c:pt>
                <c:pt idx="705">
                  <c:v>41883.489583333336</c:v>
                </c:pt>
                <c:pt idx="706">
                  <c:v>41883.490277777775</c:v>
                </c:pt>
                <c:pt idx="707">
                  <c:v>41883.490972222222</c:v>
                </c:pt>
                <c:pt idx="708">
                  <c:v>41883.491666666669</c:v>
                </c:pt>
                <c:pt idx="709">
                  <c:v>41883.492361111108</c:v>
                </c:pt>
                <c:pt idx="710">
                  <c:v>41883.493055555555</c:v>
                </c:pt>
                <c:pt idx="711">
                  <c:v>41883.493750000001</c:v>
                </c:pt>
                <c:pt idx="712">
                  <c:v>41883.494444444441</c:v>
                </c:pt>
                <c:pt idx="713">
                  <c:v>41883.495138888888</c:v>
                </c:pt>
                <c:pt idx="714">
                  <c:v>41883.495833333334</c:v>
                </c:pt>
                <c:pt idx="715">
                  <c:v>41883.496527777781</c:v>
                </c:pt>
                <c:pt idx="716">
                  <c:v>41883.49722222222</c:v>
                </c:pt>
                <c:pt idx="717">
                  <c:v>41883.497916666667</c:v>
                </c:pt>
                <c:pt idx="718">
                  <c:v>41883.498611111114</c:v>
                </c:pt>
                <c:pt idx="719">
                  <c:v>41883.499305555553</c:v>
                </c:pt>
                <c:pt idx="720">
                  <c:v>41883.5</c:v>
                </c:pt>
                <c:pt idx="721">
                  <c:v>41883.500694444447</c:v>
                </c:pt>
                <c:pt idx="722">
                  <c:v>41883.501388888886</c:v>
                </c:pt>
                <c:pt idx="723">
                  <c:v>41883.502083333333</c:v>
                </c:pt>
                <c:pt idx="724">
                  <c:v>41883.50277777778</c:v>
                </c:pt>
                <c:pt idx="725">
                  <c:v>41883.503472222219</c:v>
                </c:pt>
                <c:pt idx="726">
                  <c:v>41883.504166666666</c:v>
                </c:pt>
                <c:pt idx="727">
                  <c:v>41883.504861111112</c:v>
                </c:pt>
                <c:pt idx="728">
                  <c:v>41883.505555555559</c:v>
                </c:pt>
                <c:pt idx="729">
                  <c:v>41883.506249999999</c:v>
                </c:pt>
                <c:pt idx="730">
                  <c:v>41883.506944444445</c:v>
                </c:pt>
                <c:pt idx="731">
                  <c:v>41883.507638888892</c:v>
                </c:pt>
                <c:pt idx="732">
                  <c:v>41883.508333333331</c:v>
                </c:pt>
                <c:pt idx="733">
                  <c:v>41883.509027777778</c:v>
                </c:pt>
                <c:pt idx="734">
                  <c:v>41883.509722222225</c:v>
                </c:pt>
                <c:pt idx="735">
                  <c:v>41883.510416666664</c:v>
                </c:pt>
                <c:pt idx="736">
                  <c:v>41883.511111111111</c:v>
                </c:pt>
                <c:pt idx="737">
                  <c:v>41883.511805555558</c:v>
                </c:pt>
                <c:pt idx="738">
                  <c:v>41883.512499999997</c:v>
                </c:pt>
                <c:pt idx="739">
                  <c:v>41883.513194444444</c:v>
                </c:pt>
                <c:pt idx="740">
                  <c:v>41883.513888888891</c:v>
                </c:pt>
                <c:pt idx="741">
                  <c:v>41883.51458333333</c:v>
                </c:pt>
                <c:pt idx="742">
                  <c:v>41883.515277777777</c:v>
                </c:pt>
                <c:pt idx="743">
                  <c:v>41883.515972222223</c:v>
                </c:pt>
                <c:pt idx="744">
                  <c:v>41883.51666666667</c:v>
                </c:pt>
                <c:pt idx="745">
                  <c:v>41883.517361111109</c:v>
                </c:pt>
                <c:pt idx="746">
                  <c:v>41883.518055555556</c:v>
                </c:pt>
                <c:pt idx="747">
                  <c:v>41883.518750000003</c:v>
                </c:pt>
                <c:pt idx="748">
                  <c:v>41883.519444444442</c:v>
                </c:pt>
                <c:pt idx="749">
                  <c:v>41883.520138888889</c:v>
                </c:pt>
                <c:pt idx="750">
                  <c:v>41883.520833333336</c:v>
                </c:pt>
                <c:pt idx="751">
                  <c:v>41883.521527777775</c:v>
                </c:pt>
                <c:pt idx="752">
                  <c:v>41883.522222222222</c:v>
                </c:pt>
                <c:pt idx="753">
                  <c:v>41883.522916666669</c:v>
                </c:pt>
                <c:pt idx="754">
                  <c:v>41883.523611111108</c:v>
                </c:pt>
                <c:pt idx="755">
                  <c:v>41883.524305555555</c:v>
                </c:pt>
                <c:pt idx="756">
                  <c:v>41883.525000000001</c:v>
                </c:pt>
                <c:pt idx="757">
                  <c:v>41883.525694444441</c:v>
                </c:pt>
                <c:pt idx="758">
                  <c:v>41883.526388888888</c:v>
                </c:pt>
                <c:pt idx="759">
                  <c:v>41883.527083333334</c:v>
                </c:pt>
                <c:pt idx="760">
                  <c:v>41883.527777777781</c:v>
                </c:pt>
                <c:pt idx="761">
                  <c:v>41883.52847222222</c:v>
                </c:pt>
                <c:pt idx="762">
                  <c:v>41883.529166666667</c:v>
                </c:pt>
                <c:pt idx="763">
                  <c:v>41883.529861111114</c:v>
                </c:pt>
                <c:pt idx="764">
                  <c:v>41883.530555555553</c:v>
                </c:pt>
                <c:pt idx="765">
                  <c:v>41883.53125</c:v>
                </c:pt>
                <c:pt idx="766">
                  <c:v>41883.531944444447</c:v>
                </c:pt>
                <c:pt idx="767">
                  <c:v>41883.532638888886</c:v>
                </c:pt>
                <c:pt idx="768">
                  <c:v>41883.533333333333</c:v>
                </c:pt>
                <c:pt idx="769">
                  <c:v>41883.53402777778</c:v>
                </c:pt>
                <c:pt idx="770">
                  <c:v>41883.534722222219</c:v>
                </c:pt>
                <c:pt idx="771">
                  <c:v>41883.535416666666</c:v>
                </c:pt>
                <c:pt idx="772">
                  <c:v>41883.536111111112</c:v>
                </c:pt>
                <c:pt idx="773">
                  <c:v>41883.536805555559</c:v>
                </c:pt>
                <c:pt idx="774">
                  <c:v>41883.537499999999</c:v>
                </c:pt>
                <c:pt idx="775">
                  <c:v>41883.538194444445</c:v>
                </c:pt>
                <c:pt idx="776">
                  <c:v>41883.538888888892</c:v>
                </c:pt>
                <c:pt idx="777">
                  <c:v>41883.539583333331</c:v>
                </c:pt>
                <c:pt idx="778">
                  <c:v>41883.540277777778</c:v>
                </c:pt>
                <c:pt idx="779">
                  <c:v>41883.540972222225</c:v>
                </c:pt>
                <c:pt idx="780">
                  <c:v>41883.541666666664</c:v>
                </c:pt>
                <c:pt idx="781">
                  <c:v>41883.542361111111</c:v>
                </c:pt>
                <c:pt idx="782">
                  <c:v>41883.543055555558</c:v>
                </c:pt>
                <c:pt idx="783">
                  <c:v>41883.543749999997</c:v>
                </c:pt>
                <c:pt idx="784">
                  <c:v>41883.544444444444</c:v>
                </c:pt>
                <c:pt idx="785">
                  <c:v>41883.545138888891</c:v>
                </c:pt>
                <c:pt idx="786">
                  <c:v>41883.54583333333</c:v>
                </c:pt>
                <c:pt idx="787">
                  <c:v>41883.546527777777</c:v>
                </c:pt>
                <c:pt idx="788">
                  <c:v>41883.547222222223</c:v>
                </c:pt>
                <c:pt idx="789">
                  <c:v>41883.54791666667</c:v>
                </c:pt>
                <c:pt idx="790">
                  <c:v>41883.548611111109</c:v>
                </c:pt>
                <c:pt idx="791">
                  <c:v>41883.549305555556</c:v>
                </c:pt>
                <c:pt idx="792">
                  <c:v>41883.550000000003</c:v>
                </c:pt>
                <c:pt idx="793">
                  <c:v>41883.550694444442</c:v>
                </c:pt>
                <c:pt idx="794">
                  <c:v>41883.551388888889</c:v>
                </c:pt>
                <c:pt idx="795">
                  <c:v>41883.552083333336</c:v>
                </c:pt>
                <c:pt idx="796">
                  <c:v>41883.552777777775</c:v>
                </c:pt>
                <c:pt idx="797">
                  <c:v>41883.553472222222</c:v>
                </c:pt>
                <c:pt idx="798">
                  <c:v>41883.554166666669</c:v>
                </c:pt>
                <c:pt idx="799">
                  <c:v>41883.554861111108</c:v>
                </c:pt>
                <c:pt idx="800">
                  <c:v>41883.555555555555</c:v>
                </c:pt>
                <c:pt idx="801">
                  <c:v>41883.556250000001</c:v>
                </c:pt>
                <c:pt idx="802">
                  <c:v>41883.556944444441</c:v>
                </c:pt>
                <c:pt idx="803">
                  <c:v>41883.557638888888</c:v>
                </c:pt>
                <c:pt idx="804">
                  <c:v>41883.558333333334</c:v>
                </c:pt>
                <c:pt idx="805">
                  <c:v>41883.559027777781</c:v>
                </c:pt>
                <c:pt idx="806">
                  <c:v>41883.55972222222</c:v>
                </c:pt>
                <c:pt idx="807">
                  <c:v>41883.560416666667</c:v>
                </c:pt>
                <c:pt idx="808">
                  <c:v>41883.561111111114</c:v>
                </c:pt>
                <c:pt idx="809">
                  <c:v>41883.561805555553</c:v>
                </c:pt>
                <c:pt idx="810">
                  <c:v>41883.5625</c:v>
                </c:pt>
                <c:pt idx="811">
                  <c:v>41883.563194444447</c:v>
                </c:pt>
                <c:pt idx="812">
                  <c:v>41883.563888888886</c:v>
                </c:pt>
                <c:pt idx="813">
                  <c:v>41883.564583333333</c:v>
                </c:pt>
                <c:pt idx="814">
                  <c:v>41883.56527777778</c:v>
                </c:pt>
                <c:pt idx="815">
                  <c:v>41883.565972222219</c:v>
                </c:pt>
                <c:pt idx="816">
                  <c:v>41883.566666666666</c:v>
                </c:pt>
                <c:pt idx="817">
                  <c:v>41883.567361111112</c:v>
                </c:pt>
                <c:pt idx="818">
                  <c:v>41883.568055555559</c:v>
                </c:pt>
                <c:pt idx="819">
                  <c:v>41883.568749999999</c:v>
                </c:pt>
                <c:pt idx="820">
                  <c:v>41883.569444444445</c:v>
                </c:pt>
                <c:pt idx="821">
                  <c:v>41883.570138888892</c:v>
                </c:pt>
                <c:pt idx="822">
                  <c:v>41883.570833333331</c:v>
                </c:pt>
                <c:pt idx="823">
                  <c:v>41883.571527777778</c:v>
                </c:pt>
                <c:pt idx="824">
                  <c:v>41883.572222222225</c:v>
                </c:pt>
                <c:pt idx="825">
                  <c:v>41883.572916666664</c:v>
                </c:pt>
                <c:pt idx="826">
                  <c:v>41883.573611111111</c:v>
                </c:pt>
                <c:pt idx="827">
                  <c:v>41883.574305555558</c:v>
                </c:pt>
                <c:pt idx="828">
                  <c:v>41883.574999999997</c:v>
                </c:pt>
                <c:pt idx="829">
                  <c:v>41883.575694444444</c:v>
                </c:pt>
                <c:pt idx="830">
                  <c:v>41883.576388888891</c:v>
                </c:pt>
                <c:pt idx="831">
                  <c:v>41883.57708333333</c:v>
                </c:pt>
                <c:pt idx="832">
                  <c:v>41883.577777777777</c:v>
                </c:pt>
                <c:pt idx="833">
                  <c:v>41883.578472222223</c:v>
                </c:pt>
                <c:pt idx="834">
                  <c:v>41883.57916666667</c:v>
                </c:pt>
                <c:pt idx="835">
                  <c:v>41883.579861111109</c:v>
                </c:pt>
                <c:pt idx="836">
                  <c:v>41883.580555555556</c:v>
                </c:pt>
                <c:pt idx="837">
                  <c:v>41883.581250000003</c:v>
                </c:pt>
                <c:pt idx="838">
                  <c:v>41883.581944444442</c:v>
                </c:pt>
                <c:pt idx="839">
                  <c:v>41883.582638888889</c:v>
                </c:pt>
                <c:pt idx="840">
                  <c:v>41883.583333333336</c:v>
                </c:pt>
                <c:pt idx="841">
                  <c:v>41883.584027777775</c:v>
                </c:pt>
                <c:pt idx="842">
                  <c:v>41883.584722222222</c:v>
                </c:pt>
                <c:pt idx="843">
                  <c:v>41883.585416666669</c:v>
                </c:pt>
                <c:pt idx="844">
                  <c:v>41883.586111111108</c:v>
                </c:pt>
                <c:pt idx="845">
                  <c:v>41883.586805555555</c:v>
                </c:pt>
                <c:pt idx="846">
                  <c:v>41883.587500000001</c:v>
                </c:pt>
                <c:pt idx="847">
                  <c:v>41883.588194444441</c:v>
                </c:pt>
                <c:pt idx="848">
                  <c:v>41883.588888888888</c:v>
                </c:pt>
                <c:pt idx="849">
                  <c:v>41883.589583333334</c:v>
                </c:pt>
                <c:pt idx="850">
                  <c:v>41883.590277777781</c:v>
                </c:pt>
                <c:pt idx="851">
                  <c:v>41883.59097222222</c:v>
                </c:pt>
                <c:pt idx="852">
                  <c:v>41883.591666666667</c:v>
                </c:pt>
                <c:pt idx="853">
                  <c:v>41883.592361111114</c:v>
                </c:pt>
                <c:pt idx="854">
                  <c:v>41883.593055555553</c:v>
                </c:pt>
                <c:pt idx="855">
                  <c:v>41883.59375</c:v>
                </c:pt>
                <c:pt idx="856">
                  <c:v>41883.594444444447</c:v>
                </c:pt>
                <c:pt idx="857">
                  <c:v>41883.595138888886</c:v>
                </c:pt>
                <c:pt idx="858">
                  <c:v>41883.595833333333</c:v>
                </c:pt>
                <c:pt idx="859">
                  <c:v>41883.59652777778</c:v>
                </c:pt>
                <c:pt idx="860">
                  <c:v>41883.597222222219</c:v>
                </c:pt>
                <c:pt idx="861">
                  <c:v>41883.597916666666</c:v>
                </c:pt>
                <c:pt idx="862">
                  <c:v>41883.598611111112</c:v>
                </c:pt>
                <c:pt idx="863">
                  <c:v>41883.599305555559</c:v>
                </c:pt>
                <c:pt idx="864">
                  <c:v>41883.599999999999</c:v>
                </c:pt>
                <c:pt idx="865">
                  <c:v>41883.600694444445</c:v>
                </c:pt>
                <c:pt idx="866">
                  <c:v>41883.601388888892</c:v>
                </c:pt>
                <c:pt idx="867">
                  <c:v>41883.602083333331</c:v>
                </c:pt>
                <c:pt idx="868">
                  <c:v>41883.602777777778</c:v>
                </c:pt>
                <c:pt idx="869">
                  <c:v>41883.603472222225</c:v>
                </c:pt>
                <c:pt idx="870">
                  <c:v>41883.604166666664</c:v>
                </c:pt>
                <c:pt idx="871">
                  <c:v>41883.604861111111</c:v>
                </c:pt>
                <c:pt idx="872">
                  <c:v>41883.605555555558</c:v>
                </c:pt>
                <c:pt idx="873">
                  <c:v>41883.606249999997</c:v>
                </c:pt>
                <c:pt idx="874">
                  <c:v>41883.606944444444</c:v>
                </c:pt>
                <c:pt idx="875">
                  <c:v>41883.607638888891</c:v>
                </c:pt>
                <c:pt idx="876">
                  <c:v>41883.60833333333</c:v>
                </c:pt>
                <c:pt idx="877">
                  <c:v>41883.609027777777</c:v>
                </c:pt>
                <c:pt idx="878">
                  <c:v>41883.609722222223</c:v>
                </c:pt>
                <c:pt idx="879">
                  <c:v>41883.61041666667</c:v>
                </c:pt>
                <c:pt idx="880">
                  <c:v>41883.611111111109</c:v>
                </c:pt>
                <c:pt idx="881">
                  <c:v>41883.611805555556</c:v>
                </c:pt>
                <c:pt idx="882">
                  <c:v>41883.612500000003</c:v>
                </c:pt>
                <c:pt idx="883">
                  <c:v>41883.613194444442</c:v>
                </c:pt>
                <c:pt idx="884">
                  <c:v>41883.613888888889</c:v>
                </c:pt>
                <c:pt idx="885">
                  <c:v>41883.614583333336</c:v>
                </c:pt>
                <c:pt idx="886">
                  <c:v>41883.615277777775</c:v>
                </c:pt>
                <c:pt idx="887">
                  <c:v>41883.615972222222</c:v>
                </c:pt>
                <c:pt idx="888">
                  <c:v>41883.616666666669</c:v>
                </c:pt>
                <c:pt idx="889">
                  <c:v>41883.617361111108</c:v>
                </c:pt>
                <c:pt idx="890">
                  <c:v>41883.618055555555</c:v>
                </c:pt>
                <c:pt idx="891">
                  <c:v>41883.618750000001</c:v>
                </c:pt>
                <c:pt idx="892">
                  <c:v>41883.619444444441</c:v>
                </c:pt>
                <c:pt idx="893">
                  <c:v>41883.620138888888</c:v>
                </c:pt>
                <c:pt idx="894">
                  <c:v>41883.620833333334</c:v>
                </c:pt>
                <c:pt idx="895">
                  <c:v>41883.621527777781</c:v>
                </c:pt>
                <c:pt idx="896">
                  <c:v>41883.62222222222</c:v>
                </c:pt>
                <c:pt idx="897">
                  <c:v>41883.622916666667</c:v>
                </c:pt>
                <c:pt idx="898">
                  <c:v>41883.623611111114</c:v>
                </c:pt>
                <c:pt idx="899">
                  <c:v>41883.624305555553</c:v>
                </c:pt>
                <c:pt idx="900">
                  <c:v>41883.625</c:v>
                </c:pt>
                <c:pt idx="901">
                  <c:v>41883.625694444447</c:v>
                </c:pt>
                <c:pt idx="902">
                  <c:v>41883.626388888886</c:v>
                </c:pt>
                <c:pt idx="903">
                  <c:v>41883.627083333333</c:v>
                </c:pt>
                <c:pt idx="904">
                  <c:v>41883.62777777778</c:v>
                </c:pt>
                <c:pt idx="905">
                  <c:v>41883.628472222219</c:v>
                </c:pt>
                <c:pt idx="906">
                  <c:v>41883.629166666666</c:v>
                </c:pt>
                <c:pt idx="907">
                  <c:v>41883.629861111112</c:v>
                </c:pt>
                <c:pt idx="908">
                  <c:v>41883.630555555559</c:v>
                </c:pt>
                <c:pt idx="909">
                  <c:v>41883.631249999999</c:v>
                </c:pt>
                <c:pt idx="910">
                  <c:v>41883.631944444445</c:v>
                </c:pt>
                <c:pt idx="911">
                  <c:v>41883.632638888892</c:v>
                </c:pt>
                <c:pt idx="912">
                  <c:v>41883.633333333331</c:v>
                </c:pt>
                <c:pt idx="913">
                  <c:v>41883.634027777778</c:v>
                </c:pt>
                <c:pt idx="914">
                  <c:v>41883.634722222225</c:v>
                </c:pt>
                <c:pt idx="915">
                  <c:v>41883.635416666664</c:v>
                </c:pt>
                <c:pt idx="916">
                  <c:v>41883.636111111111</c:v>
                </c:pt>
                <c:pt idx="917">
                  <c:v>41883.636805555558</c:v>
                </c:pt>
                <c:pt idx="918">
                  <c:v>41883.637499999997</c:v>
                </c:pt>
                <c:pt idx="919">
                  <c:v>41883.638194444444</c:v>
                </c:pt>
                <c:pt idx="920">
                  <c:v>41883.638888888891</c:v>
                </c:pt>
                <c:pt idx="921">
                  <c:v>41883.63958333333</c:v>
                </c:pt>
                <c:pt idx="922">
                  <c:v>41883.640277777777</c:v>
                </c:pt>
                <c:pt idx="923">
                  <c:v>41883.640972222223</c:v>
                </c:pt>
                <c:pt idx="924">
                  <c:v>41883.64166666667</c:v>
                </c:pt>
                <c:pt idx="925">
                  <c:v>41883.642361111109</c:v>
                </c:pt>
                <c:pt idx="926">
                  <c:v>41883.643055555556</c:v>
                </c:pt>
                <c:pt idx="927">
                  <c:v>41883.643750000003</c:v>
                </c:pt>
                <c:pt idx="928">
                  <c:v>41883.644444444442</c:v>
                </c:pt>
                <c:pt idx="929">
                  <c:v>41883.645138888889</c:v>
                </c:pt>
                <c:pt idx="930">
                  <c:v>41883.645833333336</c:v>
                </c:pt>
                <c:pt idx="931">
                  <c:v>41883.646527777775</c:v>
                </c:pt>
                <c:pt idx="932">
                  <c:v>41883.647222222222</c:v>
                </c:pt>
                <c:pt idx="933">
                  <c:v>41883.647916666669</c:v>
                </c:pt>
                <c:pt idx="934">
                  <c:v>41883.648611111108</c:v>
                </c:pt>
                <c:pt idx="935">
                  <c:v>41883.649305555555</c:v>
                </c:pt>
                <c:pt idx="936">
                  <c:v>41883.65</c:v>
                </c:pt>
                <c:pt idx="937">
                  <c:v>41883.650694444441</c:v>
                </c:pt>
                <c:pt idx="938">
                  <c:v>41883.651388888888</c:v>
                </c:pt>
                <c:pt idx="939">
                  <c:v>41883.652083333334</c:v>
                </c:pt>
                <c:pt idx="940">
                  <c:v>41883.652777777781</c:v>
                </c:pt>
                <c:pt idx="941">
                  <c:v>41883.65347222222</c:v>
                </c:pt>
                <c:pt idx="942">
                  <c:v>41883.654166666667</c:v>
                </c:pt>
                <c:pt idx="943">
                  <c:v>41883.654861111114</c:v>
                </c:pt>
                <c:pt idx="944">
                  <c:v>41883.655555555553</c:v>
                </c:pt>
                <c:pt idx="945">
                  <c:v>41883.65625</c:v>
                </c:pt>
                <c:pt idx="946">
                  <c:v>41883.656944444447</c:v>
                </c:pt>
                <c:pt idx="947">
                  <c:v>41883.657638888886</c:v>
                </c:pt>
                <c:pt idx="948">
                  <c:v>41883.658333333333</c:v>
                </c:pt>
                <c:pt idx="949">
                  <c:v>41883.65902777778</c:v>
                </c:pt>
                <c:pt idx="950">
                  <c:v>41883.659722222219</c:v>
                </c:pt>
                <c:pt idx="951">
                  <c:v>41883.660416666666</c:v>
                </c:pt>
                <c:pt idx="952">
                  <c:v>41883.661111111112</c:v>
                </c:pt>
                <c:pt idx="953">
                  <c:v>41883.661805555559</c:v>
                </c:pt>
                <c:pt idx="954">
                  <c:v>41883.662499999999</c:v>
                </c:pt>
                <c:pt idx="955">
                  <c:v>41883.663194444445</c:v>
                </c:pt>
                <c:pt idx="956">
                  <c:v>41883.663888888892</c:v>
                </c:pt>
                <c:pt idx="957">
                  <c:v>41883.664583333331</c:v>
                </c:pt>
                <c:pt idx="958">
                  <c:v>41883.665277777778</c:v>
                </c:pt>
                <c:pt idx="959">
                  <c:v>41883.665972222225</c:v>
                </c:pt>
                <c:pt idx="960">
                  <c:v>41883.666666666664</c:v>
                </c:pt>
                <c:pt idx="961">
                  <c:v>41883.667361111111</c:v>
                </c:pt>
                <c:pt idx="962">
                  <c:v>41883.668055555558</c:v>
                </c:pt>
                <c:pt idx="963">
                  <c:v>41883.668749999997</c:v>
                </c:pt>
                <c:pt idx="964">
                  <c:v>41883.669444444444</c:v>
                </c:pt>
                <c:pt idx="965">
                  <c:v>41883.670138888891</c:v>
                </c:pt>
                <c:pt idx="966">
                  <c:v>41883.67083333333</c:v>
                </c:pt>
                <c:pt idx="967">
                  <c:v>41883.671527777777</c:v>
                </c:pt>
                <c:pt idx="968">
                  <c:v>41883.672222222223</c:v>
                </c:pt>
                <c:pt idx="969">
                  <c:v>41883.67291666667</c:v>
                </c:pt>
                <c:pt idx="970">
                  <c:v>41883.673611111109</c:v>
                </c:pt>
                <c:pt idx="971">
                  <c:v>41883.674305555556</c:v>
                </c:pt>
                <c:pt idx="972">
                  <c:v>41883.675000000003</c:v>
                </c:pt>
                <c:pt idx="973">
                  <c:v>41883.675694444442</c:v>
                </c:pt>
                <c:pt idx="974">
                  <c:v>41883.676388888889</c:v>
                </c:pt>
                <c:pt idx="975">
                  <c:v>41883.677083333336</c:v>
                </c:pt>
                <c:pt idx="976">
                  <c:v>41883.677777777775</c:v>
                </c:pt>
                <c:pt idx="977">
                  <c:v>41883.678472222222</c:v>
                </c:pt>
                <c:pt idx="978">
                  <c:v>41883.679166666669</c:v>
                </c:pt>
                <c:pt idx="979">
                  <c:v>41883.679861111108</c:v>
                </c:pt>
                <c:pt idx="980">
                  <c:v>41883.680555555555</c:v>
                </c:pt>
                <c:pt idx="981">
                  <c:v>41883.681250000001</c:v>
                </c:pt>
                <c:pt idx="982">
                  <c:v>41883.681944444441</c:v>
                </c:pt>
                <c:pt idx="983">
                  <c:v>41883.682638888888</c:v>
                </c:pt>
                <c:pt idx="984">
                  <c:v>41883.683333333334</c:v>
                </c:pt>
                <c:pt idx="985">
                  <c:v>41883.684027777781</c:v>
                </c:pt>
                <c:pt idx="986">
                  <c:v>41883.68472222222</c:v>
                </c:pt>
                <c:pt idx="987">
                  <c:v>41883.685416666667</c:v>
                </c:pt>
                <c:pt idx="988">
                  <c:v>41883.686111111114</c:v>
                </c:pt>
                <c:pt idx="989">
                  <c:v>41883.686805555553</c:v>
                </c:pt>
                <c:pt idx="990">
                  <c:v>41883.6875</c:v>
                </c:pt>
                <c:pt idx="991">
                  <c:v>41883.688194444447</c:v>
                </c:pt>
                <c:pt idx="992">
                  <c:v>41883.688888888886</c:v>
                </c:pt>
                <c:pt idx="993">
                  <c:v>41883.689583333333</c:v>
                </c:pt>
                <c:pt idx="994">
                  <c:v>41883.69027777778</c:v>
                </c:pt>
                <c:pt idx="995">
                  <c:v>41883.690972222219</c:v>
                </c:pt>
                <c:pt idx="996">
                  <c:v>41883.691666666666</c:v>
                </c:pt>
                <c:pt idx="997">
                  <c:v>41883.692361111112</c:v>
                </c:pt>
                <c:pt idx="998">
                  <c:v>41883.693055555559</c:v>
                </c:pt>
                <c:pt idx="999">
                  <c:v>41883.693749999999</c:v>
                </c:pt>
                <c:pt idx="1000">
                  <c:v>41883.694444444445</c:v>
                </c:pt>
                <c:pt idx="1001">
                  <c:v>41883.695138888892</c:v>
                </c:pt>
                <c:pt idx="1002">
                  <c:v>41883.695833333331</c:v>
                </c:pt>
                <c:pt idx="1003">
                  <c:v>41883.696527777778</c:v>
                </c:pt>
                <c:pt idx="1004">
                  <c:v>41883.697222222225</c:v>
                </c:pt>
                <c:pt idx="1005">
                  <c:v>41883.697916666664</c:v>
                </c:pt>
                <c:pt idx="1006">
                  <c:v>41883.698611111111</c:v>
                </c:pt>
                <c:pt idx="1007">
                  <c:v>41883.699305555558</c:v>
                </c:pt>
                <c:pt idx="1008">
                  <c:v>41883.699999999997</c:v>
                </c:pt>
                <c:pt idx="1009">
                  <c:v>41883.700694444444</c:v>
                </c:pt>
                <c:pt idx="1010">
                  <c:v>41883.701388888891</c:v>
                </c:pt>
                <c:pt idx="1011">
                  <c:v>41883.70208333333</c:v>
                </c:pt>
                <c:pt idx="1012">
                  <c:v>41883.702777777777</c:v>
                </c:pt>
                <c:pt idx="1013">
                  <c:v>41883.703472222223</c:v>
                </c:pt>
                <c:pt idx="1014">
                  <c:v>41883.70416666667</c:v>
                </c:pt>
                <c:pt idx="1015">
                  <c:v>41883.704861111109</c:v>
                </c:pt>
                <c:pt idx="1016">
                  <c:v>41883.705555555556</c:v>
                </c:pt>
                <c:pt idx="1017">
                  <c:v>41883.706250000003</c:v>
                </c:pt>
                <c:pt idx="1018">
                  <c:v>41883.706944444442</c:v>
                </c:pt>
                <c:pt idx="1019">
                  <c:v>41883.707638888889</c:v>
                </c:pt>
                <c:pt idx="1020">
                  <c:v>41883.708333333336</c:v>
                </c:pt>
                <c:pt idx="1021">
                  <c:v>41883.709027777775</c:v>
                </c:pt>
                <c:pt idx="1022">
                  <c:v>41883.709722222222</c:v>
                </c:pt>
                <c:pt idx="1023">
                  <c:v>41883.710416666669</c:v>
                </c:pt>
                <c:pt idx="1024">
                  <c:v>41883.711111111108</c:v>
                </c:pt>
                <c:pt idx="1025">
                  <c:v>41883.711805555555</c:v>
                </c:pt>
                <c:pt idx="1026">
                  <c:v>41883.712500000001</c:v>
                </c:pt>
                <c:pt idx="1027">
                  <c:v>41883.713194444441</c:v>
                </c:pt>
                <c:pt idx="1028">
                  <c:v>41883.713888888888</c:v>
                </c:pt>
                <c:pt idx="1029">
                  <c:v>41883.714583333334</c:v>
                </c:pt>
                <c:pt idx="1030">
                  <c:v>41883.715277777781</c:v>
                </c:pt>
                <c:pt idx="1031">
                  <c:v>41883.71597222222</c:v>
                </c:pt>
                <c:pt idx="1032">
                  <c:v>41883.716666666667</c:v>
                </c:pt>
                <c:pt idx="1033">
                  <c:v>41883.717361111114</c:v>
                </c:pt>
                <c:pt idx="1034">
                  <c:v>41883.718055555553</c:v>
                </c:pt>
                <c:pt idx="1035">
                  <c:v>41883.71875</c:v>
                </c:pt>
                <c:pt idx="1036">
                  <c:v>41883.719444444447</c:v>
                </c:pt>
                <c:pt idx="1037">
                  <c:v>41883.720138888886</c:v>
                </c:pt>
                <c:pt idx="1038">
                  <c:v>41883.720833333333</c:v>
                </c:pt>
                <c:pt idx="1039">
                  <c:v>41883.72152777778</c:v>
                </c:pt>
                <c:pt idx="1040">
                  <c:v>41883.722222222219</c:v>
                </c:pt>
                <c:pt idx="1041">
                  <c:v>41883.722916666666</c:v>
                </c:pt>
                <c:pt idx="1042">
                  <c:v>41883.723611111112</c:v>
                </c:pt>
                <c:pt idx="1043">
                  <c:v>41883.724305555559</c:v>
                </c:pt>
                <c:pt idx="1044">
                  <c:v>41883.724999999999</c:v>
                </c:pt>
                <c:pt idx="1045">
                  <c:v>41883.725694444445</c:v>
                </c:pt>
                <c:pt idx="1046">
                  <c:v>41883.726388888892</c:v>
                </c:pt>
                <c:pt idx="1047">
                  <c:v>41883.727083333331</c:v>
                </c:pt>
                <c:pt idx="1048">
                  <c:v>41883.727777777778</c:v>
                </c:pt>
                <c:pt idx="1049">
                  <c:v>41883.728472222225</c:v>
                </c:pt>
                <c:pt idx="1050">
                  <c:v>41883.729166666664</c:v>
                </c:pt>
                <c:pt idx="1051">
                  <c:v>41883.729861111111</c:v>
                </c:pt>
                <c:pt idx="1052">
                  <c:v>41883.730555555558</c:v>
                </c:pt>
                <c:pt idx="1053">
                  <c:v>41883.731249999997</c:v>
                </c:pt>
                <c:pt idx="1054">
                  <c:v>41883.731944444444</c:v>
                </c:pt>
                <c:pt idx="1055">
                  <c:v>41883.732638888891</c:v>
                </c:pt>
                <c:pt idx="1056">
                  <c:v>41883.73333333333</c:v>
                </c:pt>
                <c:pt idx="1057">
                  <c:v>41883.734027777777</c:v>
                </c:pt>
                <c:pt idx="1058">
                  <c:v>41883.734722222223</c:v>
                </c:pt>
                <c:pt idx="1059">
                  <c:v>41883.73541666667</c:v>
                </c:pt>
                <c:pt idx="1060">
                  <c:v>41883.736111111109</c:v>
                </c:pt>
                <c:pt idx="1061">
                  <c:v>41883.736805555556</c:v>
                </c:pt>
                <c:pt idx="1062">
                  <c:v>41883.737500000003</c:v>
                </c:pt>
                <c:pt idx="1063">
                  <c:v>41883.738194444442</c:v>
                </c:pt>
                <c:pt idx="1064">
                  <c:v>41883.738888888889</c:v>
                </c:pt>
                <c:pt idx="1065">
                  <c:v>41883.739583333336</c:v>
                </c:pt>
                <c:pt idx="1066">
                  <c:v>41883.740277777775</c:v>
                </c:pt>
                <c:pt idx="1067">
                  <c:v>41883.740972222222</c:v>
                </c:pt>
                <c:pt idx="1068">
                  <c:v>41883.741666666669</c:v>
                </c:pt>
                <c:pt idx="1069">
                  <c:v>41883.742361111108</c:v>
                </c:pt>
                <c:pt idx="1070">
                  <c:v>41883.743055555555</c:v>
                </c:pt>
                <c:pt idx="1071">
                  <c:v>41883.743750000001</c:v>
                </c:pt>
                <c:pt idx="1072">
                  <c:v>41883.744444444441</c:v>
                </c:pt>
                <c:pt idx="1073">
                  <c:v>41883.745138888888</c:v>
                </c:pt>
                <c:pt idx="1074">
                  <c:v>41883.745833333334</c:v>
                </c:pt>
                <c:pt idx="1075">
                  <c:v>41883.746527777781</c:v>
                </c:pt>
                <c:pt idx="1076">
                  <c:v>41883.74722222222</c:v>
                </c:pt>
                <c:pt idx="1077">
                  <c:v>41883.747916666667</c:v>
                </c:pt>
                <c:pt idx="1078">
                  <c:v>41883.748611111114</c:v>
                </c:pt>
                <c:pt idx="1079">
                  <c:v>41883.749305555553</c:v>
                </c:pt>
                <c:pt idx="1080">
                  <c:v>41883.75</c:v>
                </c:pt>
                <c:pt idx="1081">
                  <c:v>41883.750694444447</c:v>
                </c:pt>
                <c:pt idx="1082">
                  <c:v>41883.751388888886</c:v>
                </c:pt>
                <c:pt idx="1083">
                  <c:v>41883.752083333333</c:v>
                </c:pt>
                <c:pt idx="1084">
                  <c:v>41883.75277777778</c:v>
                </c:pt>
                <c:pt idx="1085">
                  <c:v>41883.753472222219</c:v>
                </c:pt>
                <c:pt idx="1086">
                  <c:v>41883.754166666666</c:v>
                </c:pt>
                <c:pt idx="1087">
                  <c:v>41883.754861111112</c:v>
                </c:pt>
                <c:pt idx="1088">
                  <c:v>41883.755555555559</c:v>
                </c:pt>
                <c:pt idx="1089">
                  <c:v>41883.756249999999</c:v>
                </c:pt>
                <c:pt idx="1090">
                  <c:v>41883.756944444445</c:v>
                </c:pt>
                <c:pt idx="1091">
                  <c:v>41883.757638888892</c:v>
                </c:pt>
                <c:pt idx="1092">
                  <c:v>41883.758333333331</c:v>
                </c:pt>
                <c:pt idx="1093">
                  <c:v>41883.759027777778</c:v>
                </c:pt>
                <c:pt idx="1094">
                  <c:v>41883.759722222225</c:v>
                </c:pt>
                <c:pt idx="1095">
                  <c:v>41883.760416666664</c:v>
                </c:pt>
                <c:pt idx="1096">
                  <c:v>41883.761111111111</c:v>
                </c:pt>
                <c:pt idx="1097">
                  <c:v>41883.761805555558</c:v>
                </c:pt>
                <c:pt idx="1098">
                  <c:v>41883.762499999997</c:v>
                </c:pt>
                <c:pt idx="1099">
                  <c:v>41883.763194444444</c:v>
                </c:pt>
                <c:pt idx="1100">
                  <c:v>41883.763888888891</c:v>
                </c:pt>
                <c:pt idx="1101">
                  <c:v>41883.76458333333</c:v>
                </c:pt>
                <c:pt idx="1102">
                  <c:v>41883.765277777777</c:v>
                </c:pt>
                <c:pt idx="1103">
                  <c:v>41883.765972222223</c:v>
                </c:pt>
                <c:pt idx="1104">
                  <c:v>41883.76666666667</c:v>
                </c:pt>
                <c:pt idx="1105">
                  <c:v>41883.767361111109</c:v>
                </c:pt>
                <c:pt idx="1106">
                  <c:v>41883.768055555556</c:v>
                </c:pt>
                <c:pt idx="1107">
                  <c:v>41883.768750000003</c:v>
                </c:pt>
                <c:pt idx="1108">
                  <c:v>41883.769444444442</c:v>
                </c:pt>
                <c:pt idx="1109">
                  <c:v>41883.770138888889</c:v>
                </c:pt>
                <c:pt idx="1110">
                  <c:v>41883.770833333336</c:v>
                </c:pt>
                <c:pt idx="1111">
                  <c:v>41883.771527777775</c:v>
                </c:pt>
                <c:pt idx="1112">
                  <c:v>41883.772222222222</c:v>
                </c:pt>
                <c:pt idx="1113">
                  <c:v>41883.772916666669</c:v>
                </c:pt>
                <c:pt idx="1114">
                  <c:v>41883.773611111108</c:v>
                </c:pt>
                <c:pt idx="1115">
                  <c:v>41883.774305555555</c:v>
                </c:pt>
                <c:pt idx="1116">
                  <c:v>41883.775000000001</c:v>
                </c:pt>
                <c:pt idx="1117">
                  <c:v>41883.775694444441</c:v>
                </c:pt>
                <c:pt idx="1118">
                  <c:v>41883.776388888888</c:v>
                </c:pt>
                <c:pt idx="1119">
                  <c:v>41883.777083333334</c:v>
                </c:pt>
                <c:pt idx="1120">
                  <c:v>41883.777777777781</c:v>
                </c:pt>
                <c:pt idx="1121">
                  <c:v>41883.77847222222</c:v>
                </c:pt>
                <c:pt idx="1122">
                  <c:v>41883.779166666667</c:v>
                </c:pt>
                <c:pt idx="1123">
                  <c:v>41883.779861111114</c:v>
                </c:pt>
                <c:pt idx="1124">
                  <c:v>41883.780555555553</c:v>
                </c:pt>
                <c:pt idx="1125">
                  <c:v>41883.78125</c:v>
                </c:pt>
                <c:pt idx="1126">
                  <c:v>41883.781944444447</c:v>
                </c:pt>
                <c:pt idx="1127">
                  <c:v>41883.782638888886</c:v>
                </c:pt>
                <c:pt idx="1128">
                  <c:v>41883.783333333333</c:v>
                </c:pt>
                <c:pt idx="1129">
                  <c:v>41883.78402777778</c:v>
                </c:pt>
                <c:pt idx="1130">
                  <c:v>41883.784722222219</c:v>
                </c:pt>
                <c:pt idx="1131">
                  <c:v>41883.785416666666</c:v>
                </c:pt>
                <c:pt idx="1132">
                  <c:v>41883.786111111112</c:v>
                </c:pt>
                <c:pt idx="1133">
                  <c:v>41883.786805555559</c:v>
                </c:pt>
                <c:pt idx="1134">
                  <c:v>41883.787499999999</c:v>
                </c:pt>
                <c:pt idx="1135">
                  <c:v>41883.788194444445</c:v>
                </c:pt>
                <c:pt idx="1136">
                  <c:v>41883.788888888892</c:v>
                </c:pt>
                <c:pt idx="1137">
                  <c:v>41883.789583333331</c:v>
                </c:pt>
                <c:pt idx="1138">
                  <c:v>41883.790277777778</c:v>
                </c:pt>
                <c:pt idx="1139">
                  <c:v>41883.790972222225</c:v>
                </c:pt>
                <c:pt idx="1140">
                  <c:v>41883.791666666664</c:v>
                </c:pt>
                <c:pt idx="1141">
                  <c:v>41883.792361111111</c:v>
                </c:pt>
                <c:pt idx="1142">
                  <c:v>41883.793055555558</c:v>
                </c:pt>
                <c:pt idx="1143">
                  <c:v>41883.793749999997</c:v>
                </c:pt>
                <c:pt idx="1144">
                  <c:v>41883.794444444444</c:v>
                </c:pt>
                <c:pt idx="1145">
                  <c:v>41883.795138888891</c:v>
                </c:pt>
                <c:pt idx="1146">
                  <c:v>41883.79583333333</c:v>
                </c:pt>
                <c:pt idx="1147">
                  <c:v>41883.796527777777</c:v>
                </c:pt>
                <c:pt idx="1148">
                  <c:v>41883.797222222223</c:v>
                </c:pt>
                <c:pt idx="1149">
                  <c:v>41883.79791666667</c:v>
                </c:pt>
                <c:pt idx="1150">
                  <c:v>41883.798611111109</c:v>
                </c:pt>
                <c:pt idx="1151">
                  <c:v>41883.799305555556</c:v>
                </c:pt>
                <c:pt idx="1152">
                  <c:v>41883.800000000003</c:v>
                </c:pt>
                <c:pt idx="1153">
                  <c:v>41883.800694444442</c:v>
                </c:pt>
                <c:pt idx="1154">
                  <c:v>41883.801388888889</c:v>
                </c:pt>
                <c:pt idx="1155">
                  <c:v>41883.802083333336</c:v>
                </c:pt>
                <c:pt idx="1156">
                  <c:v>41883.802777777775</c:v>
                </c:pt>
                <c:pt idx="1157">
                  <c:v>41883.803472222222</c:v>
                </c:pt>
                <c:pt idx="1158">
                  <c:v>41883.804166666669</c:v>
                </c:pt>
                <c:pt idx="1159">
                  <c:v>41883.804861111108</c:v>
                </c:pt>
                <c:pt idx="1160">
                  <c:v>41883.805555555555</c:v>
                </c:pt>
                <c:pt idx="1161">
                  <c:v>41883.806250000001</c:v>
                </c:pt>
                <c:pt idx="1162">
                  <c:v>41883.806944444441</c:v>
                </c:pt>
                <c:pt idx="1163">
                  <c:v>41883.807638888888</c:v>
                </c:pt>
                <c:pt idx="1164">
                  <c:v>41883.808333333334</c:v>
                </c:pt>
                <c:pt idx="1165">
                  <c:v>41883.809027777781</c:v>
                </c:pt>
                <c:pt idx="1166">
                  <c:v>41883.80972222222</c:v>
                </c:pt>
                <c:pt idx="1167">
                  <c:v>41883.810416666667</c:v>
                </c:pt>
                <c:pt idx="1168">
                  <c:v>41883.811111111114</c:v>
                </c:pt>
                <c:pt idx="1169">
                  <c:v>41883.811805555553</c:v>
                </c:pt>
                <c:pt idx="1170">
                  <c:v>41883.8125</c:v>
                </c:pt>
                <c:pt idx="1171">
                  <c:v>41883.813194444447</c:v>
                </c:pt>
                <c:pt idx="1172">
                  <c:v>41883.813888888886</c:v>
                </c:pt>
                <c:pt idx="1173">
                  <c:v>41883.814583333333</c:v>
                </c:pt>
                <c:pt idx="1174">
                  <c:v>41883.81527777778</c:v>
                </c:pt>
                <c:pt idx="1175">
                  <c:v>41883.815972222219</c:v>
                </c:pt>
                <c:pt idx="1176">
                  <c:v>41883.816666666666</c:v>
                </c:pt>
                <c:pt idx="1177">
                  <c:v>41883.817361111112</c:v>
                </c:pt>
                <c:pt idx="1178">
                  <c:v>41883.818055555559</c:v>
                </c:pt>
                <c:pt idx="1179">
                  <c:v>41883.818749999999</c:v>
                </c:pt>
                <c:pt idx="1180">
                  <c:v>41883.819444444445</c:v>
                </c:pt>
                <c:pt idx="1181">
                  <c:v>41883.820138888892</c:v>
                </c:pt>
                <c:pt idx="1182">
                  <c:v>41883.820833333331</c:v>
                </c:pt>
                <c:pt idx="1183">
                  <c:v>41883.821527777778</c:v>
                </c:pt>
                <c:pt idx="1184">
                  <c:v>41883.822222222225</c:v>
                </c:pt>
                <c:pt idx="1185">
                  <c:v>41883.822916666664</c:v>
                </c:pt>
                <c:pt idx="1186">
                  <c:v>41883.823611111111</c:v>
                </c:pt>
                <c:pt idx="1187">
                  <c:v>41883.824305555558</c:v>
                </c:pt>
                <c:pt idx="1188">
                  <c:v>41883.824999999997</c:v>
                </c:pt>
                <c:pt idx="1189">
                  <c:v>41883.825694444444</c:v>
                </c:pt>
                <c:pt idx="1190">
                  <c:v>41883.826388888891</c:v>
                </c:pt>
                <c:pt idx="1191">
                  <c:v>41883.82708333333</c:v>
                </c:pt>
                <c:pt idx="1192">
                  <c:v>41883.827777777777</c:v>
                </c:pt>
                <c:pt idx="1193">
                  <c:v>41883.828472222223</c:v>
                </c:pt>
                <c:pt idx="1194">
                  <c:v>41883.82916666667</c:v>
                </c:pt>
                <c:pt idx="1195">
                  <c:v>41883.829861111109</c:v>
                </c:pt>
                <c:pt idx="1196">
                  <c:v>41883.830555555556</c:v>
                </c:pt>
                <c:pt idx="1197">
                  <c:v>41883.831250000003</c:v>
                </c:pt>
                <c:pt idx="1198">
                  <c:v>41883.831944444442</c:v>
                </c:pt>
                <c:pt idx="1199">
                  <c:v>41883.832638888889</c:v>
                </c:pt>
                <c:pt idx="1200">
                  <c:v>41883.833333333336</c:v>
                </c:pt>
                <c:pt idx="1201">
                  <c:v>41883.834027777775</c:v>
                </c:pt>
                <c:pt idx="1202">
                  <c:v>41883.834722222222</c:v>
                </c:pt>
                <c:pt idx="1203">
                  <c:v>41883.835416666669</c:v>
                </c:pt>
                <c:pt idx="1204">
                  <c:v>41883.836111111108</c:v>
                </c:pt>
                <c:pt idx="1205">
                  <c:v>41883.836805555555</c:v>
                </c:pt>
                <c:pt idx="1206">
                  <c:v>41883.837500000001</c:v>
                </c:pt>
                <c:pt idx="1207">
                  <c:v>41883.838194444441</c:v>
                </c:pt>
                <c:pt idx="1208">
                  <c:v>41883.838888888888</c:v>
                </c:pt>
                <c:pt idx="1209">
                  <c:v>41883.839583333334</c:v>
                </c:pt>
                <c:pt idx="1210">
                  <c:v>41883.840277777781</c:v>
                </c:pt>
                <c:pt idx="1211">
                  <c:v>41883.84097222222</c:v>
                </c:pt>
                <c:pt idx="1212">
                  <c:v>41883.841666666667</c:v>
                </c:pt>
                <c:pt idx="1213">
                  <c:v>41883.842361111114</c:v>
                </c:pt>
                <c:pt idx="1214">
                  <c:v>41883.843055555553</c:v>
                </c:pt>
                <c:pt idx="1215">
                  <c:v>41883.84375</c:v>
                </c:pt>
                <c:pt idx="1216">
                  <c:v>41883.844444444447</c:v>
                </c:pt>
                <c:pt idx="1217">
                  <c:v>41883.845138888886</c:v>
                </c:pt>
                <c:pt idx="1218">
                  <c:v>41883.845833333333</c:v>
                </c:pt>
                <c:pt idx="1219">
                  <c:v>41883.84652777778</c:v>
                </c:pt>
                <c:pt idx="1220">
                  <c:v>41883.847222222219</c:v>
                </c:pt>
                <c:pt idx="1221">
                  <c:v>41883.847916666666</c:v>
                </c:pt>
                <c:pt idx="1222">
                  <c:v>41883.848611111112</c:v>
                </c:pt>
                <c:pt idx="1223">
                  <c:v>41883.849305555559</c:v>
                </c:pt>
                <c:pt idx="1224">
                  <c:v>41883.85</c:v>
                </c:pt>
                <c:pt idx="1225">
                  <c:v>41883.850694444445</c:v>
                </c:pt>
                <c:pt idx="1226">
                  <c:v>41883.851388888892</c:v>
                </c:pt>
                <c:pt idx="1227">
                  <c:v>41883.852083333331</c:v>
                </c:pt>
                <c:pt idx="1228">
                  <c:v>41883.852777777778</c:v>
                </c:pt>
                <c:pt idx="1229">
                  <c:v>41883.853472222225</c:v>
                </c:pt>
                <c:pt idx="1230">
                  <c:v>41883.854166666664</c:v>
                </c:pt>
                <c:pt idx="1231">
                  <c:v>41883.854861111111</c:v>
                </c:pt>
                <c:pt idx="1232">
                  <c:v>41883.855555555558</c:v>
                </c:pt>
                <c:pt idx="1233">
                  <c:v>41883.856249999997</c:v>
                </c:pt>
                <c:pt idx="1234">
                  <c:v>41883.856944444444</c:v>
                </c:pt>
                <c:pt idx="1235">
                  <c:v>41883.857638888891</c:v>
                </c:pt>
                <c:pt idx="1236">
                  <c:v>41883.85833333333</c:v>
                </c:pt>
                <c:pt idx="1237">
                  <c:v>41883.859027777777</c:v>
                </c:pt>
                <c:pt idx="1238">
                  <c:v>41883.859722222223</c:v>
                </c:pt>
                <c:pt idx="1239">
                  <c:v>41883.86041666667</c:v>
                </c:pt>
                <c:pt idx="1240">
                  <c:v>41883.861111111109</c:v>
                </c:pt>
                <c:pt idx="1241">
                  <c:v>41883.861805555556</c:v>
                </c:pt>
                <c:pt idx="1242">
                  <c:v>41883.862500000003</c:v>
                </c:pt>
                <c:pt idx="1243">
                  <c:v>41883.863194444442</c:v>
                </c:pt>
                <c:pt idx="1244">
                  <c:v>41883.863888888889</c:v>
                </c:pt>
                <c:pt idx="1245">
                  <c:v>41883.864583333336</c:v>
                </c:pt>
                <c:pt idx="1246">
                  <c:v>41883.865277777775</c:v>
                </c:pt>
                <c:pt idx="1247">
                  <c:v>41883.865972222222</c:v>
                </c:pt>
                <c:pt idx="1248">
                  <c:v>41883.866666666669</c:v>
                </c:pt>
                <c:pt idx="1249">
                  <c:v>41883.867361111108</c:v>
                </c:pt>
                <c:pt idx="1250">
                  <c:v>41883.868055555555</c:v>
                </c:pt>
                <c:pt idx="1251">
                  <c:v>41883.868750000001</c:v>
                </c:pt>
                <c:pt idx="1252">
                  <c:v>41883.869444444441</c:v>
                </c:pt>
                <c:pt idx="1253">
                  <c:v>41883.870138888888</c:v>
                </c:pt>
                <c:pt idx="1254">
                  <c:v>41883.870833333334</c:v>
                </c:pt>
                <c:pt idx="1255">
                  <c:v>41883.871527777781</c:v>
                </c:pt>
                <c:pt idx="1256">
                  <c:v>41883.87222222222</c:v>
                </c:pt>
                <c:pt idx="1257">
                  <c:v>41883.872916666667</c:v>
                </c:pt>
                <c:pt idx="1258">
                  <c:v>41883.873611111114</c:v>
                </c:pt>
                <c:pt idx="1259">
                  <c:v>41883.874305555553</c:v>
                </c:pt>
                <c:pt idx="1260">
                  <c:v>41883.875</c:v>
                </c:pt>
                <c:pt idx="1261">
                  <c:v>41883.875694444447</c:v>
                </c:pt>
                <c:pt idx="1262">
                  <c:v>41883.876388888886</c:v>
                </c:pt>
                <c:pt idx="1263">
                  <c:v>41883.877083333333</c:v>
                </c:pt>
                <c:pt idx="1264">
                  <c:v>41883.87777777778</c:v>
                </c:pt>
                <c:pt idx="1265">
                  <c:v>41883.878472222219</c:v>
                </c:pt>
                <c:pt idx="1266">
                  <c:v>41883.879166666666</c:v>
                </c:pt>
                <c:pt idx="1267">
                  <c:v>41883.879861111112</c:v>
                </c:pt>
                <c:pt idx="1268">
                  <c:v>41883.880555555559</c:v>
                </c:pt>
                <c:pt idx="1269">
                  <c:v>41883.881249999999</c:v>
                </c:pt>
                <c:pt idx="1270">
                  <c:v>41883.881944444445</c:v>
                </c:pt>
                <c:pt idx="1271">
                  <c:v>41883.882638888892</c:v>
                </c:pt>
                <c:pt idx="1272">
                  <c:v>41883.883333333331</c:v>
                </c:pt>
                <c:pt idx="1273">
                  <c:v>41883.884027777778</c:v>
                </c:pt>
                <c:pt idx="1274">
                  <c:v>41883.884722222225</c:v>
                </c:pt>
                <c:pt idx="1275">
                  <c:v>41883.885416666664</c:v>
                </c:pt>
                <c:pt idx="1276">
                  <c:v>41883.886111111111</c:v>
                </c:pt>
                <c:pt idx="1277">
                  <c:v>41883.886805555558</c:v>
                </c:pt>
                <c:pt idx="1278">
                  <c:v>41883.887499999997</c:v>
                </c:pt>
                <c:pt idx="1279">
                  <c:v>41883.888194444444</c:v>
                </c:pt>
                <c:pt idx="1280">
                  <c:v>41883.888888888891</c:v>
                </c:pt>
                <c:pt idx="1281">
                  <c:v>41883.88958333333</c:v>
                </c:pt>
                <c:pt idx="1282">
                  <c:v>41883.890277777777</c:v>
                </c:pt>
                <c:pt idx="1283">
                  <c:v>41883.890972222223</c:v>
                </c:pt>
                <c:pt idx="1284">
                  <c:v>41883.89166666667</c:v>
                </c:pt>
                <c:pt idx="1285">
                  <c:v>41883.892361111109</c:v>
                </c:pt>
                <c:pt idx="1286">
                  <c:v>41883.893055555556</c:v>
                </c:pt>
                <c:pt idx="1287">
                  <c:v>41883.893750000003</c:v>
                </c:pt>
                <c:pt idx="1288">
                  <c:v>41883.894444444442</c:v>
                </c:pt>
                <c:pt idx="1289">
                  <c:v>41883.895138888889</c:v>
                </c:pt>
                <c:pt idx="1290">
                  <c:v>41883.895833333336</c:v>
                </c:pt>
                <c:pt idx="1291">
                  <c:v>41883.896527777775</c:v>
                </c:pt>
                <c:pt idx="1292">
                  <c:v>41883.897222222222</c:v>
                </c:pt>
                <c:pt idx="1293">
                  <c:v>41883.897916666669</c:v>
                </c:pt>
                <c:pt idx="1294">
                  <c:v>41883.898611111108</c:v>
                </c:pt>
                <c:pt idx="1295">
                  <c:v>41883.899305555555</c:v>
                </c:pt>
                <c:pt idx="1296">
                  <c:v>41883.9</c:v>
                </c:pt>
                <c:pt idx="1297">
                  <c:v>41883.900694444441</c:v>
                </c:pt>
                <c:pt idx="1298">
                  <c:v>41883.901388888888</c:v>
                </c:pt>
                <c:pt idx="1299">
                  <c:v>41883.902083333334</c:v>
                </c:pt>
                <c:pt idx="1300">
                  <c:v>41883.902777777781</c:v>
                </c:pt>
                <c:pt idx="1301">
                  <c:v>41883.90347222222</c:v>
                </c:pt>
                <c:pt idx="1302">
                  <c:v>41883.904166666667</c:v>
                </c:pt>
                <c:pt idx="1303">
                  <c:v>41883.904861111114</c:v>
                </c:pt>
                <c:pt idx="1304">
                  <c:v>41883.905555555553</c:v>
                </c:pt>
                <c:pt idx="1305">
                  <c:v>41883.90625</c:v>
                </c:pt>
                <c:pt idx="1306">
                  <c:v>41883.906944444447</c:v>
                </c:pt>
                <c:pt idx="1307">
                  <c:v>41883.907638888886</c:v>
                </c:pt>
                <c:pt idx="1308">
                  <c:v>41883.908333333333</c:v>
                </c:pt>
                <c:pt idx="1309">
                  <c:v>41883.90902777778</c:v>
                </c:pt>
                <c:pt idx="1310">
                  <c:v>41883.909722222219</c:v>
                </c:pt>
                <c:pt idx="1311">
                  <c:v>41883.910416666666</c:v>
                </c:pt>
                <c:pt idx="1312">
                  <c:v>41883.911111111112</c:v>
                </c:pt>
                <c:pt idx="1313">
                  <c:v>41883.911805555559</c:v>
                </c:pt>
                <c:pt idx="1314">
                  <c:v>41883.912499999999</c:v>
                </c:pt>
                <c:pt idx="1315">
                  <c:v>41883.913194444445</c:v>
                </c:pt>
                <c:pt idx="1316">
                  <c:v>41883.913888888892</c:v>
                </c:pt>
                <c:pt idx="1317">
                  <c:v>41883.914583333331</c:v>
                </c:pt>
                <c:pt idx="1318">
                  <c:v>41883.915277777778</c:v>
                </c:pt>
                <c:pt idx="1319">
                  <c:v>41883.915972222225</c:v>
                </c:pt>
                <c:pt idx="1320">
                  <c:v>41883.916666666664</c:v>
                </c:pt>
                <c:pt idx="1321">
                  <c:v>41883.917361111111</c:v>
                </c:pt>
                <c:pt idx="1322">
                  <c:v>41883.918055555558</c:v>
                </c:pt>
                <c:pt idx="1323">
                  <c:v>41883.918749999997</c:v>
                </c:pt>
                <c:pt idx="1324">
                  <c:v>41883.919444444444</c:v>
                </c:pt>
                <c:pt idx="1325">
                  <c:v>41883.920138888891</c:v>
                </c:pt>
                <c:pt idx="1326">
                  <c:v>41883.92083333333</c:v>
                </c:pt>
                <c:pt idx="1327">
                  <c:v>41883.921527777777</c:v>
                </c:pt>
                <c:pt idx="1328">
                  <c:v>41883.922222222223</c:v>
                </c:pt>
                <c:pt idx="1329">
                  <c:v>41883.92291666667</c:v>
                </c:pt>
                <c:pt idx="1330">
                  <c:v>41883.923611111109</c:v>
                </c:pt>
                <c:pt idx="1331">
                  <c:v>41883.924305555556</c:v>
                </c:pt>
                <c:pt idx="1332">
                  <c:v>41883.925000000003</c:v>
                </c:pt>
                <c:pt idx="1333">
                  <c:v>41883.925694444442</c:v>
                </c:pt>
                <c:pt idx="1334">
                  <c:v>41883.926388888889</c:v>
                </c:pt>
                <c:pt idx="1335">
                  <c:v>41883.927083333336</c:v>
                </c:pt>
                <c:pt idx="1336">
                  <c:v>41883.927777777775</c:v>
                </c:pt>
                <c:pt idx="1337">
                  <c:v>41883.928472222222</c:v>
                </c:pt>
                <c:pt idx="1338">
                  <c:v>41883.929166666669</c:v>
                </c:pt>
                <c:pt idx="1339">
                  <c:v>41883.929861111108</c:v>
                </c:pt>
                <c:pt idx="1340">
                  <c:v>41883.930555555555</c:v>
                </c:pt>
                <c:pt idx="1341">
                  <c:v>41883.931250000001</c:v>
                </c:pt>
                <c:pt idx="1342">
                  <c:v>41883.931944444441</c:v>
                </c:pt>
                <c:pt idx="1343">
                  <c:v>41883.932638888888</c:v>
                </c:pt>
                <c:pt idx="1344">
                  <c:v>41883.933333333334</c:v>
                </c:pt>
                <c:pt idx="1345">
                  <c:v>41883.934027777781</c:v>
                </c:pt>
                <c:pt idx="1346">
                  <c:v>41883.93472222222</c:v>
                </c:pt>
                <c:pt idx="1347">
                  <c:v>41883.935416666667</c:v>
                </c:pt>
                <c:pt idx="1348">
                  <c:v>41883.936111111114</c:v>
                </c:pt>
                <c:pt idx="1349">
                  <c:v>41883.936805555553</c:v>
                </c:pt>
                <c:pt idx="1350">
                  <c:v>41883.9375</c:v>
                </c:pt>
                <c:pt idx="1351">
                  <c:v>41883.938194444447</c:v>
                </c:pt>
                <c:pt idx="1352">
                  <c:v>41883.938888888886</c:v>
                </c:pt>
                <c:pt idx="1353">
                  <c:v>41883.939583333333</c:v>
                </c:pt>
                <c:pt idx="1354">
                  <c:v>41883.94027777778</c:v>
                </c:pt>
                <c:pt idx="1355">
                  <c:v>41883.940972222219</c:v>
                </c:pt>
                <c:pt idx="1356">
                  <c:v>41883.941666666666</c:v>
                </c:pt>
                <c:pt idx="1357">
                  <c:v>41883.942361111112</c:v>
                </c:pt>
                <c:pt idx="1358">
                  <c:v>41883.943055555559</c:v>
                </c:pt>
                <c:pt idx="1359">
                  <c:v>41883.943749999999</c:v>
                </c:pt>
                <c:pt idx="1360">
                  <c:v>41883.944444444445</c:v>
                </c:pt>
                <c:pt idx="1361">
                  <c:v>41883.945138888892</c:v>
                </c:pt>
                <c:pt idx="1362">
                  <c:v>41883.945833333331</c:v>
                </c:pt>
                <c:pt idx="1363">
                  <c:v>41883.946527777778</c:v>
                </c:pt>
                <c:pt idx="1364">
                  <c:v>41883.947222222225</c:v>
                </c:pt>
                <c:pt idx="1365">
                  <c:v>41883.947916666664</c:v>
                </c:pt>
                <c:pt idx="1366">
                  <c:v>41883.948611111111</c:v>
                </c:pt>
                <c:pt idx="1367">
                  <c:v>41883.949305555558</c:v>
                </c:pt>
                <c:pt idx="1368">
                  <c:v>41883.949999999997</c:v>
                </c:pt>
                <c:pt idx="1369">
                  <c:v>41883.950694444444</c:v>
                </c:pt>
                <c:pt idx="1370">
                  <c:v>41883.951388888891</c:v>
                </c:pt>
                <c:pt idx="1371">
                  <c:v>41883.95208333333</c:v>
                </c:pt>
                <c:pt idx="1372">
                  <c:v>41883.952777777777</c:v>
                </c:pt>
                <c:pt idx="1373">
                  <c:v>41883.953472222223</c:v>
                </c:pt>
                <c:pt idx="1374">
                  <c:v>41883.95416666667</c:v>
                </c:pt>
                <c:pt idx="1375">
                  <c:v>41883.954861111109</c:v>
                </c:pt>
                <c:pt idx="1376">
                  <c:v>41883.955555555556</c:v>
                </c:pt>
                <c:pt idx="1377">
                  <c:v>41883.956250000003</c:v>
                </c:pt>
                <c:pt idx="1378">
                  <c:v>41883.956944444442</c:v>
                </c:pt>
                <c:pt idx="1379">
                  <c:v>41883.957638888889</c:v>
                </c:pt>
                <c:pt idx="1380">
                  <c:v>41883.958333333336</c:v>
                </c:pt>
                <c:pt idx="1381">
                  <c:v>41883.959027777775</c:v>
                </c:pt>
                <c:pt idx="1382">
                  <c:v>41883.959722222222</c:v>
                </c:pt>
                <c:pt idx="1383">
                  <c:v>41883.960416666669</c:v>
                </c:pt>
                <c:pt idx="1384">
                  <c:v>41883.961111111108</c:v>
                </c:pt>
                <c:pt idx="1385">
                  <c:v>41883.961805555555</c:v>
                </c:pt>
                <c:pt idx="1386">
                  <c:v>41883.962500000001</c:v>
                </c:pt>
                <c:pt idx="1387">
                  <c:v>41883.963194444441</c:v>
                </c:pt>
                <c:pt idx="1388">
                  <c:v>41883.963888888888</c:v>
                </c:pt>
                <c:pt idx="1389">
                  <c:v>41883.964583333334</c:v>
                </c:pt>
                <c:pt idx="1390">
                  <c:v>41883.965277777781</c:v>
                </c:pt>
                <c:pt idx="1391">
                  <c:v>41883.96597222222</c:v>
                </c:pt>
                <c:pt idx="1392">
                  <c:v>41883.966666666667</c:v>
                </c:pt>
                <c:pt idx="1393">
                  <c:v>41883.967361111114</c:v>
                </c:pt>
                <c:pt idx="1394">
                  <c:v>41883.968055555553</c:v>
                </c:pt>
                <c:pt idx="1395">
                  <c:v>41883.96875</c:v>
                </c:pt>
                <c:pt idx="1396">
                  <c:v>41883.969444444447</c:v>
                </c:pt>
                <c:pt idx="1397">
                  <c:v>41883.970138888886</c:v>
                </c:pt>
                <c:pt idx="1398">
                  <c:v>41883.970833333333</c:v>
                </c:pt>
                <c:pt idx="1399">
                  <c:v>41883.97152777778</c:v>
                </c:pt>
                <c:pt idx="1400">
                  <c:v>41883.972222222219</c:v>
                </c:pt>
                <c:pt idx="1401">
                  <c:v>41883.972916666666</c:v>
                </c:pt>
                <c:pt idx="1402">
                  <c:v>41883.973611111112</c:v>
                </c:pt>
                <c:pt idx="1403">
                  <c:v>41883.974305555559</c:v>
                </c:pt>
                <c:pt idx="1404">
                  <c:v>41883.974999999999</c:v>
                </c:pt>
                <c:pt idx="1405">
                  <c:v>41883.975694444445</c:v>
                </c:pt>
                <c:pt idx="1406">
                  <c:v>41883.976388888892</c:v>
                </c:pt>
                <c:pt idx="1407">
                  <c:v>41883.977083333331</c:v>
                </c:pt>
                <c:pt idx="1408">
                  <c:v>41883.977777777778</c:v>
                </c:pt>
                <c:pt idx="1409">
                  <c:v>41883.978472222225</c:v>
                </c:pt>
                <c:pt idx="1410">
                  <c:v>41883.979166666664</c:v>
                </c:pt>
                <c:pt idx="1411">
                  <c:v>41883.979861111111</c:v>
                </c:pt>
                <c:pt idx="1412">
                  <c:v>41883.980555555558</c:v>
                </c:pt>
                <c:pt idx="1413">
                  <c:v>41883.981249999997</c:v>
                </c:pt>
                <c:pt idx="1414">
                  <c:v>41883.981944444444</c:v>
                </c:pt>
                <c:pt idx="1415">
                  <c:v>41883.982638888891</c:v>
                </c:pt>
                <c:pt idx="1416">
                  <c:v>41883.98333333333</c:v>
                </c:pt>
                <c:pt idx="1417">
                  <c:v>41883.984027777777</c:v>
                </c:pt>
                <c:pt idx="1418">
                  <c:v>41883.984722222223</c:v>
                </c:pt>
                <c:pt idx="1419">
                  <c:v>41883.98541666667</c:v>
                </c:pt>
                <c:pt idx="1420">
                  <c:v>41883.986111111109</c:v>
                </c:pt>
                <c:pt idx="1421">
                  <c:v>41883.986805555556</c:v>
                </c:pt>
                <c:pt idx="1422">
                  <c:v>41883.987500000003</c:v>
                </c:pt>
                <c:pt idx="1423">
                  <c:v>41883.988194444442</c:v>
                </c:pt>
                <c:pt idx="1424">
                  <c:v>41883.988888888889</c:v>
                </c:pt>
                <c:pt idx="1425">
                  <c:v>41883.989583333336</c:v>
                </c:pt>
                <c:pt idx="1426">
                  <c:v>41883.990277777775</c:v>
                </c:pt>
                <c:pt idx="1427">
                  <c:v>41883.990972222222</c:v>
                </c:pt>
                <c:pt idx="1428">
                  <c:v>41883.991666666669</c:v>
                </c:pt>
                <c:pt idx="1429">
                  <c:v>41883.992361111108</c:v>
                </c:pt>
                <c:pt idx="1430">
                  <c:v>41883.993055555555</c:v>
                </c:pt>
                <c:pt idx="1431">
                  <c:v>41883.993750000001</c:v>
                </c:pt>
                <c:pt idx="1432">
                  <c:v>41883.994444444441</c:v>
                </c:pt>
                <c:pt idx="1433">
                  <c:v>41883.995138888888</c:v>
                </c:pt>
                <c:pt idx="1434">
                  <c:v>41883.995833333334</c:v>
                </c:pt>
                <c:pt idx="1435">
                  <c:v>41883.996527777781</c:v>
                </c:pt>
                <c:pt idx="1436">
                  <c:v>41883.99722222222</c:v>
                </c:pt>
                <c:pt idx="1437">
                  <c:v>41883.997916666667</c:v>
                </c:pt>
                <c:pt idx="1438">
                  <c:v>41883.998611111114</c:v>
                </c:pt>
                <c:pt idx="1439">
                  <c:v>41883.999305555553</c:v>
                </c:pt>
              </c:numCache>
            </c:numRef>
          </c:xVal>
          <c:yVal>
            <c:numRef>
              <c:f>Sheet1!$B$2:$B$1441</c:f>
              <c:numCache>
                <c:formatCode>General</c:formatCode>
                <c:ptCount val="1440"/>
                <c:pt idx="0">
                  <c:v>0</c:v>
                </c:pt>
                <c:pt idx="1">
                  <c:v>0.49</c:v>
                </c:pt>
                <c:pt idx="2">
                  <c:v>0.98</c:v>
                </c:pt>
                <c:pt idx="3">
                  <c:v>1.31</c:v>
                </c:pt>
                <c:pt idx="4">
                  <c:v>1.64</c:v>
                </c:pt>
                <c:pt idx="5">
                  <c:v>0.82</c:v>
                </c:pt>
                <c:pt idx="6">
                  <c:v>0</c:v>
                </c:pt>
                <c:pt idx="7">
                  <c:v>1.48</c:v>
                </c:pt>
                <c:pt idx="8">
                  <c:v>2.95</c:v>
                </c:pt>
                <c:pt idx="9">
                  <c:v>1.64</c:v>
                </c:pt>
                <c:pt idx="10">
                  <c:v>0.33</c:v>
                </c:pt>
                <c:pt idx="11">
                  <c:v>2.2999999999999998</c:v>
                </c:pt>
                <c:pt idx="12">
                  <c:v>4.2699999999999996</c:v>
                </c:pt>
                <c:pt idx="13">
                  <c:v>27.41</c:v>
                </c:pt>
                <c:pt idx="14">
                  <c:v>50.55</c:v>
                </c:pt>
                <c:pt idx="15">
                  <c:v>25.93</c:v>
                </c:pt>
                <c:pt idx="16">
                  <c:v>1.31</c:v>
                </c:pt>
                <c:pt idx="17">
                  <c:v>0.82</c:v>
                </c:pt>
                <c:pt idx="18">
                  <c:v>0.33</c:v>
                </c:pt>
                <c:pt idx="19">
                  <c:v>0.98</c:v>
                </c:pt>
                <c:pt idx="20">
                  <c:v>1.64</c:v>
                </c:pt>
                <c:pt idx="21">
                  <c:v>37.26</c:v>
                </c:pt>
                <c:pt idx="22">
                  <c:v>72.88</c:v>
                </c:pt>
                <c:pt idx="23">
                  <c:v>36.44</c:v>
                </c:pt>
                <c:pt idx="24">
                  <c:v>0</c:v>
                </c:pt>
                <c:pt idx="25">
                  <c:v>0.66</c:v>
                </c:pt>
                <c:pt idx="26">
                  <c:v>1.31</c:v>
                </c:pt>
                <c:pt idx="27">
                  <c:v>0.66</c:v>
                </c:pt>
                <c:pt idx="28">
                  <c:v>0</c:v>
                </c:pt>
                <c:pt idx="29">
                  <c:v>1.1499999999999999</c:v>
                </c:pt>
                <c:pt idx="30">
                  <c:v>2.2999999999999998</c:v>
                </c:pt>
                <c:pt idx="31">
                  <c:v>3.28</c:v>
                </c:pt>
                <c:pt idx="32">
                  <c:v>4.2699999999999996</c:v>
                </c:pt>
                <c:pt idx="33">
                  <c:v>2.79</c:v>
                </c:pt>
                <c:pt idx="34">
                  <c:v>1.31</c:v>
                </c:pt>
                <c:pt idx="35">
                  <c:v>0.66</c:v>
                </c:pt>
                <c:pt idx="36">
                  <c:v>0</c:v>
                </c:pt>
                <c:pt idx="37">
                  <c:v>0.33</c:v>
                </c:pt>
                <c:pt idx="38">
                  <c:v>0.66</c:v>
                </c:pt>
                <c:pt idx="39">
                  <c:v>0.33</c:v>
                </c:pt>
                <c:pt idx="40">
                  <c:v>0</c:v>
                </c:pt>
                <c:pt idx="41">
                  <c:v>0.66</c:v>
                </c:pt>
                <c:pt idx="42">
                  <c:v>1.31</c:v>
                </c:pt>
                <c:pt idx="43">
                  <c:v>0.98</c:v>
                </c:pt>
                <c:pt idx="44">
                  <c:v>0.66</c:v>
                </c:pt>
                <c:pt idx="45">
                  <c:v>0.33</c:v>
                </c:pt>
                <c:pt idx="46">
                  <c:v>0</c:v>
                </c:pt>
                <c:pt idx="47">
                  <c:v>0.98</c:v>
                </c:pt>
                <c:pt idx="48">
                  <c:v>1.97</c:v>
                </c:pt>
                <c:pt idx="49">
                  <c:v>1.64</c:v>
                </c:pt>
                <c:pt idx="50">
                  <c:v>1.31</c:v>
                </c:pt>
                <c:pt idx="51">
                  <c:v>0.98</c:v>
                </c:pt>
                <c:pt idx="52">
                  <c:v>0.66</c:v>
                </c:pt>
                <c:pt idx="53">
                  <c:v>1.31</c:v>
                </c:pt>
                <c:pt idx="54">
                  <c:v>1.97</c:v>
                </c:pt>
                <c:pt idx="55">
                  <c:v>2.79</c:v>
                </c:pt>
                <c:pt idx="56">
                  <c:v>3.61</c:v>
                </c:pt>
                <c:pt idx="57">
                  <c:v>2.2999999999999998</c:v>
                </c:pt>
                <c:pt idx="58">
                  <c:v>0.98</c:v>
                </c:pt>
                <c:pt idx="59">
                  <c:v>0.49</c:v>
                </c:pt>
                <c:pt idx="60">
                  <c:v>0</c:v>
                </c:pt>
                <c:pt idx="61">
                  <c:v>0.33</c:v>
                </c:pt>
                <c:pt idx="62">
                  <c:v>0.66</c:v>
                </c:pt>
                <c:pt idx="63">
                  <c:v>0.82</c:v>
                </c:pt>
                <c:pt idx="64">
                  <c:v>0.98</c:v>
                </c:pt>
                <c:pt idx="65">
                  <c:v>0.49</c:v>
                </c:pt>
                <c:pt idx="66">
                  <c:v>0</c:v>
                </c:pt>
                <c:pt idx="67">
                  <c:v>1.97</c:v>
                </c:pt>
                <c:pt idx="68">
                  <c:v>3.94</c:v>
                </c:pt>
                <c:pt idx="69">
                  <c:v>2.46</c:v>
                </c:pt>
                <c:pt idx="70">
                  <c:v>0.98</c:v>
                </c:pt>
                <c:pt idx="71">
                  <c:v>0.49</c:v>
                </c:pt>
                <c:pt idx="72">
                  <c:v>0</c:v>
                </c:pt>
                <c:pt idx="73">
                  <c:v>0.33</c:v>
                </c:pt>
                <c:pt idx="74">
                  <c:v>0.66</c:v>
                </c:pt>
                <c:pt idx="75">
                  <c:v>0.82</c:v>
                </c:pt>
                <c:pt idx="76">
                  <c:v>0.98</c:v>
                </c:pt>
                <c:pt idx="77">
                  <c:v>1.31</c:v>
                </c:pt>
                <c:pt idx="78">
                  <c:v>1.64</c:v>
                </c:pt>
                <c:pt idx="79">
                  <c:v>0.82</c:v>
                </c:pt>
                <c:pt idx="80">
                  <c:v>0</c:v>
                </c:pt>
                <c:pt idx="81">
                  <c:v>0</c:v>
                </c:pt>
                <c:pt idx="82">
                  <c:v>0</c:v>
                </c:pt>
                <c:pt idx="83">
                  <c:v>0.82</c:v>
                </c:pt>
                <c:pt idx="84">
                  <c:v>1.64</c:v>
                </c:pt>
                <c:pt idx="85">
                  <c:v>21.5</c:v>
                </c:pt>
                <c:pt idx="86">
                  <c:v>41.36</c:v>
                </c:pt>
                <c:pt idx="87">
                  <c:v>20.68</c:v>
                </c:pt>
                <c:pt idx="88">
                  <c:v>0</c:v>
                </c:pt>
                <c:pt idx="89">
                  <c:v>0.49</c:v>
                </c:pt>
                <c:pt idx="90">
                  <c:v>0.98</c:v>
                </c:pt>
                <c:pt idx="91">
                  <c:v>0.49</c:v>
                </c:pt>
                <c:pt idx="92">
                  <c:v>0</c:v>
                </c:pt>
                <c:pt idx="93">
                  <c:v>0.33</c:v>
                </c:pt>
                <c:pt idx="94">
                  <c:v>0.66</c:v>
                </c:pt>
                <c:pt idx="95">
                  <c:v>0.66</c:v>
                </c:pt>
                <c:pt idx="96">
                  <c:v>0.66</c:v>
                </c:pt>
                <c:pt idx="97">
                  <c:v>0.98</c:v>
                </c:pt>
                <c:pt idx="98">
                  <c:v>1.31</c:v>
                </c:pt>
                <c:pt idx="99">
                  <c:v>0.82</c:v>
                </c:pt>
                <c:pt idx="100">
                  <c:v>0.33</c:v>
                </c:pt>
                <c:pt idx="101">
                  <c:v>0.16</c:v>
                </c:pt>
                <c:pt idx="102">
                  <c:v>0</c:v>
                </c:pt>
                <c:pt idx="103">
                  <c:v>0.82</c:v>
                </c:pt>
                <c:pt idx="104">
                  <c:v>1.64</c:v>
                </c:pt>
                <c:pt idx="105">
                  <c:v>1.1499999999999999</c:v>
                </c:pt>
                <c:pt idx="106">
                  <c:v>0.66</c:v>
                </c:pt>
                <c:pt idx="107">
                  <c:v>1.1499999999999999</c:v>
                </c:pt>
                <c:pt idx="108">
                  <c:v>1.64</c:v>
                </c:pt>
                <c:pt idx="109">
                  <c:v>18.059999999999999</c:v>
                </c:pt>
                <c:pt idx="110">
                  <c:v>34.47</c:v>
                </c:pt>
                <c:pt idx="111">
                  <c:v>17.399999999999999</c:v>
                </c:pt>
                <c:pt idx="112">
                  <c:v>0.33</c:v>
                </c:pt>
                <c:pt idx="113">
                  <c:v>0.16</c:v>
                </c:pt>
                <c:pt idx="114">
                  <c:v>0</c:v>
                </c:pt>
                <c:pt idx="115">
                  <c:v>1.48</c:v>
                </c:pt>
                <c:pt idx="116">
                  <c:v>2.95</c:v>
                </c:pt>
                <c:pt idx="117">
                  <c:v>1.81</c:v>
                </c:pt>
                <c:pt idx="118">
                  <c:v>0.66</c:v>
                </c:pt>
                <c:pt idx="119">
                  <c:v>0.33</c:v>
                </c:pt>
                <c:pt idx="120">
                  <c:v>0</c:v>
                </c:pt>
                <c:pt idx="121">
                  <c:v>1.48</c:v>
                </c:pt>
                <c:pt idx="122">
                  <c:v>2.95</c:v>
                </c:pt>
                <c:pt idx="123">
                  <c:v>2.95</c:v>
                </c:pt>
                <c:pt idx="124">
                  <c:v>2.95</c:v>
                </c:pt>
                <c:pt idx="125">
                  <c:v>1.64</c:v>
                </c:pt>
                <c:pt idx="126">
                  <c:v>0.33</c:v>
                </c:pt>
                <c:pt idx="127">
                  <c:v>0.16</c:v>
                </c:pt>
                <c:pt idx="128">
                  <c:v>0</c:v>
                </c:pt>
                <c:pt idx="129">
                  <c:v>0.66</c:v>
                </c:pt>
                <c:pt idx="130">
                  <c:v>1.31</c:v>
                </c:pt>
                <c:pt idx="131">
                  <c:v>1.64</c:v>
                </c:pt>
                <c:pt idx="132">
                  <c:v>1.97</c:v>
                </c:pt>
                <c:pt idx="133">
                  <c:v>0.98</c:v>
                </c:pt>
                <c:pt idx="134">
                  <c:v>0</c:v>
                </c:pt>
                <c:pt idx="135">
                  <c:v>0.66</c:v>
                </c:pt>
                <c:pt idx="136">
                  <c:v>1.31</c:v>
                </c:pt>
                <c:pt idx="137">
                  <c:v>1.31</c:v>
                </c:pt>
                <c:pt idx="138">
                  <c:v>1.31</c:v>
                </c:pt>
                <c:pt idx="139">
                  <c:v>31.19</c:v>
                </c:pt>
                <c:pt idx="140">
                  <c:v>61.06</c:v>
                </c:pt>
                <c:pt idx="141">
                  <c:v>31.02</c:v>
                </c:pt>
                <c:pt idx="142">
                  <c:v>0.98</c:v>
                </c:pt>
                <c:pt idx="143">
                  <c:v>0.66</c:v>
                </c:pt>
                <c:pt idx="144">
                  <c:v>0.33</c:v>
                </c:pt>
                <c:pt idx="145">
                  <c:v>0.16</c:v>
                </c:pt>
                <c:pt idx="146">
                  <c:v>0</c:v>
                </c:pt>
                <c:pt idx="147">
                  <c:v>0</c:v>
                </c:pt>
                <c:pt idx="148">
                  <c:v>0</c:v>
                </c:pt>
                <c:pt idx="149">
                  <c:v>0.16</c:v>
                </c:pt>
                <c:pt idx="150">
                  <c:v>0.33</c:v>
                </c:pt>
                <c:pt idx="151">
                  <c:v>0.49</c:v>
                </c:pt>
                <c:pt idx="152">
                  <c:v>0.66</c:v>
                </c:pt>
                <c:pt idx="153">
                  <c:v>0.66</c:v>
                </c:pt>
                <c:pt idx="154">
                  <c:v>0.66</c:v>
                </c:pt>
                <c:pt idx="155">
                  <c:v>0.49</c:v>
                </c:pt>
                <c:pt idx="156">
                  <c:v>0.33</c:v>
                </c:pt>
                <c:pt idx="157">
                  <c:v>1.48</c:v>
                </c:pt>
                <c:pt idx="158">
                  <c:v>2.63</c:v>
                </c:pt>
                <c:pt idx="159">
                  <c:v>1.31</c:v>
                </c:pt>
                <c:pt idx="160">
                  <c:v>0</c:v>
                </c:pt>
                <c:pt idx="161">
                  <c:v>0.49</c:v>
                </c:pt>
                <c:pt idx="162">
                  <c:v>0.98</c:v>
                </c:pt>
                <c:pt idx="163">
                  <c:v>1.1499999999999999</c:v>
                </c:pt>
                <c:pt idx="164">
                  <c:v>1.31</c:v>
                </c:pt>
                <c:pt idx="165">
                  <c:v>0.66</c:v>
                </c:pt>
                <c:pt idx="166">
                  <c:v>0</c:v>
                </c:pt>
                <c:pt idx="167">
                  <c:v>0</c:v>
                </c:pt>
                <c:pt idx="168">
                  <c:v>0</c:v>
                </c:pt>
                <c:pt idx="169">
                  <c:v>0</c:v>
                </c:pt>
                <c:pt idx="170">
                  <c:v>0</c:v>
                </c:pt>
                <c:pt idx="171">
                  <c:v>0.49</c:v>
                </c:pt>
                <c:pt idx="172">
                  <c:v>0.98</c:v>
                </c:pt>
                <c:pt idx="173">
                  <c:v>0.82</c:v>
                </c:pt>
                <c:pt idx="174">
                  <c:v>0.66</c:v>
                </c:pt>
                <c:pt idx="175">
                  <c:v>0.98</c:v>
                </c:pt>
                <c:pt idx="176">
                  <c:v>1.31</c:v>
                </c:pt>
                <c:pt idx="177">
                  <c:v>0.98</c:v>
                </c:pt>
                <c:pt idx="178">
                  <c:v>0.66</c:v>
                </c:pt>
                <c:pt idx="179">
                  <c:v>0.66</c:v>
                </c:pt>
                <c:pt idx="180">
                  <c:v>0.66</c:v>
                </c:pt>
                <c:pt idx="181">
                  <c:v>1.48</c:v>
                </c:pt>
                <c:pt idx="182">
                  <c:v>2.2999999999999998</c:v>
                </c:pt>
                <c:pt idx="183">
                  <c:v>1.64</c:v>
                </c:pt>
                <c:pt idx="184">
                  <c:v>0.98</c:v>
                </c:pt>
                <c:pt idx="185">
                  <c:v>1.81</c:v>
                </c:pt>
                <c:pt idx="186">
                  <c:v>2.63</c:v>
                </c:pt>
                <c:pt idx="187">
                  <c:v>1.31</c:v>
                </c:pt>
                <c:pt idx="188">
                  <c:v>0</c:v>
                </c:pt>
                <c:pt idx="189">
                  <c:v>0.49</c:v>
                </c:pt>
                <c:pt idx="190">
                  <c:v>0.98</c:v>
                </c:pt>
                <c:pt idx="191">
                  <c:v>0.66</c:v>
                </c:pt>
                <c:pt idx="192">
                  <c:v>0.33</c:v>
                </c:pt>
                <c:pt idx="193">
                  <c:v>0.49</c:v>
                </c:pt>
                <c:pt idx="194">
                  <c:v>0.66</c:v>
                </c:pt>
                <c:pt idx="195">
                  <c:v>0.49</c:v>
                </c:pt>
                <c:pt idx="196">
                  <c:v>0.33</c:v>
                </c:pt>
                <c:pt idx="197">
                  <c:v>1.64</c:v>
                </c:pt>
                <c:pt idx="198">
                  <c:v>2.95</c:v>
                </c:pt>
                <c:pt idx="199">
                  <c:v>1.64</c:v>
                </c:pt>
                <c:pt idx="200">
                  <c:v>0.33</c:v>
                </c:pt>
                <c:pt idx="201">
                  <c:v>1.1499999999999999</c:v>
                </c:pt>
                <c:pt idx="202">
                  <c:v>1.97</c:v>
                </c:pt>
                <c:pt idx="203">
                  <c:v>0.98</c:v>
                </c:pt>
                <c:pt idx="204">
                  <c:v>0</c:v>
                </c:pt>
                <c:pt idx="205">
                  <c:v>0.49</c:v>
                </c:pt>
                <c:pt idx="206">
                  <c:v>0.98</c:v>
                </c:pt>
                <c:pt idx="207">
                  <c:v>0.49</c:v>
                </c:pt>
                <c:pt idx="208">
                  <c:v>0</c:v>
                </c:pt>
                <c:pt idx="209">
                  <c:v>0.49</c:v>
                </c:pt>
                <c:pt idx="210">
                  <c:v>0.98</c:v>
                </c:pt>
                <c:pt idx="211">
                  <c:v>0.49</c:v>
                </c:pt>
                <c:pt idx="212">
                  <c:v>0</c:v>
                </c:pt>
                <c:pt idx="213">
                  <c:v>0</c:v>
                </c:pt>
                <c:pt idx="214">
                  <c:v>0</c:v>
                </c:pt>
                <c:pt idx="215">
                  <c:v>0.33</c:v>
                </c:pt>
                <c:pt idx="216">
                  <c:v>0.66</c:v>
                </c:pt>
                <c:pt idx="217">
                  <c:v>0.98</c:v>
                </c:pt>
                <c:pt idx="218">
                  <c:v>1.31</c:v>
                </c:pt>
                <c:pt idx="219">
                  <c:v>0.66</c:v>
                </c:pt>
                <c:pt idx="220">
                  <c:v>0</c:v>
                </c:pt>
                <c:pt idx="221">
                  <c:v>0.16</c:v>
                </c:pt>
                <c:pt idx="222">
                  <c:v>0.33</c:v>
                </c:pt>
                <c:pt idx="223">
                  <c:v>0.33</c:v>
                </c:pt>
                <c:pt idx="224">
                  <c:v>0.33</c:v>
                </c:pt>
                <c:pt idx="225">
                  <c:v>0.98</c:v>
                </c:pt>
                <c:pt idx="226">
                  <c:v>1.64</c:v>
                </c:pt>
                <c:pt idx="227">
                  <c:v>4.0999999999999996</c:v>
                </c:pt>
                <c:pt idx="228">
                  <c:v>6.57</c:v>
                </c:pt>
                <c:pt idx="229">
                  <c:v>3.78</c:v>
                </c:pt>
                <c:pt idx="230">
                  <c:v>0.98</c:v>
                </c:pt>
                <c:pt idx="231">
                  <c:v>0.98</c:v>
                </c:pt>
                <c:pt idx="232">
                  <c:v>0.98</c:v>
                </c:pt>
                <c:pt idx="233">
                  <c:v>1.31</c:v>
                </c:pt>
                <c:pt idx="234">
                  <c:v>1.64</c:v>
                </c:pt>
                <c:pt idx="235">
                  <c:v>0.82</c:v>
                </c:pt>
                <c:pt idx="236">
                  <c:v>0</c:v>
                </c:pt>
                <c:pt idx="237">
                  <c:v>1.64</c:v>
                </c:pt>
                <c:pt idx="238">
                  <c:v>3.28</c:v>
                </c:pt>
                <c:pt idx="239">
                  <c:v>1.64</c:v>
                </c:pt>
                <c:pt idx="240">
                  <c:v>0</c:v>
                </c:pt>
                <c:pt idx="241">
                  <c:v>0</c:v>
                </c:pt>
                <c:pt idx="242">
                  <c:v>0</c:v>
                </c:pt>
                <c:pt idx="243">
                  <c:v>0</c:v>
                </c:pt>
                <c:pt idx="244">
                  <c:v>0</c:v>
                </c:pt>
                <c:pt idx="245">
                  <c:v>20.85</c:v>
                </c:pt>
                <c:pt idx="246">
                  <c:v>41.69</c:v>
                </c:pt>
                <c:pt idx="247">
                  <c:v>23.31</c:v>
                </c:pt>
                <c:pt idx="248">
                  <c:v>4.92</c:v>
                </c:pt>
                <c:pt idx="249">
                  <c:v>3.61</c:v>
                </c:pt>
                <c:pt idx="250">
                  <c:v>2.2999999999999998</c:v>
                </c:pt>
                <c:pt idx="251">
                  <c:v>31.19</c:v>
                </c:pt>
                <c:pt idx="252">
                  <c:v>60.07</c:v>
                </c:pt>
                <c:pt idx="253">
                  <c:v>30.69</c:v>
                </c:pt>
                <c:pt idx="254">
                  <c:v>1.31</c:v>
                </c:pt>
                <c:pt idx="255">
                  <c:v>0.82</c:v>
                </c:pt>
                <c:pt idx="256">
                  <c:v>0.33</c:v>
                </c:pt>
                <c:pt idx="257">
                  <c:v>0.82</c:v>
                </c:pt>
                <c:pt idx="258">
                  <c:v>1.31</c:v>
                </c:pt>
                <c:pt idx="259">
                  <c:v>1.97</c:v>
                </c:pt>
                <c:pt idx="260">
                  <c:v>2.63</c:v>
                </c:pt>
                <c:pt idx="261">
                  <c:v>1.31</c:v>
                </c:pt>
                <c:pt idx="262">
                  <c:v>0</c:v>
                </c:pt>
                <c:pt idx="263">
                  <c:v>0.49</c:v>
                </c:pt>
                <c:pt idx="264">
                  <c:v>0.98</c:v>
                </c:pt>
                <c:pt idx="265">
                  <c:v>0.82</c:v>
                </c:pt>
                <c:pt idx="266">
                  <c:v>0.66</c:v>
                </c:pt>
                <c:pt idx="267">
                  <c:v>0.66</c:v>
                </c:pt>
                <c:pt idx="268">
                  <c:v>0.66</c:v>
                </c:pt>
                <c:pt idx="269">
                  <c:v>0.66</c:v>
                </c:pt>
                <c:pt idx="270">
                  <c:v>0.66</c:v>
                </c:pt>
                <c:pt idx="271">
                  <c:v>0.98</c:v>
                </c:pt>
                <c:pt idx="272">
                  <c:v>1.31</c:v>
                </c:pt>
                <c:pt idx="273">
                  <c:v>1.97</c:v>
                </c:pt>
                <c:pt idx="274">
                  <c:v>2.63</c:v>
                </c:pt>
                <c:pt idx="275">
                  <c:v>1.48</c:v>
                </c:pt>
                <c:pt idx="276">
                  <c:v>0.33</c:v>
                </c:pt>
                <c:pt idx="277">
                  <c:v>0.33</c:v>
                </c:pt>
                <c:pt idx="278">
                  <c:v>0.33</c:v>
                </c:pt>
                <c:pt idx="279">
                  <c:v>0.16</c:v>
                </c:pt>
                <c:pt idx="280">
                  <c:v>0</c:v>
                </c:pt>
                <c:pt idx="281">
                  <c:v>0.66</c:v>
                </c:pt>
                <c:pt idx="282">
                  <c:v>1.31</c:v>
                </c:pt>
                <c:pt idx="283">
                  <c:v>0.66</c:v>
                </c:pt>
                <c:pt idx="284">
                  <c:v>0</c:v>
                </c:pt>
                <c:pt idx="285">
                  <c:v>0.49</c:v>
                </c:pt>
                <c:pt idx="286">
                  <c:v>0.98</c:v>
                </c:pt>
                <c:pt idx="287">
                  <c:v>1.48</c:v>
                </c:pt>
                <c:pt idx="288">
                  <c:v>1.97</c:v>
                </c:pt>
                <c:pt idx="289">
                  <c:v>1.31</c:v>
                </c:pt>
                <c:pt idx="290">
                  <c:v>0.66</c:v>
                </c:pt>
                <c:pt idx="291">
                  <c:v>1.64</c:v>
                </c:pt>
                <c:pt idx="292">
                  <c:v>2.63</c:v>
                </c:pt>
                <c:pt idx="293">
                  <c:v>2.46</c:v>
                </c:pt>
                <c:pt idx="294">
                  <c:v>2.2999999999999998</c:v>
                </c:pt>
                <c:pt idx="295">
                  <c:v>3.94</c:v>
                </c:pt>
                <c:pt idx="296">
                  <c:v>5.58</c:v>
                </c:pt>
                <c:pt idx="297">
                  <c:v>3.28</c:v>
                </c:pt>
                <c:pt idx="298">
                  <c:v>0.98</c:v>
                </c:pt>
                <c:pt idx="299">
                  <c:v>0.82</c:v>
                </c:pt>
                <c:pt idx="300">
                  <c:v>0.66</c:v>
                </c:pt>
                <c:pt idx="301">
                  <c:v>0.33</c:v>
                </c:pt>
                <c:pt idx="302">
                  <c:v>0</c:v>
                </c:pt>
                <c:pt idx="303">
                  <c:v>16.739999999999998</c:v>
                </c:pt>
                <c:pt idx="304">
                  <c:v>33.479999999999997</c:v>
                </c:pt>
                <c:pt idx="305">
                  <c:v>16.91</c:v>
                </c:pt>
                <c:pt idx="306">
                  <c:v>0.33</c:v>
                </c:pt>
                <c:pt idx="307">
                  <c:v>0.66</c:v>
                </c:pt>
                <c:pt idx="308">
                  <c:v>0.98</c:v>
                </c:pt>
                <c:pt idx="309">
                  <c:v>0.49</c:v>
                </c:pt>
                <c:pt idx="310">
                  <c:v>0</c:v>
                </c:pt>
                <c:pt idx="311">
                  <c:v>0</c:v>
                </c:pt>
                <c:pt idx="312">
                  <c:v>0</c:v>
                </c:pt>
                <c:pt idx="313">
                  <c:v>0.82</c:v>
                </c:pt>
                <c:pt idx="314">
                  <c:v>1.64</c:v>
                </c:pt>
                <c:pt idx="315">
                  <c:v>0.82</c:v>
                </c:pt>
                <c:pt idx="316">
                  <c:v>0</c:v>
                </c:pt>
                <c:pt idx="317">
                  <c:v>0</c:v>
                </c:pt>
                <c:pt idx="318">
                  <c:v>0</c:v>
                </c:pt>
                <c:pt idx="319">
                  <c:v>1.1499999999999999</c:v>
                </c:pt>
                <c:pt idx="320">
                  <c:v>2.2999999999999998</c:v>
                </c:pt>
                <c:pt idx="321">
                  <c:v>1.1499999999999999</c:v>
                </c:pt>
                <c:pt idx="322">
                  <c:v>0</c:v>
                </c:pt>
                <c:pt idx="323">
                  <c:v>0</c:v>
                </c:pt>
                <c:pt idx="324">
                  <c:v>0</c:v>
                </c:pt>
                <c:pt idx="325">
                  <c:v>0.82</c:v>
                </c:pt>
                <c:pt idx="326">
                  <c:v>1.64</c:v>
                </c:pt>
                <c:pt idx="327">
                  <c:v>2.95</c:v>
                </c:pt>
                <c:pt idx="328">
                  <c:v>4.2699999999999996</c:v>
                </c:pt>
                <c:pt idx="329">
                  <c:v>2.46</c:v>
                </c:pt>
                <c:pt idx="330">
                  <c:v>0.66</c:v>
                </c:pt>
                <c:pt idx="331">
                  <c:v>0.33</c:v>
                </c:pt>
                <c:pt idx="332">
                  <c:v>0</c:v>
                </c:pt>
                <c:pt idx="333">
                  <c:v>20.68</c:v>
                </c:pt>
                <c:pt idx="334">
                  <c:v>41.36</c:v>
                </c:pt>
                <c:pt idx="335">
                  <c:v>21.83</c:v>
                </c:pt>
                <c:pt idx="336">
                  <c:v>2.2999999999999998</c:v>
                </c:pt>
                <c:pt idx="337">
                  <c:v>2.13</c:v>
                </c:pt>
                <c:pt idx="338">
                  <c:v>1.97</c:v>
                </c:pt>
                <c:pt idx="339">
                  <c:v>0.98</c:v>
                </c:pt>
                <c:pt idx="340">
                  <c:v>0</c:v>
                </c:pt>
                <c:pt idx="341">
                  <c:v>0</c:v>
                </c:pt>
                <c:pt idx="342">
                  <c:v>0</c:v>
                </c:pt>
                <c:pt idx="343">
                  <c:v>0</c:v>
                </c:pt>
                <c:pt idx="344">
                  <c:v>0</c:v>
                </c:pt>
                <c:pt idx="345">
                  <c:v>0</c:v>
                </c:pt>
                <c:pt idx="346">
                  <c:v>0</c:v>
                </c:pt>
                <c:pt idx="347">
                  <c:v>0</c:v>
                </c:pt>
                <c:pt idx="348">
                  <c:v>0</c:v>
                </c:pt>
                <c:pt idx="349">
                  <c:v>0</c:v>
                </c:pt>
                <c:pt idx="350">
                  <c:v>0</c:v>
                </c:pt>
                <c:pt idx="351">
                  <c:v>1.64</c:v>
                </c:pt>
                <c:pt idx="352">
                  <c:v>3.28</c:v>
                </c:pt>
                <c:pt idx="353">
                  <c:v>3.61</c:v>
                </c:pt>
                <c:pt idx="354">
                  <c:v>3.94</c:v>
                </c:pt>
                <c:pt idx="355">
                  <c:v>1.97</c:v>
                </c:pt>
                <c:pt idx="356">
                  <c:v>0</c:v>
                </c:pt>
                <c:pt idx="357">
                  <c:v>0.49</c:v>
                </c:pt>
                <c:pt idx="358">
                  <c:v>0.98</c:v>
                </c:pt>
                <c:pt idx="359">
                  <c:v>1.81</c:v>
                </c:pt>
                <c:pt idx="360">
                  <c:v>2.63</c:v>
                </c:pt>
                <c:pt idx="361">
                  <c:v>1.31</c:v>
                </c:pt>
                <c:pt idx="362">
                  <c:v>0</c:v>
                </c:pt>
                <c:pt idx="363">
                  <c:v>0.66</c:v>
                </c:pt>
                <c:pt idx="364">
                  <c:v>1.31</c:v>
                </c:pt>
                <c:pt idx="365">
                  <c:v>0.82</c:v>
                </c:pt>
                <c:pt idx="366">
                  <c:v>0.33</c:v>
                </c:pt>
                <c:pt idx="367">
                  <c:v>0.82</c:v>
                </c:pt>
                <c:pt idx="368">
                  <c:v>1.31</c:v>
                </c:pt>
                <c:pt idx="369">
                  <c:v>1.31</c:v>
                </c:pt>
                <c:pt idx="370">
                  <c:v>1.31</c:v>
                </c:pt>
                <c:pt idx="371">
                  <c:v>1.48</c:v>
                </c:pt>
                <c:pt idx="372">
                  <c:v>1.64</c:v>
                </c:pt>
                <c:pt idx="373">
                  <c:v>2.13</c:v>
                </c:pt>
                <c:pt idx="374">
                  <c:v>2.63</c:v>
                </c:pt>
                <c:pt idx="375">
                  <c:v>1.81</c:v>
                </c:pt>
                <c:pt idx="376">
                  <c:v>0.98</c:v>
                </c:pt>
                <c:pt idx="377">
                  <c:v>1.31</c:v>
                </c:pt>
                <c:pt idx="378">
                  <c:v>1.64</c:v>
                </c:pt>
                <c:pt idx="379">
                  <c:v>0.82</c:v>
                </c:pt>
                <c:pt idx="380">
                  <c:v>0</c:v>
                </c:pt>
                <c:pt idx="381">
                  <c:v>1.1499999999999999</c:v>
                </c:pt>
                <c:pt idx="382">
                  <c:v>2.2999999999999998</c:v>
                </c:pt>
                <c:pt idx="383">
                  <c:v>3.12</c:v>
                </c:pt>
                <c:pt idx="384">
                  <c:v>3.94</c:v>
                </c:pt>
                <c:pt idx="385">
                  <c:v>3.28</c:v>
                </c:pt>
                <c:pt idx="386">
                  <c:v>2.63</c:v>
                </c:pt>
                <c:pt idx="387">
                  <c:v>2.13</c:v>
                </c:pt>
                <c:pt idx="388">
                  <c:v>1.64</c:v>
                </c:pt>
                <c:pt idx="389">
                  <c:v>1.31</c:v>
                </c:pt>
                <c:pt idx="390">
                  <c:v>0.98</c:v>
                </c:pt>
                <c:pt idx="391">
                  <c:v>0.66</c:v>
                </c:pt>
                <c:pt idx="392">
                  <c:v>0.33</c:v>
                </c:pt>
                <c:pt idx="393">
                  <c:v>1.64</c:v>
                </c:pt>
                <c:pt idx="394">
                  <c:v>2.95</c:v>
                </c:pt>
                <c:pt idx="395">
                  <c:v>1.48</c:v>
                </c:pt>
                <c:pt idx="396">
                  <c:v>0</c:v>
                </c:pt>
                <c:pt idx="397">
                  <c:v>1.31</c:v>
                </c:pt>
                <c:pt idx="398">
                  <c:v>2.63</c:v>
                </c:pt>
                <c:pt idx="399">
                  <c:v>2.79</c:v>
                </c:pt>
                <c:pt idx="400">
                  <c:v>2.95</c:v>
                </c:pt>
                <c:pt idx="401">
                  <c:v>2.2999999999999998</c:v>
                </c:pt>
                <c:pt idx="402">
                  <c:v>1.64</c:v>
                </c:pt>
                <c:pt idx="403">
                  <c:v>1.1499999999999999</c:v>
                </c:pt>
                <c:pt idx="404">
                  <c:v>0.66</c:v>
                </c:pt>
                <c:pt idx="405">
                  <c:v>0.98</c:v>
                </c:pt>
                <c:pt idx="406">
                  <c:v>1.31</c:v>
                </c:pt>
                <c:pt idx="407">
                  <c:v>2.79</c:v>
                </c:pt>
                <c:pt idx="408">
                  <c:v>4.2699999999999996</c:v>
                </c:pt>
                <c:pt idx="409">
                  <c:v>2.95</c:v>
                </c:pt>
                <c:pt idx="410">
                  <c:v>1.64</c:v>
                </c:pt>
                <c:pt idx="411">
                  <c:v>1.64</c:v>
                </c:pt>
                <c:pt idx="412">
                  <c:v>1.64</c:v>
                </c:pt>
                <c:pt idx="413">
                  <c:v>1.81</c:v>
                </c:pt>
                <c:pt idx="414">
                  <c:v>1.97</c:v>
                </c:pt>
                <c:pt idx="415">
                  <c:v>2.46</c:v>
                </c:pt>
                <c:pt idx="416">
                  <c:v>2.95</c:v>
                </c:pt>
                <c:pt idx="417">
                  <c:v>2.2999999999999998</c:v>
                </c:pt>
                <c:pt idx="418">
                  <c:v>1.64</c:v>
                </c:pt>
                <c:pt idx="419">
                  <c:v>1.81</c:v>
                </c:pt>
                <c:pt idx="420">
                  <c:v>1.97</c:v>
                </c:pt>
                <c:pt idx="421">
                  <c:v>0.98</c:v>
                </c:pt>
                <c:pt idx="422">
                  <c:v>0</c:v>
                </c:pt>
                <c:pt idx="423">
                  <c:v>1.31</c:v>
                </c:pt>
                <c:pt idx="424">
                  <c:v>2.63</c:v>
                </c:pt>
                <c:pt idx="425">
                  <c:v>2.13</c:v>
                </c:pt>
                <c:pt idx="426">
                  <c:v>1.64</c:v>
                </c:pt>
                <c:pt idx="427">
                  <c:v>1.1499999999999999</c:v>
                </c:pt>
                <c:pt idx="428">
                  <c:v>0.66</c:v>
                </c:pt>
                <c:pt idx="429">
                  <c:v>0.33</c:v>
                </c:pt>
                <c:pt idx="430">
                  <c:v>0</c:v>
                </c:pt>
                <c:pt idx="431">
                  <c:v>0.82</c:v>
                </c:pt>
                <c:pt idx="432">
                  <c:v>1.64</c:v>
                </c:pt>
                <c:pt idx="433">
                  <c:v>3.12</c:v>
                </c:pt>
                <c:pt idx="434">
                  <c:v>4.5999999999999996</c:v>
                </c:pt>
                <c:pt idx="435">
                  <c:v>2.2999999999999998</c:v>
                </c:pt>
                <c:pt idx="436">
                  <c:v>0</c:v>
                </c:pt>
                <c:pt idx="437">
                  <c:v>1.48</c:v>
                </c:pt>
                <c:pt idx="438">
                  <c:v>2.95</c:v>
                </c:pt>
                <c:pt idx="439">
                  <c:v>1.48</c:v>
                </c:pt>
                <c:pt idx="440">
                  <c:v>0</c:v>
                </c:pt>
                <c:pt idx="441">
                  <c:v>2.79</c:v>
                </c:pt>
                <c:pt idx="442">
                  <c:v>5.58</c:v>
                </c:pt>
                <c:pt idx="443">
                  <c:v>5.91</c:v>
                </c:pt>
                <c:pt idx="444">
                  <c:v>6.24</c:v>
                </c:pt>
                <c:pt idx="445">
                  <c:v>5.42</c:v>
                </c:pt>
                <c:pt idx="446">
                  <c:v>4.5999999999999996</c:v>
                </c:pt>
                <c:pt idx="447">
                  <c:v>5.91</c:v>
                </c:pt>
                <c:pt idx="448">
                  <c:v>7.22</c:v>
                </c:pt>
                <c:pt idx="449">
                  <c:v>9.36</c:v>
                </c:pt>
                <c:pt idx="450">
                  <c:v>11.49</c:v>
                </c:pt>
                <c:pt idx="451">
                  <c:v>44.81</c:v>
                </c:pt>
                <c:pt idx="452">
                  <c:v>78.13</c:v>
                </c:pt>
                <c:pt idx="453">
                  <c:v>130.32</c:v>
                </c:pt>
                <c:pt idx="454">
                  <c:v>182.52</c:v>
                </c:pt>
                <c:pt idx="455">
                  <c:v>217.81</c:v>
                </c:pt>
                <c:pt idx="456">
                  <c:v>253.1</c:v>
                </c:pt>
                <c:pt idx="457">
                  <c:v>249.82</c:v>
                </c:pt>
                <c:pt idx="458">
                  <c:v>246.53</c:v>
                </c:pt>
                <c:pt idx="459">
                  <c:v>250.64</c:v>
                </c:pt>
                <c:pt idx="460">
                  <c:v>254.74</c:v>
                </c:pt>
                <c:pt idx="461">
                  <c:v>288.88</c:v>
                </c:pt>
                <c:pt idx="462">
                  <c:v>323.02</c:v>
                </c:pt>
                <c:pt idx="463">
                  <c:v>362.41</c:v>
                </c:pt>
                <c:pt idx="464">
                  <c:v>401.81</c:v>
                </c:pt>
                <c:pt idx="465">
                  <c:v>369.47</c:v>
                </c:pt>
                <c:pt idx="466">
                  <c:v>337.14</c:v>
                </c:pt>
                <c:pt idx="467">
                  <c:v>246.86</c:v>
                </c:pt>
                <c:pt idx="468">
                  <c:v>156.59</c:v>
                </c:pt>
                <c:pt idx="469">
                  <c:v>271.81</c:v>
                </c:pt>
                <c:pt idx="470">
                  <c:v>387.03</c:v>
                </c:pt>
                <c:pt idx="471">
                  <c:v>242.27</c:v>
                </c:pt>
                <c:pt idx="472">
                  <c:v>97.5</c:v>
                </c:pt>
                <c:pt idx="473">
                  <c:v>54.82</c:v>
                </c:pt>
                <c:pt idx="474">
                  <c:v>12.15</c:v>
                </c:pt>
                <c:pt idx="475">
                  <c:v>7.22</c:v>
                </c:pt>
                <c:pt idx="476">
                  <c:v>2.2999999999999998</c:v>
                </c:pt>
                <c:pt idx="477">
                  <c:v>7.55</c:v>
                </c:pt>
                <c:pt idx="478">
                  <c:v>12.8</c:v>
                </c:pt>
                <c:pt idx="479">
                  <c:v>14.94</c:v>
                </c:pt>
                <c:pt idx="480">
                  <c:v>17.07</c:v>
                </c:pt>
                <c:pt idx="481">
                  <c:v>31.51</c:v>
                </c:pt>
                <c:pt idx="482">
                  <c:v>45.96</c:v>
                </c:pt>
                <c:pt idx="483">
                  <c:v>53.51</c:v>
                </c:pt>
                <c:pt idx="484">
                  <c:v>61.06</c:v>
                </c:pt>
                <c:pt idx="485">
                  <c:v>39.06</c:v>
                </c:pt>
                <c:pt idx="486">
                  <c:v>17.07</c:v>
                </c:pt>
                <c:pt idx="487">
                  <c:v>11.33</c:v>
                </c:pt>
                <c:pt idx="488">
                  <c:v>5.58</c:v>
                </c:pt>
                <c:pt idx="489">
                  <c:v>4.43</c:v>
                </c:pt>
                <c:pt idx="490">
                  <c:v>3.28</c:v>
                </c:pt>
                <c:pt idx="491">
                  <c:v>2.63</c:v>
                </c:pt>
                <c:pt idx="492">
                  <c:v>1.97</c:v>
                </c:pt>
                <c:pt idx="493">
                  <c:v>1.64</c:v>
                </c:pt>
                <c:pt idx="494">
                  <c:v>1.31</c:v>
                </c:pt>
                <c:pt idx="495">
                  <c:v>2.2999999999999998</c:v>
                </c:pt>
                <c:pt idx="496">
                  <c:v>3.28</c:v>
                </c:pt>
                <c:pt idx="497">
                  <c:v>2.2999999999999998</c:v>
                </c:pt>
                <c:pt idx="498">
                  <c:v>1.31</c:v>
                </c:pt>
                <c:pt idx="499">
                  <c:v>2.2999999999999998</c:v>
                </c:pt>
                <c:pt idx="500">
                  <c:v>3.28</c:v>
                </c:pt>
                <c:pt idx="501">
                  <c:v>3.94</c:v>
                </c:pt>
                <c:pt idx="502">
                  <c:v>4.5999999999999996</c:v>
                </c:pt>
                <c:pt idx="503">
                  <c:v>2.95</c:v>
                </c:pt>
                <c:pt idx="504">
                  <c:v>1.31</c:v>
                </c:pt>
                <c:pt idx="505">
                  <c:v>0.66</c:v>
                </c:pt>
                <c:pt idx="506">
                  <c:v>0</c:v>
                </c:pt>
                <c:pt idx="507">
                  <c:v>2.46</c:v>
                </c:pt>
                <c:pt idx="508">
                  <c:v>4.92</c:v>
                </c:pt>
                <c:pt idx="509">
                  <c:v>4.0999999999999996</c:v>
                </c:pt>
                <c:pt idx="510">
                  <c:v>3.28</c:v>
                </c:pt>
                <c:pt idx="511">
                  <c:v>2.46</c:v>
                </c:pt>
                <c:pt idx="512">
                  <c:v>1.64</c:v>
                </c:pt>
                <c:pt idx="513">
                  <c:v>0.98</c:v>
                </c:pt>
                <c:pt idx="514">
                  <c:v>0.33</c:v>
                </c:pt>
                <c:pt idx="515">
                  <c:v>0.98</c:v>
                </c:pt>
                <c:pt idx="516">
                  <c:v>1.64</c:v>
                </c:pt>
                <c:pt idx="517">
                  <c:v>0.82</c:v>
                </c:pt>
                <c:pt idx="518">
                  <c:v>0</c:v>
                </c:pt>
                <c:pt idx="519">
                  <c:v>1.1499999999999999</c:v>
                </c:pt>
                <c:pt idx="520">
                  <c:v>2.2999999999999998</c:v>
                </c:pt>
                <c:pt idx="521">
                  <c:v>3.78</c:v>
                </c:pt>
                <c:pt idx="522">
                  <c:v>5.25</c:v>
                </c:pt>
                <c:pt idx="523">
                  <c:v>3.94</c:v>
                </c:pt>
                <c:pt idx="524">
                  <c:v>2.63</c:v>
                </c:pt>
                <c:pt idx="525">
                  <c:v>10.5</c:v>
                </c:pt>
                <c:pt idx="526">
                  <c:v>18.38</c:v>
                </c:pt>
                <c:pt idx="527">
                  <c:v>10.67</c:v>
                </c:pt>
                <c:pt idx="528">
                  <c:v>2.95</c:v>
                </c:pt>
                <c:pt idx="529">
                  <c:v>2.46</c:v>
                </c:pt>
                <c:pt idx="530">
                  <c:v>1.97</c:v>
                </c:pt>
                <c:pt idx="531">
                  <c:v>1.81</c:v>
                </c:pt>
                <c:pt idx="532">
                  <c:v>1.64</c:v>
                </c:pt>
                <c:pt idx="533">
                  <c:v>2.79</c:v>
                </c:pt>
                <c:pt idx="534">
                  <c:v>3.94</c:v>
                </c:pt>
                <c:pt idx="535">
                  <c:v>2.63</c:v>
                </c:pt>
                <c:pt idx="536">
                  <c:v>1.31</c:v>
                </c:pt>
                <c:pt idx="537">
                  <c:v>0.98</c:v>
                </c:pt>
                <c:pt idx="538">
                  <c:v>0.66</c:v>
                </c:pt>
                <c:pt idx="539">
                  <c:v>0.82</c:v>
                </c:pt>
                <c:pt idx="540">
                  <c:v>0.98</c:v>
                </c:pt>
                <c:pt idx="541">
                  <c:v>0.49</c:v>
                </c:pt>
                <c:pt idx="542">
                  <c:v>0</c:v>
                </c:pt>
                <c:pt idx="543">
                  <c:v>1.81</c:v>
                </c:pt>
                <c:pt idx="544">
                  <c:v>3.61</c:v>
                </c:pt>
                <c:pt idx="545">
                  <c:v>4.76</c:v>
                </c:pt>
                <c:pt idx="546">
                  <c:v>5.91</c:v>
                </c:pt>
                <c:pt idx="547">
                  <c:v>5.42</c:v>
                </c:pt>
                <c:pt idx="548">
                  <c:v>4.92</c:v>
                </c:pt>
                <c:pt idx="549">
                  <c:v>4.2699999999999996</c:v>
                </c:pt>
                <c:pt idx="550">
                  <c:v>3.61</c:v>
                </c:pt>
                <c:pt idx="551">
                  <c:v>2.95</c:v>
                </c:pt>
                <c:pt idx="552">
                  <c:v>2.2999999999999998</c:v>
                </c:pt>
                <c:pt idx="553">
                  <c:v>3.61</c:v>
                </c:pt>
                <c:pt idx="554">
                  <c:v>4.92</c:v>
                </c:pt>
                <c:pt idx="555">
                  <c:v>13.79</c:v>
                </c:pt>
                <c:pt idx="556">
                  <c:v>22.65</c:v>
                </c:pt>
                <c:pt idx="557">
                  <c:v>11.33</c:v>
                </c:pt>
                <c:pt idx="558">
                  <c:v>0</c:v>
                </c:pt>
                <c:pt idx="559">
                  <c:v>27.25</c:v>
                </c:pt>
                <c:pt idx="560">
                  <c:v>54.49</c:v>
                </c:pt>
                <c:pt idx="561">
                  <c:v>35.450000000000003</c:v>
                </c:pt>
                <c:pt idx="562">
                  <c:v>16.41</c:v>
                </c:pt>
                <c:pt idx="563">
                  <c:v>8.2100000000000009</c:v>
                </c:pt>
                <c:pt idx="564">
                  <c:v>0</c:v>
                </c:pt>
                <c:pt idx="565">
                  <c:v>53.67</c:v>
                </c:pt>
                <c:pt idx="566">
                  <c:v>107.35</c:v>
                </c:pt>
                <c:pt idx="567">
                  <c:v>80.59</c:v>
                </c:pt>
                <c:pt idx="568">
                  <c:v>53.84</c:v>
                </c:pt>
                <c:pt idx="569">
                  <c:v>64.34</c:v>
                </c:pt>
                <c:pt idx="570">
                  <c:v>74.849999999999994</c:v>
                </c:pt>
                <c:pt idx="571">
                  <c:v>108.82</c:v>
                </c:pt>
                <c:pt idx="572">
                  <c:v>142.80000000000001</c:v>
                </c:pt>
                <c:pt idx="573">
                  <c:v>87.81</c:v>
                </c:pt>
                <c:pt idx="574">
                  <c:v>32.83</c:v>
                </c:pt>
                <c:pt idx="575">
                  <c:v>16.41</c:v>
                </c:pt>
                <c:pt idx="576">
                  <c:v>0</c:v>
                </c:pt>
                <c:pt idx="577">
                  <c:v>5.58</c:v>
                </c:pt>
                <c:pt idx="578">
                  <c:v>11.16</c:v>
                </c:pt>
                <c:pt idx="579">
                  <c:v>22.81</c:v>
                </c:pt>
                <c:pt idx="580">
                  <c:v>34.47</c:v>
                </c:pt>
                <c:pt idx="581">
                  <c:v>30.69</c:v>
                </c:pt>
                <c:pt idx="582">
                  <c:v>26.92</c:v>
                </c:pt>
                <c:pt idx="583">
                  <c:v>23.14</c:v>
                </c:pt>
                <c:pt idx="584">
                  <c:v>19.37</c:v>
                </c:pt>
                <c:pt idx="585">
                  <c:v>20.190000000000001</c:v>
                </c:pt>
                <c:pt idx="586">
                  <c:v>21.01</c:v>
                </c:pt>
                <c:pt idx="587">
                  <c:v>85.19</c:v>
                </c:pt>
                <c:pt idx="588">
                  <c:v>149.36000000000001</c:v>
                </c:pt>
                <c:pt idx="589">
                  <c:v>89.62</c:v>
                </c:pt>
                <c:pt idx="590">
                  <c:v>29.87</c:v>
                </c:pt>
                <c:pt idx="591">
                  <c:v>24.62</c:v>
                </c:pt>
                <c:pt idx="592">
                  <c:v>19.37</c:v>
                </c:pt>
                <c:pt idx="593">
                  <c:v>17.23</c:v>
                </c:pt>
                <c:pt idx="594">
                  <c:v>15.1</c:v>
                </c:pt>
                <c:pt idx="595">
                  <c:v>13.95</c:v>
                </c:pt>
                <c:pt idx="596">
                  <c:v>12.8</c:v>
                </c:pt>
                <c:pt idx="597">
                  <c:v>12.15</c:v>
                </c:pt>
                <c:pt idx="598">
                  <c:v>11.49</c:v>
                </c:pt>
                <c:pt idx="599">
                  <c:v>12.64</c:v>
                </c:pt>
                <c:pt idx="600">
                  <c:v>13.79</c:v>
                </c:pt>
                <c:pt idx="601">
                  <c:v>13.3</c:v>
                </c:pt>
                <c:pt idx="602">
                  <c:v>12.8</c:v>
                </c:pt>
                <c:pt idx="603">
                  <c:v>9.19</c:v>
                </c:pt>
                <c:pt idx="604">
                  <c:v>5.58</c:v>
                </c:pt>
                <c:pt idx="605">
                  <c:v>3.94</c:v>
                </c:pt>
                <c:pt idx="606">
                  <c:v>2.2999999999999998</c:v>
                </c:pt>
                <c:pt idx="607">
                  <c:v>4.92</c:v>
                </c:pt>
                <c:pt idx="608">
                  <c:v>7.55</c:v>
                </c:pt>
                <c:pt idx="609">
                  <c:v>5.91</c:v>
                </c:pt>
                <c:pt idx="610">
                  <c:v>4.2699999999999996</c:v>
                </c:pt>
                <c:pt idx="611">
                  <c:v>5.25</c:v>
                </c:pt>
                <c:pt idx="612">
                  <c:v>6.24</c:v>
                </c:pt>
                <c:pt idx="613">
                  <c:v>5.91</c:v>
                </c:pt>
                <c:pt idx="614">
                  <c:v>5.58</c:v>
                </c:pt>
                <c:pt idx="615">
                  <c:v>7.55</c:v>
                </c:pt>
                <c:pt idx="616">
                  <c:v>9.52</c:v>
                </c:pt>
                <c:pt idx="617">
                  <c:v>4.76</c:v>
                </c:pt>
                <c:pt idx="618">
                  <c:v>0</c:v>
                </c:pt>
                <c:pt idx="619">
                  <c:v>0.66</c:v>
                </c:pt>
                <c:pt idx="620">
                  <c:v>1.31</c:v>
                </c:pt>
                <c:pt idx="621">
                  <c:v>36.11</c:v>
                </c:pt>
                <c:pt idx="622">
                  <c:v>70.91</c:v>
                </c:pt>
                <c:pt idx="623">
                  <c:v>37.26</c:v>
                </c:pt>
                <c:pt idx="624">
                  <c:v>3.61</c:v>
                </c:pt>
                <c:pt idx="625">
                  <c:v>4.0999999999999996</c:v>
                </c:pt>
                <c:pt idx="626">
                  <c:v>4.5999999999999996</c:v>
                </c:pt>
                <c:pt idx="627">
                  <c:v>5.09</c:v>
                </c:pt>
                <c:pt idx="628">
                  <c:v>5.58</c:v>
                </c:pt>
                <c:pt idx="629">
                  <c:v>4.5999999999999996</c:v>
                </c:pt>
                <c:pt idx="630">
                  <c:v>3.61</c:v>
                </c:pt>
                <c:pt idx="631">
                  <c:v>2.79</c:v>
                </c:pt>
                <c:pt idx="632">
                  <c:v>1.97</c:v>
                </c:pt>
                <c:pt idx="633">
                  <c:v>17.73</c:v>
                </c:pt>
                <c:pt idx="634">
                  <c:v>33.479999999999997</c:v>
                </c:pt>
                <c:pt idx="635">
                  <c:v>18.55</c:v>
                </c:pt>
                <c:pt idx="636">
                  <c:v>3.61</c:v>
                </c:pt>
                <c:pt idx="637">
                  <c:v>4.0999999999999996</c:v>
                </c:pt>
                <c:pt idx="638">
                  <c:v>4.5999999999999996</c:v>
                </c:pt>
                <c:pt idx="639">
                  <c:v>2.79</c:v>
                </c:pt>
                <c:pt idx="640">
                  <c:v>0.98</c:v>
                </c:pt>
                <c:pt idx="641">
                  <c:v>0.82</c:v>
                </c:pt>
                <c:pt idx="642">
                  <c:v>0.66</c:v>
                </c:pt>
                <c:pt idx="643">
                  <c:v>0.82</c:v>
                </c:pt>
                <c:pt idx="644">
                  <c:v>0.98</c:v>
                </c:pt>
                <c:pt idx="645">
                  <c:v>2.2999999999999998</c:v>
                </c:pt>
                <c:pt idx="646">
                  <c:v>3.61</c:v>
                </c:pt>
                <c:pt idx="647">
                  <c:v>3.28</c:v>
                </c:pt>
                <c:pt idx="648">
                  <c:v>2.95</c:v>
                </c:pt>
                <c:pt idx="649">
                  <c:v>3.61</c:v>
                </c:pt>
                <c:pt idx="650">
                  <c:v>4.2699999999999996</c:v>
                </c:pt>
                <c:pt idx="651">
                  <c:v>9.68</c:v>
                </c:pt>
                <c:pt idx="652">
                  <c:v>15.1</c:v>
                </c:pt>
                <c:pt idx="653">
                  <c:v>17.23</c:v>
                </c:pt>
                <c:pt idx="654">
                  <c:v>19.37</c:v>
                </c:pt>
                <c:pt idx="655">
                  <c:v>26.92</c:v>
                </c:pt>
                <c:pt idx="656">
                  <c:v>34.47</c:v>
                </c:pt>
                <c:pt idx="657">
                  <c:v>30.69</c:v>
                </c:pt>
                <c:pt idx="658">
                  <c:v>26.92</c:v>
                </c:pt>
                <c:pt idx="659">
                  <c:v>155.77000000000001</c:v>
                </c:pt>
                <c:pt idx="660">
                  <c:v>284.61</c:v>
                </c:pt>
                <c:pt idx="661">
                  <c:v>191.05</c:v>
                </c:pt>
                <c:pt idx="662">
                  <c:v>97.5</c:v>
                </c:pt>
                <c:pt idx="663">
                  <c:v>202.87</c:v>
                </c:pt>
                <c:pt idx="664">
                  <c:v>308.25</c:v>
                </c:pt>
                <c:pt idx="665">
                  <c:v>466.64</c:v>
                </c:pt>
                <c:pt idx="666">
                  <c:v>625.03</c:v>
                </c:pt>
                <c:pt idx="667">
                  <c:v>357.82</c:v>
                </c:pt>
                <c:pt idx="668">
                  <c:v>90.6</c:v>
                </c:pt>
                <c:pt idx="669">
                  <c:v>353.88</c:v>
                </c:pt>
                <c:pt idx="670">
                  <c:v>617.15</c:v>
                </c:pt>
                <c:pt idx="671">
                  <c:v>352.24</c:v>
                </c:pt>
                <c:pt idx="672">
                  <c:v>87.32</c:v>
                </c:pt>
                <c:pt idx="673">
                  <c:v>64.67</c:v>
                </c:pt>
                <c:pt idx="674">
                  <c:v>42.02</c:v>
                </c:pt>
                <c:pt idx="675">
                  <c:v>24.78</c:v>
                </c:pt>
                <c:pt idx="676">
                  <c:v>7.55</c:v>
                </c:pt>
                <c:pt idx="677">
                  <c:v>5.74</c:v>
                </c:pt>
                <c:pt idx="678">
                  <c:v>3.94</c:v>
                </c:pt>
                <c:pt idx="679">
                  <c:v>13.3</c:v>
                </c:pt>
                <c:pt idx="680">
                  <c:v>22.65</c:v>
                </c:pt>
                <c:pt idx="681">
                  <c:v>19.7</c:v>
                </c:pt>
                <c:pt idx="682">
                  <c:v>16.739999999999998</c:v>
                </c:pt>
                <c:pt idx="683">
                  <c:v>11.98</c:v>
                </c:pt>
                <c:pt idx="684">
                  <c:v>7.22</c:v>
                </c:pt>
                <c:pt idx="685">
                  <c:v>7.06</c:v>
                </c:pt>
                <c:pt idx="686">
                  <c:v>6.89</c:v>
                </c:pt>
                <c:pt idx="687">
                  <c:v>34.799999999999997</c:v>
                </c:pt>
                <c:pt idx="688">
                  <c:v>62.7</c:v>
                </c:pt>
                <c:pt idx="689">
                  <c:v>37.42</c:v>
                </c:pt>
                <c:pt idx="690">
                  <c:v>12.15</c:v>
                </c:pt>
                <c:pt idx="691">
                  <c:v>10.5</c:v>
                </c:pt>
                <c:pt idx="692">
                  <c:v>8.86</c:v>
                </c:pt>
                <c:pt idx="693">
                  <c:v>90.27</c:v>
                </c:pt>
                <c:pt idx="694">
                  <c:v>171.69</c:v>
                </c:pt>
                <c:pt idx="695">
                  <c:v>114.57</c:v>
                </c:pt>
                <c:pt idx="696">
                  <c:v>57.45</c:v>
                </c:pt>
                <c:pt idx="697">
                  <c:v>119.33</c:v>
                </c:pt>
                <c:pt idx="698">
                  <c:v>181.21</c:v>
                </c:pt>
                <c:pt idx="699">
                  <c:v>99.3</c:v>
                </c:pt>
                <c:pt idx="700">
                  <c:v>17.399999999999999</c:v>
                </c:pt>
                <c:pt idx="701">
                  <c:v>10.83</c:v>
                </c:pt>
                <c:pt idx="702">
                  <c:v>4.2699999999999996</c:v>
                </c:pt>
                <c:pt idx="703">
                  <c:v>3.45</c:v>
                </c:pt>
                <c:pt idx="704">
                  <c:v>2.63</c:v>
                </c:pt>
                <c:pt idx="705">
                  <c:v>1.31</c:v>
                </c:pt>
                <c:pt idx="706">
                  <c:v>0</c:v>
                </c:pt>
                <c:pt idx="707">
                  <c:v>40.54</c:v>
                </c:pt>
                <c:pt idx="708">
                  <c:v>81.08</c:v>
                </c:pt>
                <c:pt idx="709">
                  <c:v>191.55</c:v>
                </c:pt>
                <c:pt idx="710">
                  <c:v>302.01</c:v>
                </c:pt>
                <c:pt idx="711">
                  <c:v>159.69999999999999</c:v>
                </c:pt>
                <c:pt idx="712">
                  <c:v>17.399999999999999</c:v>
                </c:pt>
                <c:pt idx="713">
                  <c:v>22.16</c:v>
                </c:pt>
                <c:pt idx="714">
                  <c:v>26.92</c:v>
                </c:pt>
                <c:pt idx="715">
                  <c:v>15.43</c:v>
                </c:pt>
                <c:pt idx="716">
                  <c:v>3.94</c:v>
                </c:pt>
                <c:pt idx="717">
                  <c:v>2.95</c:v>
                </c:pt>
                <c:pt idx="718">
                  <c:v>1.97</c:v>
                </c:pt>
                <c:pt idx="719">
                  <c:v>3.28</c:v>
                </c:pt>
                <c:pt idx="720">
                  <c:v>4.5999999999999996</c:v>
                </c:pt>
                <c:pt idx="721">
                  <c:v>3.12</c:v>
                </c:pt>
                <c:pt idx="722">
                  <c:v>1.64</c:v>
                </c:pt>
                <c:pt idx="723">
                  <c:v>1.48</c:v>
                </c:pt>
                <c:pt idx="724">
                  <c:v>1.31</c:v>
                </c:pt>
                <c:pt idx="725">
                  <c:v>2.13</c:v>
                </c:pt>
                <c:pt idx="726">
                  <c:v>2.95</c:v>
                </c:pt>
                <c:pt idx="727">
                  <c:v>1.97</c:v>
                </c:pt>
                <c:pt idx="728">
                  <c:v>0.98</c:v>
                </c:pt>
                <c:pt idx="729">
                  <c:v>1.31</c:v>
                </c:pt>
                <c:pt idx="730">
                  <c:v>1.64</c:v>
                </c:pt>
                <c:pt idx="731">
                  <c:v>2.63</c:v>
                </c:pt>
                <c:pt idx="732">
                  <c:v>3.61</c:v>
                </c:pt>
                <c:pt idx="733">
                  <c:v>4.76</c:v>
                </c:pt>
                <c:pt idx="734">
                  <c:v>5.91</c:v>
                </c:pt>
                <c:pt idx="735">
                  <c:v>3.45</c:v>
                </c:pt>
                <c:pt idx="736">
                  <c:v>0.98</c:v>
                </c:pt>
                <c:pt idx="737">
                  <c:v>2.63</c:v>
                </c:pt>
                <c:pt idx="738">
                  <c:v>4.2699999999999996</c:v>
                </c:pt>
                <c:pt idx="739">
                  <c:v>3.78</c:v>
                </c:pt>
                <c:pt idx="740">
                  <c:v>3.28</c:v>
                </c:pt>
                <c:pt idx="741">
                  <c:v>3.78</c:v>
                </c:pt>
                <c:pt idx="742">
                  <c:v>4.2699999999999996</c:v>
                </c:pt>
                <c:pt idx="743">
                  <c:v>4.0999999999999996</c:v>
                </c:pt>
                <c:pt idx="744">
                  <c:v>3.94</c:v>
                </c:pt>
                <c:pt idx="745">
                  <c:v>1.97</c:v>
                </c:pt>
                <c:pt idx="746">
                  <c:v>0</c:v>
                </c:pt>
                <c:pt idx="747">
                  <c:v>3.12</c:v>
                </c:pt>
                <c:pt idx="748">
                  <c:v>6.24</c:v>
                </c:pt>
                <c:pt idx="749">
                  <c:v>3.78</c:v>
                </c:pt>
                <c:pt idx="750">
                  <c:v>1.31</c:v>
                </c:pt>
                <c:pt idx="751">
                  <c:v>2.63</c:v>
                </c:pt>
                <c:pt idx="752">
                  <c:v>3.94</c:v>
                </c:pt>
                <c:pt idx="753">
                  <c:v>2.63</c:v>
                </c:pt>
                <c:pt idx="754">
                  <c:v>1.31</c:v>
                </c:pt>
                <c:pt idx="755">
                  <c:v>0.98</c:v>
                </c:pt>
                <c:pt idx="756">
                  <c:v>0.66</c:v>
                </c:pt>
                <c:pt idx="757">
                  <c:v>3.45</c:v>
                </c:pt>
                <c:pt idx="758">
                  <c:v>6.24</c:v>
                </c:pt>
                <c:pt idx="759">
                  <c:v>3.94</c:v>
                </c:pt>
                <c:pt idx="760">
                  <c:v>1.64</c:v>
                </c:pt>
                <c:pt idx="761">
                  <c:v>3.61</c:v>
                </c:pt>
                <c:pt idx="762">
                  <c:v>5.58</c:v>
                </c:pt>
                <c:pt idx="763">
                  <c:v>4.5999999999999996</c:v>
                </c:pt>
                <c:pt idx="764">
                  <c:v>3.61</c:v>
                </c:pt>
                <c:pt idx="765">
                  <c:v>4.76</c:v>
                </c:pt>
                <c:pt idx="766">
                  <c:v>5.91</c:v>
                </c:pt>
                <c:pt idx="767">
                  <c:v>5.25</c:v>
                </c:pt>
                <c:pt idx="768">
                  <c:v>4.5999999999999996</c:v>
                </c:pt>
                <c:pt idx="769">
                  <c:v>8.5399999999999991</c:v>
                </c:pt>
                <c:pt idx="770">
                  <c:v>12.47</c:v>
                </c:pt>
                <c:pt idx="771">
                  <c:v>9.68</c:v>
                </c:pt>
                <c:pt idx="772">
                  <c:v>6.89</c:v>
                </c:pt>
                <c:pt idx="773">
                  <c:v>36.11</c:v>
                </c:pt>
                <c:pt idx="774">
                  <c:v>65.33</c:v>
                </c:pt>
                <c:pt idx="775">
                  <c:v>66.48</c:v>
                </c:pt>
                <c:pt idx="776">
                  <c:v>67.62</c:v>
                </c:pt>
                <c:pt idx="777">
                  <c:v>88.63</c:v>
                </c:pt>
                <c:pt idx="778">
                  <c:v>109.64</c:v>
                </c:pt>
                <c:pt idx="779">
                  <c:v>100.62</c:v>
                </c:pt>
                <c:pt idx="780">
                  <c:v>91.59</c:v>
                </c:pt>
                <c:pt idx="781">
                  <c:v>54.66</c:v>
                </c:pt>
                <c:pt idx="782">
                  <c:v>17.73</c:v>
                </c:pt>
                <c:pt idx="783">
                  <c:v>27.25</c:v>
                </c:pt>
                <c:pt idx="784">
                  <c:v>36.770000000000003</c:v>
                </c:pt>
                <c:pt idx="785">
                  <c:v>18.88</c:v>
                </c:pt>
                <c:pt idx="786">
                  <c:v>0.98</c:v>
                </c:pt>
                <c:pt idx="787">
                  <c:v>3.78</c:v>
                </c:pt>
                <c:pt idx="788">
                  <c:v>6.57</c:v>
                </c:pt>
                <c:pt idx="789">
                  <c:v>30.86</c:v>
                </c:pt>
                <c:pt idx="790">
                  <c:v>55.15</c:v>
                </c:pt>
                <c:pt idx="791">
                  <c:v>30.53</c:v>
                </c:pt>
                <c:pt idx="792">
                  <c:v>5.91</c:v>
                </c:pt>
                <c:pt idx="793">
                  <c:v>3.78</c:v>
                </c:pt>
                <c:pt idx="794">
                  <c:v>1.64</c:v>
                </c:pt>
                <c:pt idx="795">
                  <c:v>4.76</c:v>
                </c:pt>
                <c:pt idx="796">
                  <c:v>7.88</c:v>
                </c:pt>
                <c:pt idx="797">
                  <c:v>10.34</c:v>
                </c:pt>
                <c:pt idx="798">
                  <c:v>12.8</c:v>
                </c:pt>
                <c:pt idx="799">
                  <c:v>48.75</c:v>
                </c:pt>
                <c:pt idx="800">
                  <c:v>84.69</c:v>
                </c:pt>
                <c:pt idx="801">
                  <c:v>57.28</c:v>
                </c:pt>
                <c:pt idx="802">
                  <c:v>29.87</c:v>
                </c:pt>
                <c:pt idx="803">
                  <c:v>19.53</c:v>
                </c:pt>
                <c:pt idx="804">
                  <c:v>9.19</c:v>
                </c:pt>
                <c:pt idx="805">
                  <c:v>11.98</c:v>
                </c:pt>
                <c:pt idx="806">
                  <c:v>14.77</c:v>
                </c:pt>
                <c:pt idx="807">
                  <c:v>20.190000000000001</c:v>
                </c:pt>
                <c:pt idx="808">
                  <c:v>25.61</c:v>
                </c:pt>
                <c:pt idx="809">
                  <c:v>131.63999999999999</c:v>
                </c:pt>
                <c:pt idx="810">
                  <c:v>237.67</c:v>
                </c:pt>
                <c:pt idx="811">
                  <c:v>418.22</c:v>
                </c:pt>
                <c:pt idx="812">
                  <c:v>598.77</c:v>
                </c:pt>
                <c:pt idx="813">
                  <c:v>417.56</c:v>
                </c:pt>
                <c:pt idx="814">
                  <c:v>236.36</c:v>
                </c:pt>
                <c:pt idx="815">
                  <c:v>126.71</c:v>
                </c:pt>
                <c:pt idx="816">
                  <c:v>17.07</c:v>
                </c:pt>
                <c:pt idx="817">
                  <c:v>17.73</c:v>
                </c:pt>
                <c:pt idx="818">
                  <c:v>18.38</c:v>
                </c:pt>
                <c:pt idx="819">
                  <c:v>116.7</c:v>
                </c:pt>
                <c:pt idx="820">
                  <c:v>215.02</c:v>
                </c:pt>
                <c:pt idx="821">
                  <c:v>146.25</c:v>
                </c:pt>
                <c:pt idx="822">
                  <c:v>77.47</c:v>
                </c:pt>
                <c:pt idx="823">
                  <c:v>63.19</c:v>
                </c:pt>
                <c:pt idx="824">
                  <c:v>48.91</c:v>
                </c:pt>
                <c:pt idx="825">
                  <c:v>144.6</c:v>
                </c:pt>
                <c:pt idx="826">
                  <c:v>240.3</c:v>
                </c:pt>
                <c:pt idx="827">
                  <c:v>120.15</c:v>
                </c:pt>
                <c:pt idx="828">
                  <c:v>0</c:v>
                </c:pt>
                <c:pt idx="829">
                  <c:v>41.53</c:v>
                </c:pt>
                <c:pt idx="830">
                  <c:v>83.05</c:v>
                </c:pt>
                <c:pt idx="831">
                  <c:v>60.73</c:v>
                </c:pt>
                <c:pt idx="832">
                  <c:v>38.409999999999997</c:v>
                </c:pt>
                <c:pt idx="833">
                  <c:v>26.43</c:v>
                </c:pt>
                <c:pt idx="834">
                  <c:v>14.44</c:v>
                </c:pt>
                <c:pt idx="835">
                  <c:v>20.190000000000001</c:v>
                </c:pt>
                <c:pt idx="836">
                  <c:v>25.93</c:v>
                </c:pt>
                <c:pt idx="837">
                  <c:v>54.49</c:v>
                </c:pt>
                <c:pt idx="838">
                  <c:v>83.05</c:v>
                </c:pt>
                <c:pt idx="839">
                  <c:v>41.53</c:v>
                </c:pt>
                <c:pt idx="840">
                  <c:v>0</c:v>
                </c:pt>
                <c:pt idx="841">
                  <c:v>288.72000000000003</c:v>
                </c:pt>
                <c:pt idx="842">
                  <c:v>577.42999999999995</c:v>
                </c:pt>
                <c:pt idx="843">
                  <c:v>572.66999999999996</c:v>
                </c:pt>
                <c:pt idx="844">
                  <c:v>567.91</c:v>
                </c:pt>
                <c:pt idx="845">
                  <c:v>545.59</c:v>
                </c:pt>
                <c:pt idx="846">
                  <c:v>523.27</c:v>
                </c:pt>
                <c:pt idx="847">
                  <c:v>263.77</c:v>
                </c:pt>
                <c:pt idx="848">
                  <c:v>4.2699999999999996</c:v>
                </c:pt>
                <c:pt idx="849">
                  <c:v>90.11</c:v>
                </c:pt>
                <c:pt idx="850">
                  <c:v>175.95</c:v>
                </c:pt>
                <c:pt idx="851">
                  <c:v>249.98</c:v>
                </c:pt>
                <c:pt idx="852">
                  <c:v>324.01</c:v>
                </c:pt>
                <c:pt idx="853">
                  <c:v>233.73</c:v>
                </c:pt>
                <c:pt idx="854">
                  <c:v>143.46</c:v>
                </c:pt>
                <c:pt idx="855">
                  <c:v>335.66</c:v>
                </c:pt>
                <c:pt idx="856">
                  <c:v>527.86</c:v>
                </c:pt>
                <c:pt idx="857">
                  <c:v>500.94</c:v>
                </c:pt>
                <c:pt idx="858">
                  <c:v>474.03</c:v>
                </c:pt>
                <c:pt idx="859">
                  <c:v>507.67</c:v>
                </c:pt>
                <c:pt idx="860">
                  <c:v>541.32000000000005</c:v>
                </c:pt>
                <c:pt idx="861">
                  <c:v>536.07000000000005</c:v>
                </c:pt>
                <c:pt idx="862">
                  <c:v>530.82000000000005</c:v>
                </c:pt>
                <c:pt idx="863">
                  <c:v>532.13</c:v>
                </c:pt>
                <c:pt idx="864">
                  <c:v>533.44000000000005</c:v>
                </c:pt>
                <c:pt idx="865">
                  <c:v>408.37</c:v>
                </c:pt>
                <c:pt idx="866">
                  <c:v>283.3</c:v>
                </c:pt>
                <c:pt idx="867">
                  <c:v>158.72</c:v>
                </c:pt>
                <c:pt idx="868">
                  <c:v>34.14</c:v>
                </c:pt>
                <c:pt idx="869">
                  <c:v>281.17</c:v>
                </c:pt>
                <c:pt idx="870">
                  <c:v>528.19000000000005</c:v>
                </c:pt>
                <c:pt idx="871">
                  <c:v>528.03</c:v>
                </c:pt>
                <c:pt idx="872">
                  <c:v>527.86</c:v>
                </c:pt>
                <c:pt idx="873">
                  <c:v>528.67999999999995</c:v>
                </c:pt>
                <c:pt idx="874">
                  <c:v>529.5</c:v>
                </c:pt>
                <c:pt idx="875">
                  <c:v>527.21</c:v>
                </c:pt>
                <c:pt idx="876">
                  <c:v>524.91</c:v>
                </c:pt>
                <c:pt idx="877">
                  <c:v>527.70000000000005</c:v>
                </c:pt>
                <c:pt idx="878">
                  <c:v>530.49</c:v>
                </c:pt>
                <c:pt idx="879">
                  <c:v>529.01</c:v>
                </c:pt>
                <c:pt idx="880">
                  <c:v>527.53</c:v>
                </c:pt>
                <c:pt idx="881">
                  <c:v>525.89</c:v>
                </c:pt>
                <c:pt idx="882">
                  <c:v>524.25</c:v>
                </c:pt>
                <c:pt idx="883">
                  <c:v>529.17999999999995</c:v>
                </c:pt>
                <c:pt idx="884">
                  <c:v>534.1</c:v>
                </c:pt>
                <c:pt idx="885">
                  <c:v>522.61</c:v>
                </c:pt>
                <c:pt idx="886">
                  <c:v>511.12</c:v>
                </c:pt>
                <c:pt idx="887">
                  <c:v>509.81</c:v>
                </c:pt>
                <c:pt idx="888">
                  <c:v>508.49</c:v>
                </c:pt>
                <c:pt idx="889">
                  <c:v>505.7</c:v>
                </c:pt>
                <c:pt idx="890">
                  <c:v>502.91</c:v>
                </c:pt>
                <c:pt idx="891">
                  <c:v>499.47</c:v>
                </c:pt>
                <c:pt idx="892">
                  <c:v>496.02</c:v>
                </c:pt>
                <c:pt idx="893">
                  <c:v>491.92</c:v>
                </c:pt>
                <c:pt idx="894">
                  <c:v>487.81</c:v>
                </c:pt>
                <c:pt idx="895">
                  <c:v>485.52</c:v>
                </c:pt>
                <c:pt idx="896">
                  <c:v>483.22</c:v>
                </c:pt>
                <c:pt idx="897">
                  <c:v>483.38</c:v>
                </c:pt>
                <c:pt idx="898">
                  <c:v>483.55</c:v>
                </c:pt>
                <c:pt idx="899">
                  <c:v>488.14</c:v>
                </c:pt>
                <c:pt idx="900">
                  <c:v>492.74</c:v>
                </c:pt>
                <c:pt idx="901">
                  <c:v>480.43</c:v>
                </c:pt>
                <c:pt idx="902">
                  <c:v>468.12</c:v>
                </c:pt>
                <c:pt idx="903">
                  <c:v>479.61</c:v>
                </c:pt>
                <c:pt idx="904">
                  <c:v>491.1</c:v>
                </c:pt>
                <c:pt idx="905">
                  <c:v>483.71</c:v>
                </c:pt>
                <c:pt idx="906">
                  <c:v>476.32</c:v>
                </c:pt>
                <c:pt idx="907">
                  <c:v>400.49</c:v>
                </c:pt>
                <c:pt idx="908">
                  <c:v>324.66000000000003</c:v>
                </c:pt>
                <c:pt idx="909">
                  <c:v>371.28</c:v>
                </c:pt>
                <c:pt idx="910">
                  <c:v>417.89</c:v>
                </c:pt>
                <c:pt idx="911">
                  <c:v>282.31</c:v>
                </c:pt>
                <c:pt idx="912">
                  <c:v>146.74</c:v>
                </c:pt>
                <c:pt idx="913">
                  <c:v>130</c:v>
                </c:pt>
                <c:pt idx="914">
                  <c:v>113.25</c:v>
                </c:pt>
                <c:pt idx="915">
                  <c:v>87.16</c:v>
                </c:pt>
                <c:pt idx="916">
                  <c:v>61.06</c:v>
                </c:pt>
                <c:pt idx="917">
                  <c:v>94.05</c:v>
                </c:pt>
                <c:pt idx="918">
                  <c:v>127.04</c:v>
                </c:pt>
                <c:pt idx="919">
                  <c:v>115.22</c:v>
                </c:pt>
                <c:pt idx="920">
                  <c:v>103.41</c:v>
                </c:pt>
                <c:pt idx="921">
                  <c:v>63.52</c:v>
                </c:pt>
                <c:pt idx="922">
                  <c:v>23.64</c:v>
                </c:pt>
                <c:pt idx="923">
                  <c:v>34.630000000000003</c:v>
                </c:pt>
                <c:pt idx="924">
                  <c:v>45.63</c:v>
                </c:pt>
                <c:pt idx="925">
                  <c:v>218.14</c:v>
                </c:pt>
                <c:pt idx="926">
                  <c:v>390.64</c:v>
                </c:pt>
                <c:pt idx="927">
                  <c:v>297.74</c:v>
                </c:pt>
                <c:pt idx="928">
                  <c:v>204.84</c:v>
                </c:pt>
                <c:pt idx="929">
                  <c:v>148.87</c:v>
                </c:pt>
                <c:pt idx="930">
                  <c:v>92.9</c:v>
                </c:pt>
                <c:pt idx="931">
                  <c:v>114.4</c:v>
                </c:pt>
                <c:pt idx="932">
                  <c:v>135.9</c:v>
                </c:pt>
                <c:pt idx="933">
                  <c:v>143.13</c:v>
                </c:pt>
                <c:pt idx="934">
                  <c:v>150.35</c:v>
                </c:pt>
                <c:pt idx="935">
                  <c:v>101.44</c:v>
                </c:pt>
                <c:pt idx="936">
                  <c:v>52.52</c:v>
                </c:pt>
                <c:pt idx="937">
                  <c:v>35.78</c:v>
                </c:pt>
                <c:pt idx="938">
                  <c:v>19.04</c:v>
                </c:pt>
                <c:pt idx="939">
                  <c:v>20.52</c:v>
                </c:pt>
                <c:pt idx="940">
                  <c:v>21.99</c:v>
                </c:pt>
                <c:pt idx="941">
                  <c:v>54.99</c:v>
                </c:pt>
                <c:pt idx="942">
                  <c:v>87.98</c:v>
                </c:pt>
                <c:pt idx="943">
                  <c:v>107.84</c:v>
                </c:pt>
                <c:pt idx="944">
                  <c:v>127.7</c:v>
                </c:pt>
                <c:pt idx="945">
                  <c:v>71.56</c:v>
                </c:pt>
                <c:pt idx="946">
                  <c:v>15.43</c:v>
                </c:pt>
                <c:pt idx="947">
                  <c:v>15.76</c:v>
                </c:pt>
                <c:pt idx="948">
                  <c:v>16.09</c:v>
                </c:pt>
                <c:pt idx="949">
                  <c:v>30.53</c:v>
                </c:pt>
                <c:pt idx="950">
                  <c:v>44.97</c:v>
                </c:pt>
                <c:pt idx="951">
                  <c:v>145.1</c:v>
                </c:pt>
                <c:pt idx="952">
                  <c:v>245.22</c:v>
                </c:pt>
                <c:pt idx="953">
                  <c:v>196.14</c:v>
                </c:pt>
                <c:pt idx="954">
                  <c:v>147.07</c:v>
                </c:pt>
                <c:pt idx="955">
                  <c:v>156.75</c:v>
                </c:pt>
                <c:pt idx="956">
                  <c:v>166.43</c:v>
                </c:pt>
                <c:pt idx="957">
                  <c:v>100.12</c:v>
                </c:pt>
                <c:pt idx="958">
                  <c:v>33.81</c:v>
                </c:pt>
                <c:pt idx="959">
                  <c:v>59.09</c:v>
                </c:pt>
                <c:pt idx="960">
                  <c:v>84.37</c:v>
                </c:pt>
                <c:pt idx="961">
                  <c:v>66.48</c:v>
                </c:pt>
                <c:pt idx="962">
                  <c:v>48.58</c:v>
                </c:pt>
                <c:pt idx="963">
                  <c:v>70.41</c:v>
                </c:pt>
                <c:pt idx="964">
                  <c:v>92.24</c:v>
                </c:pt>
                <c:pt idx="965">
                  <c:v>69.92</c:v>
                </c:pt>
                <c:pt idx="966">
                  <c:v>47.6</c:v>
                </c:pt>
                <c:pt idx="967">
                  <c:v>171.03</c:v>
                </c:pt>
                <c:pt idx="968">
                  <c:v>294.45999999999998</c:v>
                </c:pt>
                <c:pt idx="969">
                  <c:v>260.32</c:v>
                </c:pt>
                <c:pt idx="970">
                  <c:v>226.18</c:v>
                </c:pt>
                <c:pt idx="971">
                  <c:v>286.58</c:v>
                </c:pt>
                <c:pt idx="972">
                  <c:v>346.98</c:v>
                </c:pt>
                <c:pt idx="973">
                  <c:v>214.85</c:v>
                </c:pt>
                <c:pt idx="974">
                  <c:v>82.72</c:v>
                </c:pt>
                <c:pt idx="975">
                  <c:v>63.36</c:v>
                </c:pt>
                <c:pt idx="976">
                  <c:v>43.99</c:v>
                </c:pt>
                <c:pt idx="977">
                  <c:v>139.35</c:v>
                </c:pt>
                <c:pt idx="978">
                  <c:v>234.72</c:v>
                </c:pt>
                <c:pt idx="979">
                  <c:v>196.31</c:v>
                </c:pt>
                <c:pt idx="980">
                  <c:v>157.9</c:v>
                </c:pt>
                <c:pt idx="981">
                  <c:v>221.91</c:v>
                </c:pt>
                <c:pt idx="982">
                  <c:v>285.93</c:v>
                </c:pt>
                <c:pt idx="983">
                  <c:v>275.91000000000003</c:v>
                </c:pt>
                <c:pt idx="984">
                  <c:v>265.89999999999998</c:v>
                </c:pt>
                <c:pt idx="985">
                  <c:v>200.41</c:v>
                </c:pt>
                <c:pt idx="986">
                  <c:v>134.91999999999999</c:v>
                </c:pt>
                <c:pt idx="987">
                  <c:v>199.43</c:v>
                </c:pt>
                <c:pt idx="988">
                  <c:v>263.93</c:v>
                </c:pt>
                <c:pt idx="989">
                  <c:v>159.05000000000001</c:v>
                </c:pt>
                <c:pt idx="990">
                  <c:v>54.17</c:v>
                </c:pt>
                <c:pt idx="991">
                  <c:v>162.82</c:v>
                </c:pt>
                <c:pt idx="992">
                  <c:v>271.48</c:v>
                </c:pt>
                <c:pt idx="993">
                  <c:v>263.93</c:v>
                </c:pt>
                <c:pt idx="994">
                  <c:v>256.38</c:v>
                </c:pt>
                <c:pt idx="995">
                  <c:v>259.01</c:v>
                </c:pt>
                <c:pt idx="996">
                  <c:v>261.63</c:v>
                </c:pt>
                <c:pt idx="997">
                  <c:v>246.04</c:v>
                </c:pt>
                <c:pt idx="998">
                  <c:v>230.45</c:v>
                </c:pt>
                <c:pt idx="999">
                  <c:v>222.73</c:v>
                </c:pt>
                <c:pt idx="1000">
                  <c:v>215.02</c:v>
                </c:pt>
                <c:pt idx="1001">
                  <c:v>225.36</c:v>
                </c:pt>
                <c:pt idx="1002">
                  <c:v>235.7</c:v>
                </c:pt>
                <c:pt idx="1003">
                  <c:v>234.22</c:v>
                </c:pt>
                <c:pt idx="1004">
                  <c:v>232.75</c:v>
                </c:pt>
                <c:pt idx="1005">
                  <c:v>241.44</c:v>
                </c:pt>
                <c:pt idx="1006">
                  <c:v>250.14</c:v>
                </c:pt>
                <c:pt idx="1007">
                  <c:v>231.27</c:v>
                </c:pt>
                <c:pt idx="1008">
                  <c:v>212.39</c:v>
                </c:pt>
                <c:pt idx="1009">
                  <c:v>216.66</c:v>
                </c:pt>
                <c:pt idx="1010">
                  <c:v>220.93</c:v>
                </c:pt>
                <c:pt idx="1011">
                  <c:v>218.14</c:v>
                </c:pt>
                <c:pt idx="1012">
                  <c:v>215.35</c:v>
                </c:pt>
                <c:pt idx="1013">
                  <c:v>213.38</c:v>
                </c:pt>
                <c:pt idx="1014">
                  <c:v>211.41</c:v>
                </c:pt>
                <c:pt idx="1015">
                  <c:v>195.98</c:v>
                </c:pt>
                <c:pt idx="1016">
                  <c:v>180.55</c:v>
                </c:pt>
                <c:pt idx="1017">
                  <c:v>190.56</c:v>
                </c:pt>
                <c:pt idx="1018">
                  <c:v>200.57</c:v>
                </c:pt>
                <c:pt idx="1019">
                  <c:v>198.77</c:v>
                </c:pt>
                <c:pt idx="1020">
                  <c:v>196.96</c:v>
                </c:pt>
                <c:pt idx="1021">
                  <c:v>193.68</c:v>
                </c:pt>
                <c:pt idx="1022">
                  <c:v>190.4</c:v>
                </c:pt>
                <c:pt idx="1023">
                  <c:v>188.59</c:v>
                </c:pt>
                <c:pt idx="1024">
                  <c:v>186.79</c:v>
                </c:pt>
                <c:pt idx="1025">
                  <c:v>184.49</c:v>
                </c:pt>
                <c:pt idx="1026">
                  <c:v>182.19</c:v>
                </c:pt>
                <c:pt idx="1027">
                  <c:v>178.58</c:v>
                </c:pt>
                <c:pt idx="1028">
                  <c:v>174.97</c:v>
                </c:pt>
                <c:pt idx="1029">
                  <c:v>173.66</c:v>
                </c:pt>
                <c:pt idx="1030">
                  <c:v>172.34</c:v>
                </c:pt>
                <c:pt idx="1031">
                  <c:v>169.39</c:v>
                </c:pt>
                <c:pt idx="1032">
                  <c:v>166.43</c:v>
                </c:pt>
                <c:pt idx="1033">
                  <c:v>164.3</c:v>
                </c:pt>
                <c:pt idx="1034">
                  <c:v>162.16999999999999</c:v>
                </c:pt>
                <c:pt idx="1035">
                  <c:v>158.56</c:v>
                </c:pt>
                <c:pt idx="1036">
                  <c:v>154.94</c:v>
                </c:pt>
                <c:pt idx="1037">
                  <c:v>152.15</c:v>
                </c:pt>
                <c:pt idx="1038">
                  <c:v>149.36000000000001</c:v>
                </c:pt>
                <c:pt idx="1039">
                  <c:v>146.25</c:v>
                </c:pt>
                <c:pt idx="1040">
                  <c:v>143.13</c:v>
                </c:pt>
                <c:pt idx="1041">
                  <c:v>139.35</c:v>
                </c:pt>
                <c:pt idx="1042">
                  <c:v>135.58000000000001</c:v>
                </c:pt>
                <c:pt idx="1043">
                  <c:v>130.32</c:v>
                </c:pt>
                <c:pt idx="1044">
                  <c:v>125.07</c:v>
                </c:pt>
                <c:pt idx="1045">
                  <c:v>83.05</c:v>
                </c:pt>
                <c:pt idx="1046">
                  <c:v>41.03</c:v>
                </c:pt>
                <c:pt idx="1047">
                  <c:v>27.74</c:v>
                </c:pt>
                <c:pt idx="1048">
                  <c:v>14.44</c:v>
                </c:pt>
                <c:pt idx="1049">
                  <c:v>11.82</c:v>
                </c:pt>
                <c:pt idx="1050">
                  <c:v>9.19</c:v>
                </c:pt>
                <c:pt idx="1051">
                  <c:v>7.88</c:v>
                </c:pt>
                <c:pt idx="1052">
                  <c:v>6.57</c:v>
                </c:pt>
                <c:pt idx="1053">
                  <c:v>6.24</c:v>
                </c:pt>
                <c:pt idx="1054">
                  <c:v>5.91</c:v>
                </c:pt>
                <c:pt idx="1055">
                  <c:v>6.24</c:v>
                </c:pt>
                <c:pt idx="1056">
                  <c:v>6.57</c:v>
                </c:pt>
                <c:pt idx="1057">
                  <c:v>6.24</c:v>
                </c:pt>
                <c:pt idx="1058">
                  <c:v>5.91</c:v>
                </c:pt>
                <c:pt idx="1059">
                  <c:v>2.95</c:v>
                </c:pt>
                <c:pt idx="1060">
                  <c:v>0</c:v>
                </c:pt>
                <c:pt idx="1061">
                  <c:v>2.79</c:v>
                </c:pt>
                <c:pt idx="1062">
                  <c:v>5.58</c:v>
                </c:pt>
                <c:pt idx="1063">
                  <c:v>5.09</c:v>
                </c:pt>
                <c:pt idx="1064">
                  <c:v>4.5999999999999996</c:v>
                </c:pt>
                <c:pt idx="1065">
                  <c:v>4.43</c:v>
                </c:pt>
                <c:pt idx="1066">
                  <c:v>4.2699999999999996</c:v>
                </c:pt>
                <c:pt idx="1067">
                  <c:v>5.09</c:v>
                </c:pt>
                <c:pt idx="1068">
                  <c:v>5.91</c:v>
                </c:pt>
                <c:pt idx="1069">
                  <c:v>5.25</c:v>
                </c:pt>
                <c:pt idx="1070">
                  <c:v>4.5999999999999996</c:v>
                </c:pt>
                <c:pt idx="1071">
                  <c:v>4.5999999999999996</c:v>
                </c:pt>
                <c:pt idx="1072">
                  <c:v>4.5999999999999996</c:v>
                </c:pt>
                <c:pt idx="1073">
                  <c:v>4.5999999999999996</c:v>
                </c:pt>
                <c:pt idx="1074">
                  <c:v>4.5999999999999996</c:v>
                </c:pt>
                <c:pt idx="1075">
                  <c:v>44.81</c:v>
                </c:pt>
                <c:pt idx="1076">
                  <c:v>85.02</c:v>
                </c:pt>
                <c:pt idx="1077">
                  <c:v>57.94</c:v>
                </c:pt>
                <c:pt idx="1078">
                  <c:v>30.86</c:v>
                </c:pt>
                <c:pt idx="1079">
                  <c:v>17.23</c:v>
                </c:pt>
                <c:pt idx="1080">
                  <c:v>3.61</c:v>
                </c:pt>
                <c:pt idx="1081">
                  <c:v>2.13</c:v>
                </c:pt>
                <c:pt idx="1082">
                  <c:v>0.66</c:v>
                </c:pt>
                <c:pt idx="1083">
                  <c:v>1.48</c:v>
                </c:pt>
                <c:pt idx="1084">
                  <c:v>2.2999999999999998</c:v>
                </c:pt>
                <c:pt idx="1085">
                  <c:v>1.48</c:v>
                </c:pt>
                <c:pt idx="1086">
                  <c:v>0.66</c:v>
                </c:pt>
                <c:pt idx="1087">
                  <c:v>1.64</c:v>
                </c:pt>
                <c:pt idx="1088">
                  <c:v>2.63</c:v>
                </c:pt>
                <c:pt idx="1089">
                  <c:v>23.47</c:v>
                </c:pt>
                <c:pt idx="1090">
                  <c:v>44.32</c:v>
                </c:pt>
                <c:pt idx="1091">
                  <c:v>23.96</c:v>
                </c:pt>
                <c:pt idx="1092">
                  <c:v>3.61</c:v>
                </c:pt>
                <c:pt idx="1093">
                  <c:v>2.79</c:v>
                </c:pt>
                <c:pt idx="1094">
                  <c:v>1.97</c:v>
                </c:pt>
                <c:pt idx="1095">
                  <c:v>1.81</c:v>
                </c:pt>
                <c:pt idx="1096">
                  <c:v>1.64</c:v>
                </c:pt>
                <c:pt idx="1097">
                  <c:v>0.82</c:v>
                </c:pt>
                <c:pt idx="1098">
                  <c:v>0</c:v>
                </c:pt>
                <c:pt idx="1099">
                  <c:v>1.64</c:v>
                </c:pt>
                <c:pt idx="1100">
                  <c:v>3.28</c:v>
                </c:pt>
                <c:pt idx="1101">
                  <c:v>3.78</c:v>
                </c:pt>
                <c:pt idx="1102">
                  <c:v>4.2699999999999996</c:v>
                </c:pt>
                <c:pt idx="1103">
                  <c:v>2.13</c:v>
                </c:pt>
                <c:pt idx="1104">
                  <c:v>0</c:v>
                </c:pt>
                <c:pt idx="1105">
                  <c:v>10.18</c:v>
                </c:pt>
                <c:pt idx="1106">
                  <c:v>20.350000000000001</c:v>
                </c:pt>
                <c:pt idx="1107">
                  <c:v>10.18</c:v>
                </c:pt>
                <c:pt idx="1108">
                  <c:v>0</c:v>
                </c:pt>
                <c:pt idx="1109">
                  <c:v>0.16</c:v>
                </c:pt>
                <c:pt idx="1110">
                  <c:v>0.33</c:v>
                </c:pt>
                <c:pt idx="1111">
                  <c:v>27.9</c:v>
                </c:pt>
                <c:pt idx="1112">
                  <c:v>55.48</c:v>
                </c:pt>
                <c:pt idx="1113">
                  <c:v>28.72</c:v>
                </c:pt>
                <c:pt idx="1114">
                  <c:v>1.97</c:v>
                </c:pt>
                <c:pt idx="1115">
                  <c:v>2.2999999999999998</c:v>
                </c:pt>
                <c:pt idx="1116">
                  <c:v>2.63</c:v>
                </c:pt>
                <c:pt idx="1117">
                  <c:v>1.64</c:v>
                </c:pt>
                <c:pt idx="1118">
                  <c:v>0.66</c:v>
                </c:pt>
                <c:pt idx="1119">
                  <c:v>1.31</c:v>
                </c:pt>
                <c:pt idx="1120">
                  <c:v>1.97</c:v>
                </c:pt>
                <c:pt idx="1121">
                  <c:v>15.43</c:v>
                </c:pt>
                <c:pt idx="1122">
                  <c:v>28.89</c:v>
                </c:pt>
                <c:pt idx="1123">
                  <c:v>14.44</c:v>
                </c:pt>
                <c:pt idx="1124">
                  <c:v>0</c:v>
                </c:pt>
                <c:pt idx="1125">
                  <c:v>0</c:v>
                </c:pt>
                <c:pt idx="1126">
                  <c:v>0</c:v>
                </c:pt>
                <c:pt idx="1127">
                  <c:v>0</c:v>
                </c:pt>
                <c:pt idx="1128">
                  <c:v>0</c:v>
                </c:pt>
                <c:pt idx="1129">
                  <c:v>1.81</c:v>
                </c:pt>
                <c:pt idx="1130">
                  <c:v>3.61</c:v>
                </c:pt>
                <c:pt idx="1131">
                  <c:v>1.81</c:v>
                </c:pt>
                <c:pt idx="1132">
                  <c:v>0</c:v>
                </c:pt>
                <c:pt idx="1133">
                  <c:v>0</c:v>
                </c:pt>
                <c:pt idx="1134">
                  <c:v>0</c:v>
                </c:pt>
                <c:pt idx="1135">
                  <c:v>0</c:v>
                </c:pt>
                <c:pt idx="1136">
                  <c:v>0</c:v>
                </c:pt>
                <c:pt idx="1137">
                  <c:v>4.2699999999999996</c:v>
                </c:pt>
                <c:pt idx="1138">
                  <c:v>8.5399999999999991</c:v>
                </c:pt>
                <c:pt idx="1139">
                  <c:v>4.2699999999999996</c:v>
                </c:pt>
                <c:pt idx="1140">
                  <c:v>0</c:v>
                </c:pt>
                <c:pt idx="1141">
                  <c:v>35.950000000000003</c:v>
                </c:pt>
                <c:pt idx="1142">
                  <c:v>71.89</c:v>
                </c:pt>
                <c:pt idx="1143">
                  <c:v>35.950000000000003</c:v>
                </c:pt>
                <c:pt idx="1144">
                  <c:v>0</c:v>
                </c:pt>
                <c:pt idx="1145">
                  <c:v>0.33</c:v>
                </c:pt>
                <c:pt idx="1146">
                  <c:v>0.66</c:v>
                </c:pt>
                <c:pt idx="1147">
                  <c:v>0.33</c:v>
                </c:pt>
                <c:pt idx="1148">
                  <c:v>0</c:v>
                </c:pt>
                <c:pt idx="1149">
                  <c:v>1.97</c:v>
                </c:pt>
                <c:pt idx="1150">
                  <c:v>3.94</c:v>
                </c:pt>
                <c:pt idx="1151">
                  <c:v>4.76</c:v>
                </c:pt>
                <c:pt idx="1152">
                  <c:v>5.58</c:v>
                </c:pt>
                <c:pt idx="1153">
                  <c:v>3.12</c:v>
                </c:pt>
                <c:pt idx="1154">
                  <c:v>0.66</c:v>
                </c:pt>
                <c:pt idx="1155">
                  <c:v>1.81</c:v>
                </c:pt>
                <c:pt idx="1156">
                  <c:v>2.95</c:v>
                </c:pt>
                <c:pt idx="1157">
                  <c:v>3.94</c:v>
                </c:pt>
                <c:pt idx="1158">
                  <c:v>4.92</c:v>
                </c:pt>
                <c:pt idx="1159">
                  <c:v>2.46</c:v>
                </c:pt>
                <c:pt idx="1160">
                  <c:v>0</c:v>
                </c:pt>
                <c:pt idx="1161">
                  <c:v>0.33</c:v>
                </c:pt>
                <c:pt idx="1162">
                  <c:v>0.66</c:v>
                </c:pt>
                <c:pt idx="1163">
                  <c:v>0.49</c:v>
                </c:pt>
                <c:pt idx="1164">
                  <c:v>0.33</c:v>
                </c:pt>
                <c:pt idx="1165">
                  <c:v>0.16</c:v>
                </c:pt>
                <c:pt idx="1166">
                  <c:v>0</c:v>
                </c:pt>
                <c:pt idx="1167">
                  <c:v>2.46</c:v>
                </c:pt>
                <c:pt idx="1168">
                  <c:v>4.92</c:v>
                </c:pt>
                <c:pt idx="1169">
                  <c:v>2.95</c:v>
                </c:pt>
                <c:pt idx="1170">
                  <c:v>0.98</c:v>
                </c:pt>
                <c:pt idx="1171">
                  <c:v>10.01</c:v>
                </c:pt>
                <c:pt idx="1172">
                  <c:v>19.04</c:v>
                </c:pt>
                <c:pt idx="1173">
                  <c:v>10.5</c:v>
                </c:pt>
                <c:pt idx="1174">
                  <c:v>1.97</c:v>
                </c:pt>
                <c:pt idx="1175">
                  <c:v>1.48</c:v>
                </c:pt>
                <c:pt idx="1176">
                  <c:v>0.98</c:v>
                </c:pt>
                <c:pt idx="1177">
                  <c:v>0.49</c:v>
                </c:pt>
                <c:pt idx="1178">
                  <c:v>0</c:v>
                </c:pt>
                <c:pt idx="1179">
                  <c:v>0.82</c:v>
                </c:pt>
                <c:pt idx="1180">
                  <c:v>1.64</c:v>
                </c:pt>
                <c:pt idx="1181">
                  <c:v>0.98</c:v>
                </c:pt>
                <c:pt idx="1182">
                  <c:v>0.33</c:v>
                </c:pt>
                <c:pt idx="1183">
                  <c:v>0.16</c:v>
                </c:pt>
                <c:pt idx="1184">
                  <c:v>0</c:v>
                </c:pt>
                <c:pt idx="1185">
                  <c:v>15.76</c:v>
                </c:pt>
                <c:pt idx="1186">
                  <c:v>31.51</c:v>
                </c:pt>
                <c:pt idx="1187">
                  <c:v>15.92</c:v>
                </c:pt>
                <c:pt idx="1188">
                  <c:v>0.33</c:v>
                </c:pt>
                <c:pt idx="1189">
                  <c:v>0.33</c:v>
                </c:pt>
                <c:pt idx="1190">
                  <c:v>0.33</c:v>
                </c:pt>
                <c:pt idx="1191">
                  <c:v>12.15</c:v>
                </c:pt>
                <c:pt idx="1192">
                  <c:v>23.96</c:v>
                </c:pt>
                <c:pt idx="1193">
                  <c:v>12.47</c:v>
                </c:pt>
                <c:pt idx="1194">
                  <c:v>0.98</c:v>
                </c:pt>
                <c:pt idx="1195">
                  <c:v>1.81</c:v>
                </c:pt>
                <c:pt idx="1196">
                  <c:v>2.63</c:v>
                </c:pt>
                <c:pt idx="1197">
                  <c:v>1.31</c:v>
                </c:pt>
                <c:pt idx="1198">
                  <c:v>0</c:v>
                </c:pt>
                <c:pt idx="1199">
                  <c:v>0</c:v>
                </c:pt>
                <c:pt idx="1200">
                  <c:v>0</c:v>
                </c:pt>
                <c:pt idx="1201">
                  <c:v>0.49</c:v>
                </c:pt>
                <c:pt idx="1202">
                  <c:v>0.98</c:v>
                </c:pt>
                <c:pt idx="1203">
                  <c:v>0.49</c:v>
                </c:pt>
                <c:pt idx="1204">
                  <c:v>0</c:v>
                </c:pt>
                <c:pt idx="1205">
                  <c:v>37.92</c:v>
                </c:pt>
                <c:pt idx="1206">
                  <c:v>75.83</c:v>
                </c:pt>
                <c:pt idx="1207">
                  <c:v>37.92</c:v>
                </c:pt>
                <c:pt idx="1208">
                  <c:v>0</c:v>
                </c:pt>
                <c:pt idx="1209">
                  <c:v>0.33</c:v>
                </c:pt>
                <c:pt idx="1210">
                  <c:v>0.66</c:v>
                </c:pt>
                <c:pt idx="1211">
                  <c:v>0.82</c:v>
                </c:pt>
                <c:pt idx="1212">
                  <c:v>0.98</c:v>
                </c:pt>
                <c:pt idx="1213">
                  <c:v>0.49</c:v>
                </c:pt>
                <c:pt idx="1214">
                  <c:v>0</c:v>
                </c:pt>
                <c:pt idx="1215">
                  <c:v>0.49</c:v>
                </c:pt>
                <c:pt idx="1216">
                  <c:v>0.98</c:v>
                </c:pt>
                <c:pt idx="1217">
                  <c:v>1.97</c:v>
                </c:pt>
                <c:pt idx="1218">
                  <c:v>2.95</c:v>
                </c:pt>
                <c:pt idx="1219">
                  <c:v>4.5999999999999996</c:v>
                </c:pt>
                <c:pt idx="1220">
                  <c:v>6.24</c:v>
                </c:pt>
                <c:pt idx="1221">
                  <c:v>3.78</c:v>
                </c:pt>
                <c:pt idx="1222">
                  <c:v>1.31</c:v>
                </c:pt>
                <c:pt idx="1223">
                  <c:v>1.81</c:v>
                </c:pt>
                <c:pt idx="1224">
                  <c:v>2.2999999999999998</c:v>
                </c:pt>
                <c:pt idx="1225">
                  <c:v>1.1499999999999999</c:v>
                </c:pt>
                <c:pt idx="1226">
                  <c:v>0</c:v>
                </c:pt>
                <c:pt idx="1227">
                  <c:v>0</c:v>
                </c:pt>
                <c:pt idx="1228">
                  <c:v>0</c:v>
                </c:pt>
                <c:pt idx="1229">
                  <c:v>0.98</c:v>
                </c:pt>
                <c:pt idx="1230">
                  <c:v>1.97</c:v>
                </c:pt>
                <c:pt idx="1231">
                  <c:v>2.2999999999999998</c:v>
                </c:pt>
                <c:pt idx="1232">
                  <c:v>2.63</c:v>
                </c:pt>
                <c:pt idx="1233">
                  <c:v>2.95</c:v>
                </c:pt>
                <c:pt idx="1234">
                  <c:v>3.28</c:v>
                </c:pt>
                <c:pt idx="1235">
                  <c:v>1.64</c:v>
                </c:pt>
                <c:pt idx="1236">
                  <c:v>0</c:v>
                </c:pt>
                <c:pt idx="1237">
                  <c:v>0</c:v>
                </c:pt>
                <c:pt idx="1238">
                  <c:v>0</c:v>
                </c:pt>
                <c:pt idx="1239">
                  <c:v>0.33</c:v>
                </c:pt>
                <c:pt idx="1240">
                  <c:v>0.66</c:v>
                </c:pt>
                <c:pt idx="1241">
                  <c:v>0.49</c:v>
                </c:pt>
                <c:pt idx="1242">
                  <c:v>0.33</c:v>
                </c:pt>
                <c:pt idx="1243">
                  <c:v>1.31</c:v>
                </c:pt>
                <c:pt idx="1244">
                  <c:v>2.2999999999999998</c:v>
                </c:pt>
                <c:pt idx="1245">
                  <c:v>2.13</c:v>
                </c:pt>
                <c:pt idx="1246">
                  <c:v>1.97</c:v>
                </c:pt>
                <c:pt idx="1247">
                  <c:v>1.1499999999999999</c:v>
                </c:pt>
                <c:pt idx="1248">
                  <c:v>0.33</c:v>
                </c:pt>
                <c:pt idx="1249">
                  <c:v>1.97</c:v>
                </c:pt>
                <c:pt idx="1250">
                  <c:v>3.61</c:v>
                </c:pt>
                <c:pt idx="1251">
                  <c:v>2.95</c:v>
                </c:pt>
                <c:pt idx="1252">
                  <c:v>2.2999999999999998</c:v>
                </c:pt>
                <c:pt idx="1253">
                  <c:v>1.1499999999999999</c:v>
                </c:pt>
                <c:pt idx="1254">
                  <c:v>0</c:v>
                </c:pt>
                <c:pt idx="1255">
                  <c:v>1.48</c:v>
                </c:pt>
                <c:pt idx="1256">
                  <c:v>2.95</c:v>
                </c:pt>
                <c:pt idx="1257">
                  <c:v>2.79</c:v>
                </c:pt>
                <c:pt idx="1258">
                  <c:v>2.63</c:v>
                </c:pt>
                <c:pt idx="1259">
                  <c:v>1.31</c:v>
                </c:pt>
                <c:pt idx="1260">
                  <c:v>0</c:v>
                </c:pt>
                <c:pt idx="1261">
                  <c:v>29.71</c:v>
                </c:pt>
                <c:pt idx="1262">
                  <c:v>59.42</c:v>
                </c:pt>
                <c:pt idx="1263">
                  <c:v>30.53</c:v>
                </c:pt>
                <c:pt idx="1264">
                  <c:v>1.64</c:v>
                </c:pt>
                <c:pt idx="1265">
                  <c:v>3.28</c:v>
                </c:pt>
                <c:pt idx="1266">
                  <c:v>4.92</c:v>
                </c:pt>
                <c:pt idx="1267">
                  <c:v>3.94</c:v>
                </c:pt>
                <c:pt idx="1268">
                  <c:v>2.95</c:v>
                </c:pt>
                <c:pt idx="1269">
                  <c:v>1.81</c:v>
                </c:pt>
                <c:pt idx="1270">
                  <c:v>0.66</c:v>
                </c:pt>
                <c:pt idx="1271">
                  <c:v>0.82</c:v>
                </c:pt>
                <c:pt idx="1272">
                  <c:v>0.98</c:v>
                </c:pt>
                <c:pt idx="1273">
                  <c:v>1.64</c:v>
                </c:pt>
                <c:pt idx="1274">
                  <c:v>2.2999999999999998</c:v>
                </c:pt>
                <c:pt idx="1275">
                  <c:v>34.299999999999997</c:v>
                </c:pt>
                <c:pt idx="1276">
                  <c:v>66.31</c:v>
                </c:pt>
                <c:pt idx="1277">
                  <c:v>33.159999999999997</c:v>
                </c:pt>
                <c:pt idx="1278">
                  <c:v>0</c:v>
                </c:pt>
                <c:pt idx="1279">
                  <c:v>0</c:v>
                </c:pt>
                <c:pt idx="1280">
                  <c:v>0</c:v>
                </c:pt>
                <c:pt idx="1281">
                  <c:v>0</c:v>
                </c:pt>
                <c:pt idx="1282">
                  <c:v>0</c:v>
                </c:pt>
                <c:pt idx="1283">
                  <c:v>0.82</c:v>
                </c:pt>
                <c:pt idx="1284">
                  <c:v>1.64</c:v>
                </c:pt>
                <c:pt idx="1285">
                  <c:v>0.82</c:v>
                </c:pt>
                <c:pt idx="1286">
                  <c:v>0</c:v>
                </c:pt>
                <c:pt idx="1287">
                  <c:v>0.33</c:v>
                </c:pt>
                <c:pt idx="1288">
                  <c:v>0.66</c:v>
                </c:pt>
                <c:pt idx="1289">
                  <c:v>1.48</c:v>
                </c:pt>
                <c:pt idx="1290">
                  <c:v>2.2999999999999998</c:v>
                </c:pt>
                <c:pt idx="1291">
                  <c:v>1.1499999999999999</c:v>
                </c:pt>
                <c:pt idx="1292">
                  <c:v>0</c:v>
                </c:pt>
                <c:pt idx="1293">
                  <c:v>27.74</c:v>
                </c:pt>
                <c:pt idx="1294">
                  <c:v>55.48</c:v>
                </c:pt>
                <c:pt idx="1295">
                  <c:v>28.07</c:v>
                </c:pt>
                <c:pt idx="1296">
                  <c:v>0.66</c:v>
                </c:pt>
                <c:pt idx="1297">
                  <c:v>0.33</c:v>
                </c:pt>
                <c:pt idx="1298">
                  <c:v>0</c:v>
                </c:pt>
                <c:pt idx="1299">
                  <c:v>1.81</c:v>
                </c:pt>
                <c:pt idx="1300">
                  <c:v>3.61</c:v>
                </c:pt>
                <c:pt idx="1301">
                  <c:v>4.2699999999999996</c:v>
                </c:pt>
                <c:pt idx="1302">
                  <c:v>4.92</c:v>
                </c:pt>
                <c:pt idx="1303">
                  <c:v>2.79</c:v>
                </c:pt>
                <c:pt idx="1304">
                  <c:v>0.66</c:v>
                </c:pt>
                <c:pt idx="1305">
                  <c:v>0.33</c:v>
                </c:pt>
                <c:pt idx="1306">
                  <c:v>0</c:v>
                </c:pt>
                <c:pt idx="1307">
                  <c:v>0.98</c:v>
                </c:pt>
                <c:pt idx="1308">
                  <c:v>1.97</c:v>
                </c:pt>
                <c:pt idx="1309">
                  <c:v>1.1499999999999999</c:v>
                </c:pt>
                <c:pt idx="1310">
                  <c:v>0.33</c:v>
                </c:pt>
                <c:pt idx="1311">
                  <c:v>0.16</c:v>
                </c:pt>
                <c:pt idx="1312">
                  <c:v>0</c:v>
                </c:pt>
                <c:pt idx="1313">
                  <c:v>0.33</c:v>
                </c:pt>
                <c:pt idx="1314">
                  <c:v>0.66</c:v>
                </c:pt>
                <c:pt idx="1315">
                  <c:v>0.82</c:v>
                </c:pt>
                <c:pt idx="1316">
                  <c:v>0.98</c:v>
                </c:pt>
                <c:pt idx="1317">
                  <c:v>0.49</c:v>
                </c:pt>
                <c:pt idx="1318">
                  <c:v>0</c:v>
                </c:pt>
                <c:pt idx="1319">
                  <c:v>0</c:v>
                </c:pt>
                <c:pt idx="1320">
                  <c:v>0</c:v>
                </c:pt>
                <c:pt idx="1321">
                  <c:v>0</c:v>
                </c:pt>
                <c:pt idx="1322">
                  <c:v>0</c:v>
                </c:pt>
                <c:pt idx="1323">
                  <c:v>0</c:v>
                </c:pt>
                <c:pt idx="1324">
                  <c:v>0</c:v>
                </c:pt>
                <c:pt idx="1325">
                  <c:v>0</c:v>
                </c:pt>
                <c:pt idx="1326">
                  <c:v>0</c:v>
                </c:pt>
                <c:pt idx="1327">
                  <c:v>0.66</c:v>
                </c:pt>
                <c:pt idx="1328">
                  <c:v>1.31</c:v>
                </c:pt>
                <c:pt idx="1329">
                  <c:v>1.31</c:v>
                </c:pt>
                <c:pt idx="1330">
                  <c:v>1.31</c:v>
                </c:pt>
                <c:pt idx="1331">
                  <c:v>1.64</c:v>
                </c:pt>
                <c:pt idx="1332">
                  <c:v>1.97</c:v>
                </c:pt>
                <c:pt idx="1333">
                  <c:v>1.81</c:v>
                </c:pt>
                <c:pt idx="1334">
                  <c:v>1.64</c:v>
                </c:pt>
                <c:pt idx="1335">
                  <c:v>1.1499999999999999</c:v>
                </c:pt>
                <c:pt idx="1336">
                  <c:v>0.66</c:v>
                </c:pt>
                <c:pt idx="1337">
                  <c:v>0.66</c:v>
                </c:pt>
                <c:pt idx="1338">
                  <c:v>0.66</c:v>
                </c:pt>
                <c:pt idx="1339">
                  <c:v>0.82</c:v>
                </c:pt>
                <c:pt idx="1340">
                  <c:v>0.98</c:v>
                </c:pt>
                <c:pt idx="1341">
                  <c:v>1.64</c:v>
                </c:pt>
                <c:pt idx="1342">
                  <c:v>2.2999999999999998</c:v>
                </c:pt>
                <c:pt idx="1343">
                  <c:v>1.1499999999999999</c:v>
                </c:pt>
                <c:pt idx="1344">
                  <c:v>0</c:v>
                </c:pt>
                <c:pt idx="1345">
                  <c:v>0.49</c:v>
                </c:pt>
                <c:pt idx="1346">
                  <c:v>0.98</c:v>
                </c:pt>
                <c:pt idx="1347">
                  <c:v>0.98</c:v>
                </c:pt>
                <c:pt idx="1348">
                  <c:v>0.98</c:v>
                </c:pt>
                <c:pt idx="1349">
                  <c:v>1.31</c:v>
                </c:pt>
                <c:pt idx="1350">
                  <c:v>1.64</c:v>
                </c:pt>
                <c:pt idx="1351">
                  <c:v>1.31</c:v>
                </c:pt>
                <c:pt idx="1352">
                  <c:v>0.98</c:v>
                </c:pt>
                <c:pt idx="1353">
                  <c:v>0.49</c:v>
                </c:pt>
                <c:pt idx="1354">
                  <c:v>0</c:v>
                </c:pt>
                <c:pt idx="1355">
                  <c:v>0.66</c:v>
                </c:pt>
                <c:pt idx="1356">
                  <c:v>1.31</c:v>
                </c:pt>
                <c:pt idx="1357">
                  <c:v>2.13</c:v>
                </c:pt>
                <c:pt idx="1358">
                  <c:v>2.95</c:v>
                </c:pt>
                <c:pt idx="1359">
                  <c:v>1.48</c:v>
                </c:pt>
                <c:pt idx="1360">
                  <c:v>0</c:v>
                </c:pt>
                <c:pt idx="1361">
                  <c:v>0.66</c:v>
                </c:pt>
                <c:pt idx="1362">
                  <c:v>1.31</c:v>
                </c:pt>
                <c:pt idx="1363">
                  <c:v>0.82</c:v>
                </c:pt>
                <c:pt idx="1364">
                  <c:v>0.33</c:v>
                </c:pt>
                <c:pt idx="1365">
                  <c:v>3.45</c:v>
                </c:pt>
                <c:pt idx="1366">
                  <c:v>6.57</c:v>
                </c:pt>
                <c:pt idx="1367">
                  <c:v>4.92</c:v>
                </c:pt>
                <c:pt idx="1368">
                  <c:v>3.28</c:v>
                </c:pt>
                <c:pt idx="1369">
                  <c:v>1.64</c:v>
                </c:pt>
                <c:pt idx="1370">
                  <c:v>0</c:v>
                </c:pt>
                <c:pt idx="1371">
                  <c:v>0.49</c:v>
                </c:pt>
                <c:pt idx="1372">
                  <c:v>0.98</c:v>
                </c:pt>
                <c:pt idx="1373">
                  <c:v>0.82</c:v>
                </c:pt>
                <c:pt idx="1374">
                  <c:v>0.66</c:v>
                </c:pt>
                <c:pt idx="1375">
                  <c:v>0.33</c:v>
                </c:pt>
                <c:pt idx="1376">
                  <c:v>0</c:v>
                </c:pt>
                <c:pt idx="1377">
                  <c:v>1.1499999999999999</c:v>
                </c:pt>
                <c:pt idx="1378">
                  <c:v>2.2999999999999998</c:v>
                </c:pt>
                <c:pt idx="1379">
                  <c:v>1.97</c:v>
                </c:pt>
                <c:pt idx="1380">
                  <c:v>1.64</c:v>
                </c:pt>
                <c:pt idx="1381">
                  <c:v>0.82</c:v>
                </c:pt>
                <c:pt idx="1382">
                  <c:v>0</c:v>
                </c:pt>
                <c:pt idx="1383">
                  <c:v>0.66</c:v>
                </c:pt>
                <c:pt idx="1384">
                  <c:v>1.31</c:v>
                </c:pt>
                <c:pt idx="1385">
                  <c:v>0.66</c:v>
                </c:pt>
                <c:pt idx="1386">
                  <c:v>0</c:v>
                </c:pt>
                <c:pt idx="1387">
                  <c:v>1.81</c:v>
                </c:pt>
                <c:pt idx="1388">
                  <c:v>3.61</c:v>
                </c:pt>
                <c:pt idx="1389">
                  <c:v>2.13</c:v>
                </c:pt>
                <c:pt idx="1390">
                  <c:v>0.66</c:v>
                </c:pt>
                <c:pt idx="1391">
                  <c:v>0.49</c:v>
                </c:pt>
                <c:pt idx="1392">
                  <c:v>0.33</c:v>
                </c:pt>
                <c:pt idx="1393">
                  <c:v>0.33</c:v>
                </c:pt>
                <c:pt idx="1394">
                  <c:v>0.33</c:v>
                </c:pt>
                <c:pt idx="1395">
                  <c:v>0.66</c:v>
                </c:pt>
                <c:pt idx="1396">
                  <c:v>0.98</c:v>
                </c:pt>
                <c:pt idx="1397">
                  <c:v>0.82</c:v>
                </c:pt>
                <c:pt idx="1398">
                  <c:v>0.66</c:v>
                </c:pt>
                <c:pt idx="1399">
                  <c:v>0.49</c:v>
                </c:pt>
                <c:pt idx="1400">
                  <c:v>0.33</c:v>
                </c:pt>
                <c:pt idx="1401">
                  <c:v>0.16</c:v>
                </c:pt>
                <c:pt idx="1402">
                  <c:v>0</c:v>
                </c:pt>
                <c:pt idx="1403">
                  <c:v>0</c:v>
                </c:pt>
                <c:pt idx="1404">
                  <c:v>0</c:v>
                </c:pt>
                <c:pt idx="1405">
                  <c:v>1.1499999999999999</c:v>
                </c:pt>
                <c:pt idx="1406">
                  <c:v>2.2999999999999998</c:v>
                </c:pt>
                <c:pt idx="1407">
                  <c:v>1.48</c:v>
                </c:pt>
                <c:pt idx="1408">
                  <c:v>0.66</c:v>
                </c:pt>
                <c:pt idx="1409">
                  <c:v>0.33</c:v>
                </c:pt>
                <c:pt idx="1410">
                  <c:v>0</c:v>
                </c:pt>
                <c:pt idx="1411">
                  <c:v>1.31</c:v>
                </c:pt>
                <c:pt idx="1412">
                  <c:v>2.63</c:v>
                </c:pt>
                <c:pt idx="1413">
                  <c:v>1.31</c:v>
                </c:pt>
                <c:pt idx="1414">
                  <c:v>0</c:v>
                </c:pt>
                <c:pt idx="1415">
                  <c:v>0.82</c:v>
                </c:pt>
                <c:pt idx="1416">
                  <c:v>1.64</c:v>
                </c:pt>
                <c:pt idx="1417">
                  <c:v>0.82</c:v>
                </c:pt>
                <c:pt idx="1418">
                  <c:v>0</c:v>
                </c:pt>
                <c:pt idx="1419">
                  <c:v>1.81</c:v>
                </c:pt>
                <c:pt idx="1420">
                  <c:v>3.61</c:v>
                </c:pt>
                <c:pt idx="1421">
                  <c:v>1.81</c:v>
                </c:pt>
                <c:pt idx="1422">
                  <c:v>0</c:v>
                </c:pt>
                <c:pt idx="1423">
                  <c:v>0</c:v>
                </c:pt>
                <c:pt idx="1424">
                  <c:v>0</c:v>
                </c:pt>
                <c:pt idx="1425">
                  <c:v>0</c:v>
                </c:pt>
                <c:pt idx="1426">
                  <c:v>0</c:v>
                </c:pt>
                <c:pt idx="1427">
                  <c:v>0</c:v>
                </c:pt>
                <c:pt idx="1428">
                  <c:v>0</c:v>
                </c:pt>
                <c:pt idx="1429">
                  <c:v>1.48</c:v>
                </c:pt>
                <c:pt idx="1430">
                  <c:v>2.95</c:v>
                </c:pt>
                <c:pt idx="1431">
                  <c:v>2.13</c:v>
                </c:pt>
                <c:pt idx="1432">
                  <c:v>1.31</c:v>
                </c:pt>
                <c:pt idx="1433">
                  <c:v>2.13</c:v>
                </c:pt>
                <c:pt idx="1434">
                  <c:v>2.95</c:v>
                </c:pt>
                <c:pt idx="1435">
                  <c:v>2.46</c:v>
                </c:pt>
                <c:pt idx="1436">
                  <c:v>1.97</c:v>
                </c:pt>
                <c:pt idx="1437">
                  <c:v>2.95</c:v>
                </c:pt>
                <c:pt idx="1438">
                  <c:v>3.94</c:v>
                </c:pt>
                <c:pt idx="1439">
                  <c:v>3.12</c:v>
                </c:pt>
              </c:numCache>
            </c:numRef>
          </c:yVal>
          <c:smooth val="1"/>
          <c:extLst>
            <c:ext xmlns:c16="http://schemas.microsoft.com/office/drawing/2014/chart" uri="{C3380CC4-5D6E-409C-BE32-E72D297353CC}">
              <c16:uniqueId val="{00000000-9590-43F9-8413-D2CA92CA4B80}"/>
            </c:ext>
          </c:extLst>
        </c:ser>
        <c:ser>
          <c:idx val="1"/>
          <c:order val="1"/>
          <c:tx>
            <c:strRef>
              <c:f>Sheet1!$C$1</c:f>
              <c:strCache>
                <c:ptCount val="1"/>
                <c:pt idx="0">
                  <c:v>Diffuse irradiance (W/m^2)</c:v>
                </c:pt>
              </c:strCache>
            </c:strRef>
          </c:tx>
          <c:spPr>
            <a:ln w="12700" cap="rnd">
              <a:solidFill>
                <a:srgbClr val="0070C0"/>
              </a:solidFill>
              <a:round/>
            </a:ln>
            <a:effectLst/>
          </c:spPr>
          <c:marker>
            <c:symbol val="none"/>
          </c:marker>
          <c:xVal>
            <c:numRef>
              <c:f>Sheet1!$A$2:$A$1441</c:f>
              <c:numCache>
                <c:formatCode>h:mm</c:formatCode>
                <c:ptCount val="1440"/>
                <c:pt idx="0">
                  <c:v>41883</c:v>
                </c:pt>
                <c:pt idx="1">
                  <c:v>41883.000694444447</c:v>
                </c:pt>
                <c:pt idx="2">
                  <c:v>41883.001388888886</c:v>
                </c:pt>
                <c:pt idx="3">
                  <c:v>41883.002083333333</c:v>
                </c:pt>
                <c:pt idx="4">
                  <c:v>41883.00277777778</c:v>
                </c:pt>
                <c:pt idx="5">
                  <c:v>41883.003472222219</c:v>
                </c:pt>
                <c:pt idx="6">
                  <c:v>41883.004166666666</c:v>
                </c:pt>
                <c:pt idx="7">
                  <c:v>41883.004861111112</c:v>
                </c:pt>
                <c:pt idx="8">
                  <c:v>41883.005555555559</c:v>
                </c:pt>
                <c:pt idx="9">
                  <c:v>41883.006249999999</c:v>
                </c:pt>
                <c:pt idx="10">
                  <c:v>41883.006944444445</c:v>
                </c:pt>
                <c:pt idx="11">
                  <c:v>41883.007638888892</c:v>
                </c:pt>
                <c:pt idx="12">
                  <c:v>41883.008333333331</c:v>
                </c:pt>
                <c:pt idx="13">
                  <c:v>41883.009027777778</c:v>
                </c:pt>
                <c:pt idx="14">
                  <c:v>41883.009722222225</c:v>
                </c:pt>
                <c:pt idx="15">
                  <c:v>41883.010416666664</c:v>
                </c:pt>
                <c:pt idx="16">
                  <c:v>41883.011111111111</c:v>
                </c:pt>
                <c:pt idx="17">
                  <c:v>41883.011805555558</c:v>
                </c:pt>
                <c:pt idx="18">
                  <c:v>41883.012499999997</c:v>
                </c:pt>
                <c:pt idx="19">
                  <c:v>41883.013194444444</c:v>
                </c:pt>
                <c:pt idx="20">
                  <c:v>41883.013888888891</c:v>
                </c:pt>
                <c:pt idx="21">
                  <c:v>41883.01458333333</c:v>
                </c:pt>
                <c:pt idx="22">
                  <c:v>41883.015277777777</c:v>
                </c:pt>
                <c:pt idx="23">
                  <c:v>41883.015972222223</c:v>
                </c:pt>
                <c:pt idx="24">
                  <c:v>41883.01666666667</c:v>
                </c:pt>
                <c:pt idx="25">
                  <c:v>41883.017361111109</c:v>
                </c:pt>
                <c:pt idx="26">
                  <c:v>41883.018055555556</c:v>
                </c:pt>
                <c:pt idx="27">
                  <c:v>41883.018750000003</c:v>
                </c:pt>
                <c:pt idx="28">
                  <c:v>41883.019444444442</c:v>
                </c:pt>
                <c:pt idx="29">
                  <c:v>41883.020138888889</c:v>
                </c:pt>
                <c:pt idx="30">
                  <c:v>41883.020833333336</c:v>
                </c:pt>
                <c:pt idx="31">
                  <c:v>41883.021527777775</c:v>
                </c:pt>
                <c:pt idx="32">
                  <c:v>41883.022222222222</c:v>
                </c:pt>
                <c:pt idx="33">
                  <c:v>41883.022916666669</c:v>
                </c:pt>
                <c:pt idx="34">
                  <c:v>41883.023611111108</c:v>
                </c:pt>
                <c:pt idx="35">
                  <c:v>41883.024305555555</c:v>
                </c:pt>
                <c:pt idx="36">
                  <c:v>41883.025000000001</c:v>
                </c:pt>
                <c:pt idx="37">
                  <c:v>41883.025694444441</c:v>
                </c:pt>
                <c:pt idx="38">
                  <c:v>41883.026388888888</c:v>
                </c:pt>
                <c:pt idx="39">
                  <c:v>41883.027083333334</c:v>
                </c:pt>
                <c:pt idx="40">
                  <c:v>41883.027777777781</c:v>
                </c:pt>
                <c:pt idx="41">
                  <c:v>41883.02847222222</c:v>
                </c:pt>
                <c:pt idx="42">
                  <c:v>41883.029166666667</c:v>
                </c:pt>
                <c:pt idx="43">
                  <c:v>41883.029861111114</c:v>
                </c:pt>
                <c:pt idx="44">
                  <c:v>41883.030555555553</c:v>
                </c:pt>
                <c:pt idx="45">
                  <c:v>41883.03125</c:v>
                </c:pt>
                <c:pt idx="46">
                  <c:v>41883.031944444447</c:v>
                </c:pt>
                <c:pt idx="47">
                  <c:v>41883.032638888886</c:v>
                </c:pt>
                <c:pt idx="48">
                  <c:v>41883.033333333333</c:v>
                </c:pt>
                <c:pt idx="49">
                  <c:v>41883.03402777778</c:v>
                </c:pt>
                <c:pt idx="50">
                  <c:v>41883.034722222219</c:v>
                </c:pt>
                <c:pt idx="51">
                  <c:v>41883.035416666666</c:v>
                </c:pt>
                <c:pt idx="52">
                  <c:v>41883.036111111112</c:v>
                </c:pt>
                <c:pt idx="53">
                  <c:v>41883.036805555559</c:v>
                </c:pt>
                <c:pt idx="54">
                  <c:v>41883.037499999999</c:v>
                </c:pt>
                <c:pt idx="55">
                  <c:v>41883.038194444445</c:v>
                </c:pt>
                <c:pt idx="56">
                  <c:v>41883.038888888892</c:v>
                </c:pt>
                <c:pt idx="57">
                  <c:v>41883.039583333331</c:v>
                </c:pt>
                <c:pt idx="58">
                  <c:v>41883.040277777778</c:v>
                </c:pt>
                <c:pt idx="59">
                  <c:v>41883.040972222225</c:v>
                </c:pt>
                <c:pt idx="60">
                  <c:v>41883.041666666664</c:v>
                </c:pt>
                <c:pt idx="61">
                  <c:v>41883.042361111111</c:v>
                </c:pt>
                <c:pt idx="62">
                  <c:v>41883.043055555558</c:v>
                </c:pt>
                <c:pt idx="63">
                  <c:v>41883.043749999997</c:v>
                </c:pt>
                <c:pt idx="64">
                  <c:v>41883.044444444444</c:v>
                </c:pt>
                <c:pt idx="65">
                  <c:v>41883.045138888891</c:v>
                </c:pt>
                <c:pt idx="66">
                  <c:v>41883.04583333333</c:v>
                </c:pt>
                <c:pt idx="67">
                  <c:v>41883.046527777777</c:v>
                </c:pt>
                <c:pt idx="68">
                  <c:v>41883.047222222223</c:v>
                </c:pt>
                <c:pt idx="69">
                  <c:v>41883.04791666667</c:v>
                </c:pt>
                <c:pt idx="70">
                  <c:v>41883.048611111109</c:v>
                </c:pt>
                <c:pt idx="71">
                  <c:v>41883.049305555556</c:v>
                </c:pt>
                <c:pt idx="72">
                  <c:v>41883.050000000003</c:v>
                </c:pt>
                <c:pt idx="73">
                  <c:v>41883.050694444442</c:v>
                </c:pt>
                <c:pt idx="74">
                  <c:v>41883.051388888889</c:v>
                </c:pt>
                <c:pt idx="75">
                  <c:v>41883.052083333336</c:v>
                </c:pt>
                <c:pt idx="76">
                  <c:v>41883.052777777775</c:v>
                </c:pt>
                <c:pt idx="77">
                  <c:v>41883.053472222222</c:v>
                </c:pt>
                <c:pt idx="78">
                  <c:v>41883.054166666669</c:v>
                </c:pt>
                <c:pt idx="79">
                  <c:v>41883.054861111108</c:v>
                </c:pt>
                <c:pt idx="80">
                  <c:v>41883.055555555555</c:v>
                </c:pt>
                <c:pt idx="81">
                  <c:v>41883.056250000001</c:v>
                </c:pt>
                <c:pt idx="82">
                  <c:v>41883.056944444441</c:v>
                </c:pt>
                <c:pt idx="83">
                  <c:v>41883.057638888888</c:v>
                </c:pt>
                <c:pt idx="84">
                  <c:v>41883.058333333334</c:v>
                </c:pt>
                <c:pt idx="85">
                  <c:v>41883.059027777781</c:v>
                </c:pt>
                <c:pt idx="86">
                  <c:v>41883.05972222222</c:v>
                </c:pt>
                <c:pt idx="87">
                  <c:v>41883.060416666667</c:v>
                </c:pt>
                <c:pt idx="88">
                  <c:v>41883.061111111114</c:v>
                </c:pt>
                <c:pt idx="89">
                  <c:v>41883.061805555553</c:v>
                </c:pt>
                <c:pt idx="90">
                  <c:v>41883.0625</c:v>
                </c:pt>
                <c:pt idx="91">
                  <c:v>41883.063194444447</c:v>
                </c:pt>
                <c:pt idx="92">
                  <c:v>41883.063888888886</c:v>
                </c:pt>
                <c:pt idx="93">
                  <c:v>41883.064583333333</c:v>
                </c:pt>
                <c:pt idx="94">
                  <c:v>41883.06527777778</c:v>
                </c:pt>
                <c:pt idx="95">
                  <c:v>41883.065972222219</c:v>
                </c:pt>
                <c:pt idx="96">
                  <c:v>41883.066666666666</c:v>
                </c:pt>
                <c:pt idx="97">
                  <c:v>41883.067361111112</c:v>
                </c:pt>
                <c:pt idx="98">
                  <c:v>41883.068055555559</c:v>
                </c:pt>
                <c:pt idx="99">
                  <c:v>41883.068749999999</c:v>
                </c:pt>
                <c:pt idx="100">
                  <c:v>41883.069444444445</c:v>
                </c:pt>
                <c:pt idx="101">
                  <c:v>41883.070138888892</c:v>
                </c:pt>
                <c:pt idx="102">
                  <c:v>41883.070833333331</c:v>
                </c:pt>
                <c:pt idx="103">
                  <c:v>41883.071527777778</c:v>
                </c:pt>
                <c:pt idx="104">
                  <c:v>41883.072222222225</c:v>
                </c:pt>
                <c:pt idx="105">
                  <c:v>41883.072916666664</c:v>
                </c:pt>
                <c:pt idx="106">
                  <c:v>41883.073611111111</c:v>
                </c:pt>
                <c:pt idx="107">
                  <c:v>41883.074305555558</c:v>
                </c:pt>
                <c:pt idx="108">
                  <c:v>41883.074999999997</c:v>
                </c:pt>
                <c:pt idx="109">
                  <c:v>41883.075694444444</c:v>
                </c:pt>
                <c:pt idx="110">
                  <c:v>41883.076388888891</c:v>
                </c:pt>
                <c:pt idx="111">
                  <c:v>41883.07708333333</c:v>
                </c:pt>
                <c:pt idx="112">
                  <c:v>41883.077777777777</c:v>
                </c:pt>
                <c:pt idx="113">
                  <c:v>41883.078472222223</c:v>
                </c:pt>
                <c:pt idx="114">
                  <c:v>41883.07916666667</c:v>
                </c:pt>
                <c:pt idx="115">
                  <c:v>41883.079861111109</c:v>
                </c:pt>
                <c:pt idx="116">
                  <c:v>41883.080555555556</c:v>
                </c:pt>
                <c:pt idx="117">
                  <c:v>41883.081250000003</c:v>
                </c:pt>
                <c:pt idx="118">
                  <c:v>41883.081944444442</c:v>
                </c:pt>
                <c:pt idx="119">
                  <c:v>41883.082638888889</c:v>
                </c:pt>
                <c:pt idx="120">
                  <c:v>41883.083333333336</c:v>
                </c:pt>
                <c:pt idx="121">
                  <c:v>41883.084027777775</c:v>
                </c:pt>
                <c:pt idx="122">
                  <c:v>41883.084722222222</c:v>
                </c:pt>
                <c:pt idx="123">
                  <c:v>41883.085416666669</c:v>
                </c:pt>
                <c:pt idx="124">
                  <c:v>41883.086111111108</c:v>
                </c:pt>
                <c:pt idx="125">
                  <c:v>41883.086805555555</c:v>
                </c:pt>
                <c:pt idx="126">
                  <c:v>41883.087500000001</c:v>
                </c:pt>
                <c:pt idx="127">
                  <c:v>41883.088194444441</c:v>
                </c:pt>
                <c:pt idx="128">
                  <c:v>41883.088888888888</c:v>
                </c:pt>
                <c:pt idx="129">
                  <c:v>41883.089583333334</c:v>
                </c:pt>
                <c:pt idx="130">
                  <c:v>41883.090277777781</c:v>
                </c:pt>
                <c:pt idx="131">
                  <c:v>41883.09097222222</c:v>
                </c:pt>
                <c:pt idx="132">
                  <c:v>41883.091666666667</c:v>
                </c:pt>
                <c:pt idx="133">
                  <c:v>41883.092361111114</c:v>
                </c:pt>
                <c:pt idx="134">
                  <c:v>41883.093055555553</c:v>
                </c:pt>
                <c:pt idx="135">
                  <c:v>41883.09375</c:v>
                </c:pt>
                <c:pt idx="136">
                  <c:v>41883.094444444447</c:v>
                </c:pt>
                <c:pt idx="137">
                  <c:v>41883.095138888886</c:v>
                </c:pt>
                <c:pt idx="138">
                  <c:v>41883.095833333333</c:v>
                </c:pt>
                <c:pt idx="139">
                  <c:v>41883.09652777778</c:v>
                </c:pt>
                <c:pt idx="140">
                  <c:v>41883.097222222219</c:v>
                </c:pt>
                <c:pt idx="141">
                  <c:v>41883.097916666666</c:v>
                </c:pt>
                <c:pt idx="142">
                  <c:v>41883.098611111112</c:v>
                </c:pt>
                <c:pt idx="143">
                  <c:v>41883.099305555559</c:v>
                </c:pt>
                <c:pt idx="144">
                  <c:v>41883.1</c:v>
                </c:pt>
                <c:pt idx="145">
                  <c:v>41883.100694444445</c:v>
                </c:pt>
                <c:pt idx="146">
                  <c:v>41883.101388888892</c:v>
                </c:pt>
                <c:pt idx="147">
                  <c:v>41883.102083333331</c:v>
                </c:pt>
                <c:pt idx="148">
                  <c:v>41883.102777777778</c:v>
                </c:pt>
                <c:pt idx="149">
                  <c:v>41883.103472222225</c:v>
                </c:pt>
                <c:pt idx="150">
                  <c:v>41883.104166666664</c:v>
                </c:pt>
                <c:pt idx="151">
                  <c:v>41883.104861111111</c:v>
                </c:pt>
                <c:pt idx="152">
                  <c:v>41883.105555555558</c:v>
                </c:pt>
                <c:pt idx="153">
                  <c:v>41883.106249999997</c:v>
                </c:pt>
                <c:pt idx="154">
                  <c:v>41883.106944444444</c:v>
                </c:pt>
                <c:pt idx="155">
                  <c:v>41883.107638888891</c:v>
                </c:pt>
                <c:pt idx="156">
                  <c:v>41883.10833333333</c:v>
                </c:pt>
                <c:pt idx="157">
                  <c:v>41883.109027777777</c:v>
                </c:pt>
                <c:pt idx="158">
                  <c:v>41883.109722222223</c:v>
                </c:pt>
                <c:pt idx="159">
                  <c:v>41883.11041666667</c:v>
                </c:pt>
                <c:pt idx="160">
                  <c:v>41883.111111111109</c:v>
                </c:pt>
                <c:pt idx="161">
                  <c:v>41883.111805555556</c:v>
                </c:pt>
                <c:pt idx="162">
                  <c:v>41883.112500000003</c:v>
                </c:pt>
                <c:pt idx="163">
                  <c:v>41883.113194444442</c:v>
                </c:pt>
                <c:pt idx="164">
                  <c:v>41883.113888888889</c:v>
                </c:pt>
                <c:pt idx="165">
                  <c:v>41883.114583333336</c:v>
                </c:pt>
                <c:pt idx="166">
                  <c:v>41883.115277777775</c:v>
                </c:pt>
                <c:pt idx="167">
                  <c:v>41883.115972222222</c:v>
                </c:pt>
                <c:pt idx="168">
                  <c:v>41883.116666666669</c:v>
                </c:pt>
                <c:pt idx="169">
                  <c:v>41883.117361111108</c:v>
                </c:pt>
                <c:pt idx="170">
                  <c:v>41883.118055555555</c:v>
                </c:pt>
                <c:pt idx="171">
                  <c:v>41883.118750000001</c:v>
                </c:pt>
                <c:pt idx="172">
                  <c:v>41883.119444444441</c:v>
                </c:pt>
                <c:pt idx="173">
                  <c:v>41883.120138888888</c:v>
                </c:pt>
                <c:pt idx="174">
                  <c:v>41883.120833333334</c:v>
                </c:pt>
                <c:pt idx="175">
                  <c:v>41883.121527777781</c:v>
                </c:pt>
                <c:pt idx="176">
                  <c:v>41883.12222222222</c:v>
                </c:pt>
                <c:pt idx="177">
                  <c:v>41883.122916666667</c:v>
                </c:pt>
                <c:pt idx="178">
                  <c:v>41883.123611111114</c:v>
                </c:pt>
                <c:pt idx="179">
                  <c:v>41883.124305555553</c:v>
                </c:pt>
                <c:pt idx="180">
                  <c:v>41883.125</c:v>
                </c:pt>
                <c:pt idx="181">
                  <c:v>41883.125694444447</c:v>
                </c:pt>
                <c:pt idx="182">
                  <c:v>41883.126388888886</c:v>
                </c:pt>
                <c:pt idx="183">
                  <c:v>41883.127083333333</c:v>
                </c:pt>
                <c:pt idx="184">
                  <c:v>41883.12777777778</c:v>
                </c:pt>
                <c:pt idx="185">
                  <c:v>41883.128472222219</c:v>
                </c:pt>
                <c:pt idx="186">
                  <c:v>41883.129166666666</c:v>
                </c:pt>
                <c:pt idx="187">
                  <c:v>41883.129861111112</c:v>
                </c:pt>
                <c:pt idx="188">
                  <c:v>41883.130555555559</c:v>
                </c:pt>
                <c:pt idx="189">
                  <c:v>41883.131249999999</c:v>
                </c:pt>
                <c:pt idx="190">
                  <c:v>41883.131944444445</c:v>
                </c:pt>
                <c:pt idx="191">
                  <c:v>41883.132638888892</c:v>
                </c:pt>
                <c:pt idx="192">
                  <c:v>41883.133333333331</c:v>
                </c:pt>
                <c:pt idx="193">
                  <c:v>41883.134027777778</c:v>
                </c:pt>
                <c:pt idx="194">
                  <c:v>41883.134722222225</c:v>
                </c:pt>
                <c:pt idx="195">
                  <c:v>41883.135416666664</c:v>
                </c:pt>
                <c:pt idx="196">
                  <c:v>41883.136111111111</c:v>
                </c:pt>
                <c:pt idx="197">
                  <c:v>41883.136805555558</c:v>
                </c:pt>
                <c:pt idx="198">
                  <c:v>41883.137499999997</c:v>
                </c:pt>
                <c:pt idx="199">
                  <c:v>41883.138194444444</c:v>
                </c:pt>
                <c:pt idx="200">
                  <c:v>41883.138888888891</c:v>
                </c:pt>
                <c:pt idx="201">
                  <c:v>41883.13958333333</c:v>
                </c:pt>
                <c:pt idx="202">
                  <c:v>41883.140277777777</c:v>
                </c:pt>
                <c:pt idx="203">
                  <c:v>41883.140972222223</c:v>
                </c:pt>
                <c:pt idx="204">
                  <c:v>41883.14166666667</c:v>
                </c:pt>
                <c:pt idx="205">
                  <c:v>41883.142361111109</c:v>
                </c:pt>
                <c:pt idx="206">
                  <c:v>41883.143055555556</c:v>
                </c:pt>
                <c:pt idx="207">
                  <c:v>41883.143750000003</c:v>
                </c:pt>
                <c:pt idx="208">
                  <c:v>41883.144444444442</c:v>
                </c:pt>
                <c:pt idx="209">
                  <c:v>41883.145138888889</c:v>
                </c:pt>
                <c:pt idx="210">
                  <c:v>41883.145833333336</c:v>
                </c:pt>
                <c:pt idx="211">
                  <c:v>41883.146527777775</c:v>
                </c:pt>
                <c:pt idx="212">
                  <c:v>41883.147222222222</c:v>
                </c:pt>
                <c:pt idx="213">
                  <c:v>41883.147916666669</c:v>
                </c:pt>
                <c:pt idx="214">
                  <c:v>41883.148611111108</c:v>
                </c:pt>
                <c:pt idx="215">
                  <c:v>41883.149305555555</c:v>
                </c:pt>
                <c:pt idx="216">
                  <c:v>41883.15</c:v>
                </c:pt>
                <c:pt idx="217">
                  <c:v>41883.150694444441</c:v>
                </c:pt>
                <c:pt idx="218">
                  <c:v>41883.151388888888</c:v>
                </c:pt>
                <c:pt idx="219">
                  <c:v>41883.152083333334</c:v>
                </c:pt>
                <c:pt idx="220">
                  <c:v>41883.152777777781</c:v>
                </c:pt>
                <c:pt idx="221">
                  <c:v>41883.15347222222</c:v>
                </c:pt>
                <c:pt idx="222">
                  <c:v>41883.154166666667</c:v>
                </c:pt>
                <c:pt idx="223">
                  <c:v>41883.154861111114</c:v>
                </c:pt>
                <c:pt idx="224">
                  <c:v>41883.155555555553</c:v>
                </c:pt>
                <c:pt idx="225">
                  <c:v>41883.15625</c:v>
                </c:pt>
                <c:pt idx="226">
                  <c:v>41883.156944444447</c:v>
                </c:pt>
                <c:pt idx="227">
                  <c:v>41883.157638888886</c:v>
                </c:pt>
                <c:pt idx="228">
                  <c:v>41883.158333333333</c:v>
                </c:pt>
                <c:pt idx="229">
                  <c:v>41883.15902777778</c:v>
                </c:pt>
                <c:pt idx="230">
                  <c:v>41883.159722222219</c:v>
                </c:pt>
                <c:pt idx="231">
                  <c:v>41883.160416666666</c:v>
                </c:pt>
                <c:pt idx="232">
                  <c:v>41883.161111111112</c:v>
                </c:pt>
                <c:pt idx="233">
                  <c:v>41883.161805555559</c:v>
                </c:pt>
                <c:pt idx="234">
                  <c:v>41883.162499999999</c:v>
                </c:pt>
                <c:pt idx="235">
                  <c:v>41883.163194444445</c:v>
                </c:pt>
                <c:pt idx="236">
                  <c:v>41883.163888888892</c:v>
                </c:pt>
                <c:pt idx="237">
                  <c:v>41883.164583333331</c:v>
                </c:pt>
                <c:pt idx="238">
                  <c:v>41883.165277777778</c:v>
                </c:pt>
                <c:pt idx="239">
                  <c:v>41883.165972222225</c:v>
                </c:pt>
                <c:pt idx="240">
                  <c:v>41883.166666666664</c:v>
                </c:pt>
                <c:pt idx="241">
                  <c:v>41883.167361111111</c:v>
                </c:pt>
                <c:pt idx="242">
                  <c:v>41883.168055555558</c:v>
                </c:pt>
                <c:pt idx="243">
                  <c:v>41883.168749999997</c:v>
                </c:pt>
                <c:pt idx="244">
                  <c:v>41883.169444444444</c:v>
                </c:pt>
                <c:pt idx="245">
                  <c:v>41883.170138888891</c:v>
                </c:pt>
                <c:pt idx="246">
                  <c:v>41883.17083333333</c:v>
                </c:pt>
                <c:pt idx="247">
                  <c:v>41883.171527777777</c:v>
                </c:pt>
                <c:pt idx="248">
                  <c:v>41883.172222222223</c:v>
                </c:pt>
                <c:pt idx="249">
                  <c:v>41883.17291666667</c:v>
                </c:pt>
                <c:pt idx="250">
                  <c:v>41883.173611111109</c:v>
                </c:pt>
                <c:pt idx="251">
                  <c:v>41883.174305555556</c:v>
                </c:pt>
                <c:pt idx="252">
                  <c:v>41883.175000000003</c:v>
                </c:pt>
                <c:pt idx="253">
                  <c:v>41883.175694444442</c:v>
                </c:pt>
                <c:pt idx="254">
                  <c:v>41883.176388888889</c:v>
                </c:pt>
                <c:pt idx="255">
                  <c:v>41883.177083333336</c:v>
                </c:pt>
                <c:pt idx="256">
                  <c:v>41883.177777777775</c:v>
                </c:pt>
                <c:pt idx="257">
                  <c:v>41883.178472222222</c:v>
                </c:pt>
                <c:pt idx="258">
                  <c:v>41883.179166666669</c:v>
                </c:pt>
                <c:pt idx="259">
                  <c:v>41883.179861111108</c:v>
                </c:pt>
                <c:pt idx="260">
                  <c:v>41883.180555555555</c:v>
                </c:pt>
                <c:pt idx="261">
                  <c:v>41883.181250000001</c:v>
                </c:pt>
                <c:pt idx="262">
                  <c:v>41883.181944444441</c:v>
                </c:pt>
                <c:pt idx="263">
                  <c:v>41883.182638888888</c:v>
                </c:pt>
                <c:pt idx="264">
                  <c:v>41883.183333333334</c:v>
                </c:pt>
                <c:pt idx="265">
                  <c:v>41883.184027777781</c:v>
                </c:pt>
                <c:pt idx="266">
                  <c:v>41883.18472222222</c:v>
                </c:pt>
                <c:pt idx="267">
                  <c:v>41883.185416666667</c:v>
                </c:pt>
                <c:pt idx="268">
                  <c:v>41883.186111111114</c:v>
                </c:pt>
                <c:pt idx="269">
                  <c:v>41883.186805555553</c:v>
                </c:pt>
                <c:pt idx="270">
                  <c:v>41883.1875</c:v>
                </c:pt>
                <c:pt idx="271">
                  <c:v>41883.188194444447</c:v>
                </c:pt>
                <c:pt idx="272">
                  <c:v>41883.188888888886</c:v>
                </c:pt>
                <c:pt idx="273">
                  <c:v>41883.189583333333</c:v>
                </c:pt>
                <c:pt idx="274">
                  <c:v>41883.19027777778</c:v>
                </c:pt>
                <c:pt idx="275">
                  <c:v>41883.190972222219</c:v>
                </c:pt>
                <c:pt idx="276">
                  <c:v>41883.191666666666</c:v>
                </c:pt>
                <c:pt idx="277">
                  <c:v>41883.192361111112</c:v>
                </c:pt>
                <c:pt idx="278">
                  <c:v>41883.193055555559</c:v>
                </c:pt>
                <c:pt idx="279">
                  <c:v>41883.193749999999</c:v>
                </c:pt>
                <c:pt idx="280">
                  <c:v>41883.194444444445</c:v>
                </c:pt>
                <c:pt idx="281">
                  <c:v>41883.195138888892</c:v>
                </c:pt>
                <c:pt idx="282">
                  <c:v>41883.195833333331</c:v>
                </c:pt>
                <c:pt idx="283">
                  <c:v>41883.196527777778</c:v>
                </c:pt>
                <c:pt idx="284">
                  <c:v>41883.197222222225</c:v>
                </c:pt>
                <c:pt idx="285">
                  <c:v>41883.197916666664</c:v>
                </c:pt>
                <c:pt idx="286">
                  <c:v>41883.198611111111</c:v>
                </c:pt>
                <c:pt idx="287">
                  <c:v>41883.199305555558</c:v>
                </c:pt>
                <c:pt idx="288">
                  <c:v>41883.199999999997</c:v>
                </c:pt>
                <c:pt idx="289">
                  <c:v>41883.200694444444</c:v>
                </c:pt>
                <c:pt idx="290">
                  <c:v>41883.201388888891</c:v>
                </c:pt>
                <c:pt idx="291">
                  <c:v>41883.20208333333</c:v>
                </c:pt>
                <c:pt idx="292">
                  <c:v>41883.202777777777</c:v>
                </c:pt>
                <c:pt idx="293">
                  <c:v>41883.203472222223</c:v>
                </c:pt>
                <c:pt idx="294">
                  <c:v>41883.20416666667</c:v>
                </c:pt>
                <c:pt idx="295">
                  <c:v>41883.204861111109</c:v>
                </c:pt>
                <c:pt idx="296">
                  <c:v>41883.205555555556</c:v>
                </c:pt>
                <c:pt idx="297">
                  <c:v>41883.206250000003</c:v>
                </c:pt>
                <c:pt idx="298">
                  <c:v>41883.206944444442</c:v>
                </c:pt>
                <c:pt idx="299">
                  <c:v>41883.207638888889</c:v>
                </c:pt>
                <c:pt idx="300">
                  <c:v>41883.208333333336</c:v>
                </c:pt>
                <c:pt idx="301">
                  <c:v>41883.209027777775</c:v>
                </c:pt>
                <c:pt idx="302">
                  <c:v>41883.209722222222</c:v>
                </c:pt>
                <c:pt idx="303">
                  <c:v>41883.210416666669</c:v>
                </c:pt>
                <c:pt idx="304">
                  <c:v>41883.211111111108</c:v>
                </c:pt>
                <c:pt idx="305">
                  <c:v>41883.211805555555</c:v>
                </c:pt>
                <c:pt idx="306">
                  <c:v>41883.212500000001</c:v>
                </c:pt>
                <c:pt idx="307">
                  <c:v>41883.213194444441</c:v>
                </c:pt>
                <c:pt idx="308">
                  <c:v>41883.213888888888</c:v>
                </c:pt>
                <c:pt idx="309">
                  <c:v>41883.214583333334</c:v>
                </c:pt>
                <c:pt idx="310">
                  <c:v>41883.215277777781</c:v>
                </c:pt>
                <c:pt idx="311">
                  <c:v>41883.21597222222</c:v>
                </c:pt>
                <c:pt idx="312">
                  <c:v>41883.216666666667</c:v>
                </c:pt>
                <c:pt idx="313">
                  <c:v>41883.217361111114</c:v>
                </c:pt>
                <c:pt idx="314">
                  <c:v>41883.218055555553</c:v>
                </c:pt>
                <c:pt idx="315">
                  <c:v>41883.21875</c:v>
                </c:pt>
                <c:pt idx="316">
                  <c:v>41883.219444444447</c:v>
                </c:pt>
                <c:pt idx="317">
                  <c:v>41883.220138888886</c:v>
                </c:pt>
                <c:pt idx="318">
                  <c:v>41883.220833333333</c:v>
                </c:pt>
                <c:pt idx="319">
                  <c:v>41883.22152777778</c:v>
                </c:pt>
                <c:pt idx="320">
                  <c:v>41883.222222222219</c:v>
                </c:pt>
                <c:pt idx="321">
                  <c:v>41883.222916666666</c:v>
                </c:pt>
                <c:pt idx="322">
                  <c:v>41883.223611111112</c:v>
                </c:pt>
                <c:pt idx="323">
                  <c:v>41883.224305555559</c:v>
                </c:pt>
                <c:pt idx="324">
                  <c:v>41883.224999999999</c:v>
                </c:pt>
                <c:pt idx="325">
                  <c:v>41883.225694444445</c:v>
                </c:pt>
                <c:pt idx="326">
                  <c:v>41883.226388888892</c:v>
                </c:pt>
                <c:pt idx="327">
                  <c:v>41883.227083333331</c:v>
                </c:pt>
                <c:pt idx="328">
                  <c:v>41883.227777777778</c:v>
                </c:pt>
                <c:pt idx="329">
                  <c:v>41883.228472222225</c:v>
                </c:pt>
                <c:pt idx="330">
                  <c:v>41883.229166666664</c:v>
                </c:pt>
                <c:pt idx="331">
                  <c:v>41883.229861111111</c:v>
                </c:pt>
                <c:pt idx="332">
                  <c:v>41883.230555555558</c:v>
                </c:pt>
                <c:pt idx="333">
                  <c:v>41883.231249999997</c:v>
                </c:pt>
                <c:pt idx="334">
                  <c:v>41883.231944444444</c:v>
                </c:pt>
                <c:pt idx="335">
                  <c:v>41883.232638888891</c:v>
                </c:pt>
                <c:pt idx="336">
                  <c:v>41883.23333333333</c:v>
                </c:pt>
                <c:pt idx="337">
                  <c:v>41883.234027777777</c:v>
                </c:pt>
                <c:pt idx="338">
                  <c:v>41883.234722222223</c:v>
                </c:pt>
                <c:pt idx="339">
                  <c:v>41883.23541666667</c:v>
                </c:pt>
                <c:pt idx="340">
                  <c:v>41883.236111111109</c:v>
                </c:pt>
                <c:pt idx="341">
                  <c:v>41883.236805555556</c:v>
                </c:pt>
                <c:pt idx="342">
                  <c:v>41883.237500000003</c:v>
                </c:pt>
                <c:pt idx="343">
                  <c:v>41883.238194444442</c:v>
                </c:pt>
                <c:pt idx="344">
                  <c:v>41883.238888888889</c:v>
                </c:pt>
                <c:pt idx="345">
                  <c:v>41883.239583333336</c:v>
                </c:pt>
                <c:pt idx="346">
                  <c:v>41883.240277777775</c:v>
                </c:pt>
                <c:pt idx="347">
                  <c:v>41883.240972222222</c:v>
                </c:pt>
                <c:pt idx="348">
                  <c:v>41883.241666666669</c:v>
                </c:pt>
                <c:pt idx="349">
                  <c:v>41883.242361111108</c:v>
                </c:pt>
                <c:pt idx="350">
                  <c:v>41883.243055555555</c:v>
                </c:pt>
                <c:pt idx="351">
                  <c:v>41883.243750000001</c:v>
                </c:pt>
                <c:pt idx="352">
                  <c:v>41883.244444444441</c:v>
                </c:pt>
                <c:pt idx="353">
                  <c:v>41883.245138888888</c:v>
                </c:pt>
                <c:pt idx="354">
                  <c:v>41883.245833333334</c:v>
                </c:pt>
                <c:pt idx="355">
                  <c:v>41883.246527777781</c:v>
                </c:pt>
                <c:pt idx="356">
                  <c:v>41883.24722222222</c:v>
                </c:pt>
                <c:pt idx="357">
                  <c:v>41883.247916666667</c:v>
                </c:pt>
                <c:pt idx="358">
                  <c:v>41883.248611111114</c:v>
                </c:pt>
                <c:pt idx="359">
                  <c:v>41883.249305555553</c:v>
                </c:pt>
                <c:pt idx="360">
                  <c:v>41883.25</c:v>
                </c:pt>
                <c:pt idx="361">
                  <c:v>41883.250694444447</c:v>
                </c:pt>
                <c:pt idx="362">
                  <c:v>41883.251388888886</c:v>
                </c:pt>
                <c:pt idx="363">
                  <c:v>41883.252083333333</c:v>
                </c:pt>
                <c:pt idx="364">
                  <c:v>41883.25277777778</c:v>
                </c:pt>
                <c:pt idx="365">
                  <c:v>41883.253472222219</c:v>
                </c:pt>
                <c:pt idx="366">
                  <c:v>41883.254166666666</c:v>
                </c:pt>
                <c:pt idx="367">
                  <c:v>41883.254861111112</c:v>
                </c:pt>
                <c:pt idx="368">
                  <c:v>41883.255555555559</c:v>
                </c:pt>
                <c:pt idx="369">
                  <c:v>41883.256249999999</c:v>
                </c:pt>
                <c:pt idx="370">
                  <c:v>41883.256944444445</c:v>
                </c:pt>
                <c:pt idx="371">
                  <c:v>41883.257638888892</c:v>
                </c:pt>
                <c:pt idx="372">
                  <c:v>41883.258333333331</c:v>
                </c:pt>
                <c:pt idx="373">
                  <c:v>41883.259027777778</c:v>
                </c:pt>
                <c:pt idx="374">
                  <c:v>41883.259722222225</c:v>
                </c:pt>
                <c:pt idx="375">
                  <c:v>41883.260416666664</c:v>
                </c:pt>
                <c:pt idx="376">
                  <c:v>41883.261111111111</c:v>
                </c:pt>
                <c:pt idx="377">
                  <c:v>41883.261805555558</c:v>
                </c:pt>
                <c:pt idx="378">
                  <c:v>41883.262499999997</c:v>
                </c:pt>
                <c:pt idx="379">
                  <c:v>41883.263194444444</c:v>
                </c:pt>
                <c:pt idx="380">
                  <c:v>41883.263888888891</c:v>
                </c:pt>
                <c:pt idx="381">
                  <c:v>41883.26458333333</c:v>
                </c:pt>
                <c:pt idx="382">
                  <c:v>41883.265277777777</c:v>
                </c:pt>
                <c:pt idx="383">
                  <c:v>41883.265972222223</c:v>
                </c:pt>
                <c:pt idx="384">
                  <c:v>41883.26666666667</c:v>
                </c:pt>
                <c:pt idx="385">
                  <c:v>41883.267361111109</c:v>
                </c:pt>
                <c:pt idx="386">
                  <c:v>41883.268055555556</c:v>
                </c:pt>
                <c:pt idx="387">
                  <c:v>41883.268750000003</c:v>
                </c:pt>
                <c:pt idx="388">
                  <c:v>41883.269444444442</c:v>
                </c:pt>
                <c:pt idx="389">
                  <c:v>41883.270138888889</c:v>
                </c:pt>
                <c:pt idx="390">
                  <c:v>41883.270833333336</c:v>
                </c:pt>
                <c:pt idx="391">
                  <c:v>41883.271527777775</c:v>
                </c:pt>
                <c:pt idx="392">
                  <c:v>41883.272222222222</c:v>
                </c:pt>
                <c:pt idx="393">
                  <c:v>41883.272916666669</c:v>
                </c:pt>
                <c:pt idx="394">
                  <c:v>41883.273611111108</c:v>
                </c:pt>
                <c:pt idx="395">
                  <c:v>41883.274305555555</c:v>
                </c:pt>
                <c:pt idx="396">
                  <c:v>41883.275000000001</c:v>
                </c:pt>
                <c:pt idx="397">
                  <c:v>41883.275694444441</c:v>
                </c:pt>
                <c:pt idx="398">
                  <c:v>41883.276388888888</c:v>
                </c:pt>
                <c:pt idx="399">
                  <c:v>41883.277083333334</c:v>
                </c:pt>
                <c:pt idx="400">
                  <c:v>41883.277777777781</c:v>
                </c:pt>
                <c:pt idx="401">
                  <c:v>41883.27847222222</c:v>
                </c:pt>
                <c:pt idx="402">
                  <c:v>41883.279166666667</c:v>
                </c:pt>
                <c:pt idx="403">
                  <c:v>41883.279861111114</c:v>
                </c:pt>
                <c:pt idx="404">
                  <c:v>41883.280555555553</c:v>
                </c:pt>
                <c:pt idx="405">
                  <c:v>41883.28125</c:v>
                </c:pt>
                <c:pt idx="406">
                  <c:v>41883.281944444447</c:v>
                </c:pt>
                <c:pt idx="407">
                  <c:v>41883.282638888886</c:v>
                </c:pt>
                <c:pt idx="408">
                  <c:v>41883.283333333333</c:v>
                </c:pt>
                <c:pt idx="409">
                  <c:v>41883.28402777778</c:v>
                </c:pt>
                <c:pt idx="410">
                  <c:v>41883.284722222219</c:v>
                </c:pt>
                <c:pt idx="411">
                  <c:v>41883.285416666666</c:v>
                </c:pt>
                <c:pt idx="412">
                  <c:v>41883.286111111112</c:v>
                </c:pt>
                <c:pt idx="413">
                  <c:v>41883.286805555559</c:v>
                </c:pt>
                <c:pt idx="414">
                  <c:v>41883.287499999999</c:v>
                </c:pt>
                <c:pt idx="415">
                  <c:v>41883.288194444445</c:v>
                </c:pt>
                <c:pt idx="416">
                  <c:v>41883.288888888892</c:v>
                </c:pt>
                <c:pt idx="417">
                  <c:v>41883.289583333331</c:v>
                </c:pt>
                <c:pt idx="418">
                  <c:v>41883.290277777778</c:v>
                </c:pt>
                <c:pt idx="419">
                  <c:v>41883.290972222225</c:v>
                </c:pt>
                <c:pt idx="420">
                  <c:v>41883.291666666664</c:v>
                </c:pt>
                <c:pt idx="421">
                  <c:v>41883.292361111111</c:v>
                </c:pt>
                <c:pt idx="422">
                  <c:v>41883.293055555558</c:v>
                </c:pt>
                <c:pt idx="423">
                  <c:v>41883.293749999997</c:v>
                </c:pt>
                <c:pt idx="424">
                  <c:v>41883.294444444444</c:v>
                </c:pt>
                <c:pt idx="425">
                  <c:v>41883.295138888891</c:v>
                </c:pt>
                <c:pt idx="426">
                  <c:v>41883.29583333333</c:v>
                </c:pt>
                <c:pt idx="427">
                  <c:v>41883.296527777777</c:v>
                </c:pt>
                <c:pt idx="428">
                  <c:v>41883.297222222223</c:v>
                </c:pt>
                <c:pt idx="429">
                  <c:v>41883.29791666667</c:v>
                </c:pt>
                <c:pt idx="430">
                  <c:v>41883.298611111109</c:v>
                </c:pt>
                <c:pt idx="431">
                  <c:v>41883.299305555556</c:v>
                </c:pt>
                <c:pt idx="432">
                  <c:v>41883.300000000003</c:v>
                </c:pt>
                <c:pt idx="433">
                  <c:v>41883.300694444442</c:v>
                </c:pt>
                <c:pt idx="434">
                  <c:v>41883.301388888889</c:v>
                </c:pt>
                <c:pt idx="435">
                  <c:v>41883.302083333336</c:v>
                </c:pt>
                <c:pt idx="436">
                  <c:v>41883.302777777775</c:v>
                </c:pt>
                <c:pt idx="437">
                  <c:v>41883.303472222222</c:v>
                </c:pt>
                <c:pt idx="438">
                  <c:v>41883.304166666669</c:v>
                </c:pt>
                <c:pt idx="439">
                  <c:v>41883.304861111108</c:v>
                </c:pt>
                <c:pt idx="440">
                  <c:v>41883.305555555555</c:v>
                </c:pt>
                <c:pt idx="441">
                  <c:v>41883.306250000001</c:v>
                </c:pt>
                <c:pt idx="442">
                  <c:v>41883.306944444441</c:v>
                </c:pt>
                <c:pt idx="443">
                  <c:v>41883.307638888888</c:v>
                </c:pt>
                <c:pt idx="444">
                  <c:v>41883.308333333334</c:v>
                </c:pt>
                <c:pt idx="445">
                  <c:v>41883.309027777781</c:v>
                </c:pt>
                <c:pt idx="446">
                  <c:v>41883.30972222222</c:v>
                </c:pt>
                <c:pt idx="447">
                  <c:v>41883.310416666667</c:v>
                </c:pt>
                <c:pt idx="448">
                  <c:v>41883.311111111114</c:v>
                </c:pt>
                <c:pt idx="449">
                  <c:v>41883.311805555553</c:v>
                </c:pt>
                <c:pt idx="450">
                  <c:v>41883.3125</c:v>
                </c:pt>
                <c:pt idx="451">
                  <c:v>41883.313194444447</c:v>
                </c:pt>
                <c:pt idx="452">
                  <c:v>41883.313888888886</c:v>
                </c:pt>
                <c:pt idx="453">
                  <c:v>41883.314583333333</c:v>
                </c:pt>
                <c:pt idx="454">
                  <c:v>41883.31527777778</c:v>
                </c:pt>
                <c:pt idx="455">
                  <c:v>41883.315972222219</c:v>
                </c:pt>
                <c:pt idx="456">
                  <c:v>41883.316666666666</c:v>
                </c:pt>
                <c:pt idx="457">
                  <c:v>41883.317361111112</c:v>
                </c:pt>
                <c:pt idx="458">
                  <c:v>41883.318055555559</c:v>
                </c:pt>
                <c:pt idx="459">
                  <c:v>41883.318749999999</c:v>
                </c:pt>
                <c:pt idx="460">
                  <c:v>41883.319444444445</c:v>
                </c:pt>
                <c:pt idx="461">
                  <c:v>41883.320138888892</c:v>
                </c:pt>
                <c:pt idx="462">
                  <c:v>41883.320833333331</c:v>
                </c:pt>
                <c:pt idx="463">
                  <c:v>41883.321527777778</c:v>
                </c:pt>
                <c:pt idx="464">
                  <c:v>41883.322222222225</c:v>
                </c:pt>
                <c:pt idx="465">
                  <c:v>41883.322916666664</c:v>
                </c:pt>
                <c:pt idx="466">
                  <c:v>41883.323611111111</c:v>
                </c:pt>
                <c:pt idx="467">
                  <c:v>41883.324305555558</c:v>
                </c:pt>
                <c:pt idx="468">
                  <c:v>41883.324999999997</c:v>
                </c:pt>
                <c:pt idx="469">
                  <c:v>41883.325694444444</c:v>
                </c:pt>
                <c:pt idx="470">
                  <c:v>41883.326388888891</c:v>
                </c:pt>
                <c:pt idx="471">
                  <c:v>41883.32708333333</c:v>
                </c:pt>
                <c:pt idx="472">
                  <c:v>41883.327777777777</c:v>
                </c:pt>
                <c:pt idx="473">
                  <c:v>41883.328472222223</c:v>
                </c:pt>
                <c:pt idx="474">
                  <c:v>41883.32916666667</c:v>
                </c:pt>
                <c:pt idx="475">
                  <c:v>41883.329861111109</c:v>
                </c:pt>
                <c:pt idx="476">
                  <c:v>41883.330555555556</c:v>
                </c:pt>
                <c:pt idx="477">
                  <c:v>41883.331250000003</c:v>
                </c:pt>
                <c:pt idx="478">
                  <c:v>41883.331944444442</c:v>
                </c:pt>
                <c:pt idx="479">
                  <c:v>41883.332638888889</c:v>
                </c:pt>
                <c:pt idx="480">
                  <c:v>41883.333333333336</c:v>
                </c:pt>
                <c:pt idx="481">
                  <c:v>41883.334027777775</c:v>
                </c:pt>
                <c:pt idx="482">
                  <c:v>41883.334722222222</c:v>
                </c:pt>
                <c:pt idx="483">
                  <c:v>41883.335416666669</c:v>
                </c:pt>
                <c:pt idx="484">
                  <c:v>41883.336111111108</c:v>
                </c:pt>
                <c:pt idx="485">
                  <c:v>41883.336805555555</c:v>
                </c:pt>
                <c:pt idx="486">
                  <c:v>41883.337500000001</c:v>
                </c:pt>
                <c:pt idx="487">
                  <c:v>41883.338194444441</c:v>
                </c:pt>
                <c:pt idx="488">
                  <c:v>41883.338888888888</c:v>
                </c:pt>
                <c:pt idx="489">
                  <c:v>41883.339583333334</c:v>
                </c:pt>
                <c:pt idx="490">
                  <c:v>41883.340277777781</c:v>
                </c:pt>
                <c:pt idx="491">
                  <c:v>41883.34097222222</c:v>
                </c:pt>
                <c:pt idx="492">
                  <c:v>41883.341666666667</c:v>
                </c:pt>
                <c:pt idx="493">
                  <c:v>41883.342361111114</c:v>
                </c:pt>
                <c:pt idx="494">
                  <c:v>41883.343055555553</c:v>
                </c:pt>
                <c:pt idx="495">
                  <c:v>41883.34375</c:v>
                </c:pt>
                <c:pt idx="496">
                  <c:v>41883.344444444447</c:v>
                </c:pt>
                <c:pt idx="497">
                  <c:v>41883.345138888886</c:v>
                </c:pt>
                <c:pt idx="498">
                  <c:v>41883.345833333333</c:v>
                </c:pt>
                <c:pt idx="499">
                  <c:v>41883.34652777778</c:v>
                </c:pt>
                <c:pt idx="500">
                  <c:v>41883.347222222219</c:v>
                </c:pt>
                <c:pt idx="501">
                  <c:v>41883.347916666666</c:v>
                </c:pt>
                <c:pt idx="502">
                  <c:v>41883.348611111112</c:v>
                </c:pt>
                <c:pt idx="503">
                  <c:v>41883.349305555559</c:v>
                </c:pt>
                <c:pt idx="504">
                  <c:v>41883.35</c:v>
                </c:pt>
                <c:pt idx="505">
                  <c:v>41883.350694444445</c:v>
                </c:pt>
                <c:pt idx="506">
                  <c:v>41883.351388888892</c:v>
                </c:pt>
                <c:pt idx="507">
                  <c:v>41883.352083333331</c:v>
                </c:pt>
                <c:pt idx="508">
                  <c:v>41883.352777777778</c:v>
                </c:pt>
                <c:pt idx="509">
                  <c:v>41883.353472222225</c:v>
                </c:pt>
                <c:pt idx="510">
                  <c:v>41883.354166666664</c:v>
                </c:pt>
                <c:pt idx="511">
                  <c:v>41883.354861111111</c:v>
                </c:pt>
                <c:pt idx="512">
                  <c:v>41883.355555555558</c:v>
                </c:pt>
                <c:pt idx="513">
                  <c:v>41883.356249999997</c:v>
                </c:pt>
                <c:pt idx="514">
                  <c:v>41883.356944444444</c:v>
                </c:pt>
                <c:pt idx="515">
                  <c:v>41883.357638888891</c:v>
                </c:pt>
                <c:pt idx="516">
                  <c:v>41883.35833333333</c:v>
                </c:pt>
                <c:pt idx="517">
                  <c:v>41883.359027777777</c:v>
                </c:pt>
                <c:pt idx="518">
                  <c:v>41883.359722222223</c:v>
                </c:pt>
                <c:pt idx="519">
                  <c:v>41883.36041666667</c:v>
                </c:pt>
                <c:pt idx="520">
                  <c:v>41883.361111111109</c:v>
                </c:pt>
                <c:pt idx="521">
                  <c:v>41883.361805555556</c:v>
                </c:pt>
                <c:pt idx="522">
                  <c:v>41883.362500000003</c:v>
                </c:pt>
                <c:pt idx="523">
                  <c:v>41883.363194444442</c:v>
                </c:pt>
                <c:pt idx="524">
                  <c:v>41883.363888888889</c:v>
                </c:pt>
                <c:pt idx="525">
                  <c:v>41883.364583333336</c:v>
                </c:pt>
                <c:pt idx="526">
                  <c:v>41883.365277777775</c:v>
                </c:pt>
                <c:pt idx="527">
                  <c:v>41883.365972222222</c:v>
                </c:pt>
                <c:pt idx="528">
                  <c:v>41883.366666666669</c:v>
                </c:pt>
                <c:pt idx="529">
                  <c:v>41883.367361111108</c:v>
                </c:pt>
                <c:pt idx="530">
                  <c:v>41883.368055555555</c:v>
                </c:pt>
                <c:pt idx="531">
                  <c:v>41883.368750000001</c:v>
                </c:pt>
                <c:pt idx="532">
                  <c:v>41883.369444444441</c:v>
                </c:pt>
                <c:pt idx="533">
                  <c:v>41883.370138888888</c:v>
                </c:pt>
                <c:pt idx="534">
                  <c:v>41883.370833333334</c:v>
                </c:pt>
                <c:pt idx="535">
                  <c:v>41883.371527777781</c:v>
                </c:pt>
                <c:pt idx="536">
                  <c:v>41883.37222222222</c:v>
                </c:pt>
                <c:pt idx="537">
                  <c:v>41883.372916666667</c:v>
                </c:pt>
                <c:pt idx="538">
                  <c:v>41883.373611111114</c:v>
                </c:pt>
                <c:pt idx="539">
                  <c:v>41883.374305555553</c:v>
                </c:pt>
                <c:pt idx="540">
                  <c:v>41883.375</c:v>
                </c:pt>
                <c:pt idx="541">
                  <c:v>41883.375694444447</c:v>
                </c:pt>
                <c:pt idx="542">
                  <c:v>41883.376388888886</c:v>
                </c:pt>
                <c:pt idx="543">
                  <c:v>41883.377083333333</c:v>
                </c:pt>
                <c:pt idx="544">
                  <c:v>41883.37777777778</c:v>
                </c:pt>
                <c:pt idx="545">
                  <c:v>41883.378472222219</c:v>
                </c:pt>
                <c:pt idx="546">
                  <c:v>41883.379166666666</c:v>
                </c:pt>
                <c:pt idx="547">
                  <c:v>41883.379861111112</c:v>
                </c:pt>
                <c:pt idx="548">
                  <c:v>41883.380555555559</c:v>
                </c:pt>
                <c:pt idx="549">
                  <c:v>41883.381249999999</c:v>
                </c:pt>
                <c:pt idx="550">
                  <c:v>41883.381944444445</c:v>
                </c:pt>
                <c:pt idx="551">
                  <c:v>41883.382638888892</c:v>
                </c:pt>
                <c:pt idx="552">
                  <c:v>41883.383333333331</c:v>
                </c:pt>
                <c:pt idx="553">
                  <c:v>41883.384027777778</c:v>
                </c:pt>
                <c:pt idx="554">
                  <c:v>41883.384722222225</c:v>
                </c:pt>
                <c:pt idx="555">
                  <c:v>41883.385416666664</c:v>
                </c:pt>
                <c:pt idx="556">
                  <c:v>41883.386111111111</c:v>
                </c:pt>
                <c:pt idx="557">
                  <c:v>41883.386805555558</c:v>
                </c:pt>
                <c:pt idx="558">
                  <c:v>41883.387499999997</c:v>
                </c:pt>
                <c:pt idx="559">
                  <c:v>41883.388194444444</c:v>
                </c:pt>
                <c:pt idx="560">
                  <c:v>41883.388888888891</c:v>
                </c:pt>
                <c:pt idx="561">
                  <c:v>41883.38958333333</c:v>
                </c:pt>
                <c:pt idx="562">
                  <c:v>41883.390277777777</c:v>
                </c:pt>
                <c:pt idx="563">
                  <c:v>41883.390972222223</c:v>
                </c:pt>
                <c:pt idx="564">
                  <c:v>41883.39166666667</c:v>
                </c:pt>
                <c:pt idx="565">
                  <c:v>41883.392361111109</c:v>
                </c:pt>
                <c:pt idx="566">
                  <c:v>41883.393055555556</c:v>
                </c:pt>
                <c:pt idx="567">
                  <c:v>41883.393750000003</c:v>
                </c:pt>
                <c:pt idx="568">
                  <c:v>41883.394444444442</c:v>
                </c:pt>
                <c:pt idx="569">
                  <c:v>41883.395138888889</c:v>
                </c:pt>
                <c:pt idx="570">
                  <c:v>41883.395833333336</c:v>
                </c:pt>
                <c:pt idx="571">
                  <c:v>41883.396527777775</c:v>
                </c:pt>
                <c:pt idx="572">
                  <c:v>41883.397222222222</c:v>
                </c:pt>
                <c:pt idx="573">
                  <c:v>41883.397916666669</c:v>
                </c:pt>
                <c:pt idx="574">
                  <c:v>41883.398611111108</c:v>
                </c:pt>
                <c:pt idx="575">
                  <c:v>41883.399305555555</c:v>
                </c:pt>
                <c:pt idx="576">
                  <c:v>41883.4</c:v>
                </c:pt>
                <c:pt idx="577">
                  <c:v>41883.400694444441</c:v>
                </c:pt>
                <c:pt idx="578">
                  <c:v>41883.401388888888</c:v>
                </c:pt>
                <c:pt idx="579">
                  <c:v>41883.402083333334</c:v>
                </c:pt>
                <c:pt idx="580">
                  <c:v>41883.402777777781</c:v>
                </c:pt>
                <c:pt idx="581">
                  <c:v>41883.40347222222</c:v>
                </c:pt>
                <c:pt idx="582">
                  <c:v>41883.404166666667</c:v>
                </c:pt>
                <c:pt idx="583">
                  <c:v>41883.404861111114</c:v>
                </c:pt>
                <c:pt idx="584">
                  <c:v>41883.405555555553</c:v>
                </c:pt>
                <c:pt idx="585">
                  <c:v>41883.40625</c:v>
                </c:pt>
                <c:pt idx="586">
                  <c:v>41883.406944444447</c:v>
                </c:pt>
                <c:pt idx="587">
                  <c:v>41883.407638888886</c:v>
                </c:pt>
                <c:pt idx="588">
                  <c:v>41883.408333333333</c:v>
                </c:pt>
                <c:pt idx="589">
                  <c:v>41883.40902777778</c:v>
                </c:pt>
                <c:pt idx="590">
                  <c:v>41883.409722222219</c:v>
                </c:pt>
                <c:pt idx="591">
                  <c:v>41883.410416666666</c:v>
                </c:pt>
                <c:pt idx="592">
                  <c:v>41883.411111111112</c:v>
                </c:pt>
                <c:pt idx="593">
                  <c:v>41883.411805555559</c:v>
                </c:pt>
                <c:pt idx="594">
                  <c:v>41883.412499999999</c:v>
                </c:pt>
                <c:pt idx="595">
                  <c:v>41883.413194444445</c:v>
                </c:pt>
                <c:pt idx="596">
                  <c:v>41883.413888888892</c:v>
                </c:pt>
                <c:pt idx="597">
                  <c:v>41883.414583333331</c:v>
                </c:pt>
                <c:pt idx="598">
                  <c:v>41883.415277777778</c:v>
                </c:pt>
                <c:pt idx="599">
                  <c:v>41883.415972222225</c:v>
                </c:pt>
                <c:pt idx="600">
                  <c:v>41883.416666666664</c:v>
                </c:pt>
                <c:pt idx="601">
                  <c:v>41883.417361111111</c:v>
                </c:pt>
                <c:pt idx="602">
                  <c:v>41883.418055555558</c:v>
                </c:pt>
                <c:pt idx="603">
                  <c:v>41883.418749999997</c:v>
                </c:pt>
                <c:pt idx="604">
                  <c:v>41883.419444444444</c:v>
                </c:pt>
                <c:pt idx="605">
                  <c:v>41883.420138888891</c:v>
                </c:pt>
                <c:pt idx="606">
                  <c:v>41883.42083333333</c:v>
                </c:pt>
                <c:pt idx="607">
                  <c:v>41883.421527777777</c:v>
                </c:pt>
                <c:pt idx="608">
                  <c:v>41883.422222222223</c:v>
                </c:pt>
                <c:pt idx="609">
                  <c:v>41883.42291666667</c:v>
                </c:pt>
                <c:pt idx="610">
                  <c:v>41883.423611111109</c:v>
                </c:pt>
                <c:pt idx="611">
                  <c:v>41883.424305555556</c:v>
                </c:pt>
                <c:pt idx="612">
                  <c:v>41883.425000000003</c:v>
                </c:pt>
                <c:pt idx="613">
                  <c:v>41883.425694444442</c:v>
                </c:pt>
                <c:pt idx="614">
                  <c:v>41883.426388888889</c:v>
                </c:pt>
                <c:pt idx="615">
                  <c:v>41883.427083333336</c:v>
                </c:pt>
                <c:pt idx="616">
                  <c:v>41883.427777777775</c:v>
                </c:pt>
                <c:pt idx="617">
                  <c:v>41883.428472222222</c:v>
                </c:pt>
                <c:pt idx="618">
                  <c:v>41883.429166666669</c:v>
                </c:pt>
                <c:pt idx="619">
                  <c:v>41883.429861111108</c:v>
                </c:pt>
                <c:pt idx="620">
                  <c:v>41883.430555555555</c:v>
                </c:pt>
                <c:pt idx="621">
                  <c:v>41883.431250000001</c:v>
                </c:pt>
                <c:pt idx="622">
                  <c:v>41883.431944444441</c:v>
                </c:pt>
                <c:pt idx="623">
                  <c:v>41883.432638888888</c:v>
                </c:pt>
                <c:pt idx="624">
                  <c:v>41883.433333333334</c:v>
                </c:pt>
                <c:pt idx="625">
                  <c:v>41883.434027777781</c:v>
                </c:pt>
                <c:pt idx="626">
                  <c:v>41883.43472222222</c:v>
                </c:pt>
                <c:pt idx="627">
                  <c:v>41883.435416666667</c:v>
                </c:pt>
                <c:pt idx="628">
                  <c:v>41883.436111111114</c:v>
                </c:pt>
                <c:pt idx="629">
                  <c:v>41883.436805555553</c:v>
                </c:pt>
                <c:pt idx="630">
                  <c:v>41883.4375</c:v>
                </c:pt>
                <c:pt idx="631">
                  <c:v>41883.438194444447</c:v>
                </c:pt>
                <c:pt idx="632">
                  <c:v>41883.438888888886</c:v>
                </c:pt>
                <c:pt idx="633">
                  <c:v>41883.439583333333</c:v>
                </c:pt>
                <c:pt idx="634">
                  <c:v>41883.44027777778</c:v>
                </c:pt>
                <c:pt idx="635">
                  <c:v>41883.440972222219</c:v>
                </c:pt>
                <c:pt idx="636">
                  <c:v>41883.441666666666</c:v>
                </c:pt>
                <c:pt idx="637">
                  <c:v>41883.442361111112</c:v>
                </c:pt>
                <c:pt idx="638">
                  <c:v>41883.443055555559</c:v>
                </c:pt>
                <c:pt idx="639">
                  <c:v>41883.443749999999</c:v>
                </c:pt>
                <c:pt idx="640">
                  <c:v>41883.444444444445</c:v>
                </c:pt>
                <c:pt idx="641">
                  <c:v>41883.445138888892</c:v>
                </c:pt>
                <c:pt idx="642">
                  <c:v>41883.445833333331</c:v>
                </c:pt>
                <c:pt idx="643">
                  <c:v>41883.446527777778</c:v>
                </c:pt>
                <c:pt idx="644">
                  <c:v>41883.447222222225</c:v>
                </c:pt>
                <c:pt idx="645">
                  <c:v>41883.447916666664</c:v>
                </c:pt>
                <c:pt idx="646">
                  <c:v>41883.448611111111</c:v>
                </c:pt>
                <c:pt idx="647">
                  <c:v>41883.449305555558</c:v>
                </c:pt>
                <c:pt idx="648">
                  <c:v>41883.449999999997</c:v>
                </c:pt>
                <c:pt idx="649">
                  <c:v>41883.450694444444</c:v>
                </c:pt>
                <c:pt idx="650">
                  <c:v>41883.451388888891</c:v>
                </c:pt>
                <c:pt idx="651">
                  <c:v>41883.45208333333</c:v>
                </c:pt>
                <c:pt idx="652">
                  <c:v>41883.452777777777</c:v>
                </c:pt>
                <c:pt idx="653">
                  <c:v>41883.453472222223</c:v>
                </c:pt>
                <c:pt idx="654">
                  <c:v>41883.45416666667</c:v>
                </c:pt>
                <c:pt idx="655">
                  <c:v>41883.454861111109</c:v>
                </c:pt>
                <c:pt idx="656">
                  <c:v>41883.455555555556</c:v>
                </c:pt>
                <c:pt idx="657">
                  <c:v>41883.456250000003</c:v>
                </c:pt>
                <c:pt idx="658">
                  <c:v>41883.456944444442</c:v>
                </c:pt>
                <c:pt idx="659">
                  <c:v>41883.457638888889</c:v>
                </c:pt>
                <c:pt idx="660">
                  <c:v>41883.458333333336</c:v>
                </c:pt>
                <c:pt idx="661">
                  <c:v>41883.459027777775</c:v>
                </c:pt>
                <c:pt idx="662">
                  <c:v>41883.459722222222</c:v>
                </c:pt>
                <c:pt idx="663">
                  <c:v>41883.460416666669</c:v>
                </c:pt>
                <c:pt idx="664">
                  <c:v>41883.461111111108</c:v>
                </c:pt>
                <c:pt idx="665">
                  <c:v>41883.461805555555</c:v>
                </c:pt>
                <c:pt idx="666">
                  <c:v>41883.462500000001</c:v>
                </c:pt>
                <c:pt idx="667">
                  <c:v>41883.463194444441</c:v>
                </c:pt>
                <c:pt idx="668">
                  <c:v>41883.463888888888</c:v>
                </c:pt>
                <c:pt idx="669">
                  <c:v>41883.464583333334</c:v>
                </c:pt>
                <c:pt idx="670">
                  <c:v>41883.465277777781</c:v>
                </c:pt>
                <c:pt idx="671">
                  <c:v>41883.46597222222</c:v>
                </c:pt>
                <c:pt idx="672">
                  <c:v>41883.466666666667</c:v>
                </c:pt>
                <c:pt idx="673">
                  <c:v>41883.467361111114</c:v>
                </c:pt>
                <c:pt idx="674">
                  <c:v>41883.468055555553</c:v>
                </c:pt>
                <c:pt idx="675">
                  <c:v>41883.46875</c:v>
                </c:pt>
                <c:pt idx="676">
                  <c:v>41883.469444444447</c:v>
                </c:pt>
                <c:pt idx="677">
                  <c:v>41883.470138888886</c:v>
                </c:pt>
                <c:pt idx="678">
                  <c:v>41883.470833333333</c:v>
                </c:pt>
                <c:pt idx="679">
                  <c:v>41883.47152777778</c:v>
                </c:pt>
                <c:pt idx="680">
                  <c:v>41883.472222222219</c:v>
                </c:pt>
                <c:pt idx="681">
                  <c:v>41883.472916666666</c:v>
                </c:pt>
                <c:pt idx="682">
                  <c:v>41883.473611111112</c:v>
                </c:pt>
                <c:pt idx="683">
                  <c:v>41883.474305555559</c:v>
                </c:pt>
                <c:pt idx="684">
                  <c:v>41883.474999999999</c:v>
                </c:pt>
                <c:pt idx="685">
                  <c:v>41883.475694444445</c:v>
                </c:pt>
                <c:pt idx="686">
                  <c:v>41883.476388888892</c:v>
                </c:pt>
                <c:pt idx="687">
                  <c:v>41883.477083333331</c:v>
                </c:pt>
                <c:pt idx="688">
                  <c:v>41883.477777777778</c:v>
                </c:pt>
                <c:pt idx="689">
                  <c:v>41883.478472222225</c:v>
                </c:pt>
                <c:pt idx="690">
                  <c:v>41883.479166666664</c:v>
                </c:pt>
                <c:pt idx="691">
                  <c:v>41883.479861111111</c:v>
                </c:pt>
                <c:pt idx="692">
                  <c:v>41883.480555555558</c:v>
                </c:pt>
                <c:pt idx="693">
                  <c:v>41883.481249999997</c:v>
                </c:pt>
                <c:pt idx="694">
                  <c:v>41883.481944444444</c:v>
                </c:pt>
                <c:pt idx="695">
                  <c:v>41883.482638888891</c:v>
                </c:pt>
                <c:pt idx="696">
                  <c:v>41883.48333333333</c:v>
                </c:pt>
                <c:pt idx="697">
                  <c:v>41883.484027777777</c:v>
                </c:pt>
                <c:pt idx="698">
                  <c:v>41883.484722222223</c:v>
                </c:pt>
                <c:pt idx="699">
                  <c:v>41883.48541666667</c:v>
                </c:pt>
                <c:pt idx="700">
                  <c:v>41883.486111111109</c:v>
                </c:pt>
                <c:pt idx="701">
                  <c:v>41883.486805555556</c:v>
                </c:pt>
                <c:pt idx="702">
                  <c:v>41883.487500000003</c:v>
                </c:pt>
                <c:pt idx="703">
                  <c:v>41883.488194444442</c:v>
                </c:pt>
                <c:pt idx="704">
                  <c:v>41883.488888888889</c:v>
                </c:pt>
                <c:pt idx="705">
                  <c:v>41883.489583333336</c:v>
                </c:pt>
                <c:pt idx="706">
                  <c:v>41883.490277777775</c:v>
                </c:pt>
                <c:pt idx="707">
                  <c:v>41883.490972222222</c:v>
                </c:pt>
                <c:pt idx="708">
                  <c:v>41883.491666666669</c:v>
                </c:pt>
                <c:pt idx="709">
                  <c:v>41883.492361111108</c:v>
                </c:pt>
                <c:pt idx="710">
                  <c:v>41883.493055555555</c:v>
                </c:pt>
                <c:pt idx="711">
                  <c:v>41883.493750000001</c:v>
                </c:pt>
                <c:pt idx="712">
                  <c:v>41883.494444444441</c:v>
                </c:pt>
                <c:pt idx="713">
                  <c:v>41883.495138888888</c:v>
                </c:pt>
                <c:pt idx="714">
                  <c:v>41883.495833333334</c:v>
                </c:pt>
                <c:pt idx="715">
                  <c:v>41883.496527777781</c:v>
                </c:pt>
                <c:pt idx="716">
                  <c:v>41883.49722222222</c:v>
                </c:pt>
                <c:pt idx="717">
                  <c:v>41883.497916666667</c:v>
                </c:pt>
                <c:pt idx="718">
                  <c:v>41883.498611111114</c:v>
                </c:pt>
                <c:pt idx="719">
                  <c:v>41883.499305555553</c:v>
                </c:pt>
                <c:pt idx="720">
                  <c:v>41883.5</c:v>
                </c:pt>
                <c:pt idx="721">
                  <c:v>41883.500694444447</c:v>
                </c:pt>
                <c:pt idx="722">
                  <c:v>41883.501388888886</c:v>
                </c:pt>
                <c:pt idx="723">
                  <c:v>41883.502083333333</c:v>
                </c:pt>
                <c:pt idx="724">
                  <c:v>41883.50277777778</c:v>
                </c:pt>
                <c:pt idx="725">
                  <c:v>41883.503472222219</c:v>
                </c:pt>
                <c:pt idx="726">
                  <c:v>41883.504166666666</c:v>
                </c:pt>
                <c:pt idx="727">
                  <c:v>41883.504861111112</c:v>
                </c:pt>
                <c:pt idx="728">
                  <c:v>41883.505555555559</c:v>
                </c:pt>
                <c:pt idx="729">
                  <c:v>41883.506249999999</c:v>
                </c:pt>
                <c:pt idx="730">
                  <c:v>41883.506944444445</c:v>
                </c:pt>
                <c:pt idx="731">
                  <c:v>41883.507638888892</c:v>
                </c:pt>
                <c:pt idx="732">
                  <c:v>41883.508333333331</c:v>
                </c:pt>
                <c:pt idx="733">
                  <c:v>41883.509027777778</c:v>
                </c:pt>
                <c:pt idx="734">
                  <c:v>41883.509722222225</c:v>
                </c:pt>
                <c:pt idx="735">
                  <c:v>41883.510416666664</c:v>
                </c:pt>
                <c:pt idx="736">
                  <c:v>41883.511111111111</c:v>
                </c:pt>
                <c:pt idx="737">
                  <c:v>41883.511805555558</c:v>
                </c:pt>
                <c:pt idx="738">
                  <c:v>41883.512499999997</c:v>
                </c:pt>
                <c:pt idx="739">
                  <c:v>41883.513194444444</c:v>
                </c:pt>
                <c:pt idx="740">
                  <c:v>41883.513888888891</c:v>
                </c:pt>
                <c:pt idx="741">
                  <c:v>41883.51458333333</c:v>
                </c:pt>
                <c:pt idx="742">
                  <c:v>41883.515277777777</c:v>
                </c:pt>
                <c:pt idx="743">
                  <c:v>41883.515972222223</c:v>
                </c:pt>
                <c:pt idx="744">
                  <c:v>41883.51666666667</c:v>
                </c:pt>
                <c:pt idx="745">
                  <c:v>41883.517361111109</c:v>
                </c:pt>
                <c:pt idx="746">
                  <c:v>41883.518055555556</c:v>
                </c:pt>
                <c:pt idx="747">
                  <c:v>41883.518750000003</c:v>
                </c:pt>
                <c:pt idx="748">
                  <c:v>41883.519444444442</c:v>
                </c:pt>
                <c:pt idx="749">
                  <c:v>41883.520138888889</c:v>
                </c:pt>
                <c:pt idx="750">
                  <c:v>41883.520833333336</c:v>
                </c:pt>
                <c:pt idx="751">
                  <c:v>41883.521527777775</c:v>
                </c:pt>
                <c:pt idx="752">
                  <c:v>41883.522222222222</c:v>
                </c:pt>
                <c:pt idx="753">
                  <c:v>41883.522916666669</c:v>
                </c:pt>
                <c:pt idx="754">
                  <c:v>41883.523611111108</c:v>
                </c:pt>
                <c:pt idx="755">
                  <c:v>41883.524305555555</c:v>
                </c:pt>
                <c:pt idx="756">
                  <c:v>41883.525000000001</c:v>
                </c:pt>
                <c:pt idx="757">
                  <c:v>41883.525694444441</c:v>
                </c:pt>
                <c:pt idx="758">
                  <c:v>41883.526388888888</c:v>
                </c:pt>
                <c:pt idx="759">
                  <c:v>41883.527083333334</c:v>
                </c:pt>
                <c:pt idx="760">
                  <c:v>41883.527777777781</c:v>
                </c:pt>
                <c:pt idx="761">
                  <c:v>41883.52847222222</c:v>
                </c:pt>
                <c:pt idx="762">
                  <c:v>41883.529166666667</c:v>
                </c:pt>
                <c:pt idx="763">
                  <c:v>41883.529861111114</c:v>
                </c:pt>
                <c:pt idx="764">
                  <c:v>41883.530555555553</c:v>
                </c:pt>
                <c:pt idx="765">
                  <c:v>41883.53125</c:v>
                </c:pt>
                <c:pt idx="766">
                  <c:v>41883.531944444447</c:v>
                </c:pt>
                <c:pt idx="767">
                  <c:v>41883.532638888886</c:v>
                </c:pt>
                <c:pt idx="768">
                  <c:v>41883.533333333333</c:v>
                </c:pt>
                <c:pt idx="769">
                  <c:v>41883.53402777778</c:v>
                </c:pt>
                <c:pt idx="770">
                  <c:v>41883.534722222219</c:v>
                </c:pt>
                <c:pt idx="771">
                  <c:v>41883.535416666666</c:v>
                </c:pt>
                <c:pt idx="772">
                  <c:v>41883.536111111112</c:v>
                </c:pt>
                <c:pt idx="773">
                  <c:v>41883.536805555559</c:v>
                </c:pt>
                <c:pt idx="774">
                  <c:v>41883.537499999999</c:v>
                </c:pt>
                <c:pt idx="775">
                  <c:v>41883.538194444445</c:v>
                </c:pt>
                <c:pt idx="776">
                  <c:v>41883.538888888892</c:v>
                </c:pt>
                <c:pt idx="777">
                  <c:v>41883.539583333331</c:v>
                </c:pt>
                <c:pt idx="778">
                  <c:v>41883.540277777778</c:v>
                </c:pt>
                <c:pt idx="779">
                  <c:v>41883.540972222225</c:v>
                </c:pt>
                <c:pt idx="780">
                  <c:v>41883.541666666664</c:v>
                </c:pt>
                <c:pt idx="781">
                  <c:v>41883.542361111111</c:v>
                </c:pt>
                <c:pt idx="782">
                  <c:v>41883.543055555558</c:v>
                </c:pt>
                <c:pt idx="783">
                  <c:v>41883.543749999997</c:v>
                </c:pt>
                <c:pt idx="784">
                  <c:v>41883.544444444444</c:v>
                </c:pt>
                <c:pt idx="785">
                  <c:v>41883.545138888891</c:v>
                </c:pt>
                <c:pt idx="786">
                  <c:v>41883.54583333333</c:v>
                </c:pt>
                <c:pt idx="787">
                  <c:v>41883.546527777777</c:v>
                </c:pt>
                <c:pt idx="788">
                  <c:v>41883.547222222223</c:v>
                </c:pt>
                <c:pt idx="789">
                  <c:v>41883.54791666667</c:v>
                </c:pt>
                <c:pt idx="790">
                  <c:v>41883.548611111109</c:v>
                </c:pt>
                <c:pt idx="791">
                  <c:v>41883.549305555556</c:v>
                </c:pt>
                <c:pt idx="792">
                  <c:v>41883.550000000003</c:v>
                </c:pt>
                <c:pt idx="793">
                  <c:v>41883.550694444442</c:v>
                </c:pt>
                <c:pt idx="794">
                  <c:v>41883.551388888889</c:v>
                </c:pt>
                <c:pt idx="795">
                  <c:v>41883.552083333336</c:v>
                </c:pt>
                <c:pt idx="796">
                  <c:v>41883.552777777775</c:v>
                </c:pt>
                <c:pt idx="797">
                  <c:v>41883.553472222222</c:v>
                </c:pt>
                <c:pt idx="798">
                  <c:v>41883.554166666669</c:v>
                </c:pt>
                <c:pt idx="799">
                  <c:v>41883.554861111108</c:v>
                </c:pt>
                <c:pt idx="800">
                  <c:v>41883.555555555555</c:v>
                </c:pt>
                <c:pt idx="801">
                  <c:v>41883.556250000001</c:v>
                </c:pt>
                <c:pt idx="802">
                  <c:v>41883.556944444441</c:v>
                </c:pt>
                <c:pt idx="803">
                  <c:v>41883.557638888888</c:v>
                </c:pt>
                <c:pt idx="804">
                  <c:v>41883.558333333334</c:v>
                </c:pt>
                <c:pt idx="805">
                  <c:v>41883.559027777781</c:v>
                </c:pt>
                <c:pt idx="806">
                  <c:v>41883.55972222222</c:v>
                </c:pt>
                <c:pt idx="807">
                  <c:v>41883.560416666667</c:v>
                </c:pt>
                <c:pt idx="808">
                  <c:v>41883.561111111114</c:v>
                </c:pt>
                <c:pt idx="809">
                  <c:v>41883.561805555553</c:v>
                </c:pt>
                <c:pt idx="810">
                  <c:v>41883.5625</c:v>
                </c:pt>
                <c:pt idx="811">
                  <c:v>41883.563194444447</c:v>
                </c:pt>
                <c:pt idx="812">
                  <c:v>41883.563888888886</c:v>
                </c:pt>
                <c:pt idx="813">
                  <c:v>41883.564583333333</c:v>
                </c:pt>
                <c:pt idx="814">
                  <c:v>41883.56527777778</c:v>
                </c:pt>
                <c:pt idx="815">
                  <c:v>41883.565972222219</c:v>
                </c:pt>
                <c:pt idx="816">
                  <c:v>41883.566666666666</c:v>
                </c:pt>
                <c:pt idx="817">
                  <c:v>41883.567361111112</c:v>
                </c:pt>
                <c:pt idx="818">
                  <c:v>41883.568055555559</c:v>
                </c:pt>
                <c:pt idx="819">
                  <c:v>41883.568749999999</c:v>
                </c:pt>
                <c:pt idx="820">
                  <c:v>41883.569444444445</c:v>
                </c:pt>
                <c:pt idx="821">
                  <c:v>41883.570138888892</c:v>
                </c:pt>
                <c:pt idx="822">
                  <c:v>41883.570833333331</c:v>
                </c:pt>
                <c:pt idx="823">
                  <c:v>41883.571527777778</c:v>
                </c:pt>
                <c:pt idx="824">
                  <c:v>41883.572222222225</c:v>
                </c:pt>
                <c:pt idx="825">
                  <c:v>41883.572916666664</c:v>
                </c:pt>
                <c:pt idx="826">
                  <c:v>41883.573611111111</c:v>
                </c:pt>
                <c:pt idx="827">
                  <c:v>41883.574305555558</c:v>
                </c:pt>
                <c:pt idx="828">
                  <c:v>41883.574999999997</c:v>
                </c:pt>
                <c:pt idx="829">
                  <c:v>41883.575694444444</c:v>
                </c:pt>
                <c:pt idx="830">
                  <c:v>41883.576388888891</c:v>
                </c:pt>
                <c:pt idx="831">
                  <c:v>41883.57708333333</c:v>
                </c:pt>
                <c:pt idx="832">
                  <c:v>41883.577777777777</c:v>
                </c:pt>
                <c:pt idx="833">
                  <c:v>41883.578472222223</c:v>
                </c:pt>
                <c:pt idx="834">
                  <c:v>41883.57916666667</c:v>
                </c:pt>
                <c:pt idx="835">
                  <c:v>41883.579861111109</c:v>
                </c:pt>
                <c:pt idx="836">
                  <c:v>41883.580555555556</c:v>
                </c:pt>
                <c:pt idx="837">
                  <c:v>41883.581250000003</c:v>
                </c:pt>
                <c:pt idx="838">
                  <c:v>41883.581944444442</c:v>
                </c:pt>
                <c:pt idx="839">
                  <c:v>41883.582638888889</c:v>
                </c:pt>
                <c:pt idx="840">
                  <c:v>41883.583333333336</c:v>
                </c:pt>
                <c:pt idx="841">
                  <c:v>41883.584027777775</c:v>
                </c:pt>
                <c:pt idx="842">
                  <c:v>41883.584722222222</c:v>
                </c:pt>
                <c:pt idx="843">
                  <c:v>41883.585416666669</c:v>
                </c:pt>
                <c:pt idx="844">
                  <c:v>41883.586111111108</c:v>
                </c:pt>
                <c:pt idx="845">
                  <c:v>41883.586805555555</c:v>
                </c:pt>
                <c:pt idx="846">
                  <c:v>41883.587500000001</c:v>
                </c:pt>
                <c:pt idx="847">
                  <c:v>41883.588194444441</c:v>
                </c:pt>
                <c:pt idx="848">
                  <c:v>41883.588888888888</c:v>
                </c:pt>
                <c:pt idx="849">
                  <c:v>41883.589583333334</c:v>
                </c:pt>
                <c:pt idx="850">
                  <c:v>41883.590277777781</c:v>
                </c:pt>
                <c:pt idx="851">
                  <c:v>41883.59097222222</c:v>
                </c:pt>
                <c:pt idx="852">
                  <c:v>41883.591666666667</c:v>
                </c:pt>
                <c:pt idx="853">
                  <c:v>41883.592361111114</c:v>
                </c:pt>
                <c:pt idx="854">
                  <c:v>41883.593055555553</c:v>
                </c:pt>
                <c:pt idx="855">
                  <c:v>41883.59375</c:v>
                </c:pt>
                <c:pt idx="856">
                  <c:v>41883.594444444447</c:v>
                </c:pt>
                <c:pt idx="857">
                  <c:v>41883.595138888886</c:v>
                </c:pt>
                <c:pt idx="858">
                  <c:v>41883.595833333333</c:v>
                </c:pt>
                <c:pt idx="859">
                  <c:v>41883.59652777778</c:v>
                </c:pt>
                <c:pt idx="860">
                  <c:v>41883.597222222219</c:v>
                </c:pt>
                <c:pt idx="861">
                  <c:v>41883.597916666666</c:v>
                </c:pt>
                <c:pt idx="862">
                  <c:v>41883.598611111112</c:v>
                </c:pt>
                <c:pt idx="863">
                  <c:v>41883.599305555559</c:v>
                </c:pt>
                <c:pt idx="864">
                  <c:v>41883.599999999999</c:v>
                </c:pt>
                <c:pt idx="865">
                  <c:v>41883.600694444445</c:v>
                </c:pt>
                <c:pt idx="866">
                  <c:v>41883.601388888892</c:v>
                </c:pt>
                <c:pt idx="867">
                  <c:v>41883.602083333331</c:v>
                </c:pt>
                <c:pt idx="868">
                  <c:v>41883.602777777778</c:v>
                </c:pt>
                <c:pt idx="869">
                  <c:v>41883.603472222225</c:v>
                </c:pt>
                <c:pt idx="870">
                  <c:v>41883.604166666664</c:v>
                </c:pt>
                <c:pt idx="871">
                  <c:v>41883.604861111111</c:v>
                </c:pt>
                <c:pt idx="872">
                  <c:v>41883.605555555558</c:v>
                </c:pt>
                <c:pt idx="873">
                  <c:v>41883.606249999997</c:v>
                </c:pt>
                <c:pt idx="874">
                  <c:v>41883.606944444444</c:v>
                </c:pt>
                <c:pt idx="875">
                  <c:v>41883.607638888891</c:v>
                </c:pt>
                <c:pt idx="876">
                  <c:v>41883.60833333333</c:v>
                </c:pt>
                <c:pt idx="877">
                  <c:v>41883.609027777777</c:v>
                </c:pt>
                <c:pt idx="878">
                  <c:v>41883.609722222223</c:v>
                </c:pt>
                <c:pt idx="879">
                  <c:v>41883.61041666667</c:v>
                </c:pt>
                <c:pt idx="880">
                  <c:v>41883.611111111109</c:v>
                </c:pt>
                <c:pt idx="881">
                  <c:v>41883.611805555556</c:v>
                </c:pt>
                <c:pt idx="882">
                  <c:v>41883.612500000003</c:v>
                </c:pt>
                <c:pt idx="883">
                  <c:v>41883.613194444442</c:v>
                </c:pt>
                <c:pt idx="884">
                  <c:v>41883.613888888889</c:v>
                </c:pt>
                <c:pt idx="885">
                  <c:v>41883.614583333336</c:v>
                </c:pt>
                <c:pt idx="886">
                  <c:v>41883.615277777775</c:v>
                </c:pt>
                <c:pt idx="887">
                  <c:v>41883.615972222222</c:v>
                </c:pt>
                <c:pt idx="888">
                  <c:v>41883.616666666669</c:v>
                </c:pt>
                <c:pt idx="889">
                  <c:v>41883.617361111108</c:v>
                </c:pt>
                <c:pt idx="890">
                  <c:v>41883.618055555555</c:v>
                </c:pt>
                <c:pt idx="891">
                  <c:v>41883.618750000001</c:v>
                </c:pt>
                <c:pt idx="892">
                  <c:v>41883.619444444441</c:v>
                </c:pt>
                <c:pt idx="893">
                  <c:v>41883.620138888888</c:v>
                </c:pt>
                <c:pt idx="894">
                  <c:v>41883.620833333334</c:v>
                </c:pt>
                <c:pt idx="895">
                  <c:v>41883.621527777781</c:v>
                </c:pt>
                <c:pt idx="896">
                  <c:v>41883.62222222222</c:v>
                </c:pt>
                <c:pt idx="897">
                  <c:v>41883.622916666667</c:v>
                </c:pt>
                <c:pt idx="898">
                  <c:v>41883.623611111114</c:v>
                </c:pt>
                <c:pt idx="899">
                  <c:v>41883.624305555553</c:v>
                </c:pt>
                <c:pt idx="900">
                  <c:v>41883.625</c:v>
                </c:pt>
                <c:pt idx="901">
                  <c:v>41883.625694444447</c:v>
                </c:pt>
                <c:pt idx="902">
                  <c:v>41883.626388888886</c:v>
                </c:pt>
                <c:pt idx="903">
                  <c:v>41883.627083333333</c:v>
                </c:pt>
                <c:pt idx="904">
                  <c:v>41883.62777777778</c:v>
                </c:pt>
                <c:pt idx="905">
                  <c:v>41883.628472222219</c:v>
                </c:pt>
                <c:pt idx="906">
                  <c:v>41883.629166666666</c:v>
                </c:pt>
                <c:pt idx="907">
                  <c:v>41883.629861111112</c:v>
                </c:pt>
                <c:pt idx="908">
                  <c:v>41883.630555555559</c:v>
                </c:pt>
                <c:pt idx="909">
                  <c:v>41883.631249999999</c:v>
                </c:pt>
                <c:pt idx="910">
                  <c:v>41883.631944444445</c:v>
                </c:pt>
                <c:pt idx="911">
                  <c:v>41883.632638888892</c:v>
                </c:pt>
                <c:pt idx="912">
                  <c:v>41883.633333333331</c:v>
                </c:pt>
                <c:pt idx="913">
                  <c:v>41883.634027777778</c:v>
                </c:pt>
                <c:pt idx="914">
                  <c:v>41883.634722222225</c:v>
                </c:pt>
                <c:pt idx="915">
                  <c:v>41883.635416666664</c:v>
                </c:pt>
                <c:pt idx="916">
                  <c:v>41883.636111111111</c:v>
                </c:pt>
                <c:pt idx="917">
                  <c:v>41883.636805555558</c:v>
                </c:pt>
                <c:pt idx="918">
                  <c:v>41883.637499999997</c:v>
                </c:pt>
                <c:pt idx="919">
                  <c:v>41883.638194444444</c:v>
                </c:pt>
                <c:pt idx="920">
                  <c:v>41883.638888888891</c:v>
                </c:pt>
                <c:pt idx="921">
                  <c:v>41883.63958333333</c:v>
                </c:pt>
                <c:pt idx="922">
                  <c:v>41883.640277777777</c:v>
                </c:pt>
                <c:pt idx="923">
                  <c:v>41883.640972222223</c:v>
                </c:pt>
                <c:pt idx="924">
                  <c:v>41883.64166666667</c:v>
                </c:pt>
                <c:pt idx="925">
                  <c:v>41883.642361111109</c:v>
                </c:pt>
                <c:pt idx="926">
                  <c:v>41883.643055555556</c:v>
                </c:pt>
                <c:pt idx="927">
                  <c:v>41883.643750000003</c:v>
                </c:pt>
                <c:pt idx="928">
                  <c:v>41883.644444444442</c:v>
                </c:pt>
                <c:pt idx="929">
                  <c:v>41883.645138888889</c:v>
                </c:pt>
                <c:pt idx="930">
                  <c:v>41883.645833333336</c:v>
                </c:pt>
                <c:pt idx="931">
                  <c:v>41883.646527777775</c:v>
                </c:pt>
                <c:pt idx="932">
                  <c:v>41883.647222222222</c:v>
                </c:pt>
                <c:pt idx="933">
                  <c:v>41883.647916666669</c:v>
                </c:pt>
                <c:pt idx="934">
                  <c:v>41883.648611111108</c:v>
                </c:pt>
                <c:pt idx="935">
                  <c:v>41883.649305555555</c:v>
                </c:pt>
                <c:pt idx="936">
                  <c:v>41883.65</c:v>
                </c:pt>
                <c:pt idx="937">
                  <c:v>41883.650694444441</c:v>
                </c:pt>
                <c:pt idx="938">
                  <c:v>41883.651388888888</c:v>
                </c:pt>
                <c:pt idx="939">
                  <c:v>41883.652083333334</c:v>
                </c:pt>
                <c:pt idx="940">
                  <c:v>41883.652777777781</c:v>
                </c:pt>
                <c:pt idx="941">
                  <c:v>41883.65347222222</c:v>
                </c:pt>
                <c:pt idx="942">
                  <c:v>41883.654166666667</c:v>
                </c:pt>
                <c:pt idx="943">
                  <c:v>41883.654861111114</c:v>
                </c:pt>
                <c:pt idx="944">
                  <c:v>41883.655555555553</c:v>
                </c:pt>
                <c:pt idx="945">
                  <c:v>41883.65625</c:v>
                </c:pt>
                <c:pt idx="946">
                  <c:v>41883.656944444447</c:v>
                </c:pt>
                <c:pt idx="947">
                  <c:v>41883.657638888886</c:v>
                </c:pt>
                <c:pt idx="948">
                  <c:v>41883.658333333333</c:v>
                </c:pt>
                <c:pt idx="949">
                  <c:v>41883.65902777778</c:v>
                </c:pt>
                <c:pt idx="950">
                  <c:v>41883.659722222219</c:v>
                </c:pt>
                <c:pt idx="951">
                  <c:v>41883.660416666666</c:v>
                </c:pt>
                <c:pt idx="952">
                  <c:v>41883.661111111112</c:v>
                </c:pt>
                <c:pt idx="953">
                  <c:v>41883.661805555559</c:v>
                </c:pt>
                <c:pt idx="954">
                  <c:v>41883.662499999999</c:v>
                </c:pt>
                <c:pt idx="955">
                  <c:v>41883.663194444445</c:v>
                </c:pt>
                <c:pt idx="956">
                  <c:v>41883.663888888892</c:v>
                </c:pt>
                <c:pt idx="957">
                  <c:v>41883.664583333331</c:v>
                </c:pt>
                <c:pt idx="958">
                  <c:v>41883.665277777778</c:v>
                </c:pt>
                <c:pt idx="959">
                  <c:v>41883.665972222225</c:v>
                </c:pt>
                <c:pt idx="960">
                  <c:v>41883.666666666664</c:v>
                </c:pt>
                <c:pt idx="961">
                  <c:v>41883.667361111111</c:v>
                </c:pt>
                <c:pt idx="962">
                  <c:v>41883.668055555558</c:v>
                </c:pt>
                <c:pt idx="963">
                  <c:v>41883.668749999997</c:v>
                </c:pt>
                <c:pt idx="964">
                  <c:v>41883.669444444444</c:v>
                </c:pt>
                <c:pt idx="965">
                  <c:v>41883.670138888891</c:v>
                </c:pt>
                <c:pt idx="966">
                  <c:v>41883.67083333333</c:v>
                </c:pt>
                <c:pt idx="967">
                  <c:v>41883.671527777777</c:v>
                </c:pt>
                <c:pt idx="968">
                  <c:v>41883.672222222223</c:v>
                </c:pt>
                <c:pt idx="969">
                  <c:v>41883.67291666667</c:v>
                </c:pt>
                <c:pt idx="970">
                  <c:v>41883.673611111109</c:v>
                </c:pt>
                <c:pt idx="971">
                  <c:v>41883.674305555556</c:v>
                </c:pt>
                <c:pt idx="972">
                  <c:v>41883.675000000003</c:v>
                </c:pt>
                <c:pt idx="973">
                  <c:v>41883.675694444442</c:v>
                </c:pt>
                <c:pt idx="974">
                  <c:v>41883.676388888889</c:v>
                </c:pt>
                <c:pt idx="975">
                  <c:v>41883.677083333336</c:v>
                </c:pt>
                <c:pt idx="976">
                  <c:v>41883.677777777775</c:v>
                </c:pt>
                <c:pt idx="977">
                  <c:v>41883.678472222222</c:v>
                </c:pt>
                <c:pt idx="978">
                  <c:v>41883.679166666669</c:v>
                </c:pt>
                <c:pt idx="979">
                  <c:v>41883.679861111108</c:v>
                </c:pt>
                <c:pt idx="980">
                  <c:v>41883.680555555555</c:v>
                </c:pt>
                <c:pt idx="981">
                  <c:v>41883.681250000001</c:v>
                </c:pt>
                <c:pt idx="982">
                  <c:v>41883.681944444441</c:v>
                </c:pt>
                <c:pt idx="983">
                  <c:v>41883.682638888888</c:v>
                </c:pt>
                <c:pt idx="984">
                  <c:v>41883.683333333334</c:v>
                </c:pt>
                <c:pt idx="985">
                  <c:v>41883.684027777781</c:v>
                </c:pt>
                <c:pt idx="986">
                  <c:v>41883.68472222222</c:v>
                </c:pt>
                <c:pt idx="987">
                  <c:v>41883.685416666667</c:v>
                </c:pt>
                <c:pt idx="988">
                  <c:v>41883.686111111114</c:v>
                </c:pt>
                <c:pt idx="989">
                  <c:v>41883.686805555553</c:v>
                </c:pt>
                <c:pt idx="990">
                  <c:v>41883.6875</c:v>
                </c:pt>
                <c:pt idx="991">
                  <c:v>41883.688194444447</c:v>
                </c:pt>
                <c:pt idx="992">
                  <c:v>41883.688888888886</c:v>
                </c:pt>
                <c:pt idx="993">
                  <c:v>41883.689583333333</c:v>
                </c:pt>
                <c:pt idx="994">
                  <c:v>41883.69027777778</c:v>
                </c:pt>
                <c:pt idx="995">
                  <c:v>41883.690972222219</c:v>
                </c:pt>
                <c:pt idx="996">
                  <c:v>41883.691666666666</c:v>
                </c:pt>
                <c:pt idx="997">
                  <c:v>41883.692361111112</c:v>
                </c:pt>
                <c:pt idx="998">
                  <c:v>41883.693055555559</c:v>
                </c:pt>
                <c:pt idx="999">
                  <c:v>41883.693749999999</c:v>
                </c:pt>
                <c:pt idx="1000">
                  <c:v>41883.694444444445</c:v>
                </c:pt>
                <c:pt idx="1001">
                  <c:v>41883.695138888892</c:v>
                </c:pt>
                <c:pt idx="1002">
                  <c:v>41883.695833333331</c:v>
                </c:pt>
                <c:pt idx="1003">
                  <c:v>41883.696527777778</c:v>
                </c:pt>
                <c:pt idx="1004">
                  <c:v>41883.697222222225</c:v>
                </c:pt>
                <c:pt idx="1005">
                  <c:v>41883.697916666664</c:v>
                </c:pt>
                <c:pt idx="1006">
                  <c:v>41883.698611111111</c:v>
                </c:pt>
                <c:pt idx="1007">
                  <c:v>41883.699305555558</c:v>
                </c:pt>
                <c:pt idx="1008">
                  <c:v>41883.699999999997</c:v>
                </c:pt>
                <c:pt idx="1009">
                  <c:v>41883.700694444444</c:v>
                </c:pt>
                <c:pt idx="1010">
                  <c:v>41883.701388888891</c:v>
                </c:pt>
                <c:pt idx="1011">
                  <c:v>41883.70208333333</c:v>
                </c:pt>
                <c:pt idx="1012">
                  <c:v>41883.702777777777</c:v>
                </c:pt>
                <c:pt idx="1013">
                  <c:v>41883.703472222223</c:v>
                </c:pt>
                <c:pt idx="1014">
                  <c:v>41883.70416666667</c:v>
                </c:pt>
                <c:pt idx="1015">
                  <c:v>41883.704861111109</c:v>
                </c:pt>
                <c:pt idx="1016">
                  <c:v>41883.705555555556</c:v>
                </c:pt>
                <c:pt idx="1017">
                  <c:v>41883.706250000003</c:v>
                </c:pt>
                <c:pt idx="1018">
                  <c:v>41883.706944444442</c:v>
                </c:pt>
                <c:pt idx="1019">
                  <c:v>41883.707638888889</c:v>
                </c:pt>
                <c:pt idx="1020">
                  <c:v>41883.708333333336</c:v>
                </c:pt>
                <c:pt idx="1021">
                  <c:v>41883.709027777775</c:v>
                </c:pt>
                <c:pt idx="1022">
                  <c:v>41883.709722222222</c:v>
                </c:pt>
                <c:pt idx="1023">
                  <c:v>41883.710416666669</c:v>
                </c:pt>
                <c:pt idx="1024">
                  <c:v>41883.711111111108</c:v>
                </c:pt>
                <c:pt idx="1025">
                  <c:v>41883.711805555555</c:v>
                </c:pt>
                <c:pt idx="1026">
                  <c:v>41883.712500000001</c:v>
                </c:pt>
                <c:pt idx="1027">
                  <c:v>41883.713194444441</c:v>
                </c:pt>
                <c:pt idx="1028">
                  <c:v>41883.713888888888</c:v>
                </c:pt>
                <c:pt idx="1029">
                  <c:v>41883.714583333334</c:v>
                </c:pt>
                <c:pt idx="1030">
                  <c:v>41883.715277777781</c:v>
                </c:pt>
                <c:pt idx="1031">
                  <c:v>41883.71597222222</c:v>
                </c:pt>
                <c:pt idx="1032">
                  <c:v>41883.716666666667</c:v>
                </c:pt>
                <c:pt idx="1033">
                  <c:v>41883.717361111114</c:v>
                </c:pt>
                <c:pt idx="1034">
                  <c:v>41883.718055555553</c:v>
                </c:pt>
                <c:pt idx="1035">
                  <c:v>41883.71875</c:v>
                </c:pt>
                <c:pt idx="1036">
                  <c:v>41883.719444444447</c:v>
                </c:pt>
                <c:pt idx="1037">
                  <c:v>41883.720138888886</c:v>
                </c:pt>
                <c:pt idx="1038">
                  <c:v>41883.720833333333</c:v>
                </c:pt>
                <c:pt idx="1039">
                  <c:v>41883.72152777778</c:v>
                </c:pt>
                <c:pt idx="1040">
                  <c:v>41883.722222222219</c:v>
                </c:pt>
                <c:pt idx="1041">
                  <c:v>41883.722916666666</c:v>
                </c:pt>
                <c:pt idx="1042">
                  <c:v>41883.723611111112</c:v>
                </c:pt>
                <c:pt idx="1043">
                  <c:v>41883.724305555559</c:v>
                </c:pt>
                <c:pt idx="1044">
                  <c:v>41883.724999999999</c:v>
                </c:pt>
                <c:pt idx="1045">
                  <c:v>41883.725694444445</c:v>
                </c:pt>
                <c:pt idx="1046">
                  <c:v>41883.726388888892</c:v>
                </c:pt>
                <c:pt idx="1047">
                  <c:v>41883.727083333331</c:v>
                </c:pt>
                <c:pt idx="1048">
                  <c:v>41883.727777777778</c:v>
                </c:pt>
                <c:pt idx="1049">
                  <c:v>41883.728472222225</c:v>
                </c:pt>
                <c:pt idx="1050">
                  <c:v>41883.729166666664</c:v>
                </c:pt>
                <c:pt idx="1051">
                  <c:v>41883.729861111111</c:v>
                </c:pt>
                <c:pt idx="1052">
                  <c:v>41883.730555555558</c:v>
                </c:pt>
                <c:pt idx="1053">
                  <c:v>41883.731249999997</c:v>
                </c:pt>
                <c:pt idx="1054">
                  <c:v>41883.731944444444</c:v>
                </c:pt>
                <c:pt idx="1055">
                  <c:v>41883.732638888891</c:v>
                </c:pt>
                <c:pt idx="1056">
                  <c:v>41883.73333333333</c:v>
                </c:pt>
                <c:pt idx="1057">
                  <c:v>41883.734027777777</c:v>
                </c:pt>
                <c:pt idx="1058">
                  <c:v>41883.734722222223</c:v>
                </c:pt>
                <c:pt idx="1059">
                  <c:v>41883.73541666667</c:v>
                </c:pt>
                <c:pt idx="1060">
                  <c:v>41883.736111111109</c:v>
                </c:pt>
                <c:pt idx="1061">
                  <c:v>41883.736805555556</c:v>
                </c:pt>
                <c:pt idx="1062">
                  <c:v>41883.737500000003</c:v>
                </c:pt>
                <c:pt idx="1063">
                  <c:v>41883.738194444442</c:v>
                </c:pt>
                <c:pt idx="1064">
                  <c:v>41883.738888888889</c:v>
                </c:pt>
                <c:pt idx="1065">
                  <c:v>41883.739583333336</c:v>
                </c:pt>
                <c:pt idx="1066">
                  <c:v>41883.740277777775</c:v>
                </c:pt>
                <c:pt idx="1067">
                  <c:v>41883.740972222222</c:v>
                </c:pt>
                <c:pt idx="1068">
                  <c:v>41883.741666666669</c:v>
                </c:pt>
                <c:pt idx="1069">
                  <c:v>41883.742361111108</c:v>
                </c:pt>
                <c:pt idx="1070">
                  <c:v>41883.743055555555</c:v>
                </c:pt>
                <c:pt idx="1071">
                  <c:v>41883.743750000001</c:v>
                </c:pt>
                <c:pt idx="1072">
                  <c:v>41883.744444444441</c:v>
                </c:pt>
                <c:pt idx="1073">
                  <c:v>41883.745138888888</c:v>
                </c:pt>
                <c:pt idx="1074">
                  <c:v>41883.745833333334</c:v>
                </c:pt>
                <c:pt idx="1075">
                  <c:v>41883.746527777781</c:v>
                </c:pt>
                <c:pt idx="1076">
                  <c:v>41883.74722222222</c:v>
                </c:pt>
                <c:pt idx="1077">
                  <c:v>41883.747916666667</c:v>
                </c:pt>
                <c:pt idx="1078">
                  <c:v>41883.748611111114</c:v>
                </c:pt>
                <c:pt idx="1079">
                  <c:v>41883.749305555553</c:v>
                </c:pt>
                <c:pt idx="1080">
                  <c:v>41883.75</c:v>
                </c:pt>
                <c:pt idx="1081">
                  <c:v>41883.750694444447</c:v>
                </c:pt>
                <c:pt idx="1082">
                  <c:v>41883.751388888886</c:v>
                </c:pt>
                <c:pt idx="1083">
                  <c:v>41883.752083333333</c:v>
                </c:pt>
                <c:pt idx="1084">
                  <c:v>41883.75277777778</c:v>
                </c:pt>
                <c:pt idx="1085">
                  <c:v>41883.753472222219</c:v>
                </c:pt>
                <c:pt idx="1086">
                  <c:v>41883.754166666666</c:v>
                </c:pt>
                <c:pt idx="1087">
                  <c:v>41883.754861111112</c:v>
                </c:pt>
                <c:pt idx="1088">
                  <c:v>41883.755555555559</c:v>
                </c:pt>
                <c:pt idx="1089">
                  <c:v>41883.756249999999</c:v>
                </c:pt>
                <c:pt idx="1090">
                  <c:v>41883.756944444445</c:v>
                </c:pt>
                <c:pt idx="1091">
                  <c:v>41883.757638888892</c:v>
                </c:pt>
                <c:pt idx="1092">
                  <c:v>41883.758333333331</c:v>
                </c:pt>
                <c:pt idx="1093">
                  <c:v>41883.759027777778</c:v>
                </c:pt>
                <c:pt idx="1094">
                  <c:v>41883.759722222225</c:v>
                </c:pt>
                <c:pt idx="1095">
                  <c:v>41883.760416666664</c:v>
                </c:pt>
                <c:pt idx="1096">
                  <c:v>41883.761111111111</c:v>
                </c:pt>
                <c:pt idx="1097">
                  <c:v>41883.761805555558</c:v>
                </c:pt>
                <c:pt idx="1098">
                  <c:v>41883.762499999997</c:v>
                </c:pt>
                <c:pt idx="1099">
                  <c:v>41883.763194444444</c:v>
                </c:pt>
                <c:pt idx="1100">
                  <c:v>41883.763888888891</c:v>
                </c:pt>
                <c:pt idx="1101">
                  <c:v>41883.76458333333</c:v>
                </c:pt>
                <c:pt idx="1102">
                  <c:v>41883.765277777777</c:v>
                </c:pt>
                <c:pt idx="1103">
                  <c:v>41883.765972222223</c:v>
                </c:pt>
                <c:pt idx="1104">
                  <c:v>41883.76666666667</c:v>
                </c:pt>
                <c:pt idx="1105">
                  <c:v>41883.767361111109</c:v>
                </c:pt>
                <c:pt idx="1106">
                  <c:v>41883.768055555556</c:v>
                </c:pt>
                <c:pt idx="1107">
                  <c:v>41883.768750000003</c:v>
                </c:pt>
                <c:pt idx="1108">
                  <c:v>41883.769444444442</c:v>
                </c:pt>
                <c:pt idx="1109">
                  <c:v>41883.770138888889</c:v>
                </c:pt>
                <c:pt idx="1110">
                  <c:v>41883.770833333336</c:v>
                </c:pt>
                <c:pt idx="1111">
                  <c:v>41883.771527777775</c:v>
                </c:pt>
                <c:pt idx="1112">
                  <c:v>41883.772222222222</c:v>
                </c:pt>
                <c:pt idx="1113">
                  <c:v>41883.772916666669</c:v>
                </c:pt>
                <c:pt idx="1114">
                  <c:v>41883.773611111108</c:v>
                </c:pt>
                <c:pt idx="1115">
                  <c:v>41883.774305555555</c:v>
                </c:pt>
                <c:pt idx="1116">
                  <c:v>41883.775000000001</c:v>
                </c:pt>
                <c:pt idx="1117">
                  <c:v>41883.775694444441</c:v>
                </c:pt>
                <c:pt idx="1118">
                  <c:v>41883.776388888888</c:v>
                </c:pt>
                <c:pt idx="1119">
                  <c:v>41883.777083333334</c:v>
                </c:pt>
                <c:pt idx="1120">
                  <c:v>41883.777777777781</c:v>
                </c:pt>
                <c:pt idx="1121">
                  <c:v>41883.77847222222</c:v>
                </c:pt>
                <c:pt idx="1122">
                  <c:v>41883.779166666667</c:v>
                </c:pt>
                <c:pt idx="1123">
                  <c:v>41883.779861111114</c:v>
                </c:pt>
                <c:pt idx="1124">
                  <c:v>41883.780555555553</c:v>
                </c:pt>
                <c:pt idx="1125">
                  <c:v>41883.78125</c:v>
                </c:pt>
                <c:pt idx="1126">
                  <c:v>41883.781944444447</c:v>
                </c:pt>
                <c:pt idx="1127">
                  <c:v>41883.782638888886</c:v>
                </c:pt>
                <c:pt idx="1128">
                  <c:v>41883.783333333333</c:v>
                </c:pt>
                <c:pt idx="1129">
                  <c:v>41883.78402777778</c:v>
                </c:pt>
                <c:pt idx="1130">
                  <c:v>41883.784722222219</c:v>
                </c:pt>
                <c:pt idx="1131">
                  <c:v>41883.785416666666</c:v>
                </c:pt>
                <c:pt idx="1132">
                  <c:v>41883.786111111112</c:v>
                </c:pt>
                <c:pt idx="1133">
                  <c:v>41883.786805555559</c:v>
                </c:pt>
                <c:pt idx="1134">
                  <c:v>41883.787499999999</c:v>
                </c:pt>
                <c:pt idx="1135">
                  <c:v>41883.788194444445</c:v>
                </c:pt>
                <c:pt idx="1136">
                  <c:v>41883.788888888892</c:v>
                </c:pt>
                <c:pt idx="1137">
                  <c:v>41883.789583333331</c:v>
                </c:pt>
                <c:pt idx="1138">
                  <c:v>41883.790277777778</c:v>
                </c:pt>
                <c:pt idx="1139">
                  <c:v>41883.790972222225</c:v>
                </c:pt>
                <c:pt idx="1140">
                  <c:v>41883.791666666664</c:v>
                </c:pt>
                <c:pt idx="1141">
                  <c:v>41883.792361111111</c:v>
                </c:pt>
                <c:pt idx="1142">
                  <c:v>41883.793055555558</c:v>
                </c:pt>
                <c:pt idx="1143">
                  <c:v>41883.793749999997</c:v>
                </c:pt>
                <c:pt idx="1144">
                  <c:v>41883.794444444444</c:v>
                </c:pt>
                <c:pt idx="1145">
                  <c:v>41883.795138888891</c:v>
                </c:pt>
                <c:pt idx="1146">
                  <c:v>41883.79583333333</c:v>
                </c:pt>
                <c:pt idx="1147">
                  <c:v>41883.796527777777</c:v>
                </c:pt>
                <c:pt idx="1148">
                  <c:v>41883.797222222223</c:v>
                </c:pt>
                <c:pt idx="1149">
                  <c:v>41883.79791666667</c:v>
                </c:pt>
                <c:pt idx="1150">
                  <c:v>41883.798611111109</c:v>
                </c:pt>
                <c:pt idx="1151">
                  <c:v>41883.799305555556</c:v>
                </c:pt>
                <c:pt idx="1152">
                  <c:v>41883.800000000003</c:v>
                </c:pt>
                <c:pt idx="1153">
                  <c:v>41883.800694444442</c:v>
                </c:pt>
                <c:pt idx="1154">
                  <c:v>41883.801388888889</c:v>
                </c:pt>
                <c:pt idx="1155">
                  <c:v>41883.802083333336</c:v>
                </c:pt>
                <c:pt idx="1156">
                  <c:v>41883.802777777775</c:v>
                </c:pt>
                <c:pt idx="1157">
                  <c:v>41883.803472222222</c:v>
                </c:pt>
                <c:pt idx="1158">
                  <c:v>41883.804166666669</c:v>
                </c:pt>
                <c:pt idx="1159">
                  <c:v>41883.804861111108</c:v>
                </c:pt>
                <c:pt idx="1160">
                  <c:v>41883.805555555555</c:v>
                </c:pt>
                <c:pt idx="1161">
                  <c:v>41883.806250000001</c:v>
                </c:pt>
                <c:pt idx="1162">
                  <c:v>41883.806944444441</c:v>
                </c:pt>
                <c:pt idx="1163">
                  <c:v>41883.807638888888</c:v>
                </c:pt>
                <c:pt idx="1164">
                  <c:v>41883.808333333334</c:v>
                </c:pt>
                <c:pt idx="1165">
                  <c:v>41883.809027777781</c:v>
                </c:pt>
                <c:pt idx="1166">
                  <c:v>41883.80972222222</c:v>
                </c:pt>
                <c:pt idx="1167">
                  <c:v>41883.810416666667</c:v>
                </c:pt>
                <c:pt idx="1168">
                  <c:v>41883.811111111114</c:v>
                </c:pt>
                <c:pt idx="1169">
                  <c:v>41883.811805555553</c:v>
                </c:pt>
                <c:pt idx="1170">
                  <c:v>41883.8125</c:v>
                </c:pt>
                <c:pt idx="1171">
                  <c:v>41883.813194444447</c:v>
                </c:pt>
                <c:pt idx="1172">
                  <c:v>41883.813888888886</c:v>
                </c:pt>
                <c:pt idx="1173">
                  <c:v>41883.814583333333</c:v>
                </c:pt>
                <c:pt idx="1174">
                  <c:v>41883.81527777778</c:v>
                </c:pt>
                <c:pt idx="1175">
                  <c:v>41883.815972222219</c:v>
                </c:pt>
                <c:pt idx="1176">
                  <c:v>41883.816666666666</c:v>
                </c:pt>
                <c:pt idx="1177">
                  <c:v>41883.817361111112</c:v>
                </c:pt>
                <c:pt idx="1178">
                  <c:v>41883.818055555559</c:v>
                </c:pt>
                <c:pt idx="1179">
                  <c:v>41883.818749999999</c:v>
                </c:pt>
                <c:pt idx="1180">
                  <c:v>41883.819444444445</c:v>
                </c:pt>
                <c:pt idx="1181">
                  <c:v>41883.820138888892</c:v>
                </c:pt>
                <c:pt idx="1182">
                  <c:v>41883.820833333331</c:v>
                </c:pt>
                <c:pt idx="1183">
                  <c:v>41883.821527777778</c:v>
                </c:pt>
                <c:pt idx="1184">
                  <c:v>41883.822222222225</c:v>
                </c:pt>
                <c:pt idx="1185">
                  <c:v>41883.822916666664</c:v>
                </c:pt>
                <c:pt idx="1186">
                  <c:v>41883.823611111111</c:v>
                </c:pt>
                <c:pt idx="1187">
                  <c:v>41883.824305555558</c:v>
                </c:pt>
                <c:pt idx="1188">
                  <c:v>41883.824999999997</c:v>
                </c:pt>
                <c:pt idx="1189">
                  <c:v>41883.825694444444</c:v>
                </c:pt>
                <c:pt idx="1190">
                  <c:v>41883.826388888891</c:v>
                </c:pt>
                <c:pt idx="1191">
                  <c:v>41883.82708333333</c:v>
                </c:pt>
                <c:pt idx="1192">
                  <c:v>41883.827777777777</c:v>
                </c:pt>
                <c:pt idx="1193">
                  <c:v>41883.828472222223</c:v>
                </c:pt>
                <c:pt idx="1194">
                  <c:v>41883.82916666667</c:v>
                </c:pt>
                <c:pt idx="1195">
                  <c:v>41883.829861111109</c:v>
                </c:pt>
                <c:pt idx="1196">
                  <c:v>41883.830555555556</c:v>
                </c:pt>
                <c:pt idx="1197">
                  <c:v>41883.831250000003</c:v>
                </c:pt>
                <c:pt idx="1198">
                  <c:v>41883.831944444442</c:v>
                </c:pt>
                <c:pt idx="1199">
                  <c:v>41883.832638888889</c:v>
                </c:pt>
                <c:pt idx="1200">
                  <c:v>41883.833333333336</c:v>
                </c:pt>
                <c:pt idx="1201">
                  <c:v>41883.834027777775</c:v>
                </c:pt>
                <c:pt idx="1202">
                  <c:v>41883.834722222222</c:v>
                </c:pt>
                <c:pt idx="1203">
                  <c:v>41883.835416666669</c:v>
                </c:pt>
                <c:pt idx="1204">
                  <c:v>41883.836111111108</c:v>
                </c:pt>
                <c:pt idx="1205">
                  <c:v>41883.836805555555</c:v>
                </c:pt>
                <c:pt idx="1206">
                  <c:v>41883.837500000001</c:v>
                </c:pt>
                <c:pt idx="1207">
                  <c:v>41883.838194444441</c:v>
                </c:pt>
                <c:pt idx="1208">
                  <c:v>41883.838888888888</c:v>
                </c:pt>
                <c:pt idx="1209">
                  <c:v>41883.839583333334</c:v>
                </c:pt>
                <c:pt idx="1210">
                  <c:v>41883.840277777781</c:v>
                </c:pt>
                <c:pt idx="1211">
                  <c:v>41883.84097222222</c:v>
                </c:pt>
                <c:pt idx="1212">
                  <c:v>41883.841666666667</c:v>
                </c:pt>
                <c:pt idx="1213">
                  <c:v>41883.842361111114</c:v>
                </c:pt>
                <c:pt idx="1214">
                  <c:v>41883.843055555553</c:v>
                </c:pt>
                <c:pt idx="1215">
                  <c:v>41883.84375</c:v>
                </c:pt>
                <c:pt idx="1216">
                  <c:v>41883.844444444447</c:v>
                </c:pt>
                <c:pt idx="1217">
                  <c:v>41883.845138888886</c:v>
                </c:pt>
                <c:pt idx="1218">
                  <c:v>41883.845833333333</c:v>
                </c:pt>
                <c:pt idx="1219">
                  <c:v>41883.84652777778</c:v>
                </c:pt>
                <c:pt idx="1220">
                  <c:v>41883.847222222219</c:v>
                </c:pt>
                <c:pt idx="1221">
                  <c:v>41883.847916666666</c:v>
                </c:pt>
                <c:pt idx="1222">
                  <c:v>41883.848611111112</c:v>
                </c:pt>
                <c:pt idx="1223">
                  <c:v>41883.849305555559</c:v>
                </c:pt>
                <c:pt idx="1224">
                  <c:v>41883.85</c:v>
                </c:pt>
                <c:pt idx="1225">
                  <c:v>41883.850694444445</c:v>
                </c:pt>
                <c:pt idx="1226">
                  <c:v>41883.851388888892</c:v>
                </c:pt>
                <c:pt idx="1227">
                  <c:v>41883.852083333331</c:v>
                </c:pt>
                <c:pt idx="1228">
                  <c:v>41883.852777777778</c:v>
                </c:pt>
                <c:pt idx="1229">
                  <c:v>41883.853472222225</c:v>
                </c:pt>
                <c:pt idx="1230">
                  <c:v>41883.854166666664</c:v>
                </c:pt>
                <c:pt idx="1231">
                  <c:v>41883.854861111111</c:v>
                </c:pt>
                <c:pt idx="1232">
                  <c:v>41883.855555555558</c:v>
                </c:pt>
                <c:pt idx="1233">
                  <c:v>41883.856249999997</c:v>
                </c:pt>
                <c:pt idx="1234">
                  <c:v>41883.856944444444</c:v>
                </c:pt>
                <c:pt idx="1235">
                  <c:v>41883.857638888891</c:v>
                </c:pt>
                <c:pt idx="1236">
                  <c:v>41883.85833333333</c:v>
                </c:pt>
                <c:pt idx="1237">
                  <c:v>41883.859027777777</c:v>
                </c:pt>
                <c:pt idx="1238">
                  <c:v>41883.859722222223</c:v>
                </c:pt>
                <c:pt idx="1239">
                  <c:v>41883.86041666667</c:v>
                </c:pt>
                <c:pt idx="1240">
                  <c:v>41883.861111111109</c:v>
                </c:pt>
                <c:pt idx="1241">
                  <c:v>41883.861805555556</c:v>
                </c:pt>
                <c:pt idx="1242">
                  <c:v>41883.862500000003</c:v>
                </c:pt>
                <c:pt idx="1243">
                  <c:v>41883.863194444442</c:v>
                </c:pt>
                <c:pt idx="1244">
                  <c:v>41883.863888888889</c:v>
                </c:pt>
                <c:pt idx="1245">
                  <c:v>41883.864583333336</c:v>
                </c:pt>
                <c:pt idx="1246">
                  <c:v>41883.865277777775</c:v>
                </c:pt>
                <c:pt idx="1247">
                  <c:v>41883.865972222222</c:v>
                </c:pt>
                <c:pt idx="1248">
                  <c:v>41883.866666666669</c:v>
                </c:pt>
                <c:pt idx="1249">
                  <c:v>41883.867361111108</c:v>
                </c:pt>
                <c:pt idx="1250">
                  <c:v>41883.868055555555</c:v>
                </c:pt>
                <c:pt idx="1251">
                  <c:v>41883.868750000001</c:v>
                </c:pt>
                <c:pt idx="1252">
                  <c:v>41883.869444444441</c:v>
                </c:pt>
                <c:pt idx="1253">
                  <c:v>41883.870138888888</c:v>
                </c:pt>
                <c:pt idx="1254">
                  <c:v>41883.870833333334</c:v>
                </c:pt>
                <c:pt idx="1255">
                  <c:v>41883.871527777781</c:v>
                </c:pt>
                <c:pt idx="1256">
                  <c:v>41883.87222222222</c:v>
                </c:pt>
                <c:pt idx="1257">
                  <c:v>41883.872916666667</c:v>
                </c:pt>
                <c:pt idx="1258">
                  <c:v>41883.873611111114</c:v>
                </c:pt>
                <c:pt idx="1259">
                  <c:v>41883.874305555553</c:v>
                </c:pt>
                <c:pt idx="1260">
                  <c:v>41883.875</c:v>
                </c:pt>
                <c:pt idx="1261">
                  <c:v>41883.875694444447</c:v>
                </c:pt>
                <c:pt idx="1262">
                  <c:v>41883.876388888886</c:v>
                </c:pt>
                <c:pt idx="1263">
                  <c:v>41883.877083333333</c:v>
                </c:pt>
                <c:pt idx="1264">
                  <c:v>41883.87777777778</c:v>
                </c:pt>
                <c:pt idx="1265">
                  <c:v>41883.878472222219</c:v>
                </c:pt>
                <c:pt idx="1266">
                  <c:v>41883.879166666666</c:v>
                </c:pt>
                <c:pt idx="1267">
                  <c:v>41883.879861111112</c:v>
                </c:pt>
                <c:pt idx="1268">
                  <c:v>41883.880555555559</c:v>
                </c:pt>
                <c:pt idx="1269">
                  <c:v>41883.881249999999</c:v>
                </c:pt>
                <c:pt idx="1270">
                  <c:v>41883.881944444445</c:v>
                </c:pt>
                <c:pt idx="1271">
                  <c:v>41883.882638888892</c:v>
                </c:pt>
                <c:pt idx="1272">
                  <c:v>41883.883333333331</c:v>
                </c:pt>
                <c:pt idx="1273">
                  <c:v>41883.884027777778</c:v>
                </c:pt>
                <c:pt idx="1274">
                  <c:v>41883.884722222225</c:v>
                </c:pt>
                <c:pt idx="1275">
                  <c:v>41883.885416666664</c:v>
                </c:pt>
                <c:pt idx="1276">
                  <c:v>41883.886111111111</c:v>
                </c:pt>
                <c:pt idx="1277">
                  <c:v>41883.886805555558</c:v>
                </c:pt>
                <c:pt idx="1278">
                  <c:v>41883.887499999997</c:v>
                </c:pt>
                <c:pt idx="1279">
                  <c:v>41883.888194444444</c:v>
                </c:pt>
                <c:pt idx="1280">
                  <c:v>41883.888888888891</c:v>
                </c:pt>
                <c:pt idx="1281">
                  <c:v>41883.88958333333</c:v>
                </c:pt>
                <c:pt idx="1282">
                  <c:v>41883.890277777777</c:v>
                </c:pt>
                <c:pt idx="1283">
                  <c:v>41883.890972222223</c:v>
                </c:pt>
                <c:pt idx="1284">
                  <c:v>41883.89166666667</c:v>
                </c:pt>
                <c:pt idx="1285">
                  <c:v>41883.892361111109</c:v>
                </c:pt>
                <c:pt idx="1286">
                  <c:v>41883.893055555556</c:v>
                </c:pt>
                <c:pt idx="1287">
                  <c:v>41883.893750000003</c:v>
                </c:pt>
                <c:pt idx="1288">
                  <c:v>41883.894444444442</c:v>
                </c:pt>
                <c:pt idx="1289">
                  <c:v>41883.895138888889</c:v>
                </c:pt>
                <c:pt idx="1290">
                  <c:v>41883.895833333336</c:v>
                </c:pt>
                <c:pt idx="1291">
                  <c:v>41883.896527777775</c:v>
                </c:pt>
                <c:pt idx="1292">
                  <c:v>41883.897222222222</c:v>
                </c:pt>
                <c:pt idx="1293">
                  <c:v>41883.897916666669</c:v>
                </c:pt>
                <c:pt idx="1294">
                  <c:v>41883.898611111108</c:v>
                </c:pt>
                <c:pt idx="1295">
                  <c:v>41883.899305555555</c:v>
                </c:pt>
                <c:pt idx="1296">
                  <c:v>41883.9</c:v>
                </c:pt>
                <c:pt idx="1297">
                  <c:v>41883.900694444441</c:v>
                </c:pt>
                <c:pt idx="1298">
                  <c:v>41883.901388888888</c:v>
                </c:pt>
                <c:pt idx="1299">
                  <c:v>41883.902083333334</c:v>
                </c:pt>
                <c:pt idx="1300">
                  <c:v>41883.902777777781</c:v>
                </c:pt>
                <c:pt idx="1301">
                  <c:v>41883.90347222222</c:v>
                </c:pt>
                <c:pt idx="1302">
                  <c:v>41883.904166666667</c:v>
                </c:pt>
                <c:pt idx="1303">
                  <c:v>41883.904861111114</c:v>
                </c:pt>
                <c:pt idx="1304">
                  <c:v>41883.905555555553</c:v>
                </c:pt>
                <c:pt idx="1305">
                  <c:v>41883.90625</c:v>
                </c:pt>
                <c:pt idx="1306">
                  <c:v>41883.906944444447</c:v>
                </c:pt>
                <c:pt idx="1307">
                  <c:v>41883.907638888886</c:v>
                </c:pt>
                <c:pt idx="1308">
                  <c:v>41883.908333333333</c:v>
                </c:pt>
                <c:pt idx="1309">
                  <c:v>41883.90902777778</c:v>
                </c:pt>
                <c:pt idx="1310">
                  <c:v>41883.909722222219</c:v>
                </c:pt>
                <c:pt idx="1311">
                  <c:v>41883.910416666666</c:v>
                </c:pt>
                <c:pt idx="1312">
                  <c:v>41883.911111111112</c:v>
                </c:pt>
                <c:pt idx="1313">
                  <c:v>41883.911805555559</c:v>
                </c:pt>
                <c:pt idx="1314">
                  <c:v>41883.912499999999</c:v>
                </c:pt>
                <c:pt idx="1315">
                  <c:v>41883.913194444445</c:v>
                </c:pt>
                <c:pt idx="1316">
                  <c:v>41883.913888888892</c:v>
                </c:pt>
                <c:pt idx="1317">
                  <c:v>41883.914583333331</c:v>
                </c:pt>
                <c:pt idx="1318">
                  <c:v>41883.915277777778</c:v>
                </c:pt>
                <c:pt idx="1319">
                  <c:v>41883.915972222225</c:v>
                </c:pt>
                <c:pt idx="1320">
                  <c:v>41883.916666666664</c:v>
                </c:pt>
                <c:pt idx="1321">
                  <c:v>41883.917361111111</c:v>
                </c:pt>
                <c:pt idx="1322">
                  <c:v>41883.918055555558</c:v>
                </c:pt>
                <c:pt idx="1323">
                  <c:v>41883.918749999997</c:v>
                </c:pt>
                <c:pt idx="1324">
                  <c:v>41883.919444444444</c:v>
                </c:pt>
                <c:pt idx="1325">
                  <c:v>41883.920138888891</c:v>
                </c:pt>
                <c:pt idx="1326">
                  <c:v>41883.92083333333</c:v>
                </c:pt>
                <c:pt idx="1327">
                  <c:v>41883.921527777777</c:v>
                </c:pt>
                <c:pt idx="1328">
                  <c:v>41883.922222222223</c:v>
                </c:pt>
                <c:pt idx="1329">
                  <c:v>41883.92291666667</c:v>
                </c:pt>
                <c:pt idx="1330">
                  <c:v>41883.923611111109</c:v>
                </c:pt>
                <c:pt idx="1331">
                  <c:v>41883.924305555556</c:v>
                </c:pt>
                <c:pt idx="1332">
                  <c:v>41883.925000000003</c:v>
                </c:pt>
                <c:pt idx="1333">
                  <c:v>41883.925694444442</c:v>
                </c:pt>
                <c:pt idx="1334">
                  <c:v>41883.926388888889</c:v>
                </c:pt>
                <c:pt idx="1335">
                  <c:v>41883.927083333336</c:v>
                </c:pt>
                <c:pt idx="1336">
                  <c:v>41883.927777777775</c:v>
                </c:pt>
                <c:pt idx="1337">
                  <c:v>41883.928472222222</c:v>
                </c:pt>
                <c:pt idx="1338">
                  <c:v>41883.929166666669</c:v>
                </c:pt>
                <c:pt idx="1339">
                  <c:v>41883.929861111108</c:v>
                </c:pt>
                <c:pt idx="1340">
                  <c:v>41883.930555555555</c:v>
                </c:pt>
                <c:pt idx="1341">
                  <c:v>41883.931250000001</c:v>
                </c:pt>
                <c:pt idx="1342">
                  <c:v>41883.931944444441</c:v>
                </c:pt>
                <c:pt idx="1343">
                  <c:v>41883.932638888888</c:v>
                </c:pt>
                <c:pt idx="1344">
                  <c:v>41883.933333333334</c:v>
                </c:pt>
                <c:pt idx="1345">
                  <c:v>41883.934027777781</c:v>
                </c:pt>
                <c:pt idx="1346">
                  <c:v>41883.93472222222</c:v>
                </c:pt>
                <c:pt idx="1347">
                  <c:v>41883.935416666667</c:v>
                </c:pt>
                <c:pt idx="1348">
                  <c:v>41883.936111111114</c:v>
                </c:pt>
                <c:pt idx="1349">
                  <c:v>41883.936805555553</c:v>
                </c:pt>
                <c:pt idx="1350">
                  <c:v>41883.9375</c:v>
                </c:pt>
                <c:pt idx="1351">
                  <c:v>41883.938194444447</c:v>
                </c:pt>
                <c:pt idx="1352">
                  <c:v>41883.938888888886</c:v>
                </c:pt>
                <c:pt idx="1353">
                  <c:v>41883.939583333333</c:v>
                </c:pt>
                <c:pt idx="1354">
                  <c:v>41883.94027777778</c:v>
                </c:pt>
                <c:pt idx="1355">
                  <c:v>41883.940972222219</c:v>
                </c:pt>
                <c:pt idx="1356">
                  <c:v>41883.941666666666</c:v>
                </c:pt>
                <c:pt idx="1357">
                  <c:v>41883.942361111112</c:v>
                </c:pt>
                <c:pt idx="1358">
                  <c:v>41883.943055555559</c:v>
                </c:pt>
                <c:pt idx="1359">
                  <c:v>41883.943749999999</c:v>
                </c:pt>
                <c:pt idx="1360">
                  <c:v>41883.944444444445</c:v>
                </c:pt>
                <c:pt idx="1361">
                  <c:v>41883.945138888892</c:v>
                </c:pt>
                <c:pt idx="1362">
                  <c:v>41883.945833333331</c:v>
                </c:pt>
                <c:pt idx="1363">
                  <c:v>41883.946527777778</c:v>
                </c:pt>
                <c:pt idx="1364">
                  <c:v>41883.947222222225</c:v>
                </c:pt>
                <c:pt idx="1365">
                  <c:v>41883.947916666664</c:v>
                </c:pt>
                <c:pt idx="1366">
                  <c:v>41883.948611111111</c:v>
                </c:pt>
                <c:pt idx="1367">
                  <c:v>41883.949305555558</c:v>
                </c:pt>
                <c:pt idx="1368">
                  <c:v>41883.949999999997</c:v>
                </c:pt>
                <c:pt idx="1369">
                  <c:v>41883.950694444444</c:v>
                </c:pt>
                <c:pt idx="1370">
                  <c:v>41883.951388888891</c:v>
                </c:pt>
                <c:pt idx="1371">
                  <c:v>41883.95208333333</c:v>
                </c:pt>
                <c:pt idx="1372">
                  <c:v>41883.952777777777</c:v>
                </c:pt>
                <c:pt idx="1373">
                  <c:v>41883.953472222223</c:v>
                </c:pt>
                <c:pt idx="1374">
                  <c:v>41883.95416666667</c:v>
                </c:pt>
                <c:pt idx="1375">
                  <c:v>41883.954861111109</c:v>
                </c:pt>
                <c:pt idx="1376">
                  <c:v>41883.955555555556</c:v>
                </c:pt>
                <c:pt idx="1377">
                  <c:v>41883.956250000003</c:v>
                </c:pt>
                <c:pt idx="1378">
                  <c:v>41883.956944444442</c:v>
                </c:pt>
                <c:pt idx="1379">
                  <c:v>41883.957638888889</c:v>
                </c:pt>
                <c:pt idx="1380">
                  <c:v>41883.958333333336</c:v>
                </c:pt>
                <c:pt idx="1381">
                  <c:v>41883.959027777775</c:v>
                </c:pt>
                <c:pt idx="1382">
                  <c:v>41883.959722222222</c:v>
                </c:pt>
                <c:pt idx="1383">
                  <c:v>41883.960416666669</c:v>
                </c:pt>
                <c:pt idx="1384">
                  <c:v>41883.961111111108</c:v>
                </c:pt>
                <c:pt idx="1385">
                  <c:v>41883.961805555555</c:v>
                </c:pt>
                <c:pt idx="1386">
                  <c:v>41883.962500000001</c:v>
                </c:pt>
                <c:pt idx="1387">
                  <c:v>41883.963194444441</c:v>
                </c:pt>
                <c:pt idx="1388">
                  <c:v>41883.963888888888</c:v>
                </c:pt>
                <c:pt idx="1389">
                  <c:v>41883.964583333334</c:v>
                </c:pt>
                <c:pt idx="1390">
                  <c:v>41883.965277777781</c:v>
                </c:pt>
                <c:pt idx="1391">
                  <c:v>41883.96597222222</c:v>
                </c:pt>
                <c:pt idx="1392">
                  <c:v>41883.966666666667</c:v>
                </c:pt>
                <c:pt idx="1393">
                  <c:v>41883.967361111114</c:v>
                </c:pt>
                <c:pt idx="1394">
                  <c:v>41883.968055555553</c:v>
                </c:pt>
                <c:pt idx="1395">
                  <c:v>41883.96875</c:v>
                </c:pt>
                <c:pt idx="1396">
                  <c:v>41883.969444444447</c:v>
                </c:pt>
                <c:pt idx="1397">
                  <c:v>41883.970138888886</c:v>
                </c:pt>
                <c:pt idx="1398">
                  <c:v>41883.970833333333</c:v>
                </c:pt>
                <c:pt idx="1399">
                  <c:v>41883.97152777778</c:v>
                </c:pt>
                <c:pt idx="1400">
                  <c:v>41883.972222222219</c:v>
                </c:pt>
                <c:pt idx="1401">
                  <c:v>41883.972916666666</c:v>
                </c:pt>
                <c:pt idx="1402">
                  <c:v>41883.973611111112</c:v>
                </c:pt>
                <c:pt idx="1403">
                  <c:v>41883.974305555559</c:v>
                </c:pt>
                <c:pt idx="1404">
                  <c:v>41883.974999999999</c:v>
                </c:pt>
                <c:pt idx="1405">
                  <c:v>41883.975694444445</c:v>
                </c:pt>
                <c:pt idx="1406">
                  <c:v>41883.976388888892</c:v>
                </c:pt>
                <c:pt idx="1407">
                  <c:v>41883.977083333331</c:v>
                </c:pt>
                <c:pt idx="1408">
                  <c:v>41883.977777777778</c:v>
                </c:pt>
                <c:pt idx="1409">
                  <c:v>41883.978472222225</c:v>
                </c:pt>
                <c:pt idx="1410">
                  <c:v>41883.979166666664</c:v>
                </c:pt>
                <c:pt idx="1411">
                  <c:v>41883.979861111111</c:v>
                </c:pt>
                <c:pt idx="1412">
                  <c:v>41883.980555555558</c:v>
                </c:pt>
                <c:pt idx="1413">
                  <c:v>41883.981249999997</c:v>
                </c:pt>
                <c:pt idx="1414">
                  <c:v>41883.981944444444</c:v>
                </c:pt>
                <c:pt idx="1415">
                  <c:v>41883.982638888891</c:v>
                </c:pt>
                <c:pt idx="1416">
                  <c:v>41883.98333333333</c:v>
                </c:pt>
                <c:pt idx="1417">
                  <c:v>41883.984027777777</c:v>
                </c:pt>
                <c:pt idx="1418">
                  <c:v>41883.984722222223</c:v>
                </c:pt>
                <c:pt idx="1419">
                  <c:v>41883.98541666667</c:v>
                </c:pt>
                <c:pt idx="1420">
                  <c:v>41883.986111111109</c:v>
                </c:pt>
                <c:pt idx="1421">
                  <c:v>41883.986805555556</c:v>
                </c:pt>
                <c:pt idx="1422">
                  <c:v>41883.987500000003</c:v>
                </c:pt>
                <c:pt idx="1423">
                  <c:v>41883.988194444442</c:v>
                </c:pt>
                <c:pt idx="1424">
                  <c:v>41883.988888888889</c:v>
                </c:pt>
                <c:pt idx="1425">
                  <c:v>41883.989583333336</c:v>
                </c:pt>
                <c:pt idx="1426">
                  <c:v>41883.990277777775</c:v>
                </c:pt>
                <c:pt idx="1427">
                  <c:v>41883.990972222222</c:v>
                </c:pt>
                <c:pt idx="1428">
                  <c:v>41883.991666666669</c:v>
                </c:pt>
                <c:pt idx="1429">
                  <c:v>41883.992361111108</c:v>
                </c:pt>
                <c:pt idx="1430">
                  <c:v>41883.993055555555</c:v>
                </c:pt>
                <c:pt idx="1431">
                  <c:v>41883.993750000001</c:v>
                </c:pt>
                <c:pt idx="1432">
                  <c:v>41883.994444444441</c:v>
                </c:pt>
                <c:pt idx="1433">
                  <c:v>41883.995138888888</c:v>
                </c:pt>
                <c:pt idx="1434">
                  <c:v>41883.995833333334</c:v>
                </c:pt>
                <c:pt idx="1435">
                  <c:v>41883.996527777781</c:v>
                </c:pt>
                <c:pt idx="1436">
                  <c:v>41883.99722222222</c:v>
                </c:pt>
                <c:pt idx="1437">
                  <c:v>41883.997916666667</c:v>
                </c:pt>
                <c:pt idx="1438">
                  <c:v>41883.998611111114</c:v>
                </c:pt>
                <c:pt idx="1439">
                  <c:v>41883.999305555553</c:v>
                </c:pt>
              </c:numCache>
            </c:numRef>
          </c:xVal>
          <c:yVal>
            <c:numRef>
              <c:f>Sheet1!$C$2:$C$1441</c:f>
              <c:numCache>
                <c:formatCode>General</c:formatCode>
                <c:ptCount val="1440"/>
                <c:pt idx="0">
                  <c:v>15.95</c:v>
                </c:pt>
                <c:pt idx="1">
                  <c:v>8.73</c:v>
                </c:pt>
                <c:pt idx="2">
                  <c:v>1.51</c:v>
                </c:pt>
                <c:pt idx="3">
                  <c:v>1.51</c:v>
                </c:pt>
                <c:pt idx="4">
                  <c:v>1.51</c:v>
                </c:pt>
                <c:pt idx="5">
                  <c:v>0</c:v>
                </c:pt>
                <c:pt idx="6">
                  <c:v>0</c:v>
                </c:pt>
                <c:pt idx="7">
                  <c:v>0.19</c:v>
                </c:pt>
                <c:pt idx="8">
                  <c:v>2.4900000000000002</c:v>
                </c:pt>
                <c:pt idx="9">
                  <c:v>2.82</c:v>
                </c:pt>
                <c:pt idx="10">
                  <c:v>3.15</c:v>
                </c:pt>
                <c:pt idx="11">
                  <c:v>2.66</c:v>
                </c:pt>
                <c:pt idx="12">
                  <c:v>2.16</c:v>
                </c:pt>
                <c:pt idx="13">
                  <c:v>3.64</c:v>
                </c:pt>
                <c:pt idx="14">
                  <c:v>5.12</c:v>
                </c:pt>
                <c:pt idx="15">
                  <c:v>3.81</c:v>
                </c:pt>
                <c:pt idx="16">
                  <c:v>2.4900000000000002</c:v>
                </c:pt>
                <c:pt idx="17">
                  <c:v>2.66</c:v>
                </c:pt>
                <c:pt idx="18">
                  <c:v>2.82</c:v>
                </c:pt>
                <c:pt idx="19">
                  <c:v>2.66</c:v>
                </c:pt>
                <c:pt idx="20">
                  <c:v>2.4900000000000002</c:v>
                </c:pt>
                <c:pt idx="21">
                  <c:v>5.12</c:v>
                </c:pt>
                <c:pt idx="22">
                  <c:v>7.74</c:v>
                </c:pt>
                <c:pt idx="23">
                  <c:v>5.45</c:v>
                </c:pt>
                <c:pt idx="24">
                  <c:v>3.15</c:v>
                </c:pt>
                <c:pt idx="25">
                  <c:v>2.4900000000000002</c:v>
                </c:pt>
                <c:pt idx="26">
                  <c:v>1.84</c:v>
                </c:pt>
                <c:pt idx="27">
                  <c:v>2.16</c:v>
                </c:pt>
                <c:pt idx="28">
                  <c:v>2.4900000000000002</c:v>
                </c:pt>
                <c:pt idx="29">
                  <c:v>2</c:v>
                </c:pt>
                <c:pt idx="30">
                  <c:v>1.51</c:v>
                </c:pt>
                <c:pt idx="31">
                  <c:v>0</c:v>
                </c:pt>
                <c:pt idx="32">
                  <c:v>0</c:v>
                </c:pt>
                <c:pt idx="33">
                  <c:v>0</c:v>
                </c:pt>
                <c:pt idx="34">
                  <c:v>1.51</c:v>
                </c:pt>
                <c:pt idx="35">
                  <c:v>32.369999999999997</c:v>
                </c:pt>
                <c:pt idx="36">
                  <c:v>63.22</c:v>
                </c:pt>
                <c:pt idx="37">
                  <c:v>32.86</c:v>
                </c:pt>
                <c:pt idx="38">
                  <c:v>2.4900000000000002</c:v>
                </c:pt>
                <c:pt idx="39">
                  <c:v>2.16</c:v>
                </c:pt>
                <c:pt idx="40">
                  <c:v>1.84</c:v>
                </c:pt>
                <c:pt idx="41">
                  <c:v>1.51</c:v>
                </c:pt>
                <c:pt idx="42">
                  <c:v>1.18</c:v>
                </c:pt>
                <c:pt idx="43">
                  <c:v>1.34</c:v>
                </c:pt>
                <c:pt idx="44">
                  <c:v>1.51</c:v>
                </c:pt>
                <c:pt idx="45">
                  <c:v>9.7100000000000009</c:v>
                </c:pt>
                <c:pt idx="46">
                  <c:v>17.920000000000002</c:v>
                </c:pt>
                <c:pt idx="47">
                  <c:v>10.37</c:v>
                </c:pt>
                <c:pt idx="48">
                  <c:v>2.82</c:v>
                </c:pt>
                <c:pt idx="49">
                  <c:v>2.16</c:v>
                </c:pt>
                <c:pt idx="50">
                  <c:v>1.51</c:v>
                </c:pt>
                <c:pt idx="51">
                  <c:v>1.67</c:v>
                </c:pt>
                <c:pt idx="52">
                  <c:v>1.84</c:v>
                </c:pt>
                <c:pt idx="53">
                  <c:v>1.34</c:v>
                </c:pt>
                <c:pt idx="54">
                  <c:v>0.85</c:v>
                </c:pt>
                <c:pt idx="55">
                  <c:v>1.34</c:v>
                </c:pt>
                <c:pt idx="56">
                  <c:v>1.84</c:v>
                </c:pt>
                <c:pt idx="57">
                  <c:v>1.84</c:v>
                </c:pt>
                <c:pt idx="58">
                  <c:v>1.84</c:v>
                </c:pt>
                <c:pt idx="59">
                  <c:v>2.16</c:v>
                </c:pt>
                <c:pt idx="60">
                  <c:v>2.4900000000000002</c:v>
                </c:pt>
                <c:pt idx="61">
                  <c:v>2.4900000000000002</c:v>
                </c:pt>
                <c:pt idx="62">
                  <c:v>2.4900000000000002</c:v>
                </c:pt>
                <c:pt idx="63">
                  <c:v>2</c:v>
                </c:pt>
                <c:pt idx="64">
                  <c:v>1.51</c:v>
                </c:pt>
                <c:pt idx="65">
                  <c:v>33.840000000000003</c:v>
                </c:pt>
                <c:pt idx="66">
                  <c:v>66.180000000000007</c:v>
                </c:pt>
                <c:pt idx="67">
                  <c:v>34.659999999999997</c:v>
                </c:pt>
                <c:pt idx="68">
                  <c:v>3.15</c:v>
                </c:pt>
                <c:pt idx="69">
                  <c:v>2.33</c:v>
                </c:pt>
                <c:pt idx="70">
                  <c:v>1.51</c:v>
                </c:pt>
                <c:pt idx="71">
                  <c:v>2</c:v>
                </c:pt>
                <c:pt idx="72">
                  <c:v>2.4900000000000002</c:v>
                </c:pt>
                <c:pt idx="73">
                  <c:v>2.16</c:v>
                </c:pt>
                <c:pt idx="74">
                  <c:v>1.84</c:v>
                </c:pt>
                <c:pt idx="75">
                  <c:v>1.34</c:v>
                </c:pt>
                <c:pt idx="76">
                  <c:v>0.85</c:v>
                </c:pt>
                <c:pt idx="77">
                  <c:v>1.34</c:v>
                </c:pt>
                <c:pt idx="78">
                  <c:v>1.84</c:v>
                </c:pt>
                <c:pt idx="79">
                  <c:v>2.16</c:v>
                </c:pt>
                <c:pt idx="80">
                  <c:v>2.4900000000000002</c:v>
                </c:pt>
                <c:pt idx="81">
                  <c:v>7.42</c:v>
                </c:pt>
                <c:pt idx="82">
                  <c:v>12.34</c:v>
                </c:pt>
                <c:pt idx="83">
                  <c:v>7.25</c:v>
                </c:pt>
                <c:pt idx="84">
                  <c:v>2.16</c:v>
                </c:pt>
                <c:pt idx="85">
                  <c:v>2.98</c:v>
                </c:pt>
                <c:pt idx="86">
                  <c:v>3.81</c:v>
                </c:pt>
                <c:pt idx="87">
                  <c:v>2.82</c:v>
                </c:pt>
                <c:pt idx="88">
                  <c:v>1.84</c:v>
                </c:pt>
                <c:pt idx="89">
                  <c:v>1.67</c:v>
                </c:pt>
                <c:pt idx="90">
                  <c:v>1.51</c:v>
                </c:pt>
                <c:pt idx="91">
                  <c:v>2.16</c:v>
                </c:pt>
                <c:pt idx="92">
                  <c:v>2.82</c:v>
                </c:pt>
                <c:pt idx="93">
                  <c:v>2.33</c:v>
                </c:pt>
                <c:pt idx="94">
                  <c:v>1.84</c:v>
                </c:pt>
                <c:pt idx="95">
                  <c:v>1.84</c:v>
                </c:pt>
                <c:pt idx="96">
                  <c:v>1.84</c:v>
                </c:pt>
                <c:pt idx="97">
                  <c:v>2.4900000000000002</c:v>
                </c:pt>
                <c:pt idx="98">
                  <c:v>3.15</c:v>
                </c:pt>
                <c:pt idx="99">
                  <c:v>2.82</c:v>
                </c:pt>
                <c:pt idx="100">
                  <c:v>2.4900000000000002</c:v>
                </c:pt>
                <c:pt idx="101">
                  <c:v>2.33</c:v>
                </c:pt>
                <c:pt idx="102">
                  <c:v>2.16</c:v>
                </c:pt>
                <c:pt idx="103">
                  <c:v>1.67</c:v>
                </c:pt>
                <c:pt idx="104">
                  <c:v>1.18</c:v>
                </c:pt>
                <c:pt idx="105">
                  <c:v>1.34</c:v>
                </c:pt>
                <c:pt idx="106">
                  <c:v>1.51</c:v>
                </c:pt>
                <c:pt idx="107">
                  <c:v>1.67</c:v>
                </c:pt>
                <c:pt idx="108">
                  <c:v>1.84</c:v>
                </c:pt>
                <c:pt idx="109">
                  <c:v>2.4900000000000002</c:v>
                </c:pt>
                <c:pt idx="110">
                  <c:v>3.15</c:v>
                </c:pt>
                <c:pt idx="111">
                  <c:v>2.98</c:v>
                </c:pt>
                <c:pt idx="112">
                  <c:v>2.82</c:v>
                </c:pt>
                <c:pt idx="113">
                  <c:v>2.4900000000000002</c:v>
                </c:pt>
                <c:pt idx="114">
                  <c:v>2.16</c:v>
                </c:pt>
                <c:pt idx="115">
                  <c:v>0.36</c:v>
                </c:pt>
                <c:pt idx="116">
                  <c:v>0</c:v>
                </c:pt>
                <c:pt idx="117">
                  <c:v>0.19</c:v>
                </c:pt>
                <c:pt idx="118">
                  <c:v>1.84</c:v>
                </c:pt>
                <c:pt idx="119">
                  <c:v>23.01</c:v>
                </c:pt>
                <c:pt idx="120">
                  <c:v>44.18</c:v>
                </c:pt>
                <c:pt idx="121">
                  <c:v>23.01</c:v>
                </c:pt>
                <c:pt idx="122">
                  <c:v>1.84</c:v>
                </c:pt>
                <c:pt idx="123">
                  <c:v>1.18</c:v>
                </c:pt>
                <c:pt idx="124">
                  <c:v>0.52</c:v>
                </c:pt>
                <c:pt idx="125">
                  <c:v>1.18</c:v>
                </c:pt>
                <c:pt idx="126">
                  <c:v>1.84</c:v>
                </c:pt>
                <c:pt idx="127">
                  <c:v>1.84</c:v>
                </c:pt>
                <c:pt idx="128">
                  <c:v>1.84</c:v>
                </c:pt>
                <c:pt idx="129">
                  <c:v>1.51</c:v>
                </c:pt>
                <c:pt idx="130">
                  <c:v>1.18</c:v>
                </c:pt>
                <c:pt idx="131">
                  <c:v>1.34</c:v>
                </c:pt>
                <c:pt idx="132">
                  <c:v>1.51</c:v>
                </c:pt>
                <c:pt idx="133">
                  <c:v>2</c:v>
                </c:pt>
                <c:pt idx="134">
                  <c:v>2.4900000000000002</c:v>
                </c:pt>
                <c:pt idx="135">
                  <c:v>2.16</c:v>
                </c:pt>
                <c:pt idx="136">
                  <c:v>1.84</c:v>
                </c:pt>
                <c:pt idx="137">
                  <c:v>2.16</c:v>
                </c:pt>
                <c:pt idx="138">
                  <c:v>2.4900000000000002</c:v>
                </c:pt>
                <c:pt idx="139">
                  <c:v>18.579999999999998</c:v>
                </c:pt>
                <c:pt idx="140">
                  <c:v>34.659999999999997</c:v>
                </c:pt>
                <c:pt idx="141">
                  <c:v>18.739999999999998</c:v>
                </c:pt>
                <c:pt idx="142">
                  <c:v>2.82</c:v>
                </c:pt>
                <c:pt idx="143">
                  <c:v>2.33</c:v>
                </c:pt>
                <c:pt idx="144">
                  <c:v>1.84</c:v>
                </c:pt>
                <c:pt idx="145">
                  <c:v>2.33</c:v>
                </c:pt>
                <c:pt idx="146">
                  <c:v>2.82</c:v>
                </c:pt>
                <c:pt idx="147">
                  <c:v>2.66</c:v>
                </c:pt>
                <c:pt idx="148">
                  <c:v>2.4900000000000002</c:v>
                </c:pt>
                <c:pt idx="149">
                  <c:v>2.82</c:v>
                </c:pt>
                <c:pt idx="150">
                  <c:v>3.15</c:v>
                </c:pt>
                <c:pt idx="151">
                  <c:v>2.33</c:v>
                </c:pt>
                <c:pt idx="152">
                  <c:v>1.51</c:v>
                </c:pt>
                <c:pt idx="153">
                  <c:v>1.67</c:v>
                </c:pt>
                <c:pt idx="154">
                  <c:v>1.84</c:v>
                </c:pt>
                <c:pt idx="155">
                  <c:v>2.16</c:v>
                </c:pt>
                <c:pt idx="156">
                  <c:v>2.4900000000000002</c:v>
                </c:pt>
                <c:pt idx="157">
                  <c:v>2.4900000000000002</c:v>
                </c:pt>
                <c:pt idx="158">
                  <c:v>2.4900000000000002</c:v>
                </c:pt>
                <c:pt idx="159">
                  <c:v>9.2200000000000006</c:v>
                </c:pt>
                <c:pt idx="160">
                  <c:v>15.95</c:v>
                </c:pt>
                <c:pt idx="161">
                  <c:v>8.73</c:v>
                </c:pt>
                <c:pt idx="162">
                  <c:v>1.51</c:v>
                </c:pt>
                <c:pt idx="163">
                  <c:v>2</c:v>
                </c:pt>
                <c:pt idx="164">
                  <c:v>2.4900000000000002</c:v>
                </c:pt>
                <c:pt idx="165">
                  <c:v>2.98</c:v>
                </c:pt>
                <c:pt idx="166">
                  <c:v>3.48</c:v>
                </c:pt>
                <c:pt idx="167">
                  <c:v>2.4900000000000002</c:v>
                </c:pt>
                <c:pt idx="168">
                  <c:v>1.51</c:v>
                </c:pt>
                <c:pt idx="169">
                  <c:v>2.33</c:v>
                </c:pt>
                <c:pt idx="170">
                  <c:v>3.15</c:v>
                </c:pt>
                <c:pt idx="171">
                  <c:v>3.31</c:v>
                </c:pt>
                <c:pt idx="172">
                  <c:v>3.48</c:v>
                </c:pt>
                <c:pt idx="173">
                  <c:v>2.4900000000000002</c:v>
                </c:pt>
                <c:pt idx="174">
                  <c:v>1.51</c:v>
                </c:pt>
                <c:pt idx="175">
                  <c:v>1.34</c:v>
                </c:pt>
                <c:pt idx="176">
                  <c:v>1.18</c:v>
                </c:pt>
                <c:pt idx="177">
                  <c:v>1.51</c:v>
                </c:pt>
                <c:pt idx="178">
                  <c:v>1.84</c:v>
                </c:pt>
                <c:pt idx="179">
                  <c:v>1.84</c:v>
                </c:pt>
                <c:pt idx="180">
                  <c:v>1.84</c:v>
                </c:pt>
                <c:pt idx="181">
                  <c:v>1.51</c:v>
                </c:pt>
                <c:pt idx="182">
                  <c:v>1.18</c:v>
                </c:pt>
                <c:pt idx="183">
                  <c:v>0.19</c:v>
                </c:pt>
                <c:pt idx="184">
                  <c:v>0</c:v>
                </c:pt>
                <c:pt idx="185">
                  <c:v>0.85</c:v>
                </c:pt>
                <c:pt idx="186">
                  <c:v>2.4900000000000002</c:v>
                </c:pt>
                <c:pt idx="187">
                  <c:v>2.4900000000000002</c:v>
                </c:pt>
                <c:pt idx="188">
                  <c:v>2.4900000000000002</c:v>
                </c:pt>
                <c:pt idx="189">
                  <c:v>2.4900000000000002</c:v>
                </c:pt>
                <c:pt idx="190">
                  <c:v>2.4900000000000002</c:v>
                </c:pt>
                <c:pt idx="191">
                  <c:v>2.16</c:v>
                </c:pt>
                <c:pt idx="192">
                  <c:v>1.84</c:v>
                </c:pt>
                <c:pt idx="193">
                  <c:v>1.67</c:v>
                </c:pt>
                <c:pt idx="194">
                  <c:v>1.51</c:v>
                </c:pt>
                <c:pt idx="195">
                  <c:v>1.84</c:v>
                </c:pt>
                <c:pt idx="196">
                  <c:v>2.16</c:v>
                </c:pt>
                <c:pt idx="197">
                  <c:v>2.16</c:v>
                </c:pt>
                <c:pt idx="198">
                  <c:v>2.16</c:v>
                </c:pt>
                <c:pt idx="199">
                  <c:v>2</c:v>
                </c:pt>
                <c:pt idx="200">
                  <c:v>1.84</c:v>
                </c:pt>
                <c:pt idx="201">
                  <c:v>1.67</c:v>
                </c:pt>
                <c:pt idx="202">
                  <c:v>1.51</c:v>
                </c:pt>
                <c:pt idx="203">
                  <c:v>1.84</c:v>
                </c:pt>
                <c:pt idx="204">
                  <c:v>2.16</c:v>
                </c:pt>
                <c:pt idx="205">
                  <c:v>1.84</c:v>
                </c:pt>
                <c:pt idx="206">
                  <c:v>1.51</c:v>
                </c:pt>
                <c:pt idx="207">
                  <c:v>46.97</c:v>
                </c:pt>
                <c:pt idx="208">
                  <c:v>92.44</c:v>
                </c:pt>
                <c:pt idx="209">
                  <c:v>46.97</c:v>
                </c:pt>
                <c:pt idx="210">
                  <c:v>1.51</c:v>
                </c:pt>
                <c:pt idx="211">
                  <c:v>2</c:v>
                </c:pt>
                <c:pt idx="212">
                  <c:v>2.4900000000000002</c:v>
                </c:pt>
                <c:pt idx="213">
                  <c:v>2.4900000000000002</c:v>
                </c:pt>
                <c:pt idx="214">
                  <c:v>2.4900000000000002</c:v>
                </c:pt>
                <c:pt idx="215">
                  <c:v>2</c:v>
                </c:pt>
                <c:pt idx="216">
                  <c:v>1.51</c:v>
                </c:pt>
                <c:pt idx="217">
                  <c:v>1.51</c:v>
                </c:pt>
                <c:pt idx="218">
                  <c:v>1.51</c:v>
                </c:pt>
                <c:pt idx="219">
                  <c:v>39.75</c:v>
                </c:pt>
                <c:pt idx="220">
                  <c:v>78</c:v>
                </c:pt>
                <c:pt idx="221">
                  <c:v>40.409999999999997</c:v>
                </c:pt>
                <c:pt idx="222">
                  <c:v>2.82</c:v>
                </c:pt>
                <c:pt idx="223">
                  <c:v>2.33</c:v>
                </c:pt>
                <c:pt idx="224">
                  <c:v>1.84</c:v>
                </c:pt>
                <c:pt idx="225">
                  <c:v>2</c:v>
                </c:pt>
                <c:pt idx="226">
                  <c:v>2.16</c:v>
                </c:pt>
                <c:pt idx="227">
                  <c:v>2.33</c:v>
                </c:pt>
                <c:pt idx="228">
                  <c:v>2.4900000000000002</c:v>
                </c:pt>
                <c:pt idx="229">
                  <c:v>2.33</c:v>
                </c:pt>
                <c:pt idx="230">
                  <c:v>2.16</c:v>
                </c:pt>
                <c:pt idx="231">
                  <c:v>2.16</c:v>
                </c:pt>
                <c:pt idx="232">
                  <c:v>2.16</c:v>
                </c:pt>
                <c:pt idx="233">
                  <c:v>2.16</c:v>
                </c:pt>
                <c:pt idx="234">
                  <c:v>2.16</c:v>
                </c:pt>
                <c:pt idx="235">
                  <c:v>28.92</c:v>
                </c:pt>
                <c:pt idx="236">
                  <c:v>55.67</c:v>
                </c:pt>
                <c:pt idx="237">
                  <c:v>29.25</c:v>
                </c:pt>
                <c:pt idx="238">
                  <c:v>2.82</c:v>
                </c:pt>
                <c:pt idx="239">
                  <c:v>2.4900000000000002</c:v>
                </c:pt>
                <c:pt idx="240">
                  <c:v>2.16</c:v>
                </c:pt>
                <c:pt idx="241">
                  <c:v>3.97</c:v>
                </c:pt>
                <c:pt idx="242">
                  <c:v>5.78</c:v>
                </c:pt>
                <c:pt idx="243">
                  <c:v>3.97</c:v>
                </c:pt>
                <c:pt idx="244">
                  <c:v>2.16</c:v>
                </c:pt>
                <c:pt idx="245">
                  <c:v>4.63</c:v>
                </c:pt>
                <c:pt idx="246">
                  <c:v>7.09</c:v>
                </c:pt>
                <c:pt idx="247">
                  <c:v>4.63</c:v>
                </c:pt>
                <c:pt idx="248">
                  <c:v>2.16</c:v>
                </c:pt>
                <c:pt idx="249">
                  <c:v>2.4900000000000002</c:v>
                </c:pt>
                <c:pt idx="250">
                  <c:v>2.82</c:v>
                </c:pt>
                <c:pt idx="251">
                  <c:v>2.98</c:v>
                </c:pt>
                <c:pt idx="252">
                  <c:v>3.15</c:v>
                </c:pt>
                <c:pt idx="253">
                  <c:v>2.4900000000000002</c:v>
                </c:pt>
                <c:pt idx="254">
                  <c:v>1.84</c:v>
                </c:pt>
                <c:pt idx="255">
                  <c:v>2</c:v>
                </c:pt>
                <c:pt idx="256">
                  <c:v>2.16</c:v>
                </c:pt>
                <c:pt idx="257">
                  <c:v>1.84</c:v>
                </c:pt>
                <c:pt idx="258">
                  <c:v>1.51</c:v>
                </c:pt>
                <c:pt idx="259">
                  <c:v>1.67</c:v>
                </c:pt>
                <c:pt idx="260">
                  <c:v>1.84</c:v>
                </c:pt>
                <c:pt idx="261">
                  <c:v>2</c:v>
                </c:pt>
                <c:pt idx="262">
                  <c:v>2.16</c:v>
                </c:pt>
                <c:pt idx="263">
                  <c:v>2.82</c:v>
                </c:pt>
                <c:pt idx="264">
                  <c:v>3.48</c:v>
                </c:pt>
                <c:pt idx="265">
                  <c:v>3.48</c:v>
                </c:pt>
                <c:pt idx="266">
                  <c:v>3.48</c:v>
                </c:pt>
                <c:pt idx="267">
                  <c:v>2.82</c:v>
                </c:pt>
                <c:pt idx="268">
                  <c:v>2.16</c:v>
                </c:pt>
                <c:pt idx="269">
                  <c:v>2.16</c:v>
                </c:pt>
                <c:pt idx="270">
                  <c:v>2.16</c:v>
                </c:pt>
                <c:pt idx="271">
                  <c:v>1.84</c:v>
                </c:pt>
                <c:pt idx="272">
                  <c:v>1.51</c:v>
                </c:pt>
                <c:pt idx="273">
                  <c:v>1.84</c:v>
                </c:pt>
                <c:pt idx="274">
                  <c:v>2.16</c:v>
                </c:pt>
                <c:pt idx="275">
                  <c:v>2.66</c:v>
                </c:pt>
                <c:pt idx="276">
                  <c:v>3.15</c:v>
                </c:pt>
                <c:pt idx="277">
                  <c:v>2.98</c:v>
                </c:pt>
                <c:pt idx="278">
                  <c:v>2.82</c:v>
                </c:pt>
                <c:pt idx="279">
                  <c:v>2.66</c:v>
                </c:pt>
                <c:pt idx="280">
                  <c:v>2.4900000000000002</c:v>
                </c:pt>
                <c:pt idx="281">
                  <c:v>2.16</c:v>
                </c:pt>
                <c:pt idx="282">
                  <c:v>1.84</c:v>
                </c:pt>
                <c:pt idx="283">
                  <c:v>2.16</c:v>
                </c:pt>
                <c:pt idx="284">
                  <c:v>2.4900000000000002</c:v>
                </c:pt>
                <c:pt idx="285">
                  <c:v>2.16</c:v>
                </c:pt>
                <c:pt idx="286">
                  <c:v>1.84</c:v>
                </c:pt>
                <c:pt idx="287">
                  <c:v>2.16</c:v>
                </c:pt>
                <c:pt idx="288">
                  <c:v>2.4900000000000002</c:v>
                </c:pt>
                <c:pt idx="289">
                  <c:v>1.84</c:v>
                </c:pt>
                <c:pt idx="290">
                  <c:v>1.18</c:v>
                </c:pt>
                <c:pt idx="291">
                  <c:v>1.67</c:v>
                </c:pt>
                <c:pt idx="292">
                  <c:v>2.16</c:v>
                </c:pt>
                <c:pt idx="293">
                  <c:v>2</c:v>
                </c:pt>
                <c:pt idx="294">
                  <c:v>1.84</c:v>
                </c:pt>
                <c:pt idx="295">
                  <c:v>2.4900000000000002</c:v>
                </c:pt>
                <c:pt idx="296">
                  <c:v>3.15</c:v>
                </c:pt>
                <c:pt idx="297">
                  <c:v>2.4900000000000002</c:v>
                </c:pt>
                <c:pt idx="298">
                  <c:v>1.84</c:v>
                </c:pt>
                <c:pt idx="299">
                  <c:v>1.84</c:v>
                </c:pt>
                <c:pt idx="300">
                  <c:v>1.84</c:v>
                </c:pt>
                <c:pt idx="301">
                  <c:v>2.16</c:v>
                </c:pt>
                <c:pt idx="302">
                  <c:v>2.4900000000000002</c:v>
                </c:pt>
                <c:pt idx="303">
                  <c:v>9.06</c:v>
                </c:pt>
                <c:pt idx="304">
                  <c:v>15.62</c:v>
                </c:pt>
                <c:pt idx="305">
                  <c:v>8.73</c:v>
                </c:pt>
                <c:pt idx="306">
                  <c:v>1.84</c:v>
                </c:pt>
                <c:pt idx="307">
                  <c:v>2.16</c:v>
                </c:pt>
                <c:pt idx="308">
                  <c:v>2.4900000000000002</c:v>
                </c:pt>
                <c:pt idx="309">
                  <c:v>31.05</c:v>
                </c:pt>
                <c:pt idx="310">
                  <c:v>59.61</c:v>
                </c:pt>
                <c:pt idx="311">
                  <c:v>31.54</c:v>
                </c:pt>
                <c:pt idx="312">
                  <c:v>3.48</c:v>
                </c:pt>
                <c:pt idx="313">
                  <c:v>2.98</c:v>
                </c:pt>
                <c:pt idx="314">
                  <c:v>2.4900000000000002</c:v>
                </c:pt>
                <c:pt idx="315">
                  <c:v>3.31</c:v>
                </c:pt>
                <c:pt idx="316">
                  <c:v>4.13</c:v>
                </c:pt>
                <c:pt idx="317">
                  <c:v>3.31</c:v>
                </c:pt>
                <c:pt idx="318">
                  <c:v>2.4900000000000002</c:v>
                </c:pt>
                <c:pt idx="319">
                  <c:v>2</c:v>
                </c:pt>
                <c:pt idx="320">
                  <c:v>1.51</c:v>
                </c:pt>
                <c:pt idx="321">
                  <c:v>2.4900000000000002</c:v>
                </c:pt>
                <c:pt idx="322">
                  <c:v>3.48</c:v>
                </c:pt>
                <c:pt idx="323">
                  <c:v>4.3</c:v>
                </c:pt>
                <c:pt idx="324">
                  <c:v>5.12</c:v>
                </c:pt>
                <c:pt idx="325">
                  <c:v>11.36</c:v>
                </c:pt>
                <c:pt idx="326">
                  <c:v>17.59</c:v>
                </c:pt>
                <c:pt idx="327">
                  <c:v>10.54</c:v>
                </c:pt>
                <c:pt idx="328">
                  <c:v>3.48</c:v>
                </c:pt>
                <c:pt idx="329">
                  <c:v>3.48</c:v>
                </c:pt>
                <c:pt idx="330">
                  <c:v>3.48</c:v>
                </c:pt>
                <c:pt idx="331">
                  <c:v>3.31</c:v>
                </c:pt>
                <c:pt idx="332">
                  <c:v>3.15</c:v>
                </c:pt>
                <c:pt idx="333">
                  <c:v>3.64</c:v>
                </c:pt>
                <c:pt idx="334">
                  <c:v>4.13</c:v>
                </c:pt>
                <c:pt idx="335">
                  <c:v>3.64</c:v>
                </c:pt>
                <c:pt idx="336">
                  <c:v>3.15</c:v>
                </c:pt>
                <c:pt idx="337">
                  <c:v>2.82</c:v>
                </c:pt>
                <c:pt idx="338">
                  <c:v>2.4900000000000002</c:v>
                </c:pt>
                <c:pt idx="339">
                  <c:v>5.12</c:v>
                </c:pt>
                <c:pt idx="340">
                  <c:v>7.74</c:v>
                </c:pt>
                <c:pt idx="341">
                  <c:v>7.74</c:v>
                </c:pt>
                <c:pt idx="342">
                  <c:v>7.74</c:v>
                </c:pt>
                <c:pt idx="343">
                  <c:v>23.17</c:v>
                </c:pt>
                <c:pt idx="344">
                  <c:v>38.6</c:v>
                </c:pt>
                <c:pt idx="345">
                  <c:v>22.68</c:v>
                </c:pt>
                <c:pt idx="346">
                  <c:v>6.76</c:v>
                </c:pt>
                <c:pt idx="347">
                  <c:v>8.89</c:v>
                </c:pt>
                <c:pt idx="348">
                  <c:v>11.03</c:v>
                </c:pt>
                <c:pt idx="349">
                  <c:v>30.56</c:v>
                </c:pt>
                <c:pt idx="350">
                  <c:v>50.09</c:v>
                </c:pt>
                <c:pt idx="351">
                  <c:v>29.57</c:v>
                </c:pt>
                <c:pt idx="352">
                  <c:v>9.06</c:v>
                </c:pt>
                <c:pt idx="353">
                  <c:v>9.06</c:v>
                </c:pt>
                <c:pt idx="354">
                  <c:v>9.06</c:v>
                </c:pt>
                <c:pt idx="355">
                  <c:v>11.68</c:v>
                </c:pt>
                <c:pt idx="356">
                  <c:v>14.31</c:v>
                </c:pt>
                <c:pt idx="357">
                  <c:v>14.64</c:v>
                </c:pt>
                <c:pt idx="358">
                  <c:v>14.97</c:v>
                </c:pt>
                <c:pt idx="359">
                  <c:v>14.64</c:v>
                </c:pt>
                <c:pt idx="360">
                  <c:v>14.31</c:v>
                </c:pt>
                <c:pt idx="361">
                  <c:v>39.26</c:v>
                </c:pt>
                <c:pt idx="362">
                  <c:v>64.209999999999994</c:v>
                </c:pt>
                <c:pt idx="363">
                  <c:v>39.92</c:v>
                </c:pt>
                <c:pt idx="364">
                  <c:v>15.62</c:v>
                </c:pt>
                <c:pt idx="365">
                  <c:v>16.61</c:v>
                </c:pt>
                <c:pt idx="366">
                  <c:v>17.59</c:v>
                </c:pt>
                <c:pt idx="367">
                  <c:v>17.43</c:v>
                </c:pt>
                <c:pt idx="368">
                  <c:v>17.260000000000002</c:v>
                </c:pt>
                <c:pt idx="369">
                  <c:v>17.920000000000002</c:v>
                </c:pt>
                <c:pt idx="370">
                  <c:v>18.579999999999998</c:v>
                </c:pt>
                <c:pt idx="371">
                  <c:v>19.23</c:v>
                </c:pt>
                <c:pt idx="372">
                  <c:v>19.89</c:v>
                </c:pt>
                <c:pt idx="373">
                  <c:v>20.55</c:v>
                </c:pt>
                <c:pt idx="374">
                  <c:v>21.2</c:v>
                </c:pt>
                <c:pt idx="375">
                  <c:v>22.19</c:v>
                </c:pt>
                <c:pt idx="376">
                  <c:v>23.17</c:v>
                </c:pt>
                <c:pt idx="377">
                  <c:v>23.99</c:v>
                </c:pt>
                <c:pt idx="378">
                  <c:v>24.81</c:v>
                </c:pt>
                <c:pt idx="379">
                  <c:v>33.35</c:v>
                </c:pt>
                <c:pt idx="380">
                  <c:v>41.89</c:v>
                </c:pt>
                <c:pt idx="381">
                  <c:v>33.840000000000003</c:v>
                </c:pt>
                <c:pt idx="382">
                  <c:v>25.8</c:v>
                </c:pt>
                <c:pt idx="383">
                  <c:v>24.98</c:v>
                </c:pt>
                <c:pt idx="384">
                  <c:v>24.16</c:v>
                </c:pt>
                <c:pt idx="385">
                  <c:v>23.99</c:v>
                </c:pt>
                <c:pt idx="386">
                  <c:v>23.83</c:v>
                </c:pt>
                <c:pt idx="387">
                  <c:v>23.83</c:v>
                </c:pt>
                <c:pt idx="388">
                  <c:v>23.83</c:v>
                </c:pt>
                <c:pt idx="389">
                  <c:v>23.99</c:v>
                </c:pt>
                <c:pt idx="390">
                  <c:v>24.16</c:v>
                </c:pt>
                <c:pt idx="391">
                  <c:v>25.14</c:v>
                </c:pt>
                <c:pt idx="392">
                  <c:v>26.13</c:v>
                </c:pt>
                <c:pt idx="393">
                  <c:v>26.46</c:v>
                </c:pt>
                <c:pt idx="394">
                  <c:v>26.78</c:v>
                </c:pt>
                <c:pt idx="395">
                  <c:v>52.23</c:v>
                </c:pt>
                <c:pt idx="396">
                  <c:v>77.67</c:v>
                </c:pt>
                <c:pt idx="397">
                  <c:v>53.87</c:v>
                </c:pt>
                <c:pt idx="398">
                  <c:v>30.07</c:v>
                </c:pt>
                <c:pt idx="399">
                  <c:v>31.54</c:v>
                </c:pt>
                <c:pt idx="400">
                  <c:v>33.020000000000003</c:v>
                </c:pt>
                <c:pt idx="401">
                  <c:v>33.840000000000003</c:v>
                </c:pt>
                <c:pt idx="402">
                  <c:v>34.659999999999997</c:v>
                </c:pt>
                <c:pt idx="403">
                  <c:v>34.99</c:v>
                </c:pt>
                <c:pt idx="404">
                  <c:v>35.32</c:v>
                </c:pt>
                <c:pt idx="405">
                  <c:v>35.32</c:v>
                </c:pt>
                <c:pt idx="406">
                  <c:v>35.32</c:v>
                </c:pt>
                <c:pt idx="407">
                  <c:v>34.33</c:v>
                </c:pt>
                <c:pt idx="408">
                  <c:v>33.35</c:v>
                </c:pt>
                <c:pt idx="409">
                  <c:v>34.99</c:v>
                </c:pt>
                <c:pt idx="410">
                  <c:v>36.630000000000003</c:v>
                </c:pt>
                <c:pt idx="411">
                  <c:v>39.090000000000003</c:v>
                </c:pt>
                <c:pt idx="412">
                  <c:v>41.56</c:v>
                </c:pt>
                <c:pt idx="413">
                  <c:v>46.15</c:v>
                </c:pt>
                <c:pt idx="414">
                  <c:v>50.75</c:v>
                </c:pt>
                <c:pt idx="415">
                  <c:v>53.37</c:v>
                </c:pt>
                <c:pt idx="416">
                  <c:v>56</c:v>
                </c:pt>
                <c:pt idx="417">
                  <c:v>56.99</c:v>
                </c:pt>
                <c:pt idx="418">
                  <c:v>57.97</c:v>
                </c:pt>
                <c:pt idx="419">
                  <c:v>58.79</c:v>
                </c:pt>
                <c:pt idx="420">
                  <c:v>59.61</c:v>
                </c:pt>
                <c:pt idx="421">
                  <c:v>61.58</c:v>
                </c:pt>
                <c:pt idx="422">
                  <c:v>63.55</c:v>
                </c:pt>
                <c:pt idx="423">
                  <c:v>62.89</c:v>
                </c:pt>
                <c:pt idx="424">
                  <c:v>62.24</c:v>
                </c:pt>
                <c:pt idx="425">
                  <c:v>62.24</c:v>
                </c:pt>
                <c:pt idx="426">
                  <c:v>62.24</c:v>
                </c:pt>
                <c:pt idx="427">
                  <c:v>62.4</c:v>
                </c:pt>
                <c:pt idx="428">
                  <c:v>62.57</c:v>
                </c:pt>
                <c:pt idx="429">
                  <c:v>67.650000000000006</c:v>
                </c:pt>
                <c:pt idx="430">
                  <c:v>72.739999999999995</c:v>
                </c:pt>
                <c:pt idx="431">
                  <c:v>82.1</c:v>
                </c:pt>
                <c:pt idx="432">
                  <c:v>91.45</c:v>
                </c:pt>
                <c:pt idx="433">
                  <c:v>93.75</c:v>
                </c:pt>
                <c:pt idx="434">
                  <c:v>96.05</c:v>
                </c:pt>
                <c:pt idx="435">
                  <c:v>111.81</c:v>
                </c:pt>
                <c:pt idx="436">
                  <c:v>127.56</c:v>
                </c:pt>
                <c:pt idx="437">
                  <c:v>99.33</c:v>
                </c:pt>
                <c:pt idx="438">
                  <c:v>71.099999999999994</c:v>
                </c:pt>
                <c:pt idx="439">
                  <c:v>112.79</c:v>
                </c:pt>
                <c:pt idx="440">
                  <c:v>154.47999999999999</c:v>
                </c:pt>
                <c:pt idx="441">
                  <c:v>113.61</c:v>
                </c:pt>
                <c:pt idx="442">
                  <c:v>72.739999999999995</c:v>
                </c:pt>
                <c:pt idx="443">
                  <c:v>77.17</c:v>
                </c:pt>
                <c:pt idx="444">
                  <c:v>81.61</c:v>
                </c:pt>
                <c:pt idx="445">
                  <c:v>81.11</c:v>
                </c:pt>
                <c:pt idx="446">
                  <c:v>80.62</c:v>
                </c:pt>
                <c:pt idx="447">
                  <c:v>88.66</c:v>
                </c:pt>
                <c:pt idx="448">
                  <c:v>96.71</c:v>
                </c:pt>
                <c:pt idx="449">
                  <c:v>111.15</c:v>
                </c:pt>
                <c:pt idx="450">
                  <c:v>125.59</c:v>
                </c:pt>
                <c:pt idx="451">
                  <c:v>137.25</c:v>
                </c:pt>
                <c:pt idx="452">
                  <c:v>148.9</c:v>
                </c:pt>
                <c:pt idx="453">
                  <c:v>147.75</c:v>
                </c:pt>
                <c:pt idx="454">
                  <c:v>146.6</c:v>
                </c:pt>
                <c:pt idx="455">
                  <c:v>141.35</c:v>
                </c:pt>
                <c:pt idx="456">
                  <c:v>136.1</c:v>
                </c:pt>
                <c:pt idx="457">
                  <c:v>140.53</c:v>
                </c:pt>
                <c:pt idx="458">
                  <c:v>144.96</c:v>
                </c:pt>
                <c:pt idx="459">
                  <c:v>155.47</c:v>
                </c:pt>
                <c:pt idx="460">
                  <c:v>165.97</c:v>
                </c:pt>
                <c:pt idx="461">
                  <c:v>172.87</c:v>
                </c:pt>
                <c:pt idx="462">
                  <c:v>179.76</c:v>
                </c:pt>
                <c:pt idx="463">
                  <c:v>196.34</c:v>
                </c:pt>
                <c:pt idx="464">
                  <c:v>212.92</c:v>
                </c:pt>
                <c:pt idx="465">
                  <c:v>215.05</c:v>
                </c:pt>
                <c:pt idx="466">
                  <c:v>217.18</c:v>
                </c:pt>
                <c:pt idx="467">
                  <c:v>222.44</c:v>
                </c:pt>
                <c:pt idx="468">
                  <c:v>227.69</c:v>
                </c:pt>
                <c:pt idx="469">
                  <c:v>226.21</c:v>
                </c:pt>
                <c:pt idx="470">
                  <c:v>224.73</c:v>
                </c:pt>
                <c:pt idx="471">
                  <c:v>220.63</c:v>
                </c:pt>
                <c:pt idx="472">
                  <c:v>216.53</c:v>
                </c:pt>
                <c:pt idx="473">
                  <c:v>205.04</c:v>
                </c:pt>
                <c:pt idx="474">
                  <c:v>193.55</c:v>
                </c:pt>
                <c:pt idx="475">
                  <c:v>189.12</c:v>
                </c:pt>
                <c:pt idx="476">
                  <c:v>184.68</c:v>
                </c:pt>
                <c:pt idx="477">
                  <c:v>183.37</c:v>
                </c:pt>
                <c:pt idx="478">
                  <c:v>182.06</c:v>
                </c:pt>
                <c:pt idx="479">
                  <c:v>181.73</c:v>
                </c:pt>
                <c:pt idx="480">
                  <c:v>181.4</c:v>
                </c:pt>
                <c:pt idx="481">
                  <c:v>187.15</c:v>
                </c:pt>
                <c:pt idx="482">
                  <c:v>192.89</c:v>
                </c:pt>
                <c:pt idx="483">
                  <c:v>189.61</c:v>
                </c:pt>
                <c:pt idx="484">
                  <c:v>186.33</c:v>
                </c:pt>
                <c:pt idx="485">
                  <c:v>189.77</c:v>
                </c:pt>
                <c:pt idx="486">
                  <c:v>193.22</c:v>
                </c:pt>
                <c:pt idx="487">
                  <c:v>199.46</c:v>
                </c:pt>
                <c:pt idx="488">
                  <c:v>205.69</c:v>
                </c:pt>
                <c:pt idx="489">
                  <c:v>203.23</c:v>
                </c:pt>
                <c:pt idx="490">
                  <c:v>200.77</c:v>
                </c:pt>
                <c:pt idx="491">
                  <c:v>193.88</c:v>
                </c:pt>
                <c:pt idx="492">
                  <c:v>186.98</c:v>
                </c:pt>
                <c:pt idx="493">
                  <c:v>176.48</c:v>
                </c:pt>
                <c:pt idx="494">
                  <c:v>165.97</c:v>
                </c:pt>
                <c:pt idx="495">
                  <c:v>159.08000000000001</c:v>
                </c:pt>
                <c:pt idx="496">
                  <c:v>152.18</c:v>
                </c:pt>
                <c:pt idx="497">
                  <c:v>152.35</c:v>
                </c:pt>
                <c:pt idx="498">
                  <c:v>152.51</c:v>
                </c:pt>
                <c:pt idx="499">
                  <c:v>157.27000000000001</c:v>
                </c:pt>
                <c:pt idx="500">
                  <c:v>162.03</c:v>
                </c:pt>
                <c:pt idx="501">
                  <c:v>162.85</c:v>
                </c:pt>
                <c:pt idx="502">
                  <c:v>163.66999999999999</c:v>
                </c:pt>
                <c:pt idx="503">
                  <c:v>152.68</c:v>
                </c:pt>
                <c:pt idx="504">
                  <c:v>141.68</c:v>
                </c:pt>
                <c:pt idx="505">
                  <c:v>152.02000000000001</c:v>
                </c:pt>
                <c:pt idx="506">
                  <c:v>162.36000000000001</c:v>
                </c:pt>
                <c:pt idx="507">
                  <c:v>146.6</c:v>
                </c:pt>
                <c:pt idx="508">
                  <c:v>130.85</c:v>
                </c:pt>
                <c:pt idx="509">
                  <c:v>125.59</c:v>
                </c:pt>
                <c:pt idx="510">
                  <c:v>120.34</c:v>
                </c:pt>
                <c:pt idx="511">
                  <c:v>115.75</c:v>
                </c:pt>
                <c:pt idx="512">
                  <c:v>111.15</c:v>
                </c:pt>
                <c:pt idx="513">
                  <c:v>105.9</c:v>
                </c:pt>
                <c:pt idx="514">
                  <c:v>100.65</c:v>
                </c:pt>
                <c:pt idx="515">
                  <c:v>100.15</c:v>
                </c:pt>
                <c:pt idx="516">
                  <c:v>99.66</c:v>
                </c:pt>
                <c:pt idx="517">
                  <c:v>108.85</c:v>
                </c:pt>
                <c:pt idx="518">
                  <c:v>118.04</c:v>
                </c:pt>
                <c:pt idx="519">
                  <c:v>124.45</c:v>
                </c:pt>
                <c:pt idx="520">
                  <c:v>130.85</c:v>
                </c:pt>
                <c:pt idx="521">
                  <c:v>132.97999999999999</c:v>
                </c:pt>
                <c:pt idx="522">
                  <c:v>135.11000000000001</c:v>
                </c:pt>
                <c:pt idx="523">
                  <c:v>137.08000000000001</c:v>
                </c:pt>
                <c:pt idx="524">
                  <c:v>139.05000000000001</c:v>
                </c:pt>
                <c:pt idx="525">
                  <c:v>140.19999999999999</c:v>
                </c:pt>
                <c:pt idx="526">
                  <c:v>141.35</c:v>
                </c:pt>
                <c:pt idx="527">
                  <c:v>135.61000000000001</c:v>
                </c:pt>
                <c:pt idx="528">
                  <c:v>129.86000000000001</c:v>
                </c:pt>
                <c:pt idx="529">
                  <c:v>128.71</c:v>
                </c:pt>
                <c:pt idx="530">
                  <c:v>127.56</c:v>
                </c:pt>
                <c:pt idx="531">
                  <c:v>133.13999999999999</c:v>
                </c:pt>
                <c:pt idx="532">
                  <c:v>138.72999999999999</c:v>
                </c:pt>
                <c:pt idx="533">
                  <c:v>144.31</c:v>
                </c:pt>
                <c:pt idx="534">
                  <c:v>149.88999999999999</c:v>
                </c:pt>
                <c:pt idx="535">
                  <c:v>152.18</c:v>
                </c:pt>
                <c:pt idx="536">
                  <c:v>154.47999999999999</c:v>
                </c:pt>
                <c:pt idx="537">
                  <c:v>155.63</c:v>
                </c:pt>
                <c:pt idx="538">
                  <c:v>156.78</c:v>
                </c:pt>
                <c:pt idx="539">
                  <c:v>159.57</c:v>
                </c:pt>
                <c:pt idx="540">
                  <c:v>162.36000000000001</c:v>
                </c:pt>
                <c:pt idx="541">
                  <c:v>170.08</c:v>
                </c:pt>
                <c:pt idx="542">
                  <c:v>177.79</c:v>
                </c:pt>
                <c:pt idx="543">
                  <c:v>188.95</c:v>
                </c:pt>
                <c:pt idx="544">
                  <c:v>200.11</c:v>
                </c:pt>
                <c:pt idx="545">
                  <c:v>211.44</c:v>
                </c:pt>
                <c:pt idx="546">
                  <c:v>222.76</c:v>
                </c:pt>
                <c:pt idx="547">
                  <c:v>238.68</c:v>
                </c:pt>
                <c:pt idx="548">
                  <c:v>254.61</c:v>
                </c:pt>
                <c:pt idx="549">
                  <c:v>274.95999999999998</c:v>
                </c:pt>
                <c:pt idx="550">
                  <c:v>295.31</c:v>
                </c:pt>
                <c:pt idx="551">
                  <c:v>296.3</c:v>
                </c:pt>
                <c:pt idx="552">
                  <c:v>297.27999999999997</c:v>
                </c:pt>
                <c:pt idx="553">
                  <c:v>299.25</c:v>
                </c:pt>
                <c:pt idx="554">
                  <c:v>301.22000000000003</c:v>
                </c:pt>
                <c:pt idx="555">
                  <c:v>305.16000000000003</c:v>
                </c:pt>
                <c:pt idx="556">
                  <c:v>309.10000000000002</c:v>
                </c:pt>
                <c:pt idx="557">
                  <c:v>328.8</c:v>
                </c:pt>
                <c:pt idx="558">
                  <c:v>348.49</c:v>
                </c:pt>
                <c:pt idx="559">
                  <c:v>326.17</c:v>
                </c:pt>
                <c:pt idx="560">
                  <c:v>303.85000000000002</c:v>
                </c:pt>
                <c:pt idx="561">
                  <c:v>307.62</c:v>
                </c:pt>
                <c:pt idx="562">
                  <c:v>311.39999999999998</c:v>
                </c:pt>
                <c:pt idx="563">
                  <c:v>347.84</c:v>
                </c:pt>
                <c:pt idx="564">
                  <c:v>384.27</c:v>
                </c:pt>
                <c:pt idx="565">
                  <c:v>359.32</c:v>
                </c:pt>
                <c:pt idx="566">
                  <c:v>334.38</c:v>
                </c:pt>
                <c:pt idx="567">
                  <c:v>336.51</c:v>
                </c:pt>
                <c:pt idx="568">
                  <c:v>338.64</c:v>
                </c:pt>
                <c:pt idx="569">
                  <c:v>347.18</c:v>
                </c:pt>
                <c:pt idx="570">
                  <c:v>355.71</c:v>
                </c:pt>
                <c:pt idx="571">
                  <c:v>357.36</c:v>
                </c:pt>
                <c:pt idx="572">
                  <c:v>359</c:v>
                </c:pt>
                <c:pt idx="573">
                  <c:v>346.03</c:v>
                </c:pt>
                <c:pt idx="574">
                  <c:v>333.06</c:v>
                </c:pt>
                <c:pt idx="575">
                  <c:v>355.55</c:v>
                </c:pt>
                <c:pt idx="576">
                  <c:v>378.04</c:v>
                </c:pt>
                <c:pt idx="577">
                  <c:v>325.35000000000002</c:v>
                </c:pt>
                <c:pt idx="578">
                  <c:v>272.66000000000003</c:v>
                </c:pt>
                <c:pt idx="579">
                  <c:v>254.77</c:v>
                </c:pt>
                <c:pt idx="580">
                  <c:v>236.88</c:v>
                </c:pt>
                <c:pt idx="581">
                  <c:v>231.63</c:v>
                </c:pt>
                <c:pt idx="582">
                  <c:v>226.37</c:v>
                </c:pt>
                <c:pt idx="583">
                  <c:v>227.52</c:v>
                </c:pt>
                <c:pt idx="584">
                  <c:v>228.67</c:v>
                </c:pt>
                <c:pt idx="585">
                  <c:v>240.65</c:v>
                </c:pt>
                <c:pt idx="586">
                  <c:v>252.64</c:v>
                </c:pt>
                <c:pt idx="587">
                  <c:v>245.91</c:v>
                </c:pt>
                <c:pt idx="588">
                  <c:v>239.18</c:v>
                </c:pt>
                <c:pt idx="589">
                  <c:v>257.72000000000003</c:v>
                </c:pt>
                <c:pt idx="590">
                  <c:v>276.27</c:v>
                </c:pt>
                <c:pt idx="591">
                  <c:v>281.85000000000002</c:v>
                </c:pt>
                <c:pt idx="592">
                  <c:v>287.43</c:v>
                </c:pt>
                <c:pt idx="593">
                  <c:v>284.64</c:v>
                </c:pt>
                <c:pt idx="594">
                  <c:v>281.85000000000002</c:v>
                </c:pt>
                <c:pt idx="595">
                  <c:v>265.27</c:v>
                </c:pt>
                <c:pt idx="596">
                  <c:v>248.7</c:v>
                </c:pt>
                <c:pt idx="597">
                  <c:v>243.61</c:v>
                </c:pt>
                <c:pt idx="598">
                  <c:v>238.52</c:v>
                </c:pt>
                <c:pt idx="599">
                  <c:v>220.47</c:v>
                </c:pt>
                <c:pt idx="600">
                  <c:v>202.41</c:v>
                </c:pt>
                <c:pt idx="601">
                  <c:v>197.32</c:v>
                </c:pt>
                <c:pt idx="602">
                  <c:v>192.23</c:v>
                </c:pt>
                <c:pt idx="603">
                  <c:v>181.57</c:v>
                </c:pt>
                <c:pt idx="604">
                  <c:v>170.9</c:v>
                </c:pt>
                <c:pt idx="605">
                  <c:v>152.02000000000001</c:v>
                </c:pt>
                <c:pt idx="606">
                  <c:v>133.13999999999999</c:v>
                </c:pt>
                <c:pt idx="607">
                  <c:v>142.34</c:v>
                </c:pt>
                <c:pt idx="608">
                  <c:v>151.53</c:v>
                </c:pt>
                <c:pt idx="609">
                  <c:v>172.37</c:v>
                </c:pt>
                <c:pt idx="610">
                  <c:v>193.22</c:v>
                </c:pt>
                <c:pt idx="611">
                  <c:v>186.49</c:v>
                </c:pt>
                <c:pt idx="612">
                  <c:v>179.76</c:v>
                </c:pt>
                <c:pt idx="613">
                  <c:v>178.28</c:v>
                </c:pt>
                <c:pt idx="614">
                  <c:v>176.81</c:v>
                </c:pt>
                <c:pt idx="615">
                  <c:v>172.21</c:v>
                </c:pt>
                <c:pt idx="616">
                  <c:v>167.61</c:v>
                </c:pt>
                <c:pt idx="617">
                  <c:v>167.45</c:v>
                </c:pt>
                <c:pt idx="618">
                  <c:v>167.29</c:v>
                </c:pt>
                <c:pt idx="619">
                  <c:v>162.85</c:v>
                </c:pt>
                <c:pt idx="620">
                  <c:v>158.41999999999999</c:v>
                </c:pt>
                <c:pt idx="621">
                  <c:v>160.72</c:v>
                </c:pt>
                <c:pt idx="622">
                  <c:v>163.02000000000001</c:v>
                </c:pt>
                <c:pt idx="623">
                  <c:v>172.21</c:v>
                </c:pt>
                <c:pt idx="624">
                  <c:v>181.4</c:v>
                </c:pt>
                <c:pt idx="625">
                  <c:v>185.01</c:v>
                </c:pt>
                <c:pt idx="626">
                  <c:v>188.62</c:v>
                </c:pt>
                <c:pt idx="627">
                  <c:v>173.36</c:v>
                </c:pt>
                <c:pt idx="628">
                  <c:v>158.09</c:v>
                </c:pt>
                <c:pt idx="629">
                  <c:v>163.84</c:v>
                </c:pt>
                <c:pt idx="630">
                  <c:v>169.58</c:v>
                </c:pt>
                <c:pt idx="631">
                  <c:v>168.93</c:v>
                </c:pt>
                <c:pt idx="632">
                  <c:v>168.27</c:v>
                </c:pt>
                <c:pt idx="633">
                  <c:v>174.01</c:v>
                </c:pt>
                <c:pt idx="634">
                  <c:v>179.76</c:v>
                </c:pt>
                <c:pt idx="635">
                  <c:v>155.80000000000001</c:v>
                </c:pt>
                <c:pt idx="636">
                  <c:v>131.83000000000001</c:v>
                </c:pt>
                <c:pt idx="637">
                  <c:v>126.09</c:v>
                </c:pt>
                <c:pt idx="638">
                  <c:v>120.34</c:v>
                </c:pt>
                <c:pt idx="639">
                  <c:v>117.72</c:v>
                </c:pt>
                <c:pt idx="640">
                  <c:v>115.09</c:v>
                </c:pt>
                <c:pt idx="641">
                  <c:v>109.84</c:v>
                </c:pt>
                <c:pt idx="642">
                  <c:v>104.59</c:v>
                </c:pt>
                <c:pt idx="643">
                  <c:v>104.26</c:v>
                </c:pt>
                <c:pt idx="644">
                  <c:v>103.93</c:v>
                </c:pt>
                <c:pt idx="645">
                  <c:v>109.84</c:v>
                </c:pt>
                <c:pt idx="646">
                  <c:v>115.75</c:v>
                </c:pt>
                <c:pt idx="647">
                  <c:v>143.49</c:v>
                </c:pt>
                <c:pt idx="648">
                  <c:v>171.22</c:v>
                </c:pt>
                <c:pt idx="649">
                  <c:v>207.5</c:v>
                </c:pt>
                <c:pt idx="650">
                  <c:v>243.77</c:v>
                </c:pt>
                <c:pt idx="651">
                  <c:v>266.42</c:v>
                </c:pt>
                <c:pt idx="652">
                  <c:v>289.07</c:v>
                </c:pt>
                <c:pt idx="653">
                  <c:v>308.93</c:v>
                </c:pt>
                <c:pt idx="654">
                  <c:v>328.8</c:v>
                </c:pt>
                <c:pt idx="655">
                  <c:v>342.25</c:v>
                </c:pt>
                <c:pt idx="656">
                  <c:v>355.71</c:v>
                </c:pt>
                <c:pt idx="657">
                  <c:v>370.81</c:v>
                </c:pt>
                <c:pt idx="658">
                  <c:v>385.91</c:v>
                </c:pt>
                <c:pt idx="659">
                  <c:v>384.6</c:v>
                </c:pt>
                <c:pt idx="660">
                  <c:v>383.29</c:v>
                </c:pt>
                <c:pt idx="661">
                  <c:v>338.64</c:v>
                </c:pt>
                <c:pt idx="662">
                  <c:v>294</c:v>
                </c:pt>
                <c:pt idx="663">
                  <c:v>261.17</c:v>
                </c:pt>
                <c:pt idx="664">
                  <c:v>228.34</c:v>
                </c:pt>
                <c:pt idx="665">
                  <c:v>269.70999999999998</c:v>
                </c:pt>
                <c:pt idx="666">
                  <c:v>311.07</c:v>
                </c:pt>
                <c:pt idx="667">
                  <c:v>344.39</c:v>
                </c:pt>
                <c:pt idx="668">
                  <c:v>377.71</c:v>
                </c:pt>
                <c:pt idx="669">
                  <c:v>404.13</c:v>
                </c:pt>
                <c:pt idx="670">
                  <c:v>430.56</c:v>
                </c:pt>
                <c:pt idx="671">
                  <c:v>399.54</c:v>
                </c:pt>
                <c:pt idx="672">
                  <c:v>368.52</c:v>
                </c:pt>
                <c:pt idx="673">
                  <c:v>368.35</c:v>
                </c:pt>
                <c:pt idx="674">
                  <c:v>368.19</c:v>
                </c:pt>
                <c:pt idx="675">
                  <c:v>294</c:v>
                </c:pt>
                <c:pt idx="676">
                  <c:v>219.81</c:v>
                </c:pt>
                <c:pt idx="677">
                  <c:v>189.77</c:v>
                </c:pt>
                <c:pt idx="678">
                  <c:v>159.72999999999999</c:v>
                </c:pt>
                <c:pt idx="679">
                  <c:v>164.82</c:v>
                </c:pt>
                <c:pt idx="680">
                  <c:v>169.91</c:v>
                </c:pt>
                <c:pt idx="681">
                  <c:v>182.06</c:v>
                </c:pt>
                <c:pt idx="682">
                  <c:v>194.2</c:v>
                </c:pt>
                <c:pt idx="683">
                  <c:v>222.11</c:v>
                </c:pt>
                <c:pt idx="684">
                  <c:v>250.01</c:v>
                </c:pt>
                <c:pt idx="685">
                  <c:v>220.47</c:v>
                </c:pt>
                <c:pt idx="686">
                  <c:v>190.92</c:v>
                </c:pt>
                <c:pt idx="687">
                  <c:v>202.74</c:v>
                </c:pt>
                <c:pt idx="688">
                  <c:v>214.56</c:v>
                </c:pt>
                <c:pt idx="689">
                  <c:v>222.93</c:v>
                </c:pt>
                <c:pt idx="690">
                  <c:v>231.3</c:v>
                </c:pt>
                <c:pt idx="691">
                  <c:v>278.41000000000003</c:v>
                </c:pt>
                <c:pt idx="692">
                  <c:v>325.51</c:v>
                </c:pt>
                <c:pt idx="693">
                  <c:v>345.54</c:v>
                </c:pt>
                <c:pt idx="694">
                  <c:v>365.56</c:v>
                </c:pt>
                <c:pt idx="695">
                  <c:v>359.82</c:v>
                </c:pt>
                <c:pt idx="696">
                  <c:v>354.07</c:v>
                </c:pt>
                <c:pt idx="697">
                  <c:v>347.67</c:v>
                </c:pt>
                <c:pt idx="698">
                  <c:v>341.27</c:v>
                </c:pt>
                <c:pt idx="699">
                  <c:v>311.56</c:v>
                </c:pt>
                <c:pt idx="700">
                  <c:v>281.85000000000002</c:v>
                </c:pt>
                <c:pt idx="701">
                  <c:v>258.22000000000003</c:v>
                </c:pt>
                <c:pt idx="702">
                  <c:v>234.58</c:v>
                </c:pt>
                <c:pt idx="703">
                  <c:v>257.07</c:v>
                </c:pt>
                <c:pt idx="704">
                  <c:v>279.55</c:v>
                </c:pt>
                <c:pt idx="705">
                  <c:v>315.83</c:v>
                </c:pt>
                <c:pt idx="706">
                  <c:v>352.1</c:v>
                </c:pt>
                <c:pt idx="707">
                  <c:v>321.74</c:v>
                </c:pt>
                <c:pt idx="708">
                  <c:v>291.37</c:v>
                </c:pt>
                <c:pt idx="709">
                  <c:v>310.41000000000003</c:v>
                </c:pt>
                <c:pt idx="710">
                  <c:v>329.45</c:v>
                </c:pt>
                <c:pt idx="711">
                  <c:v>292.69</c:v>
                </c:pt>
                <c:pt idx="712">
                  <c:v>255.92</c:v>
                </c:pt>
                <c:pt idx="713">
                  <c:v>216.85</c:v>
                </c:pt>
                <c:pt idx="714">
                  <c:v>177.79</c:v>
                </c:pt>
                <c:pt idx="715">
                  <c:v>162.36000000000001</c:v>
                </c:pt>
                <c:pt idx="716">
                  <c:v>146.93</c:v>
                </c:pt>
                <c:pt idx="717">
                  <c:v>138.88999999999999</c:v>
                </c:pt>
                <c:pt idx="718">
                  <c:v>130.85</c:v>
                </c:pt>
                <c:pt idx="719">
                  <c:v>125.59</c:v>
                </c:pt>
                <c:pt idx="720">
                  <c:v>120.34</c:v>
                </c:pt>
                <c:pt idx="721">
                  <c:v>127.73</c:v>
                </c:pt>
                <c:pt idx="722">
                  <c:v>135.11000000000001</c:v>
                </c:pt>
                <c:pt idx="723">
                  <c:v>132.65</c:v>
                </c:pt>
                <c:pt idx="724">
                  <c:v>130.19</c:v>
                </c:pt>
                <c:pt idx="725">
                  <c:v>121</c:v>
                </c:pt>
                <c:pt idx="726">
                  <c:v>111.81</c:v>
                </c:pt>
                <c:pt idx="727">
                  <c:v>113.12</c:v>
                </c:pt>
                <c:pt idx="728">
                  <c:v>114.43</c:v>
                </c:pt>
                <c:pt idx="729">
                  <c:v>117.39</c:v>
                </c:pt>
                <c:pt idx="730">
                  <c:v>120.34</c:v>
                </c:pt>
                <c:pt idx="731">
                  <c:v>123.46</c:v>
                </c:pt>
                <c:pt idx="732">
                  <c:v>126.58</c:v>
                </c:pt>
                <c:pt idx="733">
                  <c:v>128.38</c:v>
                </c:pt>
                <c:pt idx="734">
                  <c:v>130.19</c:v>
                </c:pt>
                <c:pt idx="735">
                  <c:v>138.56</c:v>
                </c:pt>
                <c:pt idx="736">
                  <c:v>146.93</c:v>
                </c:pt>
                <c:pt idx="737">
                  <c:v>159.57</c:v>
                </c:pt>
                <c:pt idx="738">
                  <c:v>172.21</c:v>
                </c:pt>
                <c:pt idx="739">
                  <c:v>196.01</c:v>
                </c:pt>
                <c:pt idx="740">
                  <c:v>219.81</c:v>
                </c:pt>
                <c:pt idx="741">
                  <c:v>234.25</c:v>
                </c:pt>
                <c:pt idx="742">
                  <c:v>248.7</c:v>
                </c:pt>
                <c:pt idx="743">
                  <c:v>242.95</c:v>
                </c:pt>
                <c:pt idx="744">
                  <c:v>237.21</c:v>
                </c:pt>
                <c:pt idx="745">
                  <c:v>255.43</c:v>
                </c:pt>
                <c:pt idx="746">
                  <c:v>273.64999999999998</c:v>
                </c:pt>
                <c:pt idx="747">
                  <c:v>251.32</c:v>
                </c:pt>
                <c:pt idx="748">
                  <c:v>229</c:v>
                </c:pt>
                <c:pt idx="749">
                  <c:v>237.86</c:v>
                </c:pt>
                <c:pt idx="750">
                  <c:v>246.73</c:v>
                </c:pt>
                <c:pt idx="751">
                  <c:v>240.49</c:v>
                </c:pt>
                <c:pt idx="752">
                  <c:v>234.25</c:v>
                </c:pt>
                <c:pt idx="753">
                  <c:v>225.39</c:v>
                </c:pt>
                <c:pt idx="754">
                  <c:v>216.53</c:v>
                </c:pt>
                <c:pt idx="755">
                  <c:v>214.06</c:v>
                </c:pt>
                <c:pt idx="756">
                  <c:v>211.6</c:v>
                </c:pt>
                <c:pt idx="757">
                  <c:v>215.38</c:v>
                </c:pt>
                <c:pt idx="758">
                  <c:v>219.15</c:v>
                </c:pt>
                <c:pt idx="759">
                  <c:v>227.52</c:v>
                </c:pt>
                <c:pt idx="760">
                  <c:v>235.89</c:v>
                </c:pt>
                <c:pt idx="761">
                  <c:v>237.37</c:v>
                </c:pt>
                <c:pt idx="762">
                  <c:v>238.85</c:v>
                </c:pt>
                <c:pt idx="763">
                  <c:v>247.55</c:v>
                </c:pt>
                <c:pt idx="764">
                  <c:v>256.25</c:v>
                </c:pt>
                <c:pt idx="765">
                  <c:v>261.66000000000003</c:v>
                </c:pt>
                <c:pt idx="766">
                  <c:v>267.08</c:v>
                </c:pt>
                <c:pt idx="767">
                  <c:v>264.29000000000002</c:v>
                </c:pt>
                <c:pt idx="768">
                  <c:v>261.5</c:v>
                </c:pt>
                <c:pt idx="769">
                  <c:v>290.22000000000003</c:v>
                </c:pt>
                <c:pt idx="770">
                  <c:v>318.95</c:v>
                </c:pt>
                <c:pt idx="771">
                  <c:v>317.8</c:v>
                </c:pt>
                <c:pt idx="772">
                  <c:v>316.64999999999998</c:v>
                </c:pt>
                <c:pt idx="773">
                  <c:v>347.18</c:v>
                </c:pt>
                <c:pt idx="774">
                  <c:v>377.71</c:v>
                </c:pt>
                <c:pt idx="775">
                  <c:v>388.05</c:v>
                </c:pt>
                <c:pt idx="776">
                  <c:v>398.39</c:v>
                </c:pt>
                <c:pt idx="777">
                  <c:v>421.86</c:v>
                </c:pt>
                <c:pt idx="778">
                  <c:v>445.33</c:v>
                </c:pt>
                <c:pt idx="779">
                  <c:v>454.2</c:v>
                </c:pt>
                <c:pt idx="780">
                  <c:v>463.06</c:v>
                </c:pt>
                <c:pt idx="781">
                  <c:v>429.74</c:v>
                </c:pt>
                <c:pt idx="782">
                  <c:v>396.42</c:v>
                </c:pt>
                <c:pt idx="783">
                  <c:v>358.5</c:v>
                </c:pt>
                <c:pt idx="784">
                  <c:v>320.58999999999997</c:v>
                </c:pt>
                <c:pt idx="785">
                  <c:v>309.26</c:v>
                </c:pt>
                <c:pt idx="786">
                  <c:v>297.94</c:v>
                </c:pt>
                <c:pt idx="787">
                  <c:v>295.14999999999998</c:v>
                </c:pt>
                <c:pt idx="788">
                  <c:v>292.36</c:v>
                </c:pt>
                <c:pt idx="789">
                  <c:v>295.31</c:v>
                </c:pt>
                <c:pt idx="790">
                  <c:v>298.27</c:v>
                </c:pt>
                <c:pt idx="791">
                  <c:v>311.39999999999998</c:v>
                </c:pt>
                <c:pt idx="792">
                  <c:v>324.52999999999997</c:v>
                </c:pt>
                <c:pt idx="793">
                  <c:v>347.67</c:v>
                </c:pt>
                <c:pt idx="794">
                  <c:v>370.81</c:v>
                </c:pt>
                <c:pt idx="795">
                  <c:v>367.2</c:v>
                </c:pt>
                <c:pt idx="796">
                  <c:v>363.59</c:v>
                </c:pt>
                <c:pt idx="797">
                  <c:v>377.05</c:v>
                </c:pt>
                <c:pt idx="798">
                  <c:v>390.51</c:v>
                </c:pt>
                <c:pt idx="799">
                  <c:v>395.76</c:v>
                </c:pt>
                <c:pt idx="800">
                  <c:v>401.02</c:v>
                </c:pt>
                <c:pt idx="801">
                  <c:v>406.92</c:v>
                </c:pt>
                <c:pt idx="802">
                  <c:v>412.83</c:v>
                </c:pt>
                <c:pt idx="803">
                  <c:v>374.26</c:v>
                </c:pt>
                <c:pt idx="804">
                  <c:v>335.69</c:v>
                </c:pt>
                <c:pt idx="805">
                  <c:v>325.18</c:v>
                </c:pt>
                <c:pt idx="806">
                  <c:v>314.68</c:v>
                </c:pt>
                <c:pt idx="807">
                  <c:v>352.6</c:v>
                </c:pt>
                <c:pt idx="808">
                  <c:v>390.51</c:v>
                </c:pt>
                <c:pt idx="809">
                  <c:v>377.22</c:v>
                </c:pt>
                <c:pt idx="810">
                  <c:v>363.92</c:v>
                </c:pt>
                <c:pt idx="811">
                  <c:v>359.82</c:v>
                </c:pt>
                <c:pt idx="812">
                  <c:v>355.71</c:v>
                </c:pt>
                <c:pt idx="813">
                  <c:v>361.46</c:v>
                </c:pt>
                <c:pt idx="814">
                  <c:v>367.2</c:v>
                </c:pt>
                <c:pt idx="815">
                  <c:v>363.43</c:v>
                </c:pt>
                <c:pt idx="816">
                  <c:v>359.65</c:v>
                </c:pt>
                <c:pt idx="817">
                  <c:v>354.4</c:v>
                </c:pt>
                <c:pt idx="818">
                  <c:v>349.15</c:v>
                </c:pt>
                <c:pt idx="819">
                  <c:v>372.13</c:v>
                </c:pt>
                <c:pt idx="820">
                  <c:v>395.11</c:v>
                </c:pt>
                <c:pt idx="821">
                  <c:v>401.02</c:v>
                </c:pt>
                <c:pt idx="822">
                  <c:v>406.92</c:v>
                </c:pt>
                <c:pt idx="823">
                  <c:v>379.84</c:v>
                </c:pt>
                <c:pt idx="824">
                  <c:v>352.76</c:v>
                </c:pt>
                <c:pt idx="825">
                  <c:v>349.48</c:v>
                </c:pt>
                <c:pt idx="826">
                  <c:v>346.19</c:v>
                </c:pt>
                <c:pt idx="827">
                  <c:v>362.94</c:v>
                </c:pt>
                <c:pt idx="828">
                  <c:v>379.68</c:v>
                </c:pt>
                <c:pt idx="829">
                  <c:v>330.44</c:v>
                </c:pt>
                <c:pt idx="830">
                  <c:v>281.2</c:v>
                </c:pt>
                <c:pt idx="831">
                  <c:v>302.52999999999997</c:v>
                </c:pt>
                <c:pt idx="832">
                  <c:v>323.87</c:v>
                </c:pt>
                <c:pt idx="833">
                  <c:v>298.58999999999997</c:v>
                </c:pt>
                <c:pt idx="834">
                  <c:v>273.32</c:v>
                </c:pt>
                <c:pt idx="835">
                  <c:v>269.87</c:v>
                </c:pt>
                <c:pt idx="836">
                  <c:v>266.42</c:v>
                </c:pt>
                <c:pt idx="837">
                  <c:v>314.35000000000002</c:v>
                </c:pt>
                <c:pt idx="838">
                  <c:v>362.28</c:v>
                </c:pt>
                <c:pt idx="839">
                  <c:v>385.42</c:v>
                </c:pt>
                <c:pt idx="840">
                  <c:v>408.57</c:v>
                </c:pt>
                <c:pt idx="841">
                  <c:v>352.76</c:v>
                </c:pt>
                <c:pt idx="842">
                  <c:v>296.95</c:v>
                </c:pt>
                <c:pt idx="843">
                  <c:v>282.67</c:v>
                </c:pt>
                <c:pt idx="844">
                  <c:v>268.39</c:v>
                </c:pt>
                <c:pt idx="845">
                  <c:v>282.02</c:v>
                </c:pt>
                <c:pt idx="846">
                  <c:v>295.64</c:v>
                </c:pt>
                <c:pt idx="847">
                  <c:v>332.57</c:v>
                </c:pt>
                <c:pt idx="848">
                  <c:v>369.5</c:v>
                </c:pt>
                <c:pt idx="849">
                  <c:v>365.07</c:v>
                </c:pt>
                <c:pt idx="850">
                  <c:v>360.64</c:v>
                </c:pt>
                <c:pt idx="851">
                  <c:v>353.09</c:v>
                </c:pt>
                <c:pt idx="852">
                  <c:v>345.54</c:v>
                </c:pt>
                <c:pt idx="853">
                  <c:v>339.63</c:v>
                </c:pt>
                <c:pt idx="854">
                  <c:v>333.72</c:v>
                </c:pt>
                <c:pt idx="855">
                  <c:v>282.83999999999997</c:v>
                </c:pt>
                <c:pt idx="856">
                  <c:v>231.95</c:v>
                </c:pt>
                <c:pt idx="857">
                  <c:v>220.96</c:v>
                </c:pt>
                <c:pt idx="858">
                  <c:v>209.96</c:v>
                </c:pt>
                <c:pt idx="859">
                  <c:v>175.49</c:v>
                </c:pt>
                <c:pt idx="860">
                  <c:v>141.02000000000001</c:v>
                </c:pt>
                <c:pt idx="861">
                  <c:v>145.46</c:v>
                </c:pt>
                <c:pt idx="862">
                  <c:v>149.88999999999999</c:v>
                </c:pt>
                <c:pt idx="863">
                  <c:v>160.06</c:v>
                </c:pt>
                <c:pt idx="864">
                  <c:v>170.24</c:v>
                </c:pt>
                <c:pt idx="865">
                  <c:v>161.54</c:v>
                </c:pt>
                <c:pt idx="866">
                  <c:v>152.84</c:v>
                </c:pt>
                <c:pt idx="867">
                  <c:v>144.80000000000001</c:v>
                </c:pt>
                <c:pt idx="868">
                  <c:v>136.76</c:v>
                </c:pt>
                <c:pt idx="869">
                  <c:v>124.12</c:v>
                </c:pt>
                <c:pt idx="870">
                  <c:v>111.48</c:v>
                </c:pt>
                <c:pt idx="871">
                  <c:v>104.59</c:v>
                </c:pt>
                <c:pt idx="872">
                  <c:v>97.69</c:v>
                </c:pt>
                <c:pt idx="873">
                  <c:v>90.47</c:v>
                </c:pt>
                <c:pt idx="874">
                  <c:v>83.25</c:v>
                </c:pt>
                <c:pt idx="875">
                  <c:v>85.87</c:v>
                </c:pt>
                <c:pt idx="876">
                  <c:v>88.5</c:v>
                </c:pt>
                <c:pt idx="877">
                  <c:v>84.72</c:v>
                </c:pt>
                <c:pt idx="878">
                  <c:v>80.95</c:v>
                </c:pt>
                <c:pt idx="879">
                  <c:v>82.1</c:v>
                </c:pt>
                <c:pt idx="880">
                  <c:v>83.25</c:v>
                </c:pt>
                <c:pt idx="881">
                  <c:v>84.89</c:v>
                </c:pt>
                <c:pt idx="882">
                  <c:v>86.53</c:v>
                </c:pt>
                <c:pt idx="883">
                  <c:v>89.65</c:v>
                </c:pt>
                <c:pt idx="884">
                  <c:v>92.77</c:v>
                </c:pt>
                <c:pt idx="885">
                  <c:v>99.66</c:v>
                </c:pt>
                <c:pt idx="886">
                  <c:v>106.55</c:v>
                </c:pt>
                <c:pt idx="887">
                  <c:v>104.59</c:v>
                </c:pt>
                <c:pt idx="888">
                  <c:v>102.62</c:v>
                </c:pt>
                <c:pt idx="889">
                  <c:v>109.51</c:v>
                </c:pt>
                <c:pt idx="890">
                  <c:v>116.4</c:v>
                </c:pt>
                <c:pt idx="891">
                  <c:v>117.72</c:v>
                </c:pt>
                <c:pt idx="892">
                  <c:v>119.03</c:v>
                </c:pt>
                <c:pt idx="893">
                  <c:v>131.01</c:v>
                </c:pt>
                <c:pt idx="894">
                  <c:v>142.99</c:v>
                </c:pt>
                <c:pt idx="895">
                  <c:v>160.06</c:v>
                </c:pt>
                <c:pt idx="896">
                  <c:v>177.13</c:v>
                </c:pt>
                <c:pt idx="897">
                  <c:v>187.8</c:v>
                </c:pt>
                <c:pt idx="898">
                  <c:v>198.47</c:v>
                </c:pt>
                <c:pt idx="899">
                  <c:v>187.97</c:v>
                </c:pt>
                <c:pt idx="900">
                  <c:v>177.46</c:v>
                </c:pt>
                <c:pt idx="901">
                  <c:v>180.42</c:v>
                </c:pt>
                <c:pt idx="902">
                  <c:v>183.37</c:v>
                </c:pt>
                <c:pt idx="903">
                  <c:v>166.79</c:v>
                </c:pt>
                <c:pt idx="904">
                  <c:v>150.22</c:v>
                </c:pt>
                <c:pt idx="905">
                  <c:v>184.36</c:v>
                </c:pt>
                <c:pt idx="906">
                  <c:v>218.5</c:v>
                </c:pt>
                <c:pt idx="907">
                  <c:v>229.99</c:v>
                </c:pt>
                <c:pt idx="908">
                  <c:v>241.47</c:v>
                </c:pt>
                <c:pt idx="909">
                  <c:v>253.62</c:v>
                </c:pt>
                <c:pt idx="910">
                  <c:v>265.77</c:v>
                </c:pt>
                <c:pt idx="911">
                  <c:v>255.26</c:v>
                </c:pt>
                <c:pt idx="912">
                  <c:v>244.76</c:v>
                </c:pt>
                <c:pt idx="913">
                  <c:v>241.97</c:v>
                </c:pt>
                <c:pt idx="914">
                  <c:v>239.18</c:v>
                </c:pt>
                <c:pt idx="915">
                  <c:v>250.01</c:v>
                </c:pt>
                <c:pt idx="916">
                  <c:v>260.83999999999997</c:v>
                </c:pt>
                <c:pt idx="917">
                  <c:v>265.60000000000002</c:v>
                </c:pt>
                <c:pt idx="918">
                  <c:v>270.36</c:v>
                </c:pt>
                <c:pt idx="919">
                  <c:v>269.20999999999998</c:v>
                </c:pt>
                <c:pt idx="920">
                  <c:v>268.06</c:v>
                </c:pt>
                <c:pt idx="921">
                  <c:v>265.77</c:v>
                </c:pt>
                <c:pt idx="922">
                  <c:v>263.47000000000003</c:v>
                </c:pt>
                <c:pt idx="923">
                  <c:v>266.10000000000002</c:v>
                </c:pt>
                <c:pt idx="924">
                  <c:v>268.72000000000003</c:v>
                </c:pt>
                <c:pt idx="925">
                  <c:v>315.66000000000003</c:v>
                </c:pt>
                <c:pt idx="926">
                  <c:v>362.61</c:v>
                </c:pt>
                <c:pt idx="927">
                  <c:v>333.39</c:v>
                </c:pt>
                <c:pt idx="928">
                  <c:v>304.17</c:v>
                </c:pt>
                <c:pt idx="929">
                  <c:v>288.08999999999997</c:v>
                </c:pt>
                <c:pt idx="930">
                  <c:v>272</c:v>
                </c:pt>
                <c:pt idx="931">
                  <c:v>268.89</c:v>
                </c:pt>
                <c:pt idx="932">
                  <c:v>265.77</c:v>
                </c:pt>
                <c:pt idx="933">
                  <c:v>324.2</c:v>
                </c:pt>
                <c:pt idx="934">
                  <c:v>382.63</c:v>
                </c:pt>
                <c:pt idx="935">
                  <c:v>330.6</c:v>
                </c:pt>
                <c:pt idx="936">
                  <c:v>278.57</c:v>
                </c:pt>
                <c:pt idx="937">
                  <c:v>256.08</c:v>
                </c:pt>
                <c:pt idx="938">
                  <c:v>233.6</c:v>
                </c:pt>
                <c:pt idx="939">
                  <c:v>232.12</c:v>
                </c:pt>
                <c:pt idx="940">
                  <c:v>230.64</c:v>
                </c:pt>
                <c:pt idx="941">
                  <c:v>250.34</c:v>
                </c:pt>
                <c:pt idx="942">
                  <c:v>270.02999999999997</c:v>
                </c:pt>
                <c:pt idx="943">
                  <c:v>272.5</c:v>
                </c:pt>
                <c:pt idx="944">
                  <c:v>274.95999999999998</c:v>
                </c:pt>
                <c:pt idx="945">
                  <c:v>248.86</c:v>
                </c:pt>
                <c:pt idx="946">
                  <c:v>222.76</c:v>
                </c:pt>
                <c:pt idx="947">
                  <c:v>208.32</c:v>
                </c:pt>
                <c:pt idx="948">
                  <c:v>193.88</c:v>
                </c:pt>
                <c:pt idx="949">
                  <c:v>193.05</c:v>
                </c:pt>
                <c:pt idx="950">
                  <c:v>192.23</c:v>
                </c:pt>
                <c:pt idx="951">
                  <c:v>186.49</c:v>
                </c:pt>
                <c:pt idx="952">
                  <c:v>180.74</c:v>
                </c:pt>
                <c:pt idx="953">
                  <c:v>166.63</c:v>
                </c:pt>
                <c:pt idx="954">
                  <c:v>152.51</c:v>
                </c:pt>
                <c:pt idx="955">
                  <c:v>143.97999999999999</c:v>
                </c:pt>
                <c:pt idx="956">
                  <c:v>135.44</c:v>
                </c:pt>
                <c:pt idx="957">
                  <c:v>144.96</c:v>
                </c:pt>
                <c:pt idx="958">
                  <c:v>154.47999999999999</c:v>
                </c:pt>
                <c:pt idx="959">
                  <c:v>175.16</c:v>
                </c:pt>
                <c:pt idx="960">
                  <c:v>195.84</c:v>
                </c:pt>
                <c:pt idx="961">
                  <c:v>189.77</c:v>
                </c:pt>
                <c:pt idx="962">
                  <c:v>183.7</c:v>
                </c:pt>
                <c:pt idx="963">
                  <c:v>171.88</c:v>
                </c:pt>
                <c:pt idx="964">
                  <c:v>160.06</c:v>
                </c:pt>
                <c:pt idx="965">
                  <c:v>150.71</c:v>
                </c:pt>
                <c:pt idx="966">
                  <c:v>141.35</c:v>
                </c:pt>
                <c:pt idx="967">
                  <c:v>142.01</c:v>
                </c:pt>
                <c:pt idx="968">
                  <c:v>142.66</c:v>
                </c:pt>
                <c:pt idx="969">
                  <c:v>156.29</c:v>
                </c:pt>
                <c:pt idx="970">
                  <c:v>169.91</c:v>
                </c:pt>
                <c:pt idx="971">
                  <c:v>182.39</c:v>
                </c:pt>
                <c:pt idx="972">
                  <c:v>194.86</c:v>
                </c:pt>
                <c:pt idx="973">
                  <c:v>182.55</c:v>
                </c:pt>
                <c:pt idx="974">
                  <c:v>170.24</c:v>
                </c:pt>
                <c:pt idx="975">
                  <c:v>152.51</c:v>
                </c:pt>
                <c:pt idx="976">
                  <c:v>134.79</c:v>
                </c:pt>
                <c:pt idx="977">
                  <c:v>121.49</c:v>
                </c:pt>
                <c:pt idx="978">
                  <c:v>108.2</c:v>
                </c:pt>
                <c:pt idx="979">
                  <c:v>110.99</c:v>
                </c:pt>
                <c:pt idx="980">
                  <c:v>113.78</c:v>
                </c:pt>
                <c:pt idx="981">
                  <c:v>111.15</c:v>
                </c:pt>
                <c:pt idx="982">
                  <c:v>108.52</c:v>
                </c:pt>
                <c:pt idx="983">
                  <c:v>105.57</c:v>
                </c:pt>
                <c:pt idx="984">
                  <c:v>102.62</c:v>
                </c:pt>
                <c:pt idx="985">
                  <c:v>101.96</c:v>
                </c:pt>
                <c:pt idx="986">
                  <c:v>101.3</c:v>
                </c:pt>
                <c:pt idx="987">
                  <c:v>96.71</c:v>
                </c:pt>
                <c:pt idx="988">
                  <c:v>92.11</c:v>
                </c:pt>
                <c:pt idx="989">
                  <c:v>93.92</c:v>
                </c:pt>
                <c:pt idx="990">
                  <c:v>95.72</c:v>
                </c:pt>
                <c:pt idx="991">
                  <c:v>105.08</c:v>
                </c:pt>
                <c:pt idx="992">
                  <c:v>114.43</c:v>
                </c:pt>
                <c:pt idx="993">
                  <c:v>108.36</c:v>
                </c:pt>
                <c:pt idx="994">
                  <c:v>102.29</c:v>
                </c:pt>
                <c:pt idx="995">
                  <c:v>94.08</c:v>
                </c:pt>
                <c:pt idx="996">
                  <c:v>85.87</c:v>
                </c:pt>
                <c:pt idx="997">
                  <c:v>103.44</c:v>
                </c:pt>
                <c:pt idx="998">
                  <c:v>121</c:v>
                </c:pt>
                <c:pt idx="999">
                  <c:v>91.45</c:v>
                </c:pt>
                <c:pt idx="1000">
                  <c:v>61.91</c:v>
                </c:pt>
                <c:pt idx="1001">
                  <c:v>60.27</c:v>
                </c:pt>
                <c:pt idx="1002">
                  <c:v>58.63</c:v>
                </c:pt>
                <c:pt idx="1003">
                  <c:v>57.81</c:v>
                </c:pt>
                <c:pt idx="1004">
                  <c:v>56.99</c:v>
                </c:pt>
                <c:pt idx="1005">
                  <c:v>68.150000000000006</c:v>
                </c:pt>
                <c:pt idx="1006">
                  <c:v>79.31</c:v>
                </c:pt>
                <c:pt idx="1007">
                  <c:v>65.680000000000007</c:v>
                </c:pt>
                <c:pt idx="1008">
                  <c:v>52.06</c:v>
                </c:pt>
                <c:pt idx="1009">
                  <c:v>51.08</c:v>
                </c:pt>
                <c:pt idx="1010">
                  <c:v>50.09</c:v>
                </c:pt>
                <c:pt idx="1011">
                  <c:v>52.55</c:v>
                </c:pt>
                <c:pt idx="1012">
                  <c:v>55.02</c:v>
                </c:pt>
                <c:pt idx="1013">
                  <c:v>52.55</c:v>
                </c:pt>
                <c:pt idx="1014">
                  <c:v>50.09</c:v>
                </c:pt>
                <c:pt idx="1015">
                  <c:v>62.24</c:v>
                </c:pt>
                <c:pt idx="1016">
                  <c:v>74.38</c:v>
                </c:pt>
                <c:pt idx="1017">
                  <c:v>60.27</c:v>
                </c:pt>
                <c:pt idx="1018">
                  <c:v>46.15</c:v>
                </c:pt>
                <c:pt idx="1019">
                  <c:v>47.47</c:v>
                </c:pt>
                <c:pt idx="1020">
                  <c:v>48.78</c:v>
                </c:pt>
                <c:pt idx="1021">
                  <c:v>48.94</c:v>
                </c:pt>
                <c:pt idx="1022">
                  <c:v>49.11</c:v>
                </c:pt>
                <c:pt idx="1023">
                  <c:v>47.3</c:v>
                </c:pt>
                <c:pt idx="1024">
                  <c:v>45.5</c:v>
                </c:pt>
                <c:pt idx="1025">
                  <c:v>45.5</c:v>
                </c:pt>
                <c:pt idx="1026">
                  <c:v>45.5</c:v>
                </c:pt>
                <c:pt idx="1027">
                  <c:v>45.5</c:v>
                </c:pt>
                <c:pt idx="1028">
                  <c:v>45.5</c:v>
                </c:pt>
                <c:pt idx="1029">
                  <c:v>43.03</c:v>
                </c:pt>
                <c:pt idx="1030">
                  <c:v>40.57</c:v>
                </c:pt>
                <c:pt idx="1031">
                  <c:v>39.92</c:v>
                </c:pt>
                <c:pt idx="1032">
                  <c:v>39.26</c:v>
                </c:pt>
                <c:pt idx="1033">
                  <c:v>68.8</c:v>
                </c:pt>
                <c:pt idx="1034">
                  <c:v>98.35</c:v>
                </c:pt>
                <c:pt idx="1035">
                  <c:v>67.650000000000006</c:v>
                </c:pt>
                <c:pt idx="1036">
                  <c:v>36.96</c:v>
                </c:pt>
                <c:pt idx="1037">
                  <c:v>39.590000000000003</c:v>
                </c:pt>
                <c:pt idx="1038">
                  <c:v>42.21</c:v>
                </c:pt>
                <c:pt idx="1039">
                  <c:v>41.72</c:v>
                </c:pt>
                <c:pt idx="1040">
                  <c:v>41.23</c:v>
                </c:pt>
                <c:pt idx="1041">
                  <c:v>42.38</c:v>
                </c:pt>
                <c:pt idx="1042">
                  <c:v>43.53</c:v>
                </c:pt>
                <c:pt idx="1043">
                  <c:v>45</c:v>
                </c:pt>
                <c:pt idx="1044">
                  <c:v>46.48</c:v>
                </c:pt>
                <c:pt idx="1045">
                  <c:v>45.5</c:v>
                </c:pt>
                <c:pt idx="1046">
                  <c:v>44.51</c:v>
                </c:pt>
                <c:pt idx="1047">
                  <c:v>46.48</c:v>
                </c:pt>
                <c:pt idx="1048">
                  <c:v>48.45</c:v>
                </c:pt>
                <c:pt idx="1049">
                  <c:v>47.3</c:v>
                </c:pt>
                <c:pt idx="1050">
                  <c:v>46.15</c:v>
                </c:pt>
                <c:pt idx="1051">
                  <c:v>45.5</c:v>
                </c:pt>
                <c:pt idx="1052">
                  <c:v>44.84</c:v>
                </c:pt>
                <c:pt idx="1053">
                  <c:v>44.02</c:v>
                </c:pt>
                <c:pt idx="1054">
                  <c:v>43.2</c:v>
                </c:pt>
                <c:pt idx="1055">
                  <c:v>41.89</c:v>
                </c:pt>
                <c:pt idx="1056">
                  <c:v>40.57</c:v>
                </c:pt>
                <c:pt idx="1057">
                  <c:v>38.6</c:v>
                </c:pt>
                <c:pt idx="1058">
                  <c:v>36.630000000000003</c:v>
                </c:pt>
                <c:pt idx="1059">
                  <c:v>42.05</c:v>
                </c:pt>
                <c:pt idx="1060">
                  <c:v>47.47</c:v>
                </c:pt>
                <c:pt idx="1061">
                  <c:v>40.9</c:v>
                </c:pt>
                <c:pt idx="1062">
                  <c:v>34.33</c:v>
                </c:pt>
                <c:pt idx="1063">
                  <c:v>35.159999999999997</c:v>
                </c:pt>
                <c:pt idx="1064">
                  <c:v>35.979999999999997</c:v>
                </c:pt>
                <c:pt idx="1065">
                  <c:v>34.659999999999997</c:v>
                </c:pt>
                <c:pt idx="1066">
                  <c:v>33.35</c:v>
                </c:pt>
                <c:pt idx="1067">
                  <c:v>32.69</c:v>
                </c:pt>
                <c:pt idx="1068">
                  <c:v>32.04</c:v>
                </c:pt>
                <c:pt idx="1069">
                  <c:v>32.53</c:v>
                </c:pt>
                <c:pt idx="1070">
                  <c:v>33.020000000000003</c:v>
                </c:pt>
                <c:pt idx="1071">
                  <c:v>32.04</c:v>
                </c:pt>
                <c:pt idx="1072">
                  <c:v>31.05</c:v>
                </c:pt>
                <c:pt idx="1073">
                  <c:v>30.89</c:v>
                </c:pt>
                <c:pt idx="1074">
                  <c:v>30.72</c:v>
                </c:pt>
                <c:pt idx="1075">
                  <c:v>32.200000000000003</c:v>
                </c:pt>
                <c:pt idx="1076">
                  <c:v>33.68</c:v>
                </c:pt>
                <c:pt idx="1077">
                  <c:v>31.05</c:v>
                </c:pt>
                <c:pt idx="1078">
                  <c:v>28.43</c:v>
                </c:pt>
                <c:pt idx="1079">
                  <c:v>29.57</c:v>
                </c:pt>
                <c:pt idx="1080">
                  <c:v>30.72</c:v>
                </c:pt>
                <c:pt idx="1081">
                  <c:v>31.05</c:v>
                </c:pt>
                <c:pt idx="1082">
                  <c:v>31.38</c:v>
                </c:pt>
                <c:pt idx="1083">
                  <c:v>33.35</c:v>
                </c:pt>
                <c:pt idx="1084">
                  <c:v>35.32</c:v>
                </c:pt>
                <c:pt idx="1085">
                  <c:v>34.33</c:v>
                </c:pt>
                <c:pt idx="1086">
                  <c:v>33.35</c:v>
                </c:pt>
                <c:pt idx="1087">
                  <c:v>32.04</c:v>
                </c:pt>
                <c:pt idx="1088">
                  <c:v>30.72</c:v>
                </c:pt>
                <c:pt idx="1089">
                  <c:v>41.39</c:v>
                </c:pt>
                <c:pt idx="1090">
                  <c:v>52.06</c:v>
                </c:pt>
                <c:pt idx="1091">
                  <c:v>38.44</c:v>
                </c:pt>
                <c:pt idx="1092">
                  <c:v>24.81</c:v>
                </c:pt>
                <c:pt idx="1093">
                  <c:v>24.98</c:v>
                </c:pt>
                <c:pt idx="1094">
                  <c:v>25.14</c:v>
                </c:pt>
                <c:pt idx="1095">
                  <c:v>24.49</c:v>
                </c:pt>
                <c:pt idx="1096">
                  <c:v>23.83</c:v>
                </c:pt>
                <c:pt idx="1097">
                  <c:v>23.01</c:v>
                </c:pt>
                <c:pt idx="1098">
                  <c:v>22.19</c:v>
                </c:pt>
                <c:pt idx="1099">
                  <c:v>21.2</c:v>
                </c:pt>
                <c:pt idx="1100">
                  <c:v>20.22</c:v>
                </c:pt>
                <c:pt idx="1101">
                  <c:v>20.55</c:v>
                </c:pt>
                <c:pt idx="1102">
                  <c:v>20.88</c:v>
                </c:pt>
                <c:pt idx="1103">
                  <c:v>21.53</c:v>
                </c:pt>
                <c:pt idx="1104">
                  <c:v>22.19</c:v>
                </c:pt>
                <c:pt idx="1105">
                  <c:v>31.87</c:v>
                </c:pt>
                <c:pt idx="1106">
                  <c:v>41.56</c:v>
                </c:pt>
                <c:pt idx="1107">
                  <c:v>30.23</c:v>
                </c:pt>
                <c:pt idx="1108">
                  <c:v>18.91</c:v>
                </c:pt>
                <c:pt idx="1109">
                  <c:v>19.07</c:v>
                </c:pt>
                <c:pt idx="1110">
                  <c:v>19.23</c:v>
                </c:pt>
                <c:pt idx="1111">
                  <c:v>26.13</c:v>
                </c:pt>
                <c:pt idx="1112">
                  <c:v>33.020000000000003</c:v>
                </c:pt>
                <c:pt idx="1113">
                  <c:v>24.65</c:v>
                </c:pt>
                <c:pt idx="1114">
                  <c:v>16.28</c:v>
                </c:pt>
                <c:pt idx="1115">
                  <c:v>15.62</c:v>
                </c:pt>
                <c:pt idx="1116">
                  <c:v>14.97</c:v>
                </c:pt>
                <c:pt idx="1117">
                  <c:v>14.64</c:v>
                </c:pt>
                <c:pt idx="1118">
                  <c:v>14.31</c:v>
                </c:pt>
                <c:pt idx="1119">
                  <c:v>13.16</c:v>
                </c:pt>
                <c:pt idx="1120">
                  <c:v>12.01</c:v>
                </c:pt>
                <c:pt idx="1121">
                  <c:v>14.64</c:v>
                </c:pt>
                <c:pt idx="1122">
                  <c:v>17.260000000000002</c:v>
                </c:pt>
                <c:pt idx="1123">
                  <c:v>37.619999999999997</c:v>
                </c:pt>
                <c:pt idx="1124">
                  <c:v>57.97</c:v>
                </c:pt>
                <c:pt idx="1125">
                  <c:v>35.32</c:v>
                </c:pt>
                <c:pt idx="1126">
                  <c:v>12.67</c:v>
                </c:pt>
                <c:pt idx="1127">
                  <c:v>11.19</c:v>
                </c:pt>
                <c:pt idx="1128">
                  <c:v>9.7100000000000009</c:v>
                </c:pt>
                <c:pt idx="1129">
                  <c:v>9.39</c:v>
                </c:pt>
                <c:pt idx="1130">
                  <c:v>9.06</c:v>
                </c:pt>
                <c:pt idx="1131">
                  <c:v>9.8800000000000008</c:v>
                </c:pt>
                <c:pt idx="1132">
                  <c:v>10.7</c:v>
                </c:pt>
                <c:pt idx="1133">
                  <c:v>10.039999999999999</c:v>
                </c:pt>
                <c:pt idx="1134">
                  <c:v>9.39</c:v>
                </c:pt>
                <c:pt idx="1135">
                  <c:v>8.24</c:v>
                </c:pt>
                <c:pt idx="1136">
                  <c:v>7.09</c:v>
                </c:pt>
                <c:pt idx="1137">
                  <c:v>3.31</c:v>
                </c:pt>
                <c:pt idx="1138">
                  <c:v>0</c:v>
                </c:pt>
                <c:pt idx="1139">
                  <c:v>3.97</c:v>
                </c:pt>
                <c:pt idx="1140">
                  <c:v>8.4</c:v>
                </c:pt>
                <c:pt idx="1141">
                  <c:v>8.07</c:v>
                </c:pt>
                <c:pt idx="1142">
                  <c:v>7.74</c:v>
                </c:pt>
                <c:pt idx="1143">
                  <c:v>15.29</c:v>
                </c:pt>
                <c:pt idx="1144">
                  <c:v>22.85</c:v>
                </c:pt>
                <c:pt idx="1145">
                  <c:v>13.98</c:v>
                </c:pt>
                <c:pt idx="1146">
                  <c:v>5.12</c:v>
                </c:pt>
                <c:pt idx="1147">
                  <c:v>49.93</c:v>
                </c:pt>
                <c:pt idx="1148">
                  <c:v>94.74</c:v>
                </c:pt>
                <c:pt idx="1149">
                  <c:v>48.94</c:v>
                </c:pt>
                <c:pt idx="1150">
                  <c:v>3.15</c:v>
                </c:pt>
                <c:pt idx="1151">
                  <c:v>2.66</c:v>
                </c:pt>
                <c:pt idx="1152">
                  <c:v>2.16</c:v>
                </c:pt>
                <c:pt idx="1153">
                  <c:v>2.82</c:v>
                </c:pt>
                <c:pt idx="1154">
                  <c:v>3.48</c:v>
                </c:pt>
                <c:pt idx="1155">
                  <c:v>1.51</c:v>
                </c:pt>
                <c:pt idx="1156">
                  <c:v>0</c:v>
                </c:pt>
                <c:pt idx="1157">
                  <c:v>1.02</c:v>
                </c:pt>
                <c:pt idx="1158">
                  <c:v>2.4900000000000002</c:v>
                </c:pt>
                <c:pt idx="1159">
                  <c:v>3.97</c:v>
                </c:pt>
                <c:pt idx="1160">
                  <c:v>5.45</c:v>
                </c:pt>
                <c:pt idx="1161">
                  <c:v>3.81</c:v>
                </c:pt>
                <c:pt idx="1162">
                  <c:v>2.16</c:v>
                </c:pt>
                <c:pt idx="1163">
                  <c:v>2.4900000000000002</c:v>
                </c:pt>
                <c:pt idx="1164">
                  <c:v>2.82</c:v>
                </c:pt>
                <c:pt idx="1165">
                  <c:v>2.98</c:v>
                </c:pt>
                <c:pt idx="1166">
                  <c:v>3.15</c:v>
                </c:pt>
                <c:pt idx="1167">
                  <c:v>2.82</c:v>
                </c:pt>
                <c:pt idx="1168">
                  <c:v>2.4900000000000002</c:v>
                </c:pt>
                <c:pt idx="1169">
                  <c:v>38.6</c:v>
                </c:pt>
                <c:pt idx="1170">
                  <c:v>74.709999999999994</c:v>
                </c:pt>
                <c:pt idx="1171">
                  <c:v>38.6</c:v>
                </c:pt>
                <c:pt idx="1172">
                  <c:v>2.4900000000000002</c:v>
                </c:pt>
                <c:pt idx="1173">
                  <c:v>2.98</c:v>
                </c:pt>
                <c:pt idx="1174">
                  <c:v>3.48</c:v>
                </c:pt>
                <c:pt idx="1175">
                  <c:v>2.66</c:v>
                </c:pt>
                <c:pt idx="1176">
                  <c:v>1.84</c:v>
                </c:pt>
                <c:pt idx="1177">
                  <c:v>1.84</c:v>
                </c:pt>
                <c:pt idx="1178">
                  <c:v>1.84</c:v>
                </c:pt>
                <c:pt idx="1179">
                  <c:v>1.84</c:v>
                </c:pt>
                <c:pt idx="1180">
                  <c:v>1.84</c:v>
                </c:pt>
                <c:pt idx="1181">
                  <c:v>2.16</c:v>
                </c:pt>
                <c:pt idx="1182">
                  <c:v>2.4900000000000002</c:v>
                </c:pt>
                <c:pt idx="1183">
                  <c:v>2.33</c:v>
                </c:pt>
                <c:pt idx="1184">
                  <c:v>2.16</c:v>
                </c:pt>
                <c:pt idx="1185">
                  <c:v>2</c:v>
                </c:pt>
                <c:pt idx="1186">
                  <c:v>1.84</c:v>
                </c:pt>
                <c:pt idx="1187">
                  <c:v>1.84</c:v>
                </c:pt>
                <c:pt idx="1188">
                  <c:v>1.84</c:v>
                </c:pt>
                <c:pt idx="1189">
                  <c:v>1.84</c:v>
                </c:pt>
                <c:pt idx="1190">
                  <c:v>1.84</c:v>
                </c:pt>
                <c:pt idx="1191">
                  <c:v>2.4900000000000002</c:v>
                </c:pt>
                <c:pt idx="1192">
                  <c:v>3.15</c:v>
                </c:pt>
                <c:pt idx="1193">
                  <c:v>2.4900000000000002</c:v>
                </c:pt>
                <c:pt idx="1194">
                  <c:v>1.84</c:v>
                </c:pt>
                <c:pt idx="1195">
                  <c:v>0.19</c:v>
                </c:pt>
                <c:pt idx="1196">
                  <c:v>0</c:v>
                </c:pt>
                <c:pt idx="1197">
                  <c:v>19.89</c:v>
                </c:pt>
                <c:pt idx="1198">
                  <c:v>41.23</c:v>
                </c:pt>
                <c:pt idx="1199">
                  <c:v>48.29</c:v>
                </c:pt>
                <c:pt idx="1200">
                  <c:v>55.34</c:v>
                </c:pt>
                <c:pt idx="1201">
                  <c:v>28.43</c:v>
                </c:pt>
                <c:pt idx="1202">
                  <c:v>1.51</c:v>
                </c:pt>
                <c:pt idx="1203">
                  <c:v>1.67</c:v>
                </c:pt>
                <c:pt idx="1204">
                  <c:v>1.84</c:v>
                </c:pt>
                <c:pt idx="1205">
                  <c:v>3.31</c:v>
                </c:pt>
                <c:pt idx="1206">
                  <c:v>4.79</c:v>
                </c:pt>
                <c:pt idx="1207">
                  <c:v>48.78</c:v>
                </c:pt>
                <c:pt idx="1208">
                  <c:v>92.77</c:v>
                </c:pt>
                <c:pt idx="1209">
                  <c:v>47.3</c:v>
                </c:pt>
                <c:pt idx="1210">
                  <c:v>1.84</c:v>
                </c:pt>
                <c:pt idx="1211">
                  <c:v>1.67</c:v>
                </c:pt>
                <c:pt idx="1212">
                  <c:v>1.51</c:v>
                </c:pt>
                <c:pt idx="1213">
                  <c:v>1.84</c:v>
                </c:pt>
                <c:pt idx="1214">
                  <c:v>2.16</c:v>
                </c:pt>
                <c:pt idx="1215">
                  <c:v>1.84</c:v>
                </c:pt>
                <c:pt idx="1216">
                  <c:v>1.51</c:v>
                </c:pt>
                <c:pt idx="1217">
                  <c:v>0.03</c:v>
                </c:pt>
                <c:pt idx="1218">
                  <c:v>0</c:v>
                </c:pt>
                <c:pt idx="1219">
                  <c:v>1.84</c:v>
                </c:pt>
                <c:pt idx="1220">
                  <c:v>5.12</c:v>
                </c:pt>
                <c:pt idx="1221">
                  <c:v>2.66</c:v>
                </c:pt>
                <c:pt idx="1222">
                  <c:v>0.19</c:v>
                </c:pt>
                <c:pt idx="1223">
                  <c:v>1.18</c:v>
                </c:pt>
                <c:pt idx="1224">
                  <c:v>2.16</c:v>
                </c:pt>
                <c:pt idx="1225">
                  <c:v>2.82</c:v>
                </c:pt>
                <c:pt idx="1226">
                  <c:v>3.48</c:v>
                </c:pt>
                <c:pt idx="1227">
                  <c:v>2.82</c:v>
                </c:pt>
                <c:pt idx="1228">
                  <c:v>2.16</c:v>
                </c:pt>
                <c:pt idx="1229">
                  <c:v>1.84</c:v>
                </c:pt>
                <c:pt idx="1230">
                  <c:v>1.51</c:v>
                </c:pt>
                <c:pt idx="1231">
                  <c:v>2</c:v>
                </c:pt>
                <c:pt idx="1232">
                  <c:v>2.4900000000000002</c:v>
                </c:pt>
                <c:pt idx="1233">
                  <c:v>2</c:v>
                </c:pt>
                <c:pt idx="1234">
                  <c:v>1.51</c:v>
                </c:pt>
                <c:pt idx="1235">
                  <c:v>0.85</c:v>
                </c:pt>
                <c:pt idx="1236">
                  <c:v>0.19</c:v>
                </c:pt>
                <c:pt idx="1237">
                  <c:v>5.61</c:v>
                </c:pt>
                <c:pt idx="1238">
                  <c:v>11.03</c:v>
                </c:pt>
                <c:pt idx="1239">
                  <c:v>6.27</c:v>
                </c:pt>
                <c:pt idx="1240">
                  <c:v>1.51</c:v>
                </c:pt>
                <c:pt idx="1241">
                  <c:v>1.67</c:v>
                </c:pt>
                <c:pt idx="1242">
                  <c:v>1.84</c:v>
                </c:pt>
                <c:pt idx="1243">
                  <c:v>0.19</c:v>
                </c:pt>
                <c:pt idx="1244">
                  <c:v>0</c:v>
                </c:pt>
                <c:pt idx="1245">
                  <c:v>0.52</c:v>
                </c:pt>
                <c:pt idx="1246">
                  <c:v>2.4900000000000002</c:v>
                </c:pt>
                <c:pt idx="1247">
                  <c:v>1.84</c:v>
                </c:pt>
                <c:pt idx="1248">
                  <c:v>1.18</c:v>
                </c:pt>
                <c:pt idx="1249">
                  <c:v>0</c:v>
                </c:pt>
                <c:pt idx="1250">
                  <c:v>0</c:v>
                </c:pt>
                <c:pt idx="1251">
                  <c:v>3.15</c:v>
                </c:pt>
                <c:pt idx="1252">
                  <c:v>8.4</c:v>
                </c:pt>
                <c:pt idx="1253">
                  <c:v>5.28</c:v>
                </c:pt>
                <c:pt idx="1254">
                  <c:v>2.16</c:v>
                </c:pt>
                <c:pt idx="1255">
                  <c:v>2.4900000000000002</c:v>
                </c:pt>
                <c:pt idx="1256">
                  <c:v>2.82</c:v>
                </c:pt>
                <c:pt idx="1257">
                  <c:v>2.66</c:v>
                </c:pt>
                <c:pt idx="1258">
                  <c:v>2.4900000000000002</c:v>
                </c:pt>
                <c:pt idx="1259">
                  <c:v>2.66</c:v>
                </c:pt>
                <c:pt idx="1260">
                  <c:v>2.82</c:v>
                </c:pt>
                <c:pt idx="1261">
                  <c:v>4.46</c:v>
                </c:pt>
                <c:pt idx="1262">
                  <c:v>6.1</c:v>
                </c:pt>
                <c:pt idx="1263">
                  <c:v>3.64</c:v>
                </c:pt>
                <c:pt idx="1264">
                  <c:v>1.18</c:v>
                </c:pt>
                <c:pt idx="1265">
                  <c:v>2</c:v>
                </c:pt>
                <c:pt idx="1266">
                  <c:v>2.82</c:v>
                </c:pt>
                <c:pt idx="1267">
                  <c:v>2.66</c:v>
                </c:pt>
                <c:pt idx="1268">
                  <c:v>2.4900000000000002</c:v>
                </c:pt>
                <c:pt idx="1269">
                  <c:v>3.15</c:v>
                </c:pt>
                <c:pt idx="1270">
                  <c:v>3.81</c:v>
                </c:pt>
                <c:pt idx="1271">
                  <c:v>2.33</c:v>
                </c:pt>
                <c:pt idx="1272">
                  <c:v>0.85</c:v>
                </c:pt>
                <c:pt idx="1273">
                  <c:v>0.03</c:v>
                </c:pt>
                <c:pt idx="1274">
                  <c:v>0</c:v>
                </c:pt>
                <c:pt idx="1275">
                  <c:v>1.84</c:v>
                </c:pt>
                <c:pt idx="1276">
                  <c:v>4.46</c:v>
                </c:pt>
                <c:pt idx="1277">
                  <c:v>4.95</c:v>
                </c:pt>
                <c:pt idx="1278">
                  <c:v>5.45</c:v>
                </c:pt>
                <c:pt idx="1279">
                  <c:v>4.13</c:v>
                </c:pt>
                <c:pt idx="1280">
                  <c:v>2.82</c:v>
                </c:pt>
                <c:pt idx="1281">
                  <c:v>2.82</c:v>
                </c:pt>
                <c:pt idx="1282">
                  <c:v>2.82</c:v>
                </c:pt>
                <c:pt idx="1283">
                  <c:v>2.82</c:v>
                </c:pt>
                <c:pt idx="1284">
                  <c:v>2.82</c:v>
                </c:pt>
                <c:pt idx="1285">
                  <c:v>2.82</c:v>
                </c:pt>
                <c:pt idx="1286">
                  <c:v>2.82</c:v>
                </c:pt>
                <c:pt idx="1287">
                  <c:v>2.66</c:v>
                </c:pt>
                <c:pt idx="1288">
                  <c:v>2.4900000000000002</c:v>
                </c:pt>
                <c:pt idx="1289">
                  <c:v>2.4900000000000002</c:v>
                </c:pt>
                <c:pt idx="1290">
                  <c:v>2.4900000000000002</c:v>
                </c:pt>
                <c:pt idx="1291">
                  <c:v>45.33</c:v>
                </c:pt>
                <c:pt idx="1292">
                  <c:v>88.17</c:v>
                </c:pt>
                <c:pt idx="1293">
                  <c:v>47.3</c:v>
                </c:pt>
                <c:pt idx="1294">
                  <c:v>6.43</c:v>
                </c:pt>
                <c:pt idx="1295">
                  <c:v>4.3</c:v>
                </c:pt>
                <c:pt idx="1296">
                  <c:v>2.16</c:v>
                </c:pt>
                <c:pt idx="1297">
                  <c:v>3.64</c:v>
                </c:pt>
                <c:pt idx="1298">
                  <c:v>5.12</c:v>
                </c:pt>
                <c:pt idx="1299">
                  <c:v>3.64</c:v>
                </c:pt>
                <c:pt idx="1300">
                  <c:v>2.16</c:v>
                </c:pt>
                <c:pt idx="1301">
                  <c:v>2.33</c:v>
                </c:pt>
                <c:pt idx="1302">
                  <c:v>2.4900000000000002</c:v>
                </c:pt>
                <c:pt idx="1303">
                  <c:v>2.66</c:v>
                </c:pt>
                <c:pt idx="1304">
                  <c:v>2.82</c:v>
                </c:pt>
                <c:pt idx="1305">
                  <c:v>4.13</c:v>
                </c:pt>
                <c:pt idx="1306">
                  <c:v>5.45</c:v>
                </c:pt>
                <c:pt idx="1307">
                  <c:v>3.81</c:v>
                </c:pt>
                <c:pt idx="1308">
                  <c:v>2.16</c:v>
                </c:pt>
                <c:pt idx="1309">
                  <c:v>2.4900000000000002</c:v>
                </c:pt>
                <c:pt idx="1310">
                  <c:v>2.82</c:v>
                </c:pt>
                <c:pt idx="1311">
                  <c:v>3.31</c:v>
                </c:pt>
                <c:pt idx="1312">
                  <c:v>3.81</c:v>
                </c:pt>
                <c:pt idx="1313">
                  <c:v>2.98</c:v>
                </c:pt>
                <c:pt idx="1314">
                  <c:v>2.16</c:v>
                </c:pt>
                <c:pt idx="1315">
                  <c:v>1.18</c:v>
                </c:pt>
                <c:pt idx="1316">
                  <c:v>0.19</c:v>
                </c:pt>
                <c:pt idx="1317">
                  <c:v>1.34</c:v>
                </c:pt>
                <c:pt idx="1318">
                  <c:v>2.4900000000000002</c:v>
                </c:pt>
                <c:pt idx="1319">
                  <c:v>2.66</c:v>
                </c:pt>
                <c:pt idx="1320">
                  <c:v>2.82</c:v>
                </c:pt>
                <c:pt idx="1321">
                  <c:v>29.41</c:v>
                </c:pt>
                <c:pt idx="1322">
                  <c:v>56</c:v>
                </c:pt>
                <c:pt idx="1323">
                  <c:v>29.41</c:v>
                </c:pt>
                <c:pt idx="1324">
                  <c:v>2.82</c:v>
                </c:pt>
                <c:pt idx="1325">
                  <c:v>2.98</c:v>
                </c:pt>
                <c:pt idx="1326">
                  <c:v>3.15</c:v>
                </c:pt>
                <c:pt idx="1327">
                  <c:v>2.4900000000000002</c:v>
                </c:pt>
                <c:pt idx="1328">
                  <c:v>1.84</c:v>
                </c:pt>
                <c:pt idx="1329">
                  <c:v>1.51</c:v>
                </c:pt>
                <c:pt idx="1330">
                  <c:v>1.18</c:v>
                </c:pt>
                <c:pt idx="1331">
                  <c:v>1.18</c:v>
                </c:pt>
                <c:pt idx="1332">
                  <c:v>1.18</c:v>
                </c:pt>
                <c:pt idx="1333">
                  <c:v>5.12</c:v>
                </c:pt>
                <c:pt idx="1334">
                  <c:v>9.06</c:v>
                </c:pt>
                <c:pt idx="1335">
                  <c:v>5.61</c:v>
                </c:pt>
                <c:pt idx="1336">
                  <c:v>2.16</c:v>
                </c:pt>
                <c:pt idx="1337">
                  <c:v>2</c:v>
                </c:pt>
                <c:pt idx="1338">
                  <c:v>1.84</c:v>
                </c:pt>
                <c:pt idx="1339">
                  <c:v>1.67</c:v>
                </c:pt>
                <c:pt idx="1340">
                  <c:v>1.51</c:v>
                </c:pt>
                <c:pt idx="1341">
                  <c:v>2</c:v>
                </c:pt>
                <c:pt idx="1342">
                  <c:v>2.4900000000000002</c:v>
                </c:pt>
                <c:pt idx="1343">
                  <c:v>8.73</c:v>
                </c:pt>
                <c:pt idx="1344">
                  <c:v>14.97</c:v>
                </c:pt>
                <c:pt idx="1345">
                  <c:v>8.24</c:v>
                </c:pt>
                <c:pt idx="1346">
                  <c:v>1.51</c:v>
                </c:pt>
                <c:pt idx="1347">
                  <c:v>1.34</c:v>
                </c:pt>
                <c:pt idx="1348">
                  <c:v>1.18</c:v>
                </c:pt>
                <c:pt idx="1349">
                  <c:v>1.67</c:v>
                </c:pt>
                <c:pt idx="1350">
                  <c:v>2.16</c:v>
                </c:pt>
                <c:pt idx="1351">
                  <c:v>2.66</c:v>
                </c:pt>
                <c:pt idx="1352">
                  <c:v>3.15</c:v>
                </c:pt>
                <c:pt idx="1353">
                  <c:v>2.33</c:v>
                </c:pt>
                <c:pt idx="1354">
                  <c:v>1.51</c:v>
                </c:pt>
                <c:pt idx="1355">
                  <c:v>2</c:v>
                </c:pt>
                <c:pt idx="1356">
                  <c:v>2.4900000000000002</c:v>
                </c:pt>
                <c:pt idx="1357">
                  <c:v>2.33</c:v>
                </c:pt>
                <c:pt idx="1358">
                  <c:v>2.16</c:v>
                </c:pt>
                <c:pt idx="1359">
                  <c:v>58.79</c:v>
                </c:pt>
                <c:pt idx="1360">
                  <c:v>115.42</c:v>
                </c:pt>
                <c:pt idx="1361">
                  <c:v>58.96</c:v>
                </c:pt>
                <c:pt idx="1362">
                  <c:v>2.4900000000000002</c:v>
                </c:pt>
                <c:pt idx="1363">
                  <c:v>2.82</c:v>
                </c:pt>
                <c:pt idx="1364">
                  <c:v>3.15</c:v>
                </c:pt>
                <c:pt idx="1365">
                  <c:v>3.48</c:v>
                </c:pt>
                <c:pt idx="1366">
                  <c:v>3.81</c:v>
                </c:pt>
                <c:pt idx="1367">
                  <c:v>3.31</c:v>
                </c:pt>
                <c:pt idx="1368">
                  <c:v>2.82</c:v>
                </c:pt>
                <c:pt idx="1369">
                  <c:v>2.82</c:v>
                </c:pt>
                <c:pt idx="1370">
                  <c:v>2.82</c:v>
                </c:pt>
                <c:pt idx="1371">
                  <c:v>2.16</c:v>
                </c:pt>
                <c:pt idx="1372">
                  <c:v>1.51</c:v>
                </c:pt>
                <c:pt idx="1373">
                  <c:v>1.67</c:v>
                </c:pt>
                <c:pt idx="1374">
                  <c:v>1.84</c:v>
                </c:pt>
                <c:pt idx="1375">
                  <c:v>2.33</c:v>
                </c:pt>
                <c:pt idx="1376">
                  <c:v>2.82</c:v>
                </c:pt>
                <c:pt idx="1377">
                  <c:v>2.33</c:v>
                </c:pt>
                <c:pt idx="1378">
                  <c:v>1.84</c:v>
                </c:pt>
                <c:pt idx="1379">
                  <c:v>2.66</c:v>
                </c:pt>
                <c:pt idx="1380">
                  <c:v>3.48</c:v>
                </c:pt>
                <c:pt idx="1381">
                  <c:v>3.15</c:v>
                </c:pt>
                <c:pt idx="1382">
                  <c:v>2.82</c:v>
                </c:pt>
                <c:pt idx="1383">
                  <c:v>2</c:v>
                </c:pt>
                <c:pt idx="1384">
                  <c:v>1.18</c:v>
                </c:pt>
                <c:pt idx="1385">
                  <c:v>1.02</c:v>
                </c:pt>
                <c:pt idx="1386">
                  <c:v>0.85</c:v>
                </c:pt>
                <c:pt idx="1387">
                  <c:v>0.19</c:v>
                </c:pt>
                <c:pt idx="1388">
                  <c:v>0</c:v>
                </c:pt>
                <c:pt idx="1389">
                  <c:v>0.85</c:v>
                </c:pt>
                <c:pt idx="1390">
                  <c:v>2.16</c:v>
                </c:pt>
                <c:pt idx="1391">
                  <c:v>2.33</c:v>
                </c:pt>
                <c:pt idx="1392">
                  <c:v>2.4900000000000002</c:v>
                </c:pt>
                <c:pt idx="1393">
                  <c:v>2.66</c:v>
                </c:pt>
                <c:pt idx="1394">
                  <c:v>2.82</c:v>
                </c:pt>
                <c:pt idx="1395">
                  <c:v>2.33</c:v>
                </c:pt>
                <c:pt idx="1396">
                  <c:v>1.84</c:v>
                </c:pt>
                <c:pt idx="1397">
                  <c:v>2</c:v>
                </c:pt>
                <c:pt idx="1398">
                  <c:v>2.16</c:v>
                </c:pt>
                <c:pt idx="1399">
                  <c:v>2</c:v>
                </c:pt>
                <c:pt idx="1400">
                  <c:v>1.84</c:v>
                </c:pt>
                <c:pt idx="1401">
                  <c:v>1.84</c:v>
                </c:pt>
                <c:pt idx="1402">
                  <c:v>1.84</c:v>
                </c:pt>
                <c:pt idx="1403">
                  <c:v>1.84</c:v>
                </c:pt>
                <c:pt idx="1404">
                  <c:v>1.84</c:v>
                </c:pt>
                <c:pt idx="1405">
                  <c:v>2.33</c:v>
                </c:pt>
                <c:pt idx="1406">
                  <c:v>2.82</c:v>
                </c:pt>
                <c:pt idx="1407">
                  <c:v>2.33</c:v>
                </c:pt>
                <c:pt idx="1408">
                  <c:v>1.84</c:v>
                </c:pt>
                <c:pt idx="1409">
                  <c:v>1.84</c:v>
                </c:pt>
                <c:pt idx="1410">
                  <c:v>1.84</c:v>
                </c:pt>
                <c:pt idx="1411">
                  <c:v>0.52</c:v>
                </c:pt>
                <c:pt idx="1412">
                  <c:v>0</c:v>
                </c:pt>
                <c:pt idx="1413">
                  <c:v>0.52</c:v>
                </c:pt>
                <c:pt idx="1414">
                  <c:v>1.84</c:v>
                </c:pt>
                <c:pt idx="1415">
                  <c:v>1.84</c:v>
                </c:pt>
                <c:pt idx="1416">
                  <c:v>1.84</c:v>
                </c:pt>
                <c:pt idx="1417">
                  <c:v>4.63</c:v>
                </c:pt>
                <c:pt idx="1418">
                  <c:v>7.42</c:v>
                </c:pt>
                <c:pt idx="1419">
                  <c:v>5.12</c:v>
                </c:pt>
                <c:pt idx="1420">
                  <c:v>2.82</c:v>
                </c:pt>
                <c:pt idx="1421">
                  <c:v>2.4900000000000002</c:v>
                </c:pt>
                <c:pt idx="1422">
                  <c:v>2.16</c:v>
                </c:pt>
                <c:pt idx="1423">
                  <c:v>2.66</c:v>
                </c:pt>
                <c:pt idx="1424">
                  <c:v>3.15</c:v>
                </c:pt>
                <c:pt idx="1425">
                  <c:v>33.020000000000003</c:v>
                </c:pt>
                <c:pt idx="1426">
                  <c:v>62.89</c:v>
                </c:pt>
                <c:pt idx="1427">
                  <c:v>32.04</c:v>
                </c:pt>
                <c:pt idx="1428">
                  <c:v>1.18</c:v>
                </c:pt>
                <c:pt idx="1429">
                  <c:v>1.84</c:v>
                </c:pt>
                <c:pt idx="1430">
                  <c:v>2.4900000000000002</c:v>
                </c:pt>
                <c:pt idx="1431">
                  <c:v>1.84</c:v>
                </c:pt>
                <c:pt idx="1432">
                  <c:v>1.18</c:v>
                </c:pt>
                <c:pt idx="1433">
                  <c:v>1.84</c:v>
                </c:pt>
                <c:pt idx="1434">
                  <c:v>2.4900000000000002</c:v>
                </c:pt>
                <c:pt idx="1435">
                  <c:v>2.16</c:v>
                </c:pt>
                <c:pt idx="1436">
                  <c:v>1.84</c:v>
                </c:pt>
                <c:pt idx="1437">
                  <c:v>1.51</c:v>
                </c:pt>
                <c:pt idx="1438">
                  <c:v>1.18</c:v>
                </c:pt>
                <c:pt idx="1439">
                  <c:v>2</c:v>
                </c:pt>
              </c:numCache>
            </c:numRef>
          </c:yVal>
          <c:smooth val="1"/>
          <c:extLst>
            <c:ext xmlns:c16="http://schemas.microsoft.com/office/drawing/2014/chart" uri="{C3380CC4-5D6E-409C-BE32-E72D297353CC}">
              <c16:uniqueId val="{00000001-9590-43F9-8413-D2CA92CA4B80}"/>
            </c:ext>
          </c:extLst>
        </c:ser>
        <c:ser>
          <c:idx val="2"/>
          <c:order val="2"/>
          <c:tx>
            <c:strRef>
              <c:f>Sheet1!$D$1</c:f>
              <c:strCache>
                <c:ptCount val="1"/>
                <c:pt idx="0">
                  <c:v>Total irradiance (W/m^2)</c:v>
                </c:pt>
              </c:strCache>
            </c:strRef>
          </c:tx>
          <c:spPr>
            <a:ln w="12700" cap="rnd">
              <a:solidFill>
                <a:srgbClr val="FF0000"/>
              </a:solidFill>
              <a:round/>
            </a:ln>
            <a:effectLst/>
          </c:spPr>
          <c:marker>
            <c:symbol val="none"/>
          </c:marker>
          <c:xVal>
            <c:numRef>
              <c:f>Sheet1!$A$2:$A$1441</c:f>
              <c:numCache>
                <c:formatCode>h:mm</c:formatCode>
                <c:ptCount val="1440"/>
                <c:pt idx="0">
                  <c:v>41883</c:v>
                </c:pt>
                <c:pt idx="1">
                  <c:v>41883.000694444447</c:v>
                </c:pt>
                <c:pt idx="2">
                  <c:v>41883.001388888886</c:v>
                </c:pt>
                <c:pt idx="3">
                  <c:v>41883.002083333333</c:v>
                </c:pt>
                <c:pt idx="4">
                  <c:v>41883.00277777778</c:v>
                </c:pt>
                <c:pt idx="5">
                  <c:v>41883.003472222219</c:v>
                </c:pt>
                <c:pt idx="6">
                  <c:v>41883.004166666666</c:v>
                </c:pt>
                <c:pt idx="7">
                  <c:v>41883.004861111112</c:v>
                </c:pt>
                <c:pt idx="8">
                  <c:v>41883.005555555559</c:v>
                </c:pt>
                <c:pt idx="9">
                  <c:v>41883.006249999999</c:v>
                </c:pt>
                <c:pt idx="10">
                  <c:v>41883.006944444445</c:v>
                </c:pt>
                <c:pt idx="11">
                  <c:v>41883.007638888892</c:v>
                </c:pt>
                <c:pt idx="12">
                  <c:v>41883.008333333331</c:v>
                </c:pt>
                <c:pt idx="13">
                  <c:v>41883.009027777778</c:v>
                </c:pt>
                <c:pt idx="14">
                  <c:v>41883.009722222225</c:v>
                </c:pt>
                <c:pt idx="15">
                  <c:v>41883.010416666664</c:v>
                </c:pt>
                <c:pt idx="16">
                  <c:v>41883.011111111111</c:v>
                </c:pt>
                <c:pt idx="17">
                  <c:v>41883.011805555558</c:v>
                </c:pt>
                <c:pt idx="18">
                  <c:v>41883.012499999997</c:v>
                </c:pt>
                <c:pt idx="19">
                  <c:v>41883.013194444444</c:v>
                </c:pt>
                <c:pt idx="20">
                  <c:v>41883.013888888891</c:v>
                </c:pt>
                <c:pt idx="21">
                  <c:v>41883.01458333333</c:v>
                </c:pt>
                <c:pt idx="22">
                  <c:v>41883.015277777777</c:v>
                </c:pt>
                <c:pt idx="23">
                  <c:v>41883.015972222223</c:v>
                </c:pt>
                <c:pt idx="24">
                  <c:v>41883.01666666667</c:v>
                </c:pt>
                <c:pt idx="25">
                  <c:v>41883.017361111109</c:v>
                </c:pt>
                <c:pt idx="26">
                  <c:v>41883.018055555556</c:v>
                </c:pt>
                <c:pt idx="27">
                  <c:v>41883.018750000003</c:v>
                </c:pt>
                <c:pt idx="28">
                  <c:v>41883.019444444442</c:v>
                </c:pt>
                <c:pt idx="29">
                  <c:v>41883.020138888889</c:v>
                </c:pt>
                <c:pt idx="30">
                  <c:v>41883.020833333336</c:v>
                </c:pt>
                <c:pt idx="31">
                  <c:v>41883.021527777775</c:v>
                </c:pt>
                <c:pt idx="32">
                  <c:v>41883.022222222222</c:v>
                </c:pt>
                <c:pt idx="33">
                  <c:v>41883.022916666669</c:v>
                </c:pt>
                <c:pt idx="34">
                  <c:v>41883.023611111108</c:v>
                </c:pt>
                <c:pt idx="35">
                  <c:v>41883.024305555555</c:v>
                </c:pt>
                <c:pt idx="36">
                  <c:v>41883.025000000001</c:v>
                </c:pt>
                <c:pt idx="37">
                  <c:v>41883.025694444441</c:v>
                </c:pt>
                <c:pt idx="38">
                  <c:v>41883.026388888888</c:v>
                </c:pt>
                <c:pt idx="39">
                  <c:v>41883.027083333334</c:v>
                </c:pt>
                <c:pt idx="40">
                  <c:v>41883.027777777781</c:v>
                </c:pt>
                <c:pt idx="41">
                  <c:v>41883.02847222222</c:v>
                </c:pt>
                <c:pt idx="42">
                  <c:v>41883.029166666667</c:v>
                </c:pt>
                <c:pt idx="43">
                  <c:v>41883.029861111114</c:v>
                </c:pt>
                <c:pt idx="44">
                  <c:v>41883.030555555553</c:v>
                </c:pt>
                <c:pt idx="45">
                  <c:v>41883.03125</c:v>
                </c:pt>
                <c:pt idx="46">
                  <c:v>41883.031944444447</c:v>
                </c:pt>
                <c:pt idx="47">
                  <c:v>41883.032638888886</c:v>
                </c:pt>
                <c:pt idx="48">
                  <c:v>41883.033333333333</c:v>
                </c:pt>
                <c:pt idx="49">
                  <c:v>41883.03402777778</c:v>
                </c:pt>
                <c:pt idx="50">
                  <c:v>41883.034722222219</c:v>
                </c:pt>
                <c:pt idx="51">
                  <c:v>41883.035416666666</c:v>
                </c:pt>
                <c:pt idx="52">
                  <c:v>41883.036111111112</c:v>
                </c:pt>
                <c:pt idx="53">
                  <c:v>41883.036805555559</c:v>
                </c:pt>
                <c:pt idx="54">
                  <c:v>41883.037499999999</c:v>
                </c:pt>
                <c:pt idx="55">
                  <c:v>41883.038194444445</c:v>
                </c:pt>
                <c:pt idx="56">
                  <c:v>41883.038888888892</c:v>
                </c:pt>
                <c:pt idx="57">
                  <c:v>41883.039583333331</c:v>
                </c:pt>
                <c:pt idx="58">
                  <c:v>41883.040277777778</c:v>
                </c:pt>
                <c:pt idx="59">
                  <c:v>41883.040972222225</c:v>
                </c:pt>
                <c:pt idx="60">
                  <c:v>41883.041666666664</c:v>
                </c:pt>
                <c:pt idx="61">
                  <c:v>41883.042361111111</c:v>
                </c:pt>
                <c:pt idx="62">
                  <c:v>41883.043055555558</c:v>
                </c:pt>
                <c:pt idx="63">
                  <c:v>41883.043749999997</c:v>
                </c:pt>
                <c:pt idx="64">
                  <c:v>41883.044444444444</c:v>
                </c:pt>
                <c:pt idx="65">
                  <c:v>41883.045138888891</c:v>
                </c:pt>
                <c:pt idx="66">
                  <c:v>41883.04583333333</c:v>
                </c:pt>
                <c:pt idx="67">
                  <c:v>41883.046527777777</c:v>
                </c:pt>
                <c:pt idx="68">
                  <c:v>41883.047222222223</c:v>
                </c:pt>
                <c:pt idx="69">
                  <c:v>41883.04791666667</c:v>
                </c:pt>
                <c:pt idx="70">
                  <c:v>41883.048611111109</c:v>
                </c:pt>
                <c:pt idx="71">
                  <c:v>41883.049305555556</c:v>
                </c:pt>
                <c:pt idx="72">
                  <c:v>41883.050000000003</c:v>
                </c:pt>
                <c:pt idx="73">
                  <c:v>41883.050694444442</c:v>
                </c:pt>
                <c:pt idx="74">
                  <c:v>41883.051388888889</c:v>
                </c:pt>
                <c:pt idx="75">
                  <c:v>41883.052083333336</c:v>
                </c:pt>
                <c:pt idx="76">
                  <c:v>41883.052777777775</c:v>
                </c:pt>
                <c:pt idx="77">
                  <c:v>41883.053472222222</c:v>
                </c:pt>
                <c:pt idx="78">
                  <c:v>41883.054166666669</c:v>
                </c:pt>
                <c:pt idx="79">
                  <c:v>41883.054861111108</c:v>
                </c:pt>
                <c:pt idx="80">
                  <c:v>41883.055555555555</c:v>
                </c:pt>
                <c:pt idx="81">
                  <c:v>41883.056250000001</c:v>
                </c:pt>
                <c:pt idx="82">
                  <c:v>41883.056944444441</c:v>
                </c:pt>
                <c:pt idx="83">
                  <c:v>41883.057638888888</c:v>
                </c:pt>
                <c:pt idx="84">
                  <c:v>41883.058333333334</c:v>
                </c:pt>
                <c:pt idx="85">
                  <c:v>41883.059027777781</c:v>
                </c:pt>
                <c:pt idx="86">
                  <c:v>41883.05972222222</c:v>
                </c:pt>
                <c:pt idx="87">
                  <c:v>41883.060416666667</c:v>
                </c:pt>
                <c:pt idx="88">
                  <c:v>41883.061111111114</c:v>
                </c:pt>
                <c:pt idx="89">
                  <c:v>41883.061805555553</c:v>
                </c:pt>
                <c:pt idx="90">
                  <c:v>41883.0625</c:v>
                </c:pt>
                <c:pt idx="91">
                  <c:v>41883.063194444447</c:v>
                </c:pt>
                <c:pt idx="92">
                  <c:v>41883.063888888886</c:v>
                </c:pt>
                <c:pt idx="93">
                  <c:v>41883.064583333333</c:v>
                </c:pt>
                <c:pt idx="94">
                  <c:v>41883.06527777778</c:v>
                </c:pt>
                <c:pt idx="95">
                  <c:v>41883.065972222219</c:v>
                </c:pt>
                <c:pt idx="96">
                  <c:v>41883.066666666666</c:v>
                </c:pt>
                <c:pt idx="97">
                  <c:v>41883.067361111112</c:v>
                </c:pt>
                <c:pt idx="98">
                  <c:v>41883.068055555559</c:v>
                </c:pt>
                <c:pt idx="99">
                  <c:v>41883.068749999999</c:v>
                </c:pt>
                <c:pt idx="100">
                  <c:v>41883.069444444445</c:v>
                </c:pt>
                <c:pt idx="101">
                  <c:v>41883.070138888892</c:v>
                </c:pt>
                <c:pt idx="102">
                  <c:v>41883.070833333331</c:v>
                </c:pt>
                <c:pt idx="103">
                  <c:v>41883.071527777778</c:v>
                </c:pt>
                <c:pt idx="104">
                  <c:v>41883.072222222225</c:v>
                </c:pt>
                <c:pt idx="105">
                  <c:v>41883.072916666664</c:v>
                </c:pt>
                <c:pt idx="106">
                  <c:v>41883.073611111111</c:v>
                </c:pt>
                <c:pt idx="107">
                  <c:v>41883.074305555558</c:v>
                </c:pt>
                <c:pt idx="108">
                  <c:v>41883.074999999997</c:v>
                </c:pt>
                <c:pt idx="109">
                  <c:v>41883.075694444444</c:v>
                </c:pt>
                <c:pt idx="110">
                  <c:v>41883.076388888891</c:v>
                </c:pt>
                <c:pt idx="111">
                  <c:v>41883.07708333333</c:v>
                </c:pt>
                <c:pt idx="112">
                  <c:v>41883.077777777777</c:v>
                </c:pt>
                <c:pt idx="113">
                  <c:v>41883.078472222223</c:v>
                </c:pt>
                <c:pt idx="114">
                  <c:v>41883.07916666667</c:v>
                </c:pt>
                <c:pt idx="115">
                  <c:v>41883.079861111109</c:v>
                </c:pt>
                <c:pt idx="116">
                  <c:v>41883.080555555556</c:v>
                </c:pt>
                <c:pt idx="117">
                  <c:v>41883.081250000003</c:v>
                </c:pt>
                <c:pt idx="118">
                  <c:v>41883.081944444442</c:v>
                </c:pt>
                <c:pt idx="119">
                  <c:v>41883.082638888889</c:v>
                </c:pt>
                <c:pt idx="120">
                  <c:v>41883.083333333336</c:v>
                </c:pt>
                <c:pt idx="121">
                  <c:v>41883.084027777775</c:v>
                </c:pt>
                <c:pt idx="122">
                  <c:v>41883.084722222222</c:v>
                </c:pt>
                <c:pt idx="123">
                  <c:v>41883.085416666669</c:v>
                </c:pt>
                <c:pt idx="124">
                  <c:v>41883.086111111108</c:v>
                </c:pt>
                <c:pt idx="125">
                  <c:v>41883.086805555555</c:v>
                </c:pt>
                <c:pt idx="126">
                  <c:v>41883.087500000001</c:v>
                </c:pt>
                <c:pt idx="127">
                  <c:v>41883.088194444441</c:v>
                </c:pt>
                <c:pt idx="128">
                  <c:v>41883.088888888888</c:v>
                </c:pt>
                <c:pt idx="129">
                  <c:v>41883.089583333334</c:v>
                </c:pt>
                <c:pt idx="130">
                  <c:v>41883.090277777781</c:v>
                </c:pt>
                <c:pt idx="131">
                  <c:v>41883.09097222222</c:v>
                </c:pt>
                <c:pt idx="132">
                  <c:v>41883.091666666667</c:v>
                </c:pt>
                <c:pt idx="133">
                  <c:v>41883.092361111114</c:v>
                </c:pt>
                <c:pt idx="134">
                  <c:v>41883.093055555553</c:v>
                </c:pt>
                <c:pt idx="135">
                  <c:v>41883.09375</c:v>
                </c:pt>
                <c:pt idx="136">
                  <c:v>41883.094444444447</c:v>
                </c:pt>
                <c:pt idx="137">
                  <c:v>41883.095138888886</c:v>
                </c:pt>
                <c:pt idx="138">
                  <c:v>41883.095833333333</c:v>
                </c:pt>
                <c:pt idx="139">
                  <c:v>41883.09652777778</c:v>
                </c:pt>
                <c:pt idx="140">
                  <c:v>41883.097222222219</c:v>
                </c:pt>
                <c:pt idx="141">
                  <c:v>41883.097916666666</c:v>
                </c:pt>
                <c:pt idx="142">
                  <c:v>41883.098611111112</c:v>
                </c:pt>
                <c:pt idx="143">
                  <c:v>41883.099305555559</c:v>
                </c:pt>
                <c:pt idx="144">
                  <c:v>41883.1</c:v>
                </c:pt>
                <c:pt idx="145">
                  <c:v>41883.100694444445</c:v>
                </c:pt>
                <c:pt idx="146">
                  <c:v>41883.101388888892</c:v>
                </c:pt>
                <c:pt idx="147">
                  <c:v>41883.102083333331</c:v>
                </c:pt>
                <c:pt idx="148">
                  <c:v>41883.102777777778</c:v>
                </c:pt>
                <c:pt idx="149">
                  <c:v>41883.103472222225</c:v>
                </c:pt>
                <c:pt idx="150">
                  <c:v>41883.104166666664</c:v>
                </c:pt>
                <c:pt idx="151">
                  <c:v>41883.104861111111</c:v>
                </c:pt>
                <c:pt idx="152">
                  <c:v>41883.105555555558</c:v>
                </c:pt>
                <c:pt idx="153">
                  <c:v>41883.106249999997</c:v>
                </c:pt>
                <c:pt idx="154">
                  <c:v>41883.106944444444</c:v>
                </c:pt>
                <c:pt idx="155">
                  <c:v>41883.107638888891</c:v>
                </c:pt>
                <c:pt idx="156">
                  <c:v>41883.10833333333</c:v>
                </c:pt>
                <c:pt idx="157">
                  <c:v>41883.109027777777</c:v>
                </c:pt>
                <c:pt idx="158">
                  <c:v>41883.109722222223</c:v>
                </c:pt>
                <c:pt idx="159">
                  <c:v>41883.11041666667</c:v>
                </c:pt>
                <c:pt idx="160">
                  <c:v>41883.111111111109</c:v>
                </c:pt>
                <c:pt idx="161">
                  <c:v>41883.111805555556</c:v>
                </c:pt>
                <c:pt idx="162">
                  <c:v>41883.112500000003</c:v>
                </c:pt>
                <c:pt idx="163">
                  <c:v>41883.113194444442</c:v>
                </c:pt>
                <c:pt idx="164">
                  <c:v>41883.113888888889</c:v>
                </c:pt>
                <c:pt idx="165">
                  <c:v>41883.114583333336</c:v>
                </c:pt>
                <c:pt idx="166">
                  <c:v>41883.115277777775</c:v>
                </c:pt>
                <c:pt idx="167">
                  <c:v>41883.115972222222</c:v>
                </c:pt>
                <c:pt idx="168">
                  <c:v>41883.116666666669</c:v>
                </c:pt>
                <c:pt idx="169">
                  <c:v>41883.117361111108</c:v>
                </c:pt>
                <c:pt idx="170">
                  <c:v>41883.118055555555</c:v>
                </c:pt>
                <c:pt idx="171">
                  <c:v>41883.118750000001</c:v>
                </c:pt>
                <c:pt idx="172">
                  <c:v>41883.119444444441</c:v>
                </c:pt>
                <c:pt idx="173">
                  <c:v>41883.120138888888</c:v>
                </c:pt>
                <c:pt idx="174">
                  <c:v>41883.120833333334</c:v>
                </c:pt>
                <c:pt idx="175">
                  <c:v>41883.121527777781</c:v>
                </c:pt>
                <c:pt idx="176">
                  <c:v>41883.12222222222</c:v>
                </c:pt>
                <c:pt idx="177">
                  <c:v>41883.122916666667</c:v>
                </c:pt>
                <c:pt idx="178">
                  <c:v>41883.123611111114</c:v>
                </c:pt>
                <c:pt idx="179">
                  <c:v>41883.124305555553</c:v>
                </c:pt>
                <c:pt idx="180">
                  <c:v>41883.125</c:v>
                </c:pt>
                <c:pt idx="181">
                  <c:v>41883.125694444447</c:v>
                </c:pt>
                <c:pt idx="182">
                  <c:v>41883.126388888886</c:v>
                </c:pt>
                <c:pt idx="183">
                  <c:v>41883.127083333333</c:v>
                </c:pt>
                <c:pt idx="184">
                  <c:v>41883.12777777778</c:v>
                </c:pt>
                <c:pt idx="185">
                  <c:v>41883.128472222219</c:v>
                </c:pt>
                <c:pt idx="186">
                  <c:v>41883.129166666666</c:v>
                </c:pt>
                <c:pt idx="187">
                  <c:v>41883.129861111112</c:v>
                </c:pt>
                <c:pt idx="188">
                  <c:v>41883.130555555559</c:v>
                </c:pt>
                <c:pt idx="189">
                  <c:v>41883.131249999999</c:v>
                </c:pt>
                <c:pt idx="190">
                  <c:v>41883.131944444445</c:v>
                </c:pt>
                <c:pt idx="191">
                  <c:v>41883.132638888892</c:v>
                </c:pt>
                <c:pt idx="192">
                  <c:v>41883.133333333331</c:v>
                </c:pt>
                <c:pt idx="193">
                  <c:v>41883.134027777778</c:v>
                </c:pt>
                <c:pt idx="194">
                  <c:v>41883.134722222225</c:v>
                </c:pt>
                <c:pt idx="195">
                  <c:v>41883.135416666664</c:v>
                </c:pt>
                <c:pt idx="196">
                  <c:v>41883.136111111111</c:v>
                </c:pt>
                <c:pt idx="197">
                  <c:v>41883.136805555558</c:v>
                </c:pt>
                <c:pt idx="198">
                  <c:v>41883.137499999997</c:v>
                </c:pt>
                <c:pt idx="199">
                  <c:v>41883.138194444444</c:v>
                </c:pt>
                <c:pt idx="200">
                  <c:v>41883.138888888891</c:v>
                </c:pt>
                <c:pt idx="201">
                  <c:v>41883.13958333333</c:v>
                </c:pt>
                <c:pt idx="202">
                  <c:v>41883.140277777777</c:v>
                </c:pt>
                <c:pt idx="203">
                  <c:v>41883.140972222223</c:v>
                </c:pt>
                <c:pt idx="204">
                  <c:v>41883.14166666667</c:v>
                </c:pt>
                <c:pt idx="205">
                  <c:v>41883.142361111109</c:v>
                </c:pt>
                <c:pt idx="206">
                  <c:v>41883.143055555556</c:v>
                </c:pt>
                <c:pt idx="207">
                  <c:v>41883.143750000003</c:v>
                </c:pt>
                <c:pt idx="208">
                  <c:v>41883.144444444442</c:v>
                </c:pt>
                <c:pt idx="209">
                  <c:v>41883.145138888889</c:v>
                </c:pt>
                <c:pt idx="210">
                  <c:v>41883.145833333336</c:v>
                </c:pt>
                <c:pt idx="211">
                  <c:v>41883.146527777775</c:v>
                </c:pt>
                <c:pt idx="212">
                  <c:v>41883.147222222222</c:v>
                </c:pt>
                <c:pt idx="213">
                  <c:v>41883.147916666669</c:v>
                </c:pt>
                <c:pt idx="214">
                  <c:v>41883.148611111108</c:v>
                </c:pt>
                <c:pt idx="215">
                  <c:v>41883.149305555555</c:v>
                </c:pt>
                <c:pt idx="216">
                  <c:v>41883.15</c:v>
                </c:pt>
                <c:pt idx="217">
                  <c:v>41883.150694444441</c:v>
                </c:pt>
                <c:pt idx="218">
                  <c:v>41883.151388888888</c:v>
                </c:pt>
                <c:pt idx="219">
                  <c:v>41883.152083333334</c:v>
                </c:pt>
                <c:pt idx="220">
                  <c:v>41883.152777777781</c:v>
                </c:pt>
                <c:pt idx="221">
                  <c:v>41883.15347222222</c:v>
                </c:pt>
                <c:pt idx="222">
                  <c:v>41883.154166666667</c:v>
                </c:pt>
                <c:pt idx="223">
                  <c:v>41883.154861111114</c:v>
                </c:pt>
                <c:pt idx="224">
                  <c:v>41883.155555555553</c:v>
                </c:pt>
                <c:pt idx="225">
                  <c:v>41883.15625</c:v>
                </c:pt>
                <c:pt idx="226">
                  <c:v>41883.156944444447</c:v>
                </c:pt>
                <c:pt idx="227">
                  <c:v>41883.157638888886</c:v>
                </c:pt>
                <c:pt idx="228">
                  <c:v>41883.158333333333</c:v>
                </c:pt>
                <c:pt idx="229">
                  <c:v>41883.15902777778</c:v>
                </c:pt>
                <c:pt idx="230">
                  <c:v>41883.159722222219</c:v>
                </c:pt>
                <c:pt idx="231">
                  <c:v>41883.160416666666</c:v>
                </c:pt>
                <c:pt idx="232">
                  <c:v>41883.161111111112</c:v>
                </c:pt>
                <c:pt idx="233">
                  <c:v>41883.161805555559</c:v>
                </c:pt>
                <c:pt idx="234">
                  <c:v>41883.162499999999</c:v>
                </c:pt>
                <c:pt idx="235">
                  <c:v>41883.163194444445</c:v>
                </c:pt>
                <c:pt idx="236">
                  <c:v>41883.163888888892</c:v>
                </c:pt>
                <c:pt idx="237">
                  <c:v>41883.164583333331</c:v>
                </c:pt>
                <c:pt idx="238">
                  <c:v>41883.165277777778</c:v>
                </c:pt>
                <c:pt idx="239">
                  <c:v>41883.165972222225</c:v>
                </c:pt>
                <c:pt idx="240">
                  <c:v>41883.166666666664</c:v>
                </c:pt>
                <c:pt idx="241">
                  <c:v>41883.167361111111</c:v>
                </c:pt>
                <c:pt idx="242">
                  <c:v>41883.168055555558</c:v>
                </c:pt>
                <c:pt idx="243">
                  <c:v>41883.168749999997</c:v>
                </c:pt>
                <c:pt idx="244">
                  <c:v>41883.169444444444</c:v>
                </c:pt>
                <c:pt idx="245">
                  <c:v>41883.170138888891</c:v>
                </c:pt>
                <c:pt idx="246">
                  <c:v>41883.17083333333</c:v>
                </c:pt>
                <c:pt idx="247">
                  <c:v>41883.171527777777</c:v>
                </c:pt>
                <c:pt idx="248">
                  <c:v>41883.172222222223</c:v>
                </c:pt>
                <c:pt idx="249">
                  <c:v>41883.17291666667</c:v>
                </c:pt>
                <c:pt idx="250">
                  <c:v>41883.173611111109</c:v>
                </c:pt>
                <c:pt idx="251">
                  <c:v>41883.174305555556</c:v>
                </c:pt>
                <c:pt idx="252">
                  <c:v>41883.175000000003</c:v>
                </c:pt>
                <c:pt idx="253">
                  <c:v>41883.175694444442</c:v>
                </c:pt>
                <c:pt idx="254">
                  <c:v>41883.176388888889</c:v>
                </c:pt>
                <c:pt idx="255">
                  <c:v>41883.177083333336</c:v>
                </c:pt>
                <c:pt idx="256">
                  <c:v>41883.177777777775</c:v>
                </c:pt>
                <c:pt idx="257">
                  <c:v>41883.178472222222</c:v>
                </c:pt>
                <c:pt idx="258">
                  <c:v>41883.179166666669</c:v>
                </c:pt>
                <c:pt idx="259">
                  <c:v>41883.179861111108</c:v>
                </c:pt>
                <c:pt idx="260">
                  <c:v>41883.180555555555</c:v>
                </c:pt>
                <c:pt idx="261">
                  <c:v>41883.181250000001</c:v>
                </c:pt>
                <c:pt idx="262">
                  <c:v>41883.181944444441</c:v>
                </c:pt>
                <c:pt idx="263">
                  <c:v>41883.182638888888</c:v>
                </c:pt>
                <c:pt idx="264">
                  <c:v>41883.183333333334</c:v>
                </c:pt>
                <c:pt idx="265">
                  <c:v>41883.184027777781</c:v>
                </c:pt>
                <c:pt idx="266">
                  <c:v>41883.18472222222</c:v>
                </c:pt>
                <c:pt idx="267">
                  <c:v>41883.185416666667</c:v>
                </c:pt>
                <c:pt idx="268">
                  <c:v>41883.186111111114</c:v>
                </c:pt>
                <c:pt idx="269">
                  <c:v>41883.186805555553</c:v>
                </c:pt>
                <c:pt idx="270">
                  <c:v>41883.1875</c:v>
                </c:pt>
                <c:pt idx="271">
                  <c:v>41883.188194444447</c:v>
                </c:pt>
                <c:pt idx="272">
                  <c:v>41883.188888888886</c:v>
                </c:pt>
                <c:pt idx="273">
                  <c:v>41883.189583333333</c:v>
                </c:pt>
                <c:pt idx="274">
                  <c:v>41883.19027777778</c:v>
                </c:pt>
                <c:pt idx="275">
                  <c:v>41883.190972222219</c:v>
                </c:pt>
                <c:pt idx="276">
                  <c:v>41883.191666666666</c:v>
                </c:pt>
                <c:pt idx="277">
                  <c:v>41883.192361111112</c:v>
                </c:pt>
                <c:pt idx="278">
                  <c:v>41883.193055555559</c:v>
                </c:pt>
                <c:pt idx="279">
                  <c:v>41883.193749999999</c:v>
                </c:pt>
                <c:pt idx="280">
                  <c:v>41883.194444444445</c:v>
                </c:pt>
                <c:pt idx="281">
                  <c:v>41883.195138888892</c:v>
                </c:pt>
                <c:pt idx="282">
                  <c:v>41883.195833333331</c:v>
                </c:pt>
                <c:pt idx="283">
                  <c:v>41883.196527777778</c:v>
                </c:pt>
                <c:pt idx="284">
                  <c:v>41883.197222222225</c:v>
                </c:pt>
                <c:pt idx="285">
                  <c:v>41883.197916666664</c:v>
                </c:pt>
                <c:pt idx="286">
                  <c:v>41883.198611111111</c:v>
                </c:pt>
                <c:pt idx="287">
                  <c:v>41883.199305555558</c:v>
                </c:pt>
                <c:pt idx="288">
                  <c:v>41883.199999999997</c:v>
                </c:pt>
                <c:pt idx="289">
                  <c:v>41883.200694444444</c:v>
                </c:pt>
                <c:pt idx="290">
                  <c:v>41883.201388888891</c:v>
                </c:pt>
                <c:pt idx="291">
                  <c:v>41883.20208333333</c:v>
                </c:pt>
                <c:pt idx="292">
                  <c:v>41883.202777777777</c:v>
                </c:pt>
                <c:pt idx="293">
                  <c:v>41883.203472222223</c:v>
                </c:pt>
                <c:pt idx="294">
                  <c:v>41883.20416666667</c:v>
                </c:pt>
                <c:pt idx="295">
                  <c:v>41883.204861111109</c:v>
                </c:pt>
                <c:pt idx="296">
                  <c:v>41883.205555555556</c:v>
                </c:pt>
                <c:pt idx="297">
                  <c:v>41883.206250000003</c:v>
                </c:pt>
                <c:pt idx="298">
                  <c:v>41883.206944444442</c:v>
                </c:pt>
                <c:pt idx="299">
                  <c:v>41883.207638888889</c:v>
                </c:pt>
                <c:pt idx="300">
                  <c:v>41883.208333333336</c:v>
                </c:pt>
                <c:pt idx="301">
                  <c:v>41883.209027777775</c:v>
                </c:pt>
                <c:pt idx="302">
                  <c:v>41883.209722222222</c:v>
                </c:pt>
                <c:pt idx="303">
                  <c:v>41883.210416666669</c:v>
                </c:pt>
                <c:pt idx="304">
                  <c:v>41883.211111111108</c:v>
                </c:pt>
                <c:pt idx="305">
                  <c:v>41883.211805555555</c:v>
                </c:pt>
                <c:pt idx="306">
                  <c:v>41883.212500000001</c:v>
                </c:pt>
                <c:pt idx="307">
                  <c:v>41883.213194444441</c:v>
                </c:pt>
                <c:pt idx="308">
                  <c:v>41883.213888888888</c:v>
                </c:pt>
                <c:pt idx="309">
                  <c:v>41883.214583333334</c:v>
                </c:pt>
                <c:pt idx="310">
                  <c:v>41883.215277777781</c:v>
                </c:pt>
                <c:pt idx="311">
                  <c:v>41883.21597222222</c:v>
                </c:pt>
                <c:pt idx="312">
                  <c:v>41883.216666666667</c:v>
                </c:pt>
                <c:pt idx="313">
                  <c:v>41883.217361111114</c:v>
                </c:pt>
                <c:pt idx="314">
                  <c:v>41883.218055555553</c:v>
                </c:pt>
                <c:pt idx="315">
                  <c:v>41883.21875</c:v>
                </c:pt>
                <c:pt idx="316">
                  <c:v>41883.219444444447</c:v>
                </c:pt>
                <c:pt idx="317">
                  <c:v>41883.220138888886</c:v>
                </c:pt>
                <c:pt idx="318">
                  <c:v>41883.220833333333</c:v>
                </c:pt>
                <c:pt idx="319">
                  <c:v>41883.22152777778</c:v>
                </c:pt>
                <c:pt idx="320">
                  <c:v>41883.222222222219</c:v>
                </c:pt>
                <c:pt idx="321">
                  <c:v>41883.222916666666</c:v>
                </c:pt>
                <c:pt idx="322">
                  <c:v>41883.223611111112</c:v>
                </c:pt>
                <c:pt idx="323">
                  <c:v>41883.224305555559</c:v>
                </c:pt>
                <c:pt idx="324">
                  <c:v>41883.224999999999</c:v>
                </c:pt>
                <c:pt idx="325">
                  <c:v>41883.225694444445</c:v>
                </c:pt>
                <c:pt idx="326">
                  <c:v>41883.226388888892</c:v>
                </c:pt>
                <c:pt idx="327">
                  <c:v>41883.227083333331</c:v>
                </c:pt>
                <c:pt idx="328">
                  <c:v>41883.227777777778</c:v>
                </c:pt>
                <c:pt idx="329">
                  <c:v>41883.228472222225</c:v>
                </c:pt>
                <c:pt idx="330">
                  <c:v>41883.229166666664</c:v>
                </c:pt>
                <c:pt idx="331">
                  <c:v>41883.229861111111</c:v>
                </c:pt>
                <c:pt idx="332">
                  <c:v>41883.230555555558</c:v>
                </c:pt>
                <c:pt idx="333">
                  <c:v>41883.231249999997</c:v>
                </c:pt>
                <c:pt idx="334">
                  <c:v>41883.231944444444</c:v>
                </c:pt>
                <c:pt idx="335">
                  <c:v>41883.232638888891</c:v>
                </c:pt>
                <c:pt idx="336">
                  <c:v>41883.23333333333</c:v>
                </c:pt>
                <c:pt idx="337">
                  <c:v>41883.234027777777</c:v>
                </c:pt>
                <c:pt idx="338">
                  <c:v>41883.234722222223</c:v>
                </c:pt>
                <c:pt idx="339">
                  <c:v>41883.23541666667</c:v>
                </c:pt>
                <c:pt idx="340">
                  <c:v>41883.236111111109</c:v>
                </c:pt>
                <c:pt idx="341">
                  <c:v>41883.236805555556</c:v>
                </c:pt>
                <c:pt idx="342">
                  <c:v>41883.237500000003</c:v>
                </c:pt>
                <c:pt idx="343">
                  <c:v>41883.238194444442</c:v>
                </c:pt>
                <c:pt idx="344">
                  <c:v>41883.238888888889</c:v>
                </c:pt>
                <c:pt idx="345">
                  <c:v>41883.239583333336</c:v>
                </c:pt>
                <c:pt idx="346">
                  <c:v>41883.240277777775</c:v>
                </c:pt>
                <c:pt idx="347">
                  <c:v>41883.240972222222</c:v>
                </c:pt>
                <c:pt idx="348">
                  <c:v>41883.241666666669</c:v>
                </c:pt>
                <c:pt idx="349">
                  <c:v>41883.242361111108</c:v>
                </c:pt>
                <c:pt idx="350">
                  <c:v>41883.243055555555</c:v>
                </c:pt>
                <c:pt idx="351">
                  <c:v>41883.243750000001</c:v>
                </c:pt>
                <c:pt idx="352">
                  <c:v>41883.244444444441</c:v>
                </c:pt>
                <c:pt idx="353">
                  <c:v>41883.245138888888</c:v>
                </c:pt>
                <c:pt idx="354">
                  <c:v>41883.245833333334</c:v>
                </c:pt>
                <c:pt idx="355">
                  <c:v>41883.246527777781</c:v>
                </c:pt>
                <c:pt idx="356">
                  <c:v>41883.24722222222</c:v>
                </c:pt>
                <c:pt idx="357">
                  <c:v>41883.247916666667</c:v>
                </c:pt>
                <c:pt idx="358">
                  <c:v>41883.248611111114</c:v>
                </c:pt>
                <c:pt idx="359">
                  <c:v>41883.249305555553</c:v>
                </c:pt>
                <c:pt idx="360">
                  <c:v>41883.25</c:v>
                </c:pt>
                <c:pt idx="361">
                  <c:v>41883.250694444447</c:v>
                </c:pt>
                <c:pt idx="362">
                  <c:v>41883.251388888886</c:v>
                </c:pt>
                <c:pt idx="363">
                  <c:v>41883.252083333333</c:v>
                </c:pt>
                <c:pt idx="364">
                  <c:v>41883.25277777778</c:v>
                </c:pt>
                <c:pt idx="365">
                  <c:v>41883.253472222219</c:v>
                </c:pt>
                <c:pt idx="366">
                  <c:v>41883.254166666666</c:v>
                </c:pt>
                <c:pt idx="367">
                  <c:v>41883.254861111112</c:v>
                </c:pt>
                <c:pt idx="368">
                  <c:v>41883.255555555559</c:v>
                </c:pt>
                <c:pt idx="369">
                  <c:v>41883.256249999999</c:v>
                </c:pt>
                <c:pt idx="370">
                  <c:v>41883.256944444445</c:v>
                </c:pt>
                <c:pt idx="371">
                  <c:v>41883.257638888892</c:v>
                </c:pt>
                <c:pt idx="372">
                  <c:v>41883.258333333331</c:v>
                </c:pt>
                <c:pt idx="373">
                  <c:v>41883.259027777778</c:v>
                </c:pt>
                <c:pt idx="374">
                  <c:v>41883.259722222225</c:v>
                </c:pt>
                <c:pt idx="375">
                  <c:v>41883.260416666664</c:v>
                </c:pt>
                <c:pt idx="376">
                  <c:v>41883.261111111111</c:v>
                </c:pt>
                <c:pt idx="377">
                  <c:v>41883.261805555558</c:v>
                </c:pt>
                <c:pt idx="378">
                  <c:v>41883.262499999997</c:v>
                </c:pt>
                <c:pt idx="379">
                  <c:v>41883.263194444444</c:v>
                </c:pt>
                <c:pt idx="380">
                  <c:v>41883.263888888891</c:v>
                </c:pt>
                <c:pt idx="381">
                  <c:v>41883.26458333333</c:v>
                </c:pt>
                <c:pt idx="382">
                  <c:v>41883.265277777777</c:v>
                </c:pt>
                <c:pt idx="383">
                  <c:v>41883.265972222223</c:v>
                </c:pt>
                <c:pt idx="384">
                  <c:v>41883.26666666667</c:v>
                </c:pt>
                <c:pt idx="385">
                  <c:v>41883.267361111109</c:v>
                </c:pt>
                <c:pt idx="386">
                  <c:v>41883.268055555556</c:v>
                </c:pt>
                <c:pt idx="387">
                  <c:v>41883.268750000003</c:v>
                </c:pt>
                <c:pt idx="388">
                  <c:v>41883.269444444442</c:v>
                </c:pt>
                <c:pt idx="389">
                  <c:v>41883.270138888889</c:v>
                </c:pt>
                <c:pt idx="390">
                  <c:v>41883.270833333336</c:v>
                </c:pt>
                <c:pt idx="391">
                  <c:v>41883.271527777775</c:v>
                </c:pt>
                <c:pt idx="392">
                  <c:v>41883.272222222222</c:v>
                </c:pt>
                <c:pt idx="393">
                  <c:v>41883.272916666669</c:v>
                </c:pt>
                <c:pt idx="394">
                  <c:v>41883.273611111108</c:v>
                </c:pt>
                <c:pt idx="395">
                  <c:v>41883.274305555555</c:v>
                </c:pt>
                <c:pt idx="396">
                  <c:v>41883.275000000001</c:v>
                </c:pt>
                <c:pt idx="397">
                  <c:v>41883.275694444441</c:v>
                </c:pt>
                <c:pt idx="398">
                  <c:v>41883.276388888888</c:v>
                </c:pt>
                <c:pt idx="399">
                  <c:v>41883.277083333334</c:v>
                </c:pt>
                <c:pt idx="400">
                  <c:v>41883.277777777781</c:v>
                </c:pt>
                <c:pt idx="401">
                  <c:v>41883.27847222222</c:v>
                </c:pt>
                <c:pt idx="402">
                  <c:v>41883.279166666667</c:v>
                </c:pt>
                <c:pt idx="403">
                  <c:v>41883.279861111114</c:v>
                </c:pt>
                <c:pt idx="404">
                  <c:v>41883.280555555553</c:v>
                </c:pt>
                <c:pt idx="405">
                  <c:v>41883.28125</c:v>
                </c:pt>
                <c:pt idx="406">
                  <c:v>41883.281944444447</c:v>
                </c:pt>
                <c:pt idx="407">
                  <c:v>41883.282638888886</c:v>
                </c:pt>
                <c:pt idx="408">
                  <c:v>41883.283333333333</c:v>
                </c:pt>
                <c:pt idx="409">
                  <c:v>41883.28402777778</c:v>
                </c:pt>
                <c:pt idx="410">
                  <c:v>41883.284722222219</c:v>
                </c:pt>
                <c:pt idx="411">
                  <c:v>41883.285416666666</c:v>
                </c:pt>
                <c:pt idx="412">
                  <c:v>41883.286111111112</c:v>
                </c:pt>
                <c:pt idx="413">
                  <c:v>41883.286805555559</c:v>
                </c:pt>
                <c:pt idx="414">
                  <c:v>41883.287499999999</c:v>
                </c:pt>
                <c:pt idx="415">
                  <c:v>41883.288194444445</c:v>
                </c:pt>
                <c:pt idx="416">
                  <c:v>41883.288888888892</c:v>
                </c:pt>
                <c:pt idx="417">
                  <c:v>41883.289583333331</c:v>
                </c:pt>
                <c:pt idx="418">
                  <c:v>41883.290277777778</c:v>
                </c:pt>
                <c:pt idx="419">
                  <c:v>41883.290972222225</c:v>
                </c:pt>
                <c:pt idx="420">
                  <c:v>41883.291666666664</c:v>
                </c:pt>
                <c:pt idx="421">
                  <c:v>41883.292361111111</c:v>
                </c:pt>
                <c:pt idx="422">
                  <c:v>41883.293055555558</c:v>
                </c:pt>
                <c:pt idx="423">
                  <c:v>41883.293749999997</c:v>
                </c:pt>
                <c:pt idx="424">
                  <c:v>41883.294444444444</c:v>
                </c:pt>
                <c:pt idx="425">
                  <c:v>41883.295138888891</c:v>
                </c:pt>
                <c:pt idx="426">
                  <c:v>41883.29583333333</c:v>
                </c:pt>
                <c:pt idx="427">
                  <c:v>41883.296527777777</c:v>
                </c:pt>
                <c:pt idx="428">
                  <c:v>41883.297222222223</c:v>
                </c:pt>
                <c:pt idx="429">
                  <c:v>41883.29791666667</c:v>
                </c:pt>
                <c:pt idx="430">
                  <c:v>41883.298611111109</c:v>
                </c:pt>
                <c:pt idx="431">
                  <c:v>41883.299305555556</c:v>
                </c:pt>
                <c:pt idx="432">
                  <c:v>41883.300000000003</c:v>
                </c:pt>
                <c:pt idx="433">
                  <c:v>41883.300694444442</c:v>
                </c:pt>
                <c:pt idx="434">
                  <c:v>41883.301388888889</c:v>
                </c:pt>
                <c:pt idx="435">
                  <c:v>41883.302083333336</c:v>
                </c:pt>
                <c:pt idx="436">
                  <c:v>41883.302777777775</c:v>
                </c:pt>
                <c:pt idx="437">
                  <c:v>41883.303472222222</c:v>
                </c:pt>
                <c:pt idx="438">
                  <c:v>41883.304166666669</c:v>
                </c:pt>
                <c:pt idx="439">
                  <c:v>41883.304861111108</c:v>
                </c:pt>
                <c:pt idx="440">
                  <c:v>41883.305555555555</c:v>
                </c:pt>
                <c:pt idx="441">
                  <c:v>41883.306250000001</c:v>
                </c:pt>
                <c:pt idx="442">
                  <c:v>41883.306944444441</c:v>
                </c:pt>
                <c:pt idx="443">
                  <c:v>41883.307638888888</c:v>
                </c:pt>
                <c:pt idx="444">
                  <c:v>41883.308333333334</c:v>
                </c:pt>
                <c:pt idx="445">
                  <c:v>41883.309027777781</c:v>
                </c:pt>
                <c:pt idx="446">
                  <c:v>41883.30972222222</c:v>
                </c:pt>
                <c:pt idx="447">
                  <c:v>41883.310416666667</c:v>
                </c:pt>
                <c:pt idx="448">
                  <c:v>41883.311111111114</c:v>
                </c:pt>
                <c:pt idx="449">
                  <c:v>41883.311805555553</c:v>
                </c:pt>
                <c:pt idx="450">
                  <c:v>41883.3125</c:v>
                </c:pt>
                <c:pt idx="451">
                  <c:v>41883.313194444447</c:v>
                </c:pt>
                <c:pt idx="452">
                  <c:v>41883.313888888886</c:v>
                </c:pt>
                <c:pt idx="453">
                  <c:v>41883.314583333333</c:v>
                </c:pt>
                <c:pt idx="454">
                  <c:v>41883.31527777778</c:v>
                </c:pt>
                <c:pt idx="455">
                  <c:v>41883.315972222219</c:v>
                </c:pt>
                <c:pt idx="456">
                  <c:v>41883.316666666666</c:v>
                </c:pt>
                <c:pt idx="457">
                  <c:v>41883.317361111112</c:v>
                </c:pt>
                <c:pt idx="458">
                  <c:v>41883.318055555559</c:v>
                </c:pt>
                <c:pt idx="459">
                  <c:v>41883.318749999999</c:v>
                </c:pt>
                <c:pt idx="460">
                  <c:v>41883.319444444445</c:v>
                </c:pt>
                <c:pt idx="461">
                  <c:v>41883.320138888892</c:v>
                </c:pt>
                <c:pt idx="462">
                  <c:v>41883.320833333331</c:v>
                </c:pt>
                <c:pt idx="463">
                  <c:v>41883.321527777778</c:v>
                </c:pt>
                <c:pt idx="464">
                  <c:v>41883.322222222225</c:v>
                </c:pt>
                <c:pt idx="465">
                  <c:v>41883.322916666664</c:v>
                </c:pt>
                <c:pt idx="466">
                  <c:v>41883.323611111111</c:v>
                </c:pt>
                <c:pt idx="467">
                  <c:v>41883.324305555558</c:v>
                </c:pt>
                <c:pt idx="468">
                  <c:v>41883.324999999997</c:v>
                </c:pt>
                <c:pt idx="469">
                  <c:v>41883.325694444444</c:v>
                </c:pt>
                <c:pt idx="470">
                  <c:v>41883.326388888891</c:v>
                </c:pt>
                <c:pt idx="471">
                  <c:v>41883.32708333333</c:v>
                </c:pt>
                <c:pt idx="472">
                  <c:v>41883.327777777777</c:v>
                </c:pt>
                <c:pt idx="473">
                  <c:v>41883.328472222223</c:v>
                </c:pt>
                <c:pt idx="474">
                  <c:v>41883.32916666667</c:v>
                </c:pt>
                <c:pt idx="475">
                  <c:v>41883.329861111109</c:v>
                </c:pt>
                <c:pt idx="476">
                  <c:v>41883.330555555556</c:v>
                </c:pt>
                <c:pt idx="477">
                  <c:v>41883.331250000003</c:v>
                </c:pt>
                <c:pt idx="478">
                  <c:v>41883.331944444442</c:v>
                </c:pt>
                <c:pt idx="479">
                  <c:v>41883.332638888889</c:v>
                </c:pt>
                <c:pt idx="480">
                  <c:v>41883.333333333336</c:v>
                </c:pt>
                <c:pt idx="481">
                  <c:v>41883.334027777775</c:v>
                </c:pt>
                <c:pt idx="482">
                  <c:v>41883.334722222222</c:v>
                </c:pt>
                <c:pt idx="483">
                  <c:v>41883.335416666669</c:v>
                </c:pt>
                <c:pt idx="484">
                  <c:v>41883.336111111108</c:v>
                </c:pt>
                <c:pt idx="485">
                  <c:v>41883.336805555555</c:v>
                </c:pt>
                <c:pt idx="486">
                  <c:v>41883.337500000001</c:v>
                </c:pt>
                <c:pt idx="487">
                  <c:v>41883.338194444441</c:v>
                </c:pt>
                <c:pt idx="488">
                  <c:v>41883.338888888888</c:v>
                </c:pt>
                <c:pt idx="489">
                  <c:v>41883.339583333334</c:v>
                </c:pt>
                <c:pt idx="490">
                  <c:v>41883.340277777781</c:v>
                </c:pt>
                <c:pt idx="491">
                  <c:v>41883.34097222222</c:v>
                </c:pt>
                <c:pt idx="492">
                  <c:v>41883.341666666667</c:v>
                </c:pt>
                <c:pt idx="493">
                  <c:v>41883.342361111114</c:v>
                </c:pt>
                <c:pt idx="494">
                  <c:v>41883.343055555553</c:v>
                </c:pt>
                <c:pt idx="495">
                  <c:v>41883.34375</c:v>
                </c:pt>
                <c:pt idx="496">
                  <c:v>41883.344444444447</c:v>
                </c:pt>
                <c:pt idx="497">
                  <c:v>41883.345138888886</c:v>
                </c:pt>
                <c:pt idx="498">
                  <c:v>41883.345833333333</c:v>
                </c:pt>
                <c:pt idx="499">
                  <c:v>41883.34652777778</c:v>
                </c:pt>
                <c:pt idx="500">
                  <c:v>41883.347222222219</c:v>
                </c:pt>
                <c:pt idx="501">
                  <c:v>41883.347916666666</c:v>
                </c:pt>
                <c:pt idx="502">
                  <c:v>41883.348611111112</c:v>
                </c:pt>
                <c:pt idx="503">
                  <c:v>41883.349305555559</c:v>
                </c:pt>
                <c:pt idx="504">
                  <c:v>41883.35</c:v>
                </c:pt>
                <c:pt idx="505">
                  <c:v>41883.350694444445</c:v>
                </c:pt>
                <c:pt idx="506">
                  <c:v>41883.351388888892</c:v>
                </c:pt>
                <c:pt idx="507">
                  <c:v>41883.352083333331</c:v>
                </c:pt>
                <c:pt idx="508">
                  <c:v>41883.352777777778</c:v>
                </c:pt>
                <c:pt idx="509">
                  <c:v>41883.353472222225</c:v>
                </c:pt>
                <c:pt idx="510">
                  <c:v>41883.354166666664</c:v>
                </c:pt>
                <c:pt idx="511">
                  <c:v>41883.354861111111</c:v>
                </c:pt>
                <c:pt idx="512">
                  <c:v>41883.355555555558</c:v>
                </c:pt>
                <c:pt idx="513">
                  <c:v>41883.356249999997</c:v>
                </c:pt>
                <c:pt idx="514">
                  <c:v>41883.356944444444</c:v>
                </c:pt>
                <c:pt idx="515">
                  <c:v>41883.357638888891</c:v>
                </c:pt>
                <c:pt idx="516">
                  <c:v>41883.35833333333</c:v>
                </c:pt>
                <c:pt idx="517">
                  <c:v>41883.359027777777</c:v>
                </c:pt>
                <c:pt idx="518">
                  <c:v>41883.359722222223</c:v>
                </c:pt>
                <c:pt idx="519">
                  <c:v>41883.36041666667</c:v>
                </c:pt>
                <c:pt idx="520">
                  <c:v>41883.361111111109</c:v>
                </c:pt>
                <c:pt idx="521">
                  <c:v>41883.361805555556</c:v>
                </c:pt>
                <c:pt idx="522">
                  <c:v>41883.362500000003</c:v>
                </c:pt>
                <c:pt idx="523">
                  <c:v>41883.363194444442</c:v>
                </c:pt>
                <c:pt idx="524">
                  <c:v>41883.363888888889</c:v>
                </c:pt>
                <c:pt idx="525">
                  <c:v>41883.364583333336</c:v>
                </c:pt>
                <c:pt idx="526">
                  <c:v>41883.365277777775</c:v>
                </c:pt>
                <c:pt idx="527">
                  <c:v>41883.365972222222</c:v>
                </c:pt>
                <c:pt idx="528">
                  <c:v>41883.366666666669</c:v>
                </c:pt>
                <c:pt idx="529">
                  <c:v>41883.367361111108</c:v>
                </c:pt>
                <c:pt idx="530">
                  <c:v>41883.368055555555</c:v>
                </c:pt>
                <c:pt idx="531">
                  <c:v>41883.368750000001</c:v>
                </c:pt>
                <c:pt idx="532">
                  <c:v>41883.369444444441</c:v>
                </c:pt>
                <c:pt idx="533">
                  <c:v>41883.370138888888</c:v>
                </c:pt>
                <c:pt idx="534">
                  <c:v>41883.370833333334</c:v>
                </c:pt>
                <c:pt idx="535">
                  <c:v>41883.371527777781</c:v>
                </c:pt>
                <c:pt idx="536">
                  <c:v>41883.37222222222</c:v>
                </c:pt>
                <c:pt idx="537">
                  <c:v>41883.372916666667</c:v>
                </c:pt>
                <c:pt idx="538">
                  <c:v>41883.373611111114</c:v>
                </c:pt>
                <c:pt idx="539">
                  <c:v>41883.374305555553</c:v>
                </c:pt>
                <c:pt idx="540">
                  <c:v>41883.375</c:v>
                </c:pt>
                <c:pt idx="541">
                  <c:v>41883.375694444447</c:v>
                </c:pt>
                <c:pt idx="542">
                  <c:v>41883.376388888886</c:v>
                </c:pt>
                <c:pt idx="543">
                  <c:v>41883.377083333333</c:v>
                </c:pt>
                <c:pt idx="544">
                  <c:v>41883.37777777778</c:v>
                </c:pt>
                <c:pt idx="545">
                  <c:v>41883.378472222219</c:v>
                </c:pt>
                <c:pt idx="546">
                  <c:v>41883.379166666666</c:v>
                </c:pt>
                <c:pt idx="547">
                  <c:v>41883.379861111112</c:v>
                </c:pt>
                <c:pt idx="548">
                  <c:v>41883.380555555559</c:v>
                </c:pt>
                <c:pt idx="549">
                  <c:v>41883.381249999999</c:v>
                </c:pt>
                <c:pt idx="550">
                  <c:v>41883.381944444445</c:v>
                </c:pt>
                <c:pt idx="551">
                  <c:v>41883.382638888892</c:v>
                </c:pt>
                <c:pt idx="552">
                  <c:v>41883.383333333331</c:v>
                </c:pt>
                <c:pt idx="553">
                  <c:v>41883.384027777778</c:v>
                </c:pt>
                <c:pt idx="554">
                  <c:v>41883.384722222225</c:v>
                </c:pt>
                <c:pt idx="555">
                  <c:v>41883.385416666664</c:v>
                </c:pt>
                <c:pt idx="556">
                  <c:v>41883.386111111111</c:v>
                </c:pt>
                <c:pt idx="557">
                  <c:v>41883.386805555558</c:v>
                </c:pt>
                <c:pt idx="558">
                  <c:v>41883.387499999997</c:v>
                </c:pt>
                <c:pt idx="559">
                  <c:v>41883.388194444444</c:v>
                </c:pt>
                <c:pt idx="560">
                  <c:v>41883.388888888891</c:v>
                </c:pt>
                <c:pt idx="561">
                  <c:v>41883.38958333333</c:v>
                </c:pt>
                <c:pt idx="562">
                  <c:v>41883.390277777777</c:v>
                </c:pt>
                <c:pt idx="563">
                  <c:v>41883.390972222223</c:v>
                </c:pt>
                <c:pt idx="564">
                  <c:v>41883.39166666667</c:v>
                </c:pt>
                <c:pt idx="565">
                  <c:v>41883.392361111109</c:v>
                </c:pt>
                <c:pt idx="566">
                  <c:v>41883.393055555556</c:v>
                </c:pt>
                <c:pt idx="567">
                  <c:v>41883.393750000003</c:v>
                </c:pt>
                <c:pt idx="568">
                  <c:v>41883.394444444442</c:v>
                </c:pt>
                <c:pt idx="569">
                  <c:v>41883.395138888889</c:v>
                </c:pt>
                <c:pt idx="570">
                  <c:v>41883.395833333336</c:v>
                </c:pt>
                <c:pt idx="571">
                  <c:v>41883.396527777775</c:v>
                </c:pt>
                <c:pt idx="572">
                  <c:v>41883.397222222222</c:v>
                </c:pt>
                <c:pt idx="573">
                  <c:v>41883.397916666669</c:v>
                </c:pt>
                <c:pt idx="574">
                  <c:v>41883.398611111108</c:v>
                </c:pt>
                <c:pt idx="575">
                  <c:v>41883.399305555555</c:v>
                </c:pt>
                <c:pt idx="576">
                  <c:v>41883.4</c:v>
                </c:pt>
                <c:pt idx="577">
                  <c:v>41883.400694444441</c:v>
                </c:pt>
                <c:pt idx="578">
                  <c:v>41883.401388888888</c:v>
                </c:pt>
                <c:pt idx="579">
                  <c:v>41883.402083333334</c:v>
                </c:pt>
                <c:pt idx="580">
                  <c:v>41883.402777777781</c:v>
                </c:pt>
                <c:pt idx="581">
                  <c:v>41883.40347222222</c:v>
                </c:pt>
                <c:pt idx="582">
                  <c:v>41883.404166666667</c:v>
                </c:pt>
                <c:pt idx="583">
                  <c:v>41883.404861111114</c:v>
                </c:pt>
                <c:pt idx="584">
                  <c:v>41883.405555555553</c:v>
                </c:pt>
                <c:pt idx="585">
                  <c:v>41883.40625</c:v>
                </c:pt>
                <c:pt idx="586">
                  <c:v>41883.406944444447</c:v>
                </c:pt>
                <c:pt idx="587">
                  <c:v>41883.407638888886</c:v>
                </c:pt>
                <c:pt idx="588">
                  <c:v>41883.408333333333</c:v>
                </c:pt>
                <c:pt idx="589">
                  <c:v>41883.40902777778</c:v>
                </c:pt>
                <c:pt idx="590">
                  <c:v>41883.409722222219</c:v>
                </c:pt>
                <c:pt idx="591">
                  <c:v>41883.410416666666</c:v>
                </c:pt>
                <c:pt idx="592">
                  <c:v>41883.411111111112</c:v>
                </c:pt>
                <c:pt idx="593">
                  <c:v>41883.411805555559</c:v>
                </c:pt>
                <c:pt idx="594">
                  <c:v>41883.412499999999</c:v>
                </c:pt>
                <c:pt idx="595">
                  <c:v>41883.413194444445</c:v>
                </c:pt>
                <c:pt idx="596">
                  <c:v>41883.413888888892</c:v>
                </c:pt>
                <c:pt idx="597">
                  <c:v>41883.414583333331</c:v>
                </c:pt>
                <c:pt idx="598">
                  <c:v>41883.415277777778</c:v>
                </c:pt>
                <c:pt idx="599">
                  <c:v>41883.415972222225</c:v>
                </c:pt>
                <c:pt idx="600">
                  <c:v>41883.416666666664</c:v>
                </c:pt>
                <c:pt idx="601">
                  <c:v>41883.417361111111</c:v>
                </c:pt>
                <c:pt idx="602">
                  <c:v>41883.418055555558</c:v>
                </c:pt>
                <c:pt idx="603">
                  <c:v>41883.418749999997</c:v>
                </c:pt>
                <c:pt idx="604">
                  <c:v>41883.419444444444</c:v>
                </c:pt>
                <c:pt idx="605">
                  <c:v>41883.420138888891</c:v>
                </c:pt>
                <c:pt idx="606">
                  <c:v>41883.42083333333</c:v>
                </c:pt>
                <c:pt idx="607">
                  <c:v>41883.421527777777</c:v>
                </c:pt>
                <c:pt idx="608">
                  <c:v>41883.422222222223</c:v>
                </c:pt>
                <c:pt idx="609">
                  <c:v>41883.42291666667</c:v>
                </c:pt>
                <c:pt idx="610">
                  <c:v>41883.423611111109</c:v>
                </c:pt>
                <c:pt idx="611">
                  <c:v>41883.424305555556</c:v>
                </c:pt>
                <c:pt idx="612">
                  <c:v>41883.425000000003</c:v>
                </c:pt>
                <c:pt idx="613">
                  <c:v>41883.425694444442</c:v>
                </c:pt>
                <c:pt idx="614">
                  <c:v>41883.426388888889</c:v>
                </c:pt>
                <c:pt idx="615">
                  <c:v>41883.427083333336</c:v>
                </c:pt>
                <c:pt idx="616">
                  <c:v>41883.427777777775</c:v>
                </c:pt>
                <c:pt idx="617">
                  <c:v>41883.428472222222</c:v>
                </c:pt>
                <c:pt idx="618">
                  <c:v>41883.429166666669</c:v>
                </c:pt>
                <c:pt idx="619">
                  <c:v>41883.429861111108</c:v>
                </c:pt>
                <c:pt idx="620">
                  <c:v>41883.430555555555</c:v>
                </c:pt>
                <c:pt idx="621">
                  <c:v>41883.431250000001</c:v>
                </c:pt>
                <c:pt idx="622">
                  <c:v>41883.431944444441</c:v>
                </c:pt>
                <c:pt idx="623">
                  <c:v>41883.432638888888</c:v>
                </c:pt>
                <c:pt idx="624">
                  <c:v>41883.433333333334</c:v>
                </c:pt>
                <c:pt idx="625">
                  <c:v>41883.434027777781</c:v>
                </c:pt>
                <c:pt idx="626">
                  <c:v>41883.43472222222</c:v>
                </c:pt>
                <c:pt idx="627">
                  <c:v>41883.435416666667</c:v>
                </c:pt>
                <c:pt idx="628">
                  <c:v>41883.436111111114</c:v>
                </c:pt>
                <c:pt idx="629">
                  <c:v>41883.436805555553</c:v>
                </c:pt>
                <c:pt idx="630">
                  <c:v>41883.4375</c:v>
                </c:pt>
                <c:pt idx="631">
                  <c:v>41883.438194444447</c:v>
                </c:pt>
                <c:pt idx="632">
                  <c:v>41883.438888888886</c:v>
                </c:pt>
                <c:pt idx="633">
                  <c:v>41883.439583333333</c:v>
                </c:pt>
                <c:pt idx="634">
                  <c:v>41883.44027777778</c:v>
                </c:pt>
                <c:pt idx="635">
                  <c:v>41883.440972222219</c:v>
                </c:pt>
                <c:pt idx="636">
                  <c:v>41883.441666666666</c:v>
                </c:pt>
                <c:pt idx="637">
                  <c:v>41883.442361111112</c:v>
                </c:pt>
                <c:pt idx="638">
                  <c:v>41883.443055555559</c:v>
                </c:pt>
                <c:pt idx="639">
                  <c:v>41883.443749999999</c:v>
                </c:pt>
                <c:pt idx="640">
                  <c:v>41883.444444444445</c:v>
                </c:pt>
                <c:pt idx="641">
                  <c:v>41883.445138888892</c:v>
                </c:pt>
                <c:pt idx="642">
                  <c:v>41883.445833333331</c:v>
                </c:pt>
                <c:pt idx="643">
                  <c:v>41883.446527777778</c:v>
                </c:pt>
                <c:pt idx="644">
                  <c:v>41883.447222222225</c:v>
                </c:pt>
                <c:pt idx="645">
                  <c:v>41883.447916666664</c:v>
                </c:pt>
                <c:pt idx="646">
                  <c:v>41883.448611111111</c:v>
                </c:pt>
                <c:pt idx="647">
                  <c:v>41883.449305555558</c:v>
                </c:pt>
                <c:pt idx="648">
                  <c:v>41883.449999999997</c:v>
                </c:pt>
                <c:pt idx="649">
                  <c:v>41883.450694444444</c:v>
                </c:pt>
                <c:pt idx="650">
                  <c:v>41883.451388888891</c:v>
                </c:pt>
                <c:pt idx="651">
                  <c:v>41883.45208333333</c:v>
                </c:pt>
                <c:pt idx="652">
                  <c:v>41883.452777777777</c:v>
                </c:pt>
                <c:pt idx="653">
                  <c:v>41883.453472222223</c:v>
                </c:pt>
                <c:pt idx="654">
                  <c:v>41883.45416666667</c:v>
                </c:pt>
                <c:pt idx="655">
                  <c:v>41883.454861111109</c:v>
                </c:pt>
                <c:pt idx="656">
                  <c:v>41883.455555555556</c:v>
                </c:pt>
                <c:pt idx="657">
                  <c:v>41883.456250000003</c:v>
                </c:pt>
                <c:pt idx="658">
                  <c:v>41883.456944444442</c:v>
                </c:pt>
                <c:pt idx="659">
                  <c:v>41883.457638888889</c:v>
                </c:pt>
                <c:pt idx="660">
                  <c:v>41883.458333333336</c:v>
                </c:pt>
                <c:pt idx="661">
                  <c:v>41883.459027777775</c:v>
                </c:pt>
                <c:pt idx="662">
                  <c:v>41883.459722222222</c:v>
                </c:pt>
                <c:pt idx="663">
                  <c:v>41883.460416666669</c:v>
                </c:pt>
                <c:pt idx="664">
                  <c:v>41883.461111111108</c:v>
                </c:pt>
                <c:pt idx="665">
                  <c:v>41883.461805555555</c:v>
                </c:pt>
                <c:pt idx="666">
                  <c:v>41883.462500000001</c:v>
                </c:pt>
                <c:pt idx="667">
                  <c:v>41883.463194444441</c:v>
                </c:pt>
                <c:pt idx="668">
                  <c:v>41883.463888888888</c:v>
                </c:pt>
                <c:pt idx="669">
                  <c:v>41883.464583333334</c:v>
                </c:pt>
                <c:pt idx="670">
                  <c:v>41883.465277777781</c:v>
                </c:pt>
                <c:pt idx="671">
                  <c:v>41883.46597222222</c:v>
                </c:pt>
                <c:pt idx="672">
                  <c:v>41883.466666666667</c:v>
                </c:pt>
                <c:pt idx="673">
                  <c:v>41883.467361111114</c:v>
                </c:pt>
                <c:pt idx="674">
                  <c:v>41883.468055555553</c:v>
                </c:pt>
                <c:pt idx="675">
                  <c:v>41883.46875</c:v>
                </c:pt>
                <c:pt idx="676">
                  <c:v>41883.469444444447</c:v>
                </c:pt>
                <c:pt idx="677">
                  <c:v>41883.470138888886</c:v>
                </c:pt>
                <c:pt idx="678">
                  <c:v>41883.470833333333</c:v>
                </c:pt>
                <c:pt idx="679">
                  <c:v>41883.47152777778</c:v>
                </c:pt>
                <c:pt idx="680">
                  <c:v>41883.472222222219</c:v>
                </c:pt>
                <c:pt idx="681">
                  <c:v>41883.472916666666</c:v>
                </c:pt>
                <c:pt idx="682">
                  <c:v>41883.473611111112</c:v>
                </c:pt>
                <c:pt idx="683">
                  <c:v>41883.474305555559</c:v>
                </c:pt>
                <c:pt idx="684">
                  <c:v>41883.474999999999</c:v>
                </c:pt>
                <c:pt idx="685">
                  <c:v>41883.475694444445</c:v>
                </c:pt>
                <c:pt idx="686">
                  <c:v>41883.476388888892</c:v>
                </c:pt>
                <c:pt idx="687">
                  <c:v>41883.477083333331</c:v>
                </c:pt>
                <c:pt idx="688">
                  <c:v>41883.477777777778</c:v>
                </c:pt>
                <c:pt idx="689">
                  <c:v>41883.478472222225</c:v>
                </c:pt>
                <c:pt idx="690">
                  <c:v>41883.479166666664</c:v>
                </c:pt>
                <c:pt idx="691">
                  <c:v>41883.479861111111</c:v>
                </c:pt>
                <c:pt idx="692">
                  <c:v>41883.480555555558</c:v>
                </c:pt>
                <c:pt idx="693">
                  <c:v>41883.481249999997</c:v>
                </c:pt>
                <c:pt idx="694">
                  <c:v>41883.481944444444</c:v>
                </c:pt>
                <c:pt idx="695">
                  <c:v>41883.482638888891</c:v>
                </c:pt>
                <c:pt idx="696">
                  <c:v>41883.48333333333</c:v>
                </c:pt>
                <c:pt idx="697">
                  <c:v>41883.484027777777</c:v>
                </c:pt>
                <c:pt idx="698">
                  <c:v>41883.484722222223</c:v>
                </c:pt>
                <c:pt idx="699">
                  <c:v>41883.48541666667</c:v>
                </c:pt>
                <c:pt idx="700">
                  <c:v>41883.486111111109</c:v>
                </c:pt>
                <c:pt idx="701">
                  <c:v>41883.486805555556</c:v>
                </c:pt>
                <c:pt idx="702">
                  <c:v>41883.487500000003</c:v>
                </c:pt>
                <c:pt idx="703">
                  <c:v>41883.488194444442</c:v>
                </c:pt>
                <c:pt idx="704">
                  <c:v>41883.488888888889</c:v>
                </c:pt>
                <c:pt idx="705">
                  <c:v>41883.489583333336</c:v>
                </c:pt>
                <c:pt idx="706">
                  <c:v>41883.490277777775</c:v>
                </c:pt>
                <c:pt idx="707">
                  <c:v>41883.490972222222</c:v>
                </c:pt>
                <c:pt idx="708">
                  <c:v>41883.491666666669</c:v>
                </c:pt>
                <c:pt idx="709">
                  <c:v>41883.492361111108</c:v>
                </c:pt>
                <c:pt idx="710">
                  <c:v>41883.493055555555</c:v>
                </c:pt>
                <c:pt idx="711">
                  <c:v>41883.493750000001</c:v>
                </c:pt>
                <c:pt idx="712">
                  <c:v>41883.494444444441</c:v>
                </c:pt>
                <c:pt idx="713">
                  <c:v>41883.495138888888</c:v>
                </c:pt>
                <c:pt idx="714">
                  <c:v>41883.495833333334</c:v>
                </c:pt>
                <c:pt idx="715">
                  <c:v>41883.496527777781</c:v>
                </c:pt>
                <c:pt idx="716">
                  <c:v>41883.49722222222</c:v>
                </c:pt>
                <c:pt idx="717">
                  <c:v>41883.497916666667</c:v>
                </c:pt>
                <c:pt idx="718">
                  <c:v>41883.498611111114</c:v>
                </c:pt>
                <c:pt idx="719">
                  <c:v>41883.499305555553</c:v>
                </c:pt>
                <c:pt idx="720">
                  <c:v>41883.5</c:v>
                </c:pt>
                <c:pt idx="721">
                  <c:v>41883.500694444447</c:v>
                </c:pt>
                <c:pt idx="722">
                  <c:v>41883.501388888886</c:v>
                </c:pt>
                <c:pt idx="723">
                  <c:v>41883.502083333333</c:v>
                </c:pt>
                <c:pt idx="724">
                  <c:v>41883.50277777778</c:v>
                </c:pt>
                <c:pt idx="725">
                  <c:v>41883.503472222219</c:v>
                </c:pt>
                <c:pt idx="726">
                  <c:v>41883.504166666666</c:v>
                </c:pt>
                <c:pt idx="727">
                  <c:v>41883.504861111112</c:v>
                </c:pt>
                <c:pt idx="728">
                  <c:v>41883.505555555559</c:v>
                </c:pt>
                <c:pt idx="729">
                  <c:v>41883.506249999999</c:v>
                </c:pt>
                <c:pt idx="730">
                  <c:v>41883.506944444445</c:v>
                </c:pt>
                <c:pt idx="731">
                  <c:v>41883.507638888892</c:v>
                </c:pt>
                <c:pt idx="732">
                  <c:v>41883.508333333331</c:v>
                </c:pt>
                <c:pt idx="733">
                  <c:v>41883.509027777778</c:v>
                </c:pt>
                <c:pt idx="734">
                  <c:v>41883.509722222225</c:v>
                </c:pt>
                <c:pt idx="735">
                  <c:v>41883.510416666664</c:v>
                </c:pt>
                <c:pt idx="736">
                  <c:v>41883.511111111111</c:v>
                </c:pt>
                <c:pt idx="737">
                  <c:v>41883.511805555558</c:v>
                </c:pt>
                <c:pt idx="738">
                  <c:v>41883.512499999997</c:v>
                </c:pt>
                <c:pt idx="739">
                  <c:v>41883.513194444444</c:v>
                </c:pt>
                <c:pt idx="740">
                  <c:v>41883.513888888891</c:v>
                </c:pt>
                <c:pt idx="741">
                  <c:v>41883.51458333333</c:v>
                </c:pt>
                <c:pt idx="742">
                  <c:v>41883.515277777777</c:v>
                </c:pt>
                <c:pt idx="743">
                  <c:v>41883.515972222223</c:v>
                </c:pt>
                <c:pt idx="744">
                  <c:v>41883.51666666667</c:v>
                </c:pt>
                <c:pt idx="745">
                  <c:v>41883.517361111109</c:v>
                </c:pt>
                <c:pt idx="746">
                  <c:v>41883.518055555556</c:v>
                </c:pt>
                <c:pt idx="747">
                  <c:v>41883.518750000003</c:v>
                </c:pt>
                <c:pt idx="748">
                  <c:v>41883.519444444442</c:v>
                </c:pt>
                <c:pt idx="749">
                  <c:v>41883.520138888889</c:v>
                </c:pt>
                <c:pt idx="750">
                  <c:v>41883.520833333336</c:v>
                </c:pt>
                <c:pt idx="751">
                  <c:v>41883.521527777775</c:v>
                </c:pt>
                <c:pt idx="752">
                  <c:v>41883.522222222222</c:v>
                </c:pt>
                <c:pt idx="753">
                  <c:v>41883.522916666669</c:v>
                </c:pt>
                <c:pt idx="754">
                  <c:v>41883.523611111108</c:v>
                </c:pt>
                <c:pt idx="755">
                  <c:v>41883.524305555555</c:v>
                </c:pt>
                <c:pt idx="756">
                  <c:v>41883.525000000001</c:v>
                </c:pt>
                <c:pt idx="757">
                  <c:v>41883.525694444441</c:v>
                </c:pt>
                <c:pt idx="758">
                  <c:v>41883.526388888888</c:v>
                </c:pt>
                <c:pt idx="759">
                  <c:v>41883.527083333334</c:v>
                </c:pt>
                <c:pt idx="760">
                  <c:v>41883.527777777781</c:v>
                </c:pt>
                <c:pt idx="761">
                  <c:v>41883.52847222222</c:v>
                </c:pt>
                <c:pt idx="762">
                  <c:v>41883.529166666667</c:v>
                </c:pt>
                <c:pt idx="763">
                  <c:v>41883.529861111114</c:v>
                </c:pt>
                <c:pt idx="764">
                  <c:v>41883.530555555553</c:v>
                </c:pt>
                <c:pt idx="765">
                  <c:v>41883.53125</c:v>
                </c:pt>
                <c:pt idx="766">
                  <c:v>41883.531944444447</c:v>
                </c:pt>
                <c:pt idx="767">
                  <c:v>41883.532638888886</c:v>
                </c:pt>
                <c:pt idx="768">
                  <c:v>41883.533333333333</c:v>
                </c:pt>
                <c:pt idx="769">
                  <c:v>41883.53402777778</c:v>
                </c:pt>
                <c:pt idx="770">
                  <c:v>41883.534722222219</c:v>
                </c:pt>
                <c:pt idx="771">
                  <c:v>41883.535416666666</c:v>
                </c:pt>
                <c:pt idx="772">
                  <c:v>41883.536111111112</c:v>
                </c:pt>
                <c:pt idx="773">
                  <c:v>41883.536805555559</c:v>
                </c:pt>
                <c:pt idx="774">
                  <c:v>41883.537499999999</c:v>
                </c:pt>
                <c:pt idx="775">
                  <c:v>41883.538194444445</c:v>
                </c:pt>
                <c:pt idx="776">
                  <c:v>41883.538888888892</c:v>
                </c:pt>
                <c:pt idx="777">
                  <c:v>41883.539583333331</c:v>
                </c:pt>
                <c:pt idx="778">
                  <c:v>41883.540277777778</c:v>
                </c:pt>
                <c:pt idx="779">
                  <c:v>41883.540972222225</c:v>
                </c:pt>
                <c:pt idx="780">
                  <c:v>41883.541666666664</c:v>
                </c:pt>
                <c:pt idx="781">
                  <c:v>41883.542361111111</c:v>
                </c:pt>
                <c:pt idx="782">
                  <c:v>41883.543055555558</c:v>
                </c:pt>
                <c:pt idx="783">
                  <c:v>41883.543749999997</c:v>
                </c:pt>
                <c:pt idx="784">
                  <c:v>41883.544444444444</c:v>
                </c:pt>
                <c:pt idx="785">
                  <c:v>41883.545138888891</c:v>
                </c:pt>
                <c:pt idx="786">
                  <c:v>41883.54583333333</c:v>
                </c:pt>
                <c:pt idx="787">
                  <c:v>41883.546527777777</c:v>
                </c:pt>
                <c:pt idx="788">
                  <c:v>41883.547222222223</c:v>
                </c:pt>
                <c:pt idx="789">
                  <c:v>41883.54791666667</c:v>
                </c:pt>
                <c:pt idx="790">
                  <c:v>41883.548611111109</c:v>
                </c:pt>
                <c:pt idx="791">
                  <c:v>41883.549305555556</c:v>
                </c:pt>
                <c:pt idx="792">
                  <c:v>41883.550000000003</c:v>
                </c:pt>
                <c:pt idx="793">
                  <c:v>41883.550694444442</c:v>
                </c:pt>
                <c:pt idx="794">
                  <c:v>41883.551388888889</c:v>
                </c:pt>
                <c:pt idx="795">
                  <c:v>41883.552083333336</c:v>
                </c:pt>
                <c:pt idx="796">
                  <c:v>41883.552777777775</c:v>
                </c:pt>
                <c:pt idx="797">
                  <c:v>41883.553472222222</c:v>
                </c:pt>
                <c:pt idx="798">
                  <c:v>41883.554166666669</c:v>
                </c:pt>
                <c:pt idx="799">
                  <c:v>41883.554861111108</c:v>
                </c:pt>
                <c:pt idx="800">
                  <c:v>41883.555555555555</c:v>
                </c:pt>
                <c:pt idx="801">
                  <c:v>41883.556250000001</c:v>
                </c:pt>
                <c:pt idx="802">
                  <c:v>41883.556944444441</c:v>
                </c:pt>
                <c:pt idx="803">
                  <c:v>41883.557638888888</c:v>
                </c:pt>
                <c:pt idx="804">
                  <c:v>41883.558333333334</c:v>
                </c:pt>
                <c:pt idx="805">
                  <c:v>41883.559027777781</c:v>
                </c:pt>
                <c:pt idx="806">
                  <c:v>41883.55972222222</c:v>
                </c:pt>
                <c:pt idx="807">
                  <c:v>41883.560416666667</c:v>
                </c:pt>
                <c:pt idx="808">
                  <c:v>41883.561111111114</c:v>
                </c:pt>
                <c:pt idx="809">
                  <c:v>41883.561805555553</c:v>
                </c:pt>
                <c:pt idx="810">
                  <c:v>41883.5625</c:v>
                </c:pt>
                <c:pt idx="811">
                  <c:v>41883.563194444447</c:v>
                </c:pt>
                <c:pt idx="812">
                  <c:v>41883.563888888886</c:v>
                </c:pt>
                <c:pt idx="813">
                  <c:v>41883.564583333333</c:v>
                </c:pt>
                <c:pt idx="814">
                  <c:v>41883.56527777778</c:v>
                </c:pt>
                <c:pt idx="815">
                  <c:v>41883.565972222219</c:v>
                </c:pt>
                <c:pt idx="816">
                  <c:v>41883.566666666666</c:v>
                </c:pt>
                <c:pt idx="817">
                  <c:v>41883.567361111112</c:v>
                </c:pt>
                <c:pt idx="818">
                  <c:v>41883.568055555559</c:v>
                </c:pt>
                <c:pt idx="819">
                  <c:v>41883.568749999999</c:v>
                </c:pt>
                <c:pt idx="820">
                  <c:v>41883.569444444445</c:v>
                </c:pt>
                <c:pt idx="821">
                  <c:v>41883.570138888892</c:v>
                </c:pt>
                <c:pt idx="822">
                  <c:v>41883.570833333331</c:v>
                </c:pt>
                <c:pt idx="823">
                  <c:v>41883.571527777778</c:v>
                </c:pt>
                <c:pt idx="824">
                  <c:v>41883.572222222225</c:v>
                </c:pt>
                <c:pt idx="825">
                  <c:v>41883.572916666664</c:v>
                </c:pt>
                <c:pt idx="826">
                  <c:v>41883.573611111111</c:v>
                </c:pt>
                <c:pt idx="827">
                  <c:v>41883.574305555558</c:v>
                </c:pt>
                <c:pt idx="828">
                  <c:v>41883.574999999997</c:v>
                </c:pt>
                <c:pt idx="829">
                  <c:v>41883.575694444444</c:v>
                </c:pt>
                <c:pt idx="830">
                  <c:v>41883.576388888891</c:v>
                </c:pt>
                <c:pt idx="831">
                  <c:v>41883.57708333333</c:v>
                </c:pt>
                <c:pt idx="832">
                  <c:v>41883.577777777777</c:v>
                </c:pt>
                <c:pt idx="833">
                  <c:v>41883.578472222223</c:v>
                </c:pt>
                <c:pt idx="834">
                  <c:v>41883.57916666667</c:v>
                </c:pt>
                <c:pt idx="835">
                  <c:v>41883.579861111109</c:v>
                </c:pt>
                <c:pt idx="836">
                  <c:v>41883.580555555556</c:v>
                </c:pt>
                <c:pt idx="837">
                  <c:v>41883.581250000003</c:v>
                </c:pt>
                <c:pt idx="838">
                  <c:v>41883.581944444442</c:v>
                </c:pt>
                <c:pt idx="839">
                  <c:v>41883.582638888889</c:v>
                </c:pt>
                <c:pt idx="840">
                  <c:v>41883.583333333336</c:v>
                </c:pt>
                <c:pt idx="841">
                  <c:v>41883.584027777775</c:v>
                </c:pt>
                <c:pt idx="842">
                  <c:v>41883.584722222222</c:v>
                </c:pt>
                <c:pt idx="843">
                  <c:v>41883.585416666669</c:v>
                </c:pt>
                <c:pt idx="844">
                  <c:v>41883.586111111108</c:v>
                </c:pt>
                <c:pt idx="845">
                  <c:v>41883.586805555555</c:v>
                </c:pt>
                <c:pt idx="846">
                  <c:v>41883.587500000001</c:v>
                </c:pt>
                <c:pt idx="847">
                  <c:v>41883.588194444441</c:v>
                </c:pt>
                <c:pt idx="848">
                  <c:v>41883.588888888888</c:v>
                </c:pt>
                <c:pt idx="849">
                  <c:v>41883.589583333334</c:v>
                </c:pt>
                <c:pt idx="850">
                  <c:v>41883.590277777781</c:v>
                </c:pt>
                <c:pt idx="851">
                  <c:v>41883.59097222222</c:v>
                </c:pt>
                <c:pt idx="852">
                  <c:v>41883.591666666667</c:v>
                </c:pt>
                <c:pt idx="853">
                  <c:v>41883.592361111114</c:v>
                </c:pt>
                <c:pt idx="854">
                  <c:v>41883.593055555553</c:v>
                </c:pt>
                <c:pt idx="855">
                  <c:v>41883.59375</c:v>
                </c:pt>
                <c:pt idx="856">
                  <c:v>41883.594444444447</c:v>
                </c:pt>
                <c:pt idx="857">
                  <c:v>41883.595138888886</c:v>
                </c:pt>
                <c:pt idx="858">
                  <c:v>41883.595833333333</c:v>
                </c:pt>
                <c:pt idx="859">
                  <c:v>41883.59652777778</c:v>
                </c:pt>
                <c:pt idx="860">
                  <c:v>41883.597222222219</c:v>
                </c:pt>
                <c:pt idx="861">
                  <c:v>41883.597916666666</c:v>
                </c:pt>
                <c:pt idx="862">
                  <c:v>41883.598611111112</c:v>
                </c:pt>
                <c:pt idx="863">
                  <c:v>41883.599305555559</c:v>
                </c:pt>
                <c:pt idx="864">
                  <c:v>41883.599999999999</c:v>
                </c:pt>
                <c:pt idx="865">
                  <c:v>41883.600694444445</c:v>
                </c:pt>
                <c:pt idx="866">
                  <c:v>41883.601388888892</c:v>
                </c:pt>
                <c:pt idx="867">
                  <c:v>41883.602083333331</c:v>
                </c:pt>
                <c:pt idx="868">
                  <c:v>41883.602777777778</c:v>
                </c:pt>
                <c:pt idx="869">
                  <c:v>41883.603472222225</c:v>
                </c:pt>
                <c:pt idx="870">
                  <c:v>41883.604166666664</c:v>
                </c:pt>
                <c:pt idx="871">
                  <c:v>41883.604861111111</c:v>
                </c:pt>
                <c:pt idx="872">
                  <c:v>41883.605555555558</c:v>
                </c:pt>
                <c:pt idx="873">
                  <c:v>41883.606249999997</c:v>
                </c:pt>
                <c:pt idx="874">
                  <c:v>41883.606944444444</c:v>
                </c:pt>
                <c:pt idx="875">
                  <c:v>41883.607638888891</c:v>
                </c:pt>
                <c:pt idx="876">
                  <c:v>41883.60833333333</c:v>
                </c:pt>
                <c:pt idx="877">
                  <c:v>41883.609027777777</c:v>
                </c:pt>
                <c:pt idx="878">
                  <c:v>41883.609722222223</c:v>
                </c:pt>
                <c:pt idx="879">
                  <c:v>41883.61041666667</c:v>
                </c:pt>
                <c:pt idx="880">
                  <c:v>41883.611111111109</c:v>
                </c:pt>
                <c:pt idx="881">
                  <c:v>41883.611805555556</c:v>
                </c:pt>
                <c:pt idx="882">
                  <c:v>41883.612500000003</c:v>
                </c:pt>
                <c:pt idx="883">
                  <c:v>41883.613194444442</c:v>
                </c:pt>
                <c:pt idx="884">
                  <c:v>41883.613888888889</c:v>
                </c:pt>
                <c:pt idx="885">
                  <c:v>41883.614583333336</c:v>
                </c:pt>
                <c:pt idx="886">
                  <c:v>41883.615277777775</c:v>
                </c:pt>
                <c:pt idx="887">
                  <c:v>41883.615972222222</c:v>
                </c:pt>
                <c:pt idx="888">
                  <c:v>41883.616666666669</c:v>
                </c:pt>
                <c:pt idx="889">
                  <c:v>41883.617361111108</c:v>
                </c:pt>
                <c:pt idx="890">
                  <c:v>41883.618055555555</c:v>
                </c:pt>
                <c:pt idx="891">
                  <c:v>41883.618750000001</c:v>
                </c:pt>
                <c:pt idx="892">
                  <c:v>41883.619444444441</c:v>
                </c:pt>
                <c:pt idx="893">
                  <c:v>41883.620138888888</c:v>
                </c:pt>
                <c:pt idx="894">
                  <c:v>41883.620833333334</c:v>
                </c:pt>
                <c:pt idx="895">
                  <c:v>41883.621527777781</c:v>
                </c:pt>
                <c:pt idx="896">
                  <c:v>41883.62222222222</c:v>
                </c:pt>
                <c:pt idx="897">
                  <c:v>41883.622916666667</c:v>
                </c:pt>
                <c:pt idx="898">
                  <c:v>41883.623611111114</c:v>
                </c:pt>
                <c:pt idx="899">
                  <c:v>41883.624305555553</c:v>
                </c:pt>
                <c:pt idx="900">
                  <c:v>41883.625</c:v>
                </c:pt>
                <c:pt idx="901">
                  <c:v>41883.625694444447</c:v>
                </c:pt>
                <c:pt idx="902">
                  <c:v>41883.626388888886</c:v>
                </c:pt>
                <c:pt idx="903">
                  <c:v>41883.627083333333</c:v>
                </c:pt>
                <c:pt idx="904">
                  <c:v>41883.62777777778</c:v>
                </c:pt>
                <c:pt idx="905">
                  <c:v>41883.628472222219</c:v>
                </c:pt>
                <c:pt idx="906">
                  <c:v>41883.629166666666</c:v>
                </c:pt>
                <c:pt idx="907">
                  <c:v>41883.629861111112</c:v>
                </c:pt>
                <c:pt idx="908">
                  <c:v>41883.630555555559</c:v>
                </c:pt>
                <c:pt idx="909">
                  <c:v>41883.631249999999</c:v>
                </c:pt>
                <c:pt idx="910">
                  <c:v>41883.631944444445</c:v>
                </c:pt>
                <c:pt idx="911">
                  <c:v>41883.632638888892</c:v>
                </c:pt>
                <c:pt idx="912">
                  <c:v>41883.633333333331</c:v>
                </c:pt>
                <c:pt idx="913">
                  <c:v>41883.634027777778</c:v>
                </c:pt>
                <c:pt idx="914">
                  <c:v>41883.634722222225</c:v>
                </c:pt>
                <c:pt idx="915">
                  <c:v>41883.635416666664</c:v>
                </c:pt>
                <c:pt idx="916">
                  <c:v>41883.636111111111</c:v>
                </c:pt>
                <c:pt idx="917">
                  <c:v>41883.636805555558</c:v>
                </c:pt>
                <c:pt idx="918">
                  <c:v>41883.637499999997</c:v>
                </c:pt>
                <c:pt idx="919">
                  <c:v>41883.638194444444</c:v>
                </c:pt>
                <c:pt idx="920">
                  <c:v>41883.638888888891</c:v>
                </c:pt>
                <c:pt idx="921">
                  <c:v>41883.63958333333</c:v>
                </c:pt>
                <c:pt idx="922">
                  <c:v>41883.640277777777</c:v>
                </c:pt>
                <c:pt idx="923">
                  <c:v>41883.640972222223</c:v>
                </c:pt>
                <c:pt idx="924">
                  <c:v>41883.64166666667</c:v>
                </c:pt>
                <c:pt idx="925">
                  <c:v>41883.642361111109</c:v>
                </c:pt>
                <c:pt idx="926">
                  <c:v>41883.643055555556</c:v>
                </c:pt>
                <c:pt idx="927">
                  <c:v>41883.643750000003</c:v>
                </c:pt>
                <c:pt idx="928">
                  <c:v>41883.644444444442</c:v>
                </c:pt>
                <c:pt idx="929">
                  <c:v>41883.645138888889</c:v>
                </c:pt>
                <c:pt idx="930">
                  <c:v>41883.645833333336</c:v>
                </c:pt>
                <c:pt idx="931">
                  <c:v>41883.646527777775</c:v>
                </c:pt>
                <c:pt idx="932">
                  <c:v>41883.647222222222</c:v>
                </c:pt>
                <c:pt idx="933">
                  <c:v>41883.647916666669</c:v>
                </c:pt>
                <c:pt idx="934">
                  <c:v>41883.648611111108</c:v>
                </c:pt>
                <c:pt idx="935">
                  <c:v>41883.649305555555</c:v>
                </c:pt>
                <c:pt idx="936">
                  <c:v>41883.65</c:v>
                </c:pt>
                <c:pt idx="937">
                  <c:v>41883.650694444441</c:v>
                </c:pt>
                <c:pt idx="938">
                  <c:v>41883.651388888888</c:v>
                </c:pt>
                <c:pt idx="939">
                  <c:v>41883.652083333334</c:v>
                </c:pt>
                <c:pt idx="940">
                  <c:v>41883.652777777781</c:v>
                </c:pt>
                <c:pt idx="941">
                  <c:v>41883.65347222222</c:v>
                </c:pt>
                <c:pt idx="942">
                  <c:v>41883.654166666667</c:v>
                </c:pt>
                <c:pt idx="943">
                  <c:v>41883.654861111114</c:v>
                </c:pt>
                <c:pt idx="944">
                  <c:v>41883.655555555553</c:v>
                </c:pt>
                <c:pt idx="945">
                  <c:v>41883.65625</c:v>
                </c:pt>
                <c:pt idx="946">
                  <c:v>41883.656944444447</c:v>
                </c:pt>
                <c:pt idx="947">
                  <c:v>41883.657638888886</c:v>
                </c:pt>
                <c:pt idx="948">
                  <c:v>41883.658333333333</c:v>
                </c:pt>
                <c:pt idx="949">
                  <c:v>41883.65902777778</c:v>
                </c:pt>
                <c:pt idx="950">
                  <c:v>41883.659722222219</c:v>
                </c:pt>
                <c:pt idx="951">
                  <c:v>41883.660416666666</c:v>
                </c:pt>
                <c:pt idx="952">
                  <c:v>41883.661111111112</c:v>
                </c:pt>
                <c:pt idx="953">
                  <c:v>41883.661805555559</c:v>
                </c:pt>
                <c:pt idx="954">
                  <c:v>41883.662499999999</c:v>
                </c:pt>
                <c:pt idx="955">
                  <c:v>41883.663194444445</c:v>
                </c:pt>
                <c:pt idx="956">
                  <c:v>41883.663888888892</c:v>
                </c:pt>
                <c:pt idx="957">
                  <c:v>41883.664583333331</c:v>
                </c:pt>
                <c:pt idx="958">
                  <c:v>41883.665277777778</c:v>
                </c:pt>
                <c:pt idx="959">
                  <c:v>41883.665972222225</c:v>
                </c:pt>
                <c:pt idx="960">
                  <c:v>41883.666666666664</c:v>
                </c:pt>
                <c:pt idx="961">
                  <c:v>41883.667361111111</c:v>
                </c:pt>
                <c:pt idx="962">
                  <c:v>41883.668055555558</c:v>
                </c:pt>
                <c:pt idx="963">
                  <c:v>41883.668749999997</c:v>
                </c:pt>
                <c:pt idx="964">
                  <c:v>41883.669444444444</c:v>
                </c:pt>
                <c:pt idx="965">
                  <c:v>41883.670138888891</c:v>
                </c:pt>
                <c:pt idx="966">
                  <c:v>41883.67083333333</c:v>
                </c:pt>
                <c:pt idx="967">
                  <c:v>41883.671527777777</c:v>
                </c:pt>
                <c:pt idx="968">
                  <c:v>41883.672222222223</c:v>
                </c:pt>
                <c:pt idx="969">
                  <c:v>41883.67291666667</c:v>
                </c:pt>
                <c:pt idx="970">
                  <c:v>41883.673611111109</c:v>
                </c:pt>
                <c:pt idx="971">
                  <c:v>41883.674305555556</c:v>
                </c:pt>
                <c:pt idx="972">
                  <c:v>41883.675000000003</c:v>
                </c:pt>
                <c:pt idx="973">
                  <c:v>41883.675694444442</c:v>
                </c:pt>
                <c:pt idx="974">
                  <c:v>41883.676388888889</c:v>
                </c:pt>
                <c:pt idx="975">
                  <c:v>41883.677083333336</c:v>
                </c:pt>
                <c:pt idx="976">
                  <c:v>41883.677777777775</c:v>
                </c:pt>
                <c:pt idx="977">
                  <c:v>41883.678472222222</c:v>
                </c:pt>
                <c:pt idx="978">
                  <c:v>41883.679166666669</c:v>
                </c:pt>
                <c:pt idx="979">
                  <c:v>41883.679861111108</c:v>
                </c:pt>
                <c:pt idx="980">
                  <c:v>41883.680555555555</c:v>
                </c:pt>
                <c:pt idx="981">
                  <c:v>41883.681250000001</c:v>
                </c:pt>
                <c:pt idx="982">
                  <c:v>41883.681944444441</c:v>
                </c:pt>
                <c:pt idx="983">
                  <c:v>41883.682638888888</c:v>
                </c:pt>
                <c:pt idx="984">
                  <c:v>41883.683333333334</c:v>
                </c:pt>
                <c:pt idx="985">
                  <c:v>41883.684027777781</c:v>
                </c:pt>
                <c:pt idx="986">
                  <c:v>41883.68472222222</c:v>
                </c:pt>
                <c:pt idx="987">
                  <c:v>41883.685416666667</c:v>
                </c:pt>
                <c:pt idx="988">
                  <c:v>41883.686111111114</c:v>
                </c:pt>
                <c:pt idx="989">
                  <c:v>41883.686805555553</c:v>
                </c:pt>
                <c:pt idx="990">
                  <c:v>41883.6875</c:v>
                </c:pt>
                <c:pt idx="991">
                  <c:v>41883.688194444447</c:v>
                </c:pt>
                <c:pt idx="992">
                  <c:v>41883.688888888886</c:v>
                </c:pt>
                <c:pt idx="993">
                  <c:v>41883.689583333333</c:v>
                </c:pt>
                <c:pt idx="994">
                  <c:v>41883.69027777778</c:v>
                </c:pt>
                <c:pt idx="995">
                  <c:v>41883.690972222219</c:v>
                </c:pt>
                <c:pt idx="996">
                  <c:v>41883.691666666666</c:v>
                </c:pt>
                <c:pt idx="997">
                  <c:v>41883.692361111112</c:v>
                </c:pt>
                <c:pt idx="998">
                  <c:v>41883.693055555559</c:v>
                </c:pt>
                <c:pt idx="999">
                  <c:v>41883.693749999999</c:v>
                </c:pt>
                <c:pt idx="1000">
                  <c:v>41883.694444444445</c:v>
                </c:pt>
                <c:pt idx="1001">
                  <c:v>41883.695138888892</c:v>
                </c:pt>
                <c:pt idx="1002">
                  <c:v>41883.695833333331</c:v>
                </c:pt>
                <c:pt idx="1003">
                  <c:v>41883.696527777778</c:v>
                </c:pt>
                <c:pt idx="1004">
                  <c:v>41883.697222222225</c:v>
                </c:pt>
                <c:pt idx="1005">
                  <c:v>41883.697916666664</c:v>
                </c:pt>
                <c:pt idx="1006">
                  <c:v>41883.698611111111</c:v>
                </c:pt>
                <c:pt idx="1007">
                  <c:v>41883.699305555558</c:v>
                </c:pt>
                <c:pt idx="1008">
                  <c:v>41883.699999999997</c:v>
                </c:pt>
                <c:pt idx="1009">
                  <c:v>41883.700694444444</c:v>
                </c:pt>
                <c:pt idx="1010">
                  <c:v>41883.701388888891</c:v>
                </c:pt>
                <c:pt idx="1011">
                  <c:v>41883.70208333333</c:v>
                </c:pt>
                <c:pt idx="1012">
                  <c:v>41883.702777777777</c:v>
                </c:pt>
                <c:pt idx="1013">
                  <c:v>41883.703472222223</c:v>
                </c:pt>
                <c:pt idx="1014">
                  <c:v>41883.70416666667</c:v>
                </c:pt>
                <c:pt idx="1015">
                  <c:v>41883.704861111109</c:v>
                </c:pt>
                <c:pt idx="1016">
                  <c:v>41883.705555555556</c:v>
                </c:pt>
                <c:pt idx="1017">
                  <c:v>41883.706250000003</c:v>
                </c:pt>
                <c:pt idx="1018">
                  <c:v>41883.706944444442</c:v>
                </c:pt>
                <c:pt idx="1019">
                  <c:v>41883.707638888889</c:v>
                </c:pt>
                <c:pt idx="1020">
                  <c:v>41883.708333333336</c:v>
                </c:pt>
                <c:pt idx="1021">
                  <c:v>41883.709027777775</c:v>
                </c:pt>
                <c:pt idx="1022">
                  <c:v>41883.709722222222</c:v>
                </c:pt>
                <c:pt idx="1023">
                  <c:v>41883.710416666669</c:v>
                </c:pt>
                <c:pt idx="1024">
                  <c:v>41883.711111111108</c:v>
                </c:pt>
                <c:pt idx="1025">
                  <c:v>41883.711805555555</c:v>
                </c:pt>
                <c:pt idx="1026">
                  <c:v>41883.712500000001</c:v>
                </c:pt>
                <c:pt idx="1027">
                  <c:v>41883.713194444441</c:v>
                </c:pt>
                <c:pt idx="1028">
                  <c:v>41883.713888888888</c:v>
                </c:pt>
                <c:pt idx="1029">
                  <c:v>41883.714583333334</c:v>
                </c:pt>
                <c:pt idx="1030">
                  <c:v>41883.715277777781</c:v>
                </c:pt>
                <c:pt idx="1031">
                  <c:v>41883.71597222222</c:v>
                </c:pt>
                <c:pt idx="1032">
                  <c:v>41883.716666666667</c:v>
                </c:pt>
                <c:pt idx="1033">
                  <c:v>41883.717361111114</c:v>
                </c:pt>
                <c:pt idx="1034">
                  <c:v>41883.718055555553</c:v>
                </c:pt>
                <c:pt idx="1035">
                  <c:v>41883.71875</c:v>
                </c:pt>
                <c:pt idx="1036">
                  <c:v>41883.719444444447</c:v>
                </c:pt>
                <c:pt idx="1037">
                  <c:v>41883.720138888886</c:v>
                </c:pt>
                <c:pt idx="1038">
                  <c:v>41883.720833333333</c:v>
                </c:pt>
                <c:pt idx="1039">
                  <c:v>41883.72152777778</c:v>
                </c:pt>
                <c:pt idx="1040">
                  <c:v>41883.722222222219</c:v>
                </c:pt>
                <c:pt idx="1041">
                  <c:v>41883.722916666666</c:v>
                </c:pt>
                <c:pt idx="1042">
                  <c:v>41883.723611111112</c:v>
                </c:pt>
                <c:pt idx="1043">
                  <c:v>41883.724305555559</c:v>
                </c:pt>
                <c:pt idx="1044">
                  <c:v>41883.724999999999</c:v>
                </c:pt>
                <c:pt idx="1045">
                  <c:v>41883.725694444445</c:v>
                </c:pt>
                <c:pt idx="1046">
                  <c:v>41883.726388888892</c:v>
                </c:pt>
                <c:pt idx="1047">
                  <c:v>41883.727083333331</c:v>
                </c:pt>
                <c:pt idx="1048">
                  <c:v>41883.727777777778</c:v>
                </c:pt>
                <c:pt idx="1049">
                  <c:v>41883.728472222225</c:v>
                </c:pt>
                <c:pt idx="1050">
                  <c:v>41883.729166666664</c:v>
                </c:pt>
                <c:pt idx="1051">
                  <c:v>41883.729861111111</c:v>
                </c:pt>
                <c:pt idx="1052">
                  <c:v>41883.730555555558</c:v>
                </c:pt>
                <c:pt idx="1053">
                  <c:v>41883.731249999997</c:v>
                </c:pt>
                <c:pt idx="1054">
                  <c:v>41883.731944444444</c:v>
                </c:pt>
                <c:pt idx="1055">
                  <c:v>41883.732638888891</c:v>
                </c:pt>
                <c:pt idx="1056">
                  <c:v>41883.73333333333</c:v>
                </c:pt>
                <c:pt idx="1057">
                  <c:v>41883.734027777777</c:v>
                </c:pt>
                <c:pt idx="1058">
                  <c:v>41883.734722222223</c:v>
                </c:pt>
                <c:pt idx="1059">
                  <c:v>41883.73541666667</c:v>
                </c:pt>
                <c:pt idx="1060">
                  <c:v>41883.736111111109</c:v>
                </c:pt>
                <c:pt idx="1061">
                  <c:v>41883.736805555556</c:v>
                </c:pt>
                <c:pt idx="1062">
                  <c:v>41883.737500000003</c:v>
                </c:pt>
                <c:pt idx="1063">
                  <c:v>41883.738194444442</c:v>
                </c:pt>
                <c:pt idx="1064">
                  <c:v>41883.738888888889</c:v>
                </c:pt>
                <c:pt idx="1065">
                  <c:v>41883.739583333336</c:v>
                </c:pt>
                <c:pt idx="1066">
                  <c:v>41883.740277777775</c:v>
                </c:pt>
                <c:pt idx="1067">
                  <c:v>41883.740972222222</c:v>
                </c:pt>
                <c:pt idx="1068">
                  <c:v>41883.741666666669</c:v>
                </c:pt>
                <c:pt idx="1069">
                  <c:v>41883.742361111108</c:v>
                </c:pt>
                <c:pt idx="1070">
                  <c:v>41883.743055555555</c:v>
                </c:pt>
                <c:pt idx="1071">
                  <c:v>41883.743750000001</c:v>
                </c:pt>
                <c:pt idx="1072">
                  <c:v>41883.744444444441</c:v>
                </c:pt>
                <c:pt idx="1073">
                  <c:v>41883.745138888888</c:v>
                </c:pt>
                <c:pt idx="1074">
                  <c:v>41883.745833333334</c:v>
                </c:pt>
                <c:pt idx="1075">
                  <c:v>41883.746527777781</c:v>
                </c:pt>
                <c:pt idx="1076">
                  <c:v>41883.74722222222</c:v>
                </c:pt>
                <c:pt idx="1077">
                  <c:v>41883.747916666667</c:v>
                </c:pt>
                <c:pt idx="1078">
                  <c:v>41883.748611111114</c:v>
                </c:pt>
                <c:pt idx="1079">
                  <c:v>41883.749305555553</c:v>
                </c:pt>
                <c:pt idx="1080">
                  <c:v>41883.75</c:v>
                </c:pt>
                <c:pt idx="1081">
                  <c:v>41883.750694444447</c:v>
                </c:pt>
                <c:pt idx="1082">
                  <c:v>41883.751388888886</c:v>
                </c:pt>
                <c:pt idx="1083">
                  <c:v>41883.752083333333</c:v>
                </c:pt>
                <c:pt idx="1084">
                  <c:v>41883.75277777778</c:v>
                </c:pt>
                <c:pt idx="1085">
                  <c:v>41883.753472222219</c:v>
                </c:pt>
                <c:pt idx="1086">
                  <c:v>41883.754166666666</c:v>
                </c:pt>
                <c:pt idx="1087">
                  <c:v>41883.754861111112</c:v>
                </c:pt>
                <c:pt idx="1088">
                  <c:v>41883.755555555559</c:v>
                </c:pt>
                <c:pt idx="1089">
                  <c:v>41883.756249999999</c:v>
                </c:pt>
                <c:pt idx="1090">
                  <c:v>41883.756944444445</c:v>
                </c:pt>
                <c:pt idx="1091">
                  <c:v>41883.757638888892</c:v>
                </c:pt>
                <c:pt idx="1092">
                  <c:v>41883.758333333331</c:v>
                </c:pt>
                <c:pt idx="1093">
                  <c:v>41883.759027777778</c:v>
                </c:pt>
                <c:pt idx="1094">
                  <c:v>41883.759722222225</c:v>
                </c:pt>
                <c:pt idx="1095">
                  <c:v>41883.760416666664</c:v>
                </c:pt>
                <c:pt idx="1096">
                  <c:v>41883.761111111111</c:v>
                </c:pt>
                <c:pt idx="1097">
                  <c:v>41883.761805555558</c:v>
                </c:pt>
                <c:pt idx="1098">
                  <c:v>41883.762499999997</c:v>
                </c:pt>
                <c:pt idx="1099">
                  <c:v>41883.763194444444</c:v>
                </c:pt>
                <c:pt idx="1100">
                  <c:v>41883.763888888891</c:v>
                </c:pt>
                <c:pt idx="1101">
                  <c:v>41883.76458333333</c:v>
                </c:pt>
                <c:pt idx="1102">
                  <c:v>41883.765277777777</c:v>
                </c:pt>
                <c:pt idx="1103">
                  <c:v>41883.765972222223</c:v>
                </c:pt>
                <c:pt idx="1104">
                  <c:v>41883.76666666667</c:v>
                </c:pt>
                <c:pt idx="1105">
                  <c:v>41883.767361111109</c:v>
                </c:pt>
                <c:pt idx="1106">
                  <c:v>41883.768055555556</c:v>
                </c:pt>
                <c:pt idx="1107">
                  <c:v>41883.768750000003</c:v>
                </c:pt>
                <c:pt idx="1108">
                  <c:v>41883.769444444442</c:v>
                </c:pt>
                <c:pt idx="1109">
                  <c:v>41883.770138888889</c:v>
                </c:pt>
                <c:pt idx="1110">
                  <c:v>41883.770833333336</c:v>
                </c:pt>
                <c:pt idx="1111">
                  <c:v>41883.771527777775</c:v>
                </c:pt>
                <c:pt idx="1112">
                  <c:v>41883.772222222222</c:v>
                </c:pt>
                <c:pt idx="1113">
                  <c:v>41883.772916666669</c:v>
                </c:pt>
                <c:pt idx="1114">
                  <c:v>41883.773611111108</c:v>
                </c:pt>
                <c:pt idx="1115">
                  <c:v>41883.774305555555</c:v>
                </c:pt>
                <c:pt idx="1116">
                  <c:v>41883.775000000001</c:v>
                </c:pt>
                <c:pt idx="1117">
                  <c:v>41883.775694444441</c:v>
                </c:pt>
                <c:pt idx="1118">
                  <c:v>41883.776388888888</c:v>
                </c:pt>
                <c:pt idx="1119">
                  <c:v>41883.777083333334</c:v>
                </c:pt>
                <c:pt idx="1120">
                  <c:v>41883.777777777781</c:v>
                </c:pt>
                <c:pt idx="1121">
                  <c:v>41883.77847222222</c:v>
                </c:pt>
                <c:pt idx="1122">
                  <c:v>41883.779166666667</c:v>
                </c:pt>
                <c:pt idx="1123">
                  <c:v>41883.779861111114</c:v>
                </c:pt>
                <c:pt idx="1124">
                  <c:v>41883.780555555553</c:v>
                </c:pt>
                <c:pt idx="1125">
                  <c:v>41883.78125</c:v>
                </c:pt>
                <c:pt idx="1126">
                  <c:v>41883.781944444447</c:v>
                </c:pt>
                <c:pt idx="1127">
                  <c:v>41883.782638888886</c:v>
                </c:pt>
                <c:pt idx="1128">
                  <c:v>41883.783333333333</c:v>
                </c:pt>
                <c:pt idx="1129">
                  <c:v>41883.78402777778</c:v>
                </c:pt>
                <c:pt idx="1130">
                  <c:v>41883.784722222219</c:v>
                </c:pt>
                <c:pt idx="1131">
                  <c:v>41883.785416666666</c:v>
                </c:pt>
                <c:pt idx="1132">
                  <c:v>41883.786111111112</c:v>
                </c:pt>
                <c:pt idx="1133">
                  <c:v>41883.786805555559</c:v>
                </c:pt>
                <c:pt idx="1134">
                  <c:v>41883.787499999999</c:v>
                </c:pt>
                <c:pt idx="1135">
                  <c:v>41883.788194444445</c:v>
                </c:pt>
                <c:pt idx="1136">
                  <c:v>41883.788888888892</c:v>
                </c:pt>
                <c:pt idx="1137">
                  <c:v>41883.789583333331</c:v>
                </c:pt>
                <c:pt idx="1138">
                  <c:v>41883.790277777778</c:v>
                </c:pt>
                <c:pt idx="1139">
                  <c:v>41883.790972222225</c:v>
                </c:pt>
                <c:pt idx="1140">
                  <c:v>41883.791666666664</c:v>
                </c:pt>
                <c:pt idx="1141">
                  <c:v>41883.792361111111</c:v>
                </c:pt>
                <c:pt idx="1142">
                  <c:v>41883.793055555558</c:v>
                </c:pt>
                <c:pt idx="1143">
                  <c:v>41883.793749999997</c:v>
                </c:pt>
                <c:pt idx="1144">
                  <c:v>41883.794444444444</c:v>
                </c:pt>
                <c:pt idx="1145">
                  <c:v>41883.795138888891</c:v>
                </c:pt>
                <c:pt idx="1146">
                  <c:v>41883.79583333333</c:v>
                </c:pt>
                <c:pt idx="1147">
                  <c:v>41883.796527777777</c:v>
                </c:pt>
                <c:pt idx="1148">
                  <c:v>41883.797222222223</c:v>
                </c:pt>
                <c:pt idx="1149">
                  <c:v>41883.79791666667</c:v>
                </c:pt>
                <c:pt idx="1150">
                  <c:v>41883.798611111109</c:v>
                </c:pt>
                <c:pt idx="1151">
                  <c:v>41883.799305555556</c:v>
                </c:pt>
                <c:pt idx="1152">
                  <c:v>41883.800000000003</c:v>
                </c:pt>
                <c:pt idx="1153">
                  <c:v>41883.800694444442</c:v>
                </c:pt>
                <c:pt idx="1154">
                  <c:v>41883.801388888889</c:v>
                </c:pt>
                <c:pt idx="1155">
                  <c:v>41883.802083333336</c:v>
                </c:pt>
                <c:pt idx="1156">
                  <c:v>41883.802777777775</c:v>
                </c:pt>
                <c:pt idx="1157">
                  <c:v>41883.803472222222</c:v>
                </c:pt>
                <c:pt idx="1158">
                  <c:v>41883.804166666669</c:v>
                </c:pt>
                <c:pt idx="1159">
                  <c:v>41883.804861111108</c:v>
                </c:pt>
                <c:pt idx="1160">
                  <c:v>41883.805555555555</c:v>
                </c:pt>
                <c:pt idx="1161">
                  <c:v>41883.806250000001</c:v>
                </c:pt>
                <c:pt idx="1162">
                  <c:v>41883.806944444441</c:v>
                </c:pt>
                <c:pt idx="1163">
                  <c:v>41883.807638888888</c:v>
                </c:pt>
                <c:pt idx="1164">
                  <c:v>41883.808333333334</c:v>
                </c:pt>
                <c:pt idx="1165">
                  <c:v>41883.809027777781</c:v>
                </c:pt>
                <c:pt idx="1166">
                  <c:v>41883.80972222222</c:v>
                </c:pt>
                <c:pt idx="1167">
                  <c:v>41883.810416666667</c:v>
                </c:pt>
                <c:pt idx="1168">
                  <c:v>41883.811111111114</c:v>
                </c:pt>
                <c:pt idx="1169">
                  <c:v>41883.811805555553</c:v>
                </c:pt>
                <c:pt idx="1170">
                  <c:v>41883.8125</c:v>
                </c:pt>
                <c:pt idx="1171">
                  <c:v>41883.813194444447</c:v>
                </c:pt>
                <c:pt idx="1172">
                  <c:v>41883.813888888886</c:v>
                </c:pt>
                <c:pt idx="1173">
                  <c:v>41883.814583333333</c:v>
                </c:pt>
                <c:pt idx="1174">
                  <c:v>41883.81527777778</c:v>
                </c:pt>
                <c:pt idx="1175">
                  <c:v>41883.815972222219</c:v>
                </c:pt>
                <c:pt idx="1176">
                  <c:v>41883.816666666666</c:v>
                </c:pt>
                <c:pt idx="1177">
                  <c:v>41883.817361111112</c:v>
                </c:pt>
                <c:pt idx="1178">
                  <c:v>41883.818055555559</c:v>
                </c:pt>
                <c:pt idx="1179">
                  <c:v>41883.818749999999</c:v>
                </c:pt>
                <c:pt idx="1180">
                  <c:v>41883.819444444445</c:v>
                </c:pt>
                <c:pt idx="1181">
                  <c:v>41883.820138888892</c:v>
                </c:pt>
                <c:pt idx="1182">
                  <c:v>41883.820833333331</c:v>
                </c:pt>
                <c:pt idx="1183">
                  <c:v>41883.821527777778</c:v>
                </c:pt>
                <c:pt idx="1184">
                  <c:v>41883.822222222225</c:v>
                </c:pt>
                <c:pt idx="1185">
                  <c:v>41883.822916666664</c:v>
                </c:pt>
                <c:pt idx="1186">
                  <c:v>41883.823611111111</c:v>
                </c:pt>
                <c:pt idx="1187">
                  <c:v>41883.824305555558</c:v>
                </c:pt>
                <c:pt idx="1188">
                  <c:v>41883.824999999997</c:v>
                </c:pt>
                <c:pt idx="1189">
                  <c:v>41883.825694444444</c:v>
                </c:pt>
                <c:pt idx="1190">
                  <c:v>41883.826388888891</c:v>
                </c:pt>
                <c:pt idx="1191">
                  <c:v>41883.82708333333</c:v>
                </c:pt>
                <c:pt idx="1192">
                  <c:v>41883.827777777777</c:v>
                </c:pt>
                <c:pt idx="1193">
                  <c:v>41883.828472222223</c:v>
                </c:pt>
                <c:pt idx="1194">
                  <c:v>41883.82916666667</c:v>
                </c:pt>
                <c:pt idx="1195">
                  <c:v>41883.829861111109</c:v>
                </c:pt>
                <c:pt idx="1196">
                  <c:v>41883.830555555556</c:v>
                </c:pt>
                <c:pt idx="1197">
                  <c:v>41883.831250000003</c:v>
                </c:pt>
                <c:pt idx="1198">
                  <c:v>41883.831944444442</c:v>
                </c:pt>
                <c:pt idx="1199">
                  <c:v>41883.832638888889</c:v>
                </c:pt>
                <c:pt idx="1200">
                  <c:v>41883.833333333336</c:v>
                </c:pt>
                <c:pt idx="1201">
                  <c:v>41883.834027777775</c:v>
                </c:pt>
                <c:pt idx="1202">
                  <c:v>41883.834722222222</c:v>
                </c:pt>
                <c:pt idx="1203">
                  <c:v>41883.835416666669</c:v>
                </c:pt>
                <c:pt idx="1204">
                  <c:v>41883.836111111108</c:v>
                </c:pt>
                <c:pt idx="1205">
                  <c:v>41883.836805555555</c:v>
                </c:pt>
                <c:pt idx="1206">
                  <c:v>41883.837500000001</c:v>
                </c:pt>
                <c:pt idx="1207">
                  <c:v>41883.838194444441</c:v>
                </c:pt>
                <c:pt idx="1208">
                  <c:v>41883.838888888888</c:v>
                </c:pt>
                <c:pt idx="1209">
                  <c:v>41883.839583333334</c:v>
                </c:pt>
                <c:pt idx="1210">
                  <c:v>41883.840277777781</c:v>
                </c:pt>
                <c:pt idx="1211">
                  <c:v>41883.84097222222</c:v>
                </c:pt>
                <c:pt idx="1212">
                  <c:v>41883.841666666667</c:v>
                </c:pt>
                <c:pt idx="1213">
                  <c:v>41883.842361111114</c:v>
                </c:pt>
                <c:pt idx="1214">
                  <c:v>41883.843055555553</c:v>
                </c:pt>
                <c:pt idx="1215">
                  <c:v>41883.84375</c:v>
                </c:pt>
                <c:pt idx="1216">
                  <c:v>41883.844444444447</c:v>
                </c:pt>
                <c:pt idx="1217">
                  <c:v>41883.845138888886</c:v>
                </c:pt>
                <c:pt idx="1218">
                  <c:v>41883.845833333333</c:v>
                </c:pt>
                <c:pt idx="1219">
                  <c:v>41883.84652777778</c:v>
                </c:pt>
                <c:pt idx="1220">
                  <c:v>41883.847222222219</c:v>
                </c:pt>
                <c:pt idx="1221">
                  <c:v>41883.847916666666</c:v>
                </c:pt>
                <c:pt idx="1222">
                  <c:v>41883.848611111112</c:v>
                </c:pt>
                <c:pt idx="1223">
                  <c:v>41883.849305555559</c:v>
                </c:pt>
                <c:pt idx="1224">
                  <c:v>41883.85</c:v>
                </c:pt>
                <c:pt idx="1225">
                  <c:v>41883.850694444445</c:v>
                </c:pt>
                <c:pt idx="1226">
                  <c:v>41883.851388888892</c:v>
                </c:pt>
                <c:pt idx="1227">
                  <c:v>41883.852083333331</c:v>
                </c:pt>
                <c:pt idx="1228">
                  <c:v>41883.852777777778</c:v>
                </c:pt>
                <c:pt idx="1229">
                  <c:v>41883.853472222225</c:v>
                </c:pt>
                <c:pt idx="1230">
                  <c:v>41883.854166666664</c:v>
                </c:pt>
                <c:pt idx="1231">
                  <c:v>41883.854861111111</c:v>
                </c:pt>
                <c:pt idx="1232">
                  <c:v>41883.855555555558</c:v>
                </c:pt>
                <c:pt idx="1233">
                  <c:v>41883.856249999997</c:v>
                </c:pt>
                <c:pt idx="1234">
                  <c:v>41883.856944444444</c:v>
                </c:pt>
                <c:pt idx="1235">
                  <c:v>41883.857638888891</c:v>
                </c:pt>
                <c:pt idx="1236">
                  <c:v>41883.85833333333</c:v>
                </c:pt>
                <c:pt idx="1237">
                  <c:v>41883.859027777777</c:v>
                </c:pt>
                <c:pt idx="1238">
                  <c:v>41883.859722222223</c:v>
                </c:pt>
                <c:pt idx="1239">
                  <c:v>41883.86041666667</c:v>
                </c:pt>
                <c:pt idx="1240">
                  <c:v>41883.861111111109</c:v>
                </c:pt>
                <c:pt idx="1241">
                  <c:v>41883.861805555556</c:v>
                </c:pt>
                <c:pt idx="1242">
                  <c:v>41883.862500000003</c:v>
                </c:pt>
                <c:pt idx="1243">
                  <c:v>41883.863194444442</c:v>
                </c:pt>
                <c:pt idx="1244">
                  <c:v>41883.863888888889</c:v>
                </c:pt>
                <c:pt idx="1245">
                  <c:v>41883.864583333336</c:v>
                </c:pt>
                <c:pt idx="1246">
                  <c:v>41883.865277777775</c:v>
                </c:pt>
                <c:pt idx="1247">
                  <c:v>41883.865972222222</c:v>
                </c:pt>
                <c:pt idx="1248">
                  <c:v>41883.866666666669</c:v>
                </c:pt>
                <c:pt idx="1249">
                  <c:v>41883.867361111108</c:v>
                </c:pt>
                <c:pt idx="1250">
                  <c:v>41883.868055555555</c:v>
                </c:pt>
                <c:pt idx="1251">
                  <c:v>41883.868750000001</c:v>
                </c:pt>
                <c:pt idx="1252">
                  <c:v>41883.869444444441</c:v>
                </c:pt>
                <c:pt idx="1253">
                  <c:v>41883.870138888888</c:v>
                </c:pt>
                <c:pt idx="1254">
                  <c:v>41883.870833333334</c:v>
                </c:pt>
                <c:pt idx="1255">
                  <c:v>41883.871527777781</c:v>
                </c:pt>
                <c:pt idx="1256">
                  <c:v>41883.87222222222</c:v>
                </c:pt>
                <c:pt idx="1257">
                  <c:v>41883.872916666667</c:v>
                </c:pt>
                <c:pt idx="1258">
                  <c:v>41883.873611111114</c:v>
                </c:pt>
                <c:pt idx="1259">
                  <c:v>41883.874305555553</c:v>
                </c:pt>
                <c:pt idx="1260">
                  <c:v>41883.875</c:v>
                </c:pt>
                <c:pt idx="1261">
                  <c:v>41883.875694444447</c:v>
                </c:pt>
                <c:pt idx="1262">
                  <c:v>41883.876388888886</c:v>
                </c:pt>
                <c:pt idx="1263">
                  <c:v>41883.877083333333</c:v>
                </c:pt>
                <c:pt idx="1264">
                  <c:v>41883.87777777778</c:v>
                </c:pt>
                <c:pt idx="1265">
                  <c:v>41883.878472222219</c:v>
                </c:pt>
                <c:pt idx="1266">
                  <c:v>41883.879166666666</c:v>
                </c:pt>
                <c:pt idx="1267">
                  <c:v>41883.879861111112</c:v>
                </c:pt>
                <c:pt idx="1268">
                  <c:v>41883.880555555559</c:v>
                </c:pt>
                <c:pt idx="1269">
                  <c:v>41883.881249999999</c:v>
                </c:pt>
                <c:pt idx="1270">
                  <c:v>41883.881944444445</c:v>
                </c:pt>
                <c:pt idx="1271">
                  <c:v>41883.882638888892</c:v>
                </c:pt>
                <c:pt idx="1272">
                  <c:v>41883.883333333331</c:v>
                </c:pt>
                <c:pt idx="1273">
                  <c:v>41883.884027777778</c:v>
                </c:pt>
                <c:pt idx="1274">
                  <c:v>41883.884722222225</c:v>
                </c:pt>
                <c:pt idx="1275">
                  <c:v>41883.885416666664</c:v>
                </c:pt>
                <c:pt idx="1276">
                  <c:v>41883.886111111111</c:v>
                </c:pt>
                <c:pt idx="1277">
                  <c:v>41883.886805555558</c:v>
                </c:pt>
                <c:pt idx="1278">
                  <c:v>41883.887499999997</c:v>
                </c:pt>
                <c:pt idx="1279">
                  <c:v>41883.888194444444</c:v>
                </c:pt>
                <c:pt idx="1280">
                  <c:v>41883.888888888891</c:v>
                </c:pt>
                <c:pt idx="1281">
                  <c:v>41883.88958333333</c:v>
                </c:pt>
                <c:pt idx="1282">
                  <c:v>41883.890277777777</c:v>
                </c:pt>
                <c:pt idx="1283">
                  <c:v>41883.890972222223</c:v>
                </c:pt>
                <c:pt idx="1284">
                  <c:v>41883.89166666667</c:v>
                </c:pt>
                <c:pt idx="1285">
                  <c:v>41883.892361111109</c:v>
                </c:pt>
                <c:pt idx="1286">
                  <c:v>41883.893055555556</c:v>
                </c:pt>
                <c:pt idx="1287">
                  <c:v>41883.893750000003</c:v>
                </c:pt>
                <c:pt idx="1288">
                  <c:v>41883.894444444442</c:v>
                </c:pt>
                <c:pt idx="1289">
                  <c:v>41883.895138888889</c:v>
                </c:pt>
                <c:pt idx="1290">
                  <c:v>41883.895833333336</c:v>
                </c:pt>
                <c:pt idx="1291">
                  <c:v>41883.896527777775</c:v>
                </c:pt>
                <c:pt idx="1292">
                  <c:v>41883.897222222222</c:v>
                </c:pt>
                <c:pt idx="1293">
                  <c:v>41883.897916666669</c:v>
                </c:pt>
                <c:pt idx="1294">
                  <c:v>41883.898611111108</c:v>
                </c:pt>
                <c:pt idx="1295">
                  <c:v>41883.899305555555</c:v>
                </c:pt>
                <c:pt idx="1296">
                  <c:v>41883.9</c:v>
                </c:pt>
                <c:pt idx="1297">
                  <c:v>41883.900694444441</c:v>
                </c:pt>
                <c:pt idx="1298">
                  <c:v>41883.901388888888</c:v>
                </c:pt>
                <c:pt idx="1299">
                  <c:v>41883.902083333334</c:v>
                </c:pt>
                <c:pt idx="1300">
                  <c:v>41883.902777777781</c:v>
                </c:pt>
                <c:pt idx="1301">
                  <c:v>41883.90347222222</c:v>
                </c:pt>
                <c:pt idx="1302">
                  <c:v>41883.904166666667</c:v>
                </c:pt>
                <c:pt idx="1303">
                  <c:v>41883.904861111114</c:v>
                </c:pt>
                <c:pt idx="1304">
                  <c:v>41883.905555555553</c:v>
                </c:pt>
                <c:pt idx="1305">
                  <c:v>41883.90625</c:v>
                </c:pt>
                <c:pt idx="1306">
                  <c:v>41883.906944444447</c:v>
                </c:pt>
                <c:pt idx="1307">
                  <c:v>41883.907638888886</c:v>
                </c:pt>
                <c:pt idx="1308">
                  <c:v>41883.908333333333</c:v>
                </c:pt>
                <c:pt idx="1309">
                  <c:v>41883.90902777778</c:v>
                </c:pt>
                <c:pt idx="1310">
                  <c:v>41883.909722222219</c:v>
                </c:pt>
                <c:pt idx="1311">
                  <c:v>41883.910416666666</c:v>
                </c:pt>
                <c:pt idx="1312">
                  <c:v>41883.911111111112</c:v>
                </c:pt>
                <c:pt idx="1313">
                  <c:v>41883.911805555559</c:v>
                </c:pt>
                <c:pt idx="1314">
                  <c:v>41883.912499999999</c:v>
                </c:pt>
                <c:pt idx="1315">
                  <c:v>41883.913194444445</c:v>
                </c:pt>
                <c:pt idx="1316">
                  <c:v>41883.913888888892</c:v>
                </c:pt>
                <c:pt idx="1317">
                  <c:v>41883.914583333331</c:v>
                </c:pt>
                <c:pt idx="1318">
                  <c:v>41883.915277777778</c:v>
                </c:pt>
                <c:pt idx="1319">
                  <c:v>41883.915972222225</c:v>
                </c:pt>
                <c:pt idx="1320">
                  <c:v>41883.916666666664</c:v>
                </c:pt>
                <c:pt idx="1321">
                  <c:v>41883.917361111111</c:v>
                </c:pt>
                <c:pt idx="1322">
                  <c:v>41883.918055555558</c:v>
                </c:pt>
                <c:pt idx="1323">
                  <c:v>41883.918749999997</c:v>
                </c:pt>
                <c:pt idx="1324">
                  <c:v>41883.919444444444</c:v>
                </c:pt>
                <c:pt idx="1325">
                  <c:v>41883.920138888891</c:v>
                </c:pt>
                <c:pt idx="1326">
                  <c:v>41883.92083333333</c:v>
                </c:pt>
                <c:pt idx="1327">
                  <c:v>41883.921527777777</c:v>
                </c:pt>
                <c:pt idx="1328">
                  <c:v>41883.922222222223</c:v>
                </c:pt>
                <c:pt idx="1329">
                  <c:v>41883.92291666667</c:v>
                </c:pt>
                <c:pt idx="1330">
                  <c:v>41883.923611111109</c:v>
                </c:pt>
                <c:pt idx="1331">
                  <c:v>41883.924305555556</c:v>
                </c:pt>
                <c:pt idx="1332">
                  <c:v>41883.925000000003</c:v>
                </c:pt>
                <c:pt idx="1333">
                  <c:v>41883.925694444442</c:v>
                </c:pt>
                <c:pt idx="1334">
                  <c:v>41883.926388888889</c:v>
                </c:pt>
                <c:pt idx="1335">
                  <c:v>41883.927083333336</c:v>
                </c:pt>
                <c:pt idx="1336">
                  <c:v>41883.927777777775</c:v>
                </c:pt>
                <c:pt idx="1337">
                  <c:v>41883.928472222222</c:v>
                </c:pt>
                <c:pt idx="1338">
                  <c:v>41883.929166666669</c:v>
                </c:pt>
                <c:pt idx="1339">
                  <c:v>41883.929861111108</c:v>
                </c:pt>
                <c:pt idx="1340">
                  <c:v>41883.930555555555</c:v>
                </c:pt>
                <c:pt idx="1341">
                  <c:v>41883.931250000001</c:v>
                </c:pt>
                <c:pt idx="1342">
                  <c:v>41883.931944444441</c:v>
                </c:pt>
                <c:pt idx="1343">
                  <c:v>41883.932638888888</c:v>
                </c:pt>
                <c:pt idx="1344">
                  <c:v>41883.933333333334</c:v>
                </c:pt>
                <c:pt idx="1345">
                  <c:v>41883.934027777781</c:v>
                </c:pt>
                <c:pt idx="1346">
                  <c:v>41883.93472222222</c:v>
                </c:pt>
                <c:pt idx="1347">
                  <c:v>41883.935416666667</c:v>
                </c:pt>
                <c:pt idx="1348">
                  <c:v>41883.936111111114</c:v>
                </c:pt>
                <c:pt idx="1349">
                  <c:v>41883.936805555553</c:v>
                </c:pt>
                <c:pt idx="1350">
                  <c:v>41883.9375</c:v>
                </c:pt>
                <c:pt idx="1351">
                  <c:v>41883.938194444447</c:v>
                </c:pt>
                <c:pt idx="1352">
                  <c:v>41883.938888888886</c:v>
                </c:pt>
                <c:pt idx="1353">
                  <c:v>41883.939583333333</c:v>
                </c:pt>
                <c:pt idx="1354">
                  <c:v>41883.94027777778</c:v>
                </c:pt>
                <c:pt idx="1355">
                  <c:v>41883.940972222219</c:v>
                </c:pt>
                <c:pt idx="1356">
                  <c:v>41883.941666666666</c:v>
                </c:pt>
                <c:pt idx="1357">
                  <c:v>41883.942361111112</c:v>
                </c:pt>
                <c:pt idx="1358">
                  <c:v>41883.943055555559</c:v>
                </c:pt>
                <c:pt idx="1359">
                  <c:v>41883.943749999999</c:v>
                </c:pt>
                <c:pt idx="1360">
                  <c:v>41883.944444444445</c:v>
                </c:pt>
                <c:pt idx="1361">
                  <c:v>41883.945138888892</c:v>
                </c:pt>
                <c:pt idx="1362">
                  <c:v>41883.945833333331</c:v>
                </c:pt>
                <c:pt idx="1363">
                  <c:v>41883.946527777778</c:v>
                </c:pt>
                <c:pt idx="1364">
                  <c:v>41883.947222222225</c:v>
                </c:pt>
                <c:pt idx="1365">
                  <c:v>41883.947916666664</c:v>
                </c:pt>
                <c:pt idx="1366">
                  <c:v>41883.948611111111</c:v>
                </c:pt>
                <c:pt idx="1367">
                  <c:v>41883.949305555558</c:v>
                </c:pt>
                <c:pt idx="1368">
                  <c:v>41883.949999999997</c:v>
                </c:pt>
                <c:pt idx="1369">
                  <c:v>41883.950694444444</c:v>
                </c:pt>
                <c:pt idx="1370">
                  <c:v>41883.951388888891</c:v>
                </c:pt>
                <c:pt idx="1371">
                  <c:v>41883.95208333333</c:v>
                </c:pt>
                <c:pt idx="1372">
                  <c:v>41883.952777777777</c:v>
                </c:pt>
                <c:pt idx="1373">
                  <c:v>41883.953472222223</c:v>
                </c:pt>
                <c:pt idx="1374">
                  <c:v>41883.95416666667</c:v>
                </c:pt>
                <c:pt idx="1375">
                  <c:v>41883.954861111109</c:v>
                </c:pt>
                <c:pt idx="1376">
                  <c:v>41883.955555555556</c:v>
                </c:pt>
                <c:pt idx="1377">
                  <c:v>41883.956250000003</c:v>
                </c:pt>
                <c:pt idx="1378">
                  <c:v>41883.956944444442</c:v>
                </c:pt>
                <c:pt idx="1379">
                  <c:v>41883.957638888889</c:v>
                </c:pt>
                <c:pt idx="1380">
                  <c:v>41883.958333333336</c:v>
                </c:pt>
                <c:pt idx="1381">
                  <c:v>41883.959027777775</c:v>
                </c:pt>
                <c:pt idx="1382">
                  <c:v>41883.959722222222</c:v>
                </c:pt>
                <c:pt idx="1383">
                  <c:v>41883.960416666669</c:v>
                </c:pt>
                <c:pt idx="1384">
                  <c:v>41883.961111111108</c:v>
                </c:pt>
                <c:pt idx="1385">
                  <c:v>41883.961805555555</c:v>
                </c:pt>
                <c:pt idx="1386">
                  <c:v>41883.962500000001</c:v>
                </c:pt>
                <c:pt idx="1387">
                  <c:v>41883.963194444441</c:v>
                </c:pt>
                <c:pt idx="1388">
                  <c:v>41883.963888888888</c:v>
                </c:pt>
                <c:pt idx="1389">
                  <c:v>41883.964583333334</c:v>
                </c:pt>
                <c:pt idx="1390">
                  <c:v>41883.965277777781</c:v>
                </c:pt>
                <c:pt idx="1391">
                  <c:v>41883.96597222222</c:v>
                </c:pt>
                <c:pt idx="1392">
                  <c:v>41883.966666666667</c:v>
                </c:pt>
                <c:pt idx="1393">
                  <c:v>41883.967361111114</c:v>
                </c:pt>
                <c:pt idx="1394">
                  <c:v>41883.968055555553</c:v>
                </c:pt>
                <c:pt idx="1395">
                  <c:v>41883.96875</c:v>
                </c:pt>
                <c:pt idx="1396">
                  <c:v>41883.969444444447</c:v>
                </c:pt>
                <c:pt idx="1397">
                  <c:v>41883.970138888886</c:v>
                </c:pt>
                <c:pt idx="1398">
                  <c:v>41883.970833333333</c:v>
                </c:pt>
                <c:pt idx="1399">
                  <c:v>41883.97152777778</c:v>
                </c:pt>
                <c:pt idx="1400">
                  <c:v>41883.972222222219</c:v>
                </c:pt>
                <c:pt idx="1401">
                  <c:v>41883.972916666666</c:v>
                </c:pt>
                <c:pt idx="1402">
                  <c:v>41883.973611111112</c:v>
                </c:pt>
                <c:pt idx="1403">
                  <c:v>41883.974305555559</c:v>
                </c:pt>
                <c:pt idx="1404">
                  <c:v>41883.974999999999</c:v>
                </c:pt>
                <c:pt idx="1405">
                  <c:v>41883.975694444445</c:v>
                </c:pt>
                <c:pt idx="1406">
                  <c:v>41883.976388888892</c:v>
                </c:pt>
                <c:pt idx="1407">
                  <c:v>41883.977083333331</c:v>
                </c:pt>
                <c:pt idx="1408">
                  <c:v>41883.977777777778</c:v>
                </c:pt>
                <c:pt idx="1409">
                  <c:v>41883.978472222225</c:v>
                </c:pt>
                <c:pt idx="1410">
                  <c:v>41883.979166666664</c:v>
                </c:pt>
                <c:pt idx="1411">
                  <c:v>41883.979861111111</c:v>
                </c:pt>
                <c:pt idx="1412">
                  <c:v>41883.980555555558</c:v>
                </c:pt>
                <c:pt idx="1413">
                  <c:v>41883.981249999997</c:v>
                </c:pt>
                <c:pt idx="1414">
                  <c:v>41883.981944444444</c:v>
                </c:pt>
                <c:pt idx="1415">
                  <c:v>41883.982638888891</c:v>
                </c:pt>
                <c:pt idx="1416">
                  <c:v>41883.98333333333</c:v>
                </c:pt>
                <c:pt idx="1417">
                  <c:v>41883.984027777777</c:v>
                </c:pt>
                <c:pt idx="1418">
                  <c:v>41883.984722222223</c:v>
                </c:pt>
                <c:pt idx="1419">
                  <c:v>41883.98541666667</c:v>
                </c:pt>
                <c:pt idx="1420">
                  <c:v>41883.986111111109</c:v>
                </c:pt>
                <c:pt idx="1421">
                  <c:v>41883.986805555556</c:v>
                </c:pt>
                <c:pt idx="1422">
                  <c:v>41883.987500000003</c:v>
                </c:pt>
                <c:pt idx="1423">
                  <c:v>41883.988194444442</c:v>
                </c:pt>
                <c:pt idx="1424">
                  <c:v>41883.988888888889</c:v>
                </c:pt>
                <c:pt idx="1425">
                  <c:v>41883.989583333336</c:v>
                </c:pt>
                <c:pt idx="1426">
                  <c:v>41883.990277777775</c:v>
                </c:pt>
                <c:pt idx="1427">
                  <c:v>41883.990972222222</c:v>
                </c:pt>
                <c:pt idx="1428">
                  <c:v>41883.991666666669</c:v>
                </c:pt>
                <c:pt idx="1429">
                  <c:v>41883.992361111108</c:v>
                </c:pt>
                <c:pt idx="1430">
                  <c:v>41883.993055555555</c:v>
                </c:pt>
                <c:pt idx="1431">
                  <c:v>41883.993750000001</c:v>
                </c:pt>
                <c:pt idx="1432">
                  <c:v>41883.994444444441</c:v>
                </c:pt>
                <c:pt idx="1433">
                  <c:v>41883.995138888888</c:v>
                </c:pt>
                <c:pt idx="1434">
                  <c:v>41883.995833333334</c:v>
                </c:pt>
                <c:pt idx="1435">
                  <c:v>41883.996527777781</c:v>
                </c:pt>
                <c:pt idx="1436">
                  <c:v>41883.99722222222</c:v>
                </c:pt>
                <c:pt idx="1437">
                  <c:v>41883.997916666667</c:v>
                </c:pt>
                <c:pt idx="1438">
                  <c:v>41883.998611111114</c:v>
                </c:pt>
                <c:pt idx="1439">
                  <c:v>41883.999305555553</c:v>
                </c:pt>
              </c:numCache>
            </c:numRef>
          </c:xVal>
          <c:yVal>
            <c:numRef>
              <c:f>Sheet1!$D$2:$D$1441</c:f>
              <c:numCache>
                <c:formatCode>General</c:formatCode>
                <c:ptCount val="1440"/>
                <c:pt idx="0">
                  <c:v>15.95</c:v>
                </c:pt>
                <c:pt idx="1">
                  <c:v>9.2200000000000006</c:v>
                </c:pt>
                <c:pt idx="2">
                  <c:v>2.4900000000000002</c:v>
                </c:pt>
                <c:pt idx="3">
                  <c:v>2.82</c:v>
                </c:pt>
                <c:pt idx="4">
                  <c:v>3.15</c:v>
                </c:pt>
                <c:pt idx="5">
                  <c:v>0.82</c:v>
                </c:pt>
                <c:pt idx="6">
                  <c:v>0</c:v>
                </c:pt>
                <c:pt idx="7">
                  <c:v>1.67</c:v>
                </c:pt>
                <c:pt idx="8">
                  <c:v>5.45</c:v>
                </c:pt>
                <c:pt idx="9">
                  <c:v>4.46</c:v>
                </c:pt>
                <c:pt idx="10">
                  <c:v>3.48</c:v>
                </c:pt>
                <c:pt idx="11">
                  <c:v>4.95</c:v>
                </c:pt>
                <c:pt idx="12">
                  <c:v>6.43</c:v>
                </c:pt>
                <c:pt idx="13">
                  <c:v>31.05</c:v>
                </c:pt>
                <c:pt idx="14">
                  <c:v>55.67</c:v>
                </c:pt>
                <c:pt idx="15">
                  <c:v>29.74</c:v>
                </c:pt>
                <c:pt idx="16">
                  <c:v>3.81</c:v>
                </c:pt>
                <c:pt idx="17">
                  <c:v>3.48</c:v>
                </c:pt>
                <c:pt idx="18">
                  <c:v>3.15</c:v>
                </c:pt>
                <c:pt idx="19">
                  <c:v>3.64</c:v>
                </c:pt>
                <c:pt idx="20">
                  <c:v>4.13</c:v>
                </c:pt>
                <c:pt idx="21">
                  <c:v>42.38</c:v>
                </c:pt>
                <c:pt idx="22">
                  <c:v>80.62</c:v>
                </c:pt>
                <c:pt idx="23">
                  <c:v>41.89</c:v>
                </c:pt>
                <c:pt idx="24">
                  <c:v>3.15</c:v>
                </c:pt>
                <c:pt idx="25">
                  <c:v>3.15</c:v>
                </c:pt>
                <c:pt idx="26">
                  <c:v>3.15</c:v>
                </c:pt>
                <c:pt idx="27">
                  <c:v>2.82</c:v>
                </c:pt>
                <c:pt idx="28">
                  <c:v>2.4900000000000002</c:v>
                </c:pt>
                <c:pt idx="29">
                  <c:v>3.15</c:v>
                </c:pt>
                <c:pt idx="30">
                  <c:v>3.81</c:v>
                </c:pt>
                <c:pt idx="31">
                  <c:v>3.28</c:v>
                </c:pt>
                <c:pt idx="32">
                  <c:v>4.2699999999999996</c:v>
                </c:pt>
                <c:pt idx="33">
                  <c:v>2.79</c:v>
                </c:pt>
                <c:pt idx="34">
                  <c:v>2.82</c:v>
                </c:pt>
                <c:pt idx="35">
                  <c:v>33.020000000000003</c:v>
                </c:pt>
                <c:pt idx="36">
                  <c:v>63.22</c:v>
                </c:pt>
                <c:pt idx="37">
                  <c:v>33.19</c:v>
                </c:pt>
                <c:pt idx="38">
                  <c:v>3.15</c:v>
                </c:pt>
                <c:pt idx="39">
                  <c:v>2.4900000000000002</c:v>
                </c:pt>
                <c:pt idx="40">
                  <c:v>1.84</c:v>
                </c:pt>
                <c:pt idx="41">
                  <c:v>2.16</c:v>
                </c:pt>
                <c:pt idx="42">
                  <c:v>2.4900000000000002</c:v>
                </c:pt>
                <c:pt idx="43">
                  <c:v>2.33</c:v>
                </c:pt>
                <c:pt idx="44">
                  <c:v>2.16</c:v>
                </c:pt>
                <c:pt idx="45">
                  <c:v>10.039999999999999</c:v>
                </c:pt>
                <c:pt idx="46">
                  <c:v>17.920000000000002</c:v>
                </c:pt>
                <c:pt idx="47">
                  <c:v>11.36</c:v>
                </c:pt>
                <c:pt idx="48">
                  <c:v>4.79</c:v>
                </c:pt>
                <c:pt idx="49">
                  <c:v>3.81</c:v>
                </c:pt>
                <c:pt idx="50">
                  <c:v>2.82</c:v>
                </c:pt>
                <c:pt idx="51">
                  <c:v>2.66</c:v>
                </c:pt>
                <c:pt idx="52">
                  <c:v>2.4900000000000002</c:v>
                </c:pt>
                <c:pt idx="53">
                  <c:v>2.66</c:v>
                </c:pt>
                <c:pt idx="54">
                  <c:v>2.82</c:v>
                </c:pt>
                <c:pt idx="55">
                  <c:v>4.13</c:v>
                </c:pt>
                <c:pt idx="56">
                  <c:v>5.45</c:v>
                </c:pt>
                <c:pt idx="57">
                  <c:v>4.13</c:v>
                </c:pt>
                <c:pt idx="58">
                  <c:v>2.82</c:v>
                </c:pt>
                <c:pt idx="59">
                  <c:v>2.66</c:v>
                </c:pt>
                <c:pt idx="60">
                  <c:v>2.4900000000000002</c:v>
                </c:pt>
                <c:pt idx="61">
                  <c:v>2.82</c:v>
                </c:pt>
                <c:pt idx="62">
                  <c:v>3.15</c:v>
                </c:pt>
                <c:pt idx="63">
                  <c:v>2.82</c:v>
                </c:pt>
                <c:pt idx="64">
                  <c:v>2.4900000000000002</c:v>
                </c:pt>
                <c:pt idx="65">
                  <c:v>34.33</c:v>
                </c:pt>
                <c:pt idx="66">
                  <c:v>66.180000000000007</c:v>
                </c:pt>
                <c:pt idx="67">
                  <c:v>36.630000000000003</c:v>
                </c:pt>
                <c:pt idx="68">
                  <c:v>7.09</c:v>
                </c:pt>
                <c:pt idx="69">
                  <c:v>4.79</c:v>
                </c:pt>
                <c:pt idx="70">
                  <c:v>2.4900000000000002</c:v>
                </c:pt>
                <c:pt idx="71">
                  <c:v>2.4900000000000002</c:v>
                </c:pt>
                <c:pt idx="72">
                  <c:v>2.4900000000000002</c:v>
                </c:pt>
                <c:pt idx="73">
                  <c:v>2.4900000000000002</c:v>
                </c:pt>
                <c:pt idx="74">
                  <c:v>2.4900000000000002</c:v>
                </c:pt>
                <c:pt idx="75">
                  <c:v>2.16</c:v>
                </c:pt>
                <c:pt idx="76">
                  <c:v>1.84</c:v>
                </c:pt>
                <c:pt idx="77">
                  <c:v>2.66</c:v>
                </c:pt>
                <c:pt idx="78">
                  <c:v>3.48</c:v>
                </c:pt>
                <c:pt idx="79">
                  <c:v>2.98</c:v>
                </c:pt>
                <c:pt idx="80">
                  <c:v>2.4900000000000002</c:v>
                </c:pt>
                <c:pt idx="81">
                  <c:v>7.42</c:v>
                </c:pt>
                <c:pt idx="82">
                  <c:v>12.34</c:v>
                </c:pt>
                <c:pt idx="83">
                  <c:v>8.07</c:v>
                </c:pt>
                <c:pt idx="84">
                  <c:v>3.81</c:v>
                </c:pt>
                <c:pt idx="85">
                  <c:v>24.49</c:v>
                </c:pt>
                <c:pt idx="86">
                  <c:v>45.17</c:v>
                </c:pt>
                <c:pt idx="87">
                  <c:v>23.5</c:v>
                </c:pt>
                <c:pt idx="88">
                  <c:v>1.84</c:v>
                </c:pt>
                <c:pt idx="89">
                  <c:v>2.16</c:v>
                </c:pt>
                <c:pt idx="90">
                  <c:v>2.4900000000000002</c:v>
                </c:pt>
                <c:pt idx="91">
                  <c:v>2.66</c:v>
                </c:pt>
                <c:pt idx="92">
                  <c:v>2.82</c:v>
                </c:pt>
                <c:pt idx="93">
                  <c:v>2.66</c:v>
                </c:pt>
                <c:pt idx="94">
                  <c:v>2.4900000000000002</c:v>
                </c:pt>
                <c:pt idx="95">
                  <c:v>2.4900000000000002</c:v>
                </c:pt>
                <c:pt idx="96">
                  <c:v>2.4900000000000002</c:v>
                </c:pt>
                <c:pt idx="97">
                  <c:v>3.48</c:v>
                </c:pt>
                <c:pt idx="98">
                  <c:v>4.46</c:v>
                </c:pt>
                <c:pt idx="99">
                  <c:v>3.64</c:v>
                </c:pt>
                <c:pt idx="100">
                  <c:v>2.82</c:v>
                </c:pt>
                <c:pt idx="101">
                  <c:v>2.4900000000000002</c:v>
                </c:pt>
                <c:pt idx="102">
                  <c:v>2.16</c:v>
                </c:pt>
                <c:pt idx="103">
                  <c:v>2.4900000000000002</c:v>
                </c:pt>
                <c:pt idx="104">
                  <c:v>2.82</c:v>
                </c:pt>
                <c:pt idx="105">
                  <c:v>2.4900000000000002</c:v>
                </c:pt>
                <c:pt idx="106">
                  <c:v>2.16</c:v>
                </c:pt>
                <c:pt idx="107">
                  <c:v>2.82</c:v>
                </c:pt>
                <c:pt idx="108">
                  <c:v>3.48</c:v>
                </c:pt>
                <c:pt idx="109">
                  <c:v>20.55</c:v>
                </c:pt>
                <c:pt idx="110">
                  <c:v>37.619999999999997</c:v>
                </c:pt>
                <c:pt idx="111">
                  <c:v>20.38</c:v>
                </c:pt>
                <c:pt idx="112">
                  <c:v>3.15</c:v>
                </c:pt>
                <c:pt idx="113">
                  <c:v>2.66</c:v>
                </c:pt>
                <c:pt idx="114">
                  <c:v>2.16</c:v>
                </c:pt>
                <c:pt idx="115">
                  <c:v>1.84</c:v>
                </c:pt>
                <c:pt idx="116">
                  <c:v>2.95</c:v>
                </c:pt>
                <c:pt idx="117">
                  <c:v>2</c:v>
                </c:pt>
                <c:pt idx="118">
                  <c:v>2.4900000000000002</c:v>
                </c:pt>
                <c:pt idx="119">
                  <c:v>23.34</c:v>
                </c:pt>
                <c:pt idx="120">
                  <c:v>44.18</c:v>
                </c:pt>
                <c:pt idx="121">
                  <c:v>24.49</c:v>
                </c:pt>
                <c:pt idx="122">
                  <c:v>4.79</c:v>
                </c:pt>
                <c:pt idx="123">
                  <c:v>4.13</c:v>
                </c:pt>
                <c:pt idx="124">
                  <c:v>3.48</c:v>
                </c:pt>
                <c:pt idx="125">
                  <c:v>2.82</c:v>
                </c:pt>
                <c:pt idx="126">
                  <c:v>2.16</c:v>
                </c:pt>
                <c:pt idx="127">
                  <c:v>2</c:v>
                </c:pt>
                <c:pt idx="128">
                  <c:v>1.84</c:v>
                </c:pt>
                <c:pt idx="129">
                  <c:v>2.16</c:v>
                </c:pt>
                <c:pt idx="130">
                  <c:v>2.4900000000000002</c:v>
                </c:pt>
                <c:pt idx="131">
                  <c:v>2.98</c:v>
                </c:pt>
                <c:pt idx="132">
                  <c:v>3.48</c:v>
                </c:pt>
                <c:pt idx="133">
                  <c:v>2.98</c:v>
                </c:pt>
                <c:pt idx="134">
                  <c:v>2.4900000000000002</c:v>
                </c:pt>
                <c:pt idx="135">
                  <c:v>2.82</c:v>
                </c:pt>
                <c:pt idx="136">
                  <c:v>3.15</c:v>
                </c:pt>
                <c:pt idx="137">
                  <c:v>3.48</c:v>
                </c:pt>
                <c:pt idx="138">
                  <c:v>3.81</c:v>
                </c:pt>
                <c:pt idx="139">
                  <c:v>49.76</c:v>
                </c:pt>
                <c:pt idx="140">
                  <c:v>95.72</c:v>
                </c:pt>
                <c:pt idx="141">
                  <c:v>49.76</c:v>
                </c:pt>
                <c:pt idx="142">
                  <c:v>3.81</c:v>
                </c:pt>
                <c:pt idx="143">
                  <c:v>2.98</c:v>
                </c:pt>
                <c:pt idx="144">
                  <c:v>2.16</c:v>
                </c:pt>
                <c:pt idx="145">
                  <c:v>2.4900000000000002</c:v>
                </c:pt>
                <c:pt idx="146">
                  <c:v>2.82</c:v>
                </c:pt>
                <c:pt idx="147">
                  <c:v>2.66</c:v>
                </c:pt>
                <c:pt idx="148">
                  <c:v>2.4900000000000002</c:v>
                </c:pt>
                <c:pt idx="149">
                  <c:v>2.98</c:v>
                </c:pt>
                <c:pt idx="150">
                  <c:v>3.48</c:v>
                </c:pt>
                <c:pt idx="151">
                  <c:v>2.82</c:v>
                </c:pt>
                <c:pt idx="152">
                  <c:v>2.16</c:v>
                </c:pt>
                <c:pt idx="153">
                  <c:v>2.33</c:v>
                </c:pt>
                <c:pt idx="154">
                  <c:v>2.4900000000000002</c:v>
                </c:pt>
                <c:pt idx="155">
                  <c:v>2.66</c:v>
                </c:pt>
                <c:pt idx="156">
                  <c:v>2.82</c:v>
                </c:pt>
                <c:pt idx="157">
                  <c:v>3.97</c:v>
                </c:pt>
                <c:pt idx="158">
                  <c:v>5.12</c:v>
                </c:pt>
                <c:pt idx="159">
                  <c:v>10.54</c:v>
                </c:pt>
                <c:pt idx="160">
                  <c:v>15.95</c:v>
                </c:pt>
                <c:pt idx="161">
                  <c:v>9.2200000000000006</c:v>
                </c:pt>
                <c:pt idx="162">
                  <c:v>2.4900000000000002</c:v>
                </c:pt>
                <c:pt idx="163">
                  <c:v>3.15</c:v>
                </c:pt>
                <c:pt idx="164">
                  <c:v>3.81</c:v>
                </c:pt>
                <c:pt idx="165">
                  <c:v>3.64</c:v>
                </c:pt>
                <c:pt idx="166">
                  <c:v>3.48</c:v>
                </c:pt>
                <c:pt idx="167">
                  <c:v>2.4900000000000002</c:v>
                </c:pt>
                <c:pt idx="168">
                  <c:v>1.51</c:v>
                </c:pt>
                <c:pt idx="169">
                  <c:v>2.33</c:v>
                </c:pt>
                <c:pt idx="170">
                  <c:v>3.15</c:v>
                </c:pt>
                <c:pt idx="171">
                  <c:v>3.81</c:v>
                </c:pt>
                <c:pt idx="172">
                  <c:v>4.46</c:v>
                </c:pt>
                <c:pt idx="173">
                  <c:v>3.31</c:v>
                </c:pt>
                <c:pt idx="174">
                  <c:v>2.16</c:v>
                </c:pt>
                <c:pt idx="175">
                  <c:v>2.33</c:v>
                </c:pt>
                <c:pt idx="176">
                  <c:v>2.4900000000000002</c:v>
                </c:pt>
                <c:pt idx="177">
                  <c:v>2.4900000000000002</c:v>
                </c:pt>
                <c:pt idx="178">
                  <c:v>2.4900000000000002</c:v>
                </c:pt>
                <c:pt idx="179">
                  <c:v>2.4900000000000002</c:v>
                </c:pt>
                <c:pt idx="180">
                  <c:v>2.4900000000000002</c:v>
                </c:pt>
                <c:pt idx="181">
                  <c:v>2.98</c:v>
                </c:pt>
                <c:pt idx="182">
                  <c:v>3.48</c:v>
                </c:pt>
                <c:pt idx="183">
                  <c:v>1.84</c:v>
                </c:pt>
                <c:pt idx="184">
                  <c:v>0.98</c:v>
                </c:pt>
                <c:pt idx="185">
                  <c:v>2.66</c:v>
                </c:pt>
                <c:pt idx="186">
                  <c:v>5.12</c:v>
                </c:pt>
                <c:pt idx="187">
                  <c:v>3.81</c:v>
                </c:pt>
                <c:pt idx="188">
                  <c:v>2.4900000000000002</c:v>
                </c:pt>
                <c:pt idx="189">
                  <c:v>2.98</c:v>
                </c:pt>
                <c:pt idx="190">
                  <c:v>3.48</c:v>
                </c:pt>
                <c:pt idx="191">
                  <c:v>2.82</c:v>
                </c:pt>
                <c:pt idx="192">
                  <c:v>2.16</c:v>
                </c:pt>
                <c:pt idx="193">
                  <c:v>2.16</c:v>
                </c:pt>
                <c:pt idx="194">
                  <c:v>2.16</c:v>
                </c:pt>
                <c:pt idx="195">
                  <c:v>2.33</c:v>
                </c:pt>
                <c:pt idx="196">
                  <c:v>2.4900000000000002</c:v>
                </c:pt>
                <c:pt idx="197">
                  <c:v>3.81</c:v>
                </c:pt>
                <c:pt idx="198">
                  <c:v>5.12</c:v>
                </c:pt>
                <c:pt idx="199">
                  <c:v>3.64</c:v>
                </c:pt>
                <c:pt idx="200">
                  <c:v>2.16</c:v>
                </c:pt>
                <c:pt idx="201">
                  <c:v>2.82</c:v>
                </c:pt>
                <c:pt idx="202">
                  <c:v>3.48</c:v>
                </c:pt>
                <c:pt idx="203">
                  <c:v>2.82</c:v>
                </c:pt>
                <c:pt idx="204">
                  <c:v>2.16</c:v>
                </c:pt>
                <c:pt idx="205">
                  <c:v>2.33</c:v>
                </c:pt>
                <c:pt idx="206">
                  <c:v>2.4900000000000002</c:v>
                </c:pt>
                <c:pt idx="207">
                  <c:v>47.47</c:v>
                </c:pt>
                <c:pt idx="208">
                  <c:v>92.44</c:v>
                </c:pt>
                <c:pt idx="209">
                  <c:v>47.47</c:v>
                </c:pt>
                <c:pt idx="210">
                  <c:v>2.4900000000000002</c:v>
                </c:pt>
                <c:pt idx="211">
                  <c:v>2.4900000000000002</c:v>
                </c:pt>
                <c:pt idx="212">
                  <c:v>2.4900000000000002</c:v>
                </c:pt>
                <c:pt idx="213">
                  <c:v>2.4900000000000002</c:v>
                </c:pt>
                <c:pt idx="214">
                  <c:v>2.4900000000000002</c:v>
                </c:pt>
                <c:pt idx="215">
                  <c:v>2.33</c:v>
                </c:pt>
                <c:pt idx="216">
                  <c:v>2.16</c:v>
                </c:pt>
                <c:pt idx="217">
                  <c:v>2.4900000000000002</c:v>
                </c:pt>
                <c:pt idx="218">
                  <c:v>2.82</c:v>
                </c:pt>
                <c:pt idx="219">
                  <c:v>40.409999999999997</c:v>
                </c:pt>
                <c:pt idx="220">
                  <c:v>78</c:v>
                </c:pt>
                <c:pt idx="221">
                  <c:v>40.57</c:v>
                </c:pt>
                <c:pt idx="222">
                  <c:v>3.15</c:v>
                </c:pt>
                <c:pt idx="223">
                  <c:v>2.66</c:v>
                </c:pt>
                <c:pt idx="224">
                  <c:v>2.16</c:v>
                </c:pt>
                <c:pt idx="225">
                  <c:v>2.98</c:v>
                </c:pt>
                <c:pt idx="226">
                  <c:v>3.81</c:v>
                </c:pt>
                <c:pt idx="227">
                  <c:v>6.43</c:v>
                </c:pt>
                <c:pt idx="228">
                  <c:v>9.06</c:v>
                </c:pt>
                <c:pt idx="229">
                  <c:v>6.1</c:v>
                </c:pt>
                <c:pt idx="230">
                  <c:v>3.15</c:v>
                </c:pt>
                <c:pt idx="231">
                  <c:v>3.15</c:v>
                </c:pt>
                <c:pt idx="232">
                  <c:v>3.15</c:v>
                </c:pt>
                <c:pt idx="233">
                  <c:v>3.48</c:v>
                </c:pt>
                <c:pt idx="234">
                  <c:v>3.81</c:v>
                </c:pt>
                <c:pt idx="235">
                  <c:v>29.74</c:v>
                </c:pt>
                <c:pt idx="236">
                  <c:v>55.67</c:v>
                </c:pt>
                <c:pt idx="237">
                  <c:v>30.89</c:v>
                </c:pt>
                <c:pt idx="238">
                  <c:v>6.1</c:v>
                </c:pt>
                <c:pt idx="239">
                  <c:v>4.13</c:v>
                </c:pt>
                <c:pt idx="240">
                  <c:v>2.16</c:v>
                </c:pt>
                <c:pt idx="241">
                  <c:v>3.97</c:v>
                </c:pt>
                <c:pt idx="242">
                  <c:v>5.78</c:v>
                </c:pt>
                <c:pt idx="243">
                  <c:v>3.97</c:v>
                </c:pt>
                <c:pt idx="244">
                  <c:v>2.16</c:v>
                </c:pt>
                <c:pt idx="245">
                  <c:v>25.47</c:v>
                </c:pt>
                <c:pt idx="246">
                  <c:v>48.78</c:v>
                </c:pt>
                <c:pt idx="247">
                  <c:v>27.93</c:v>
                </c:pt>
                <c:pt idx="248">
                  <c:v>7.09</c:v>
                </c:pt>
                <c:pt idx="249">
                  <c:v>6.1</c:v>
                </c:pt>
                <c:pt idx="250">
                  <c:v>5.12</c:v>
                </c:pt>
                <c:pt idx="251">
                  <c:v>34.17</c:v>
                </c:pt>
                <c:pt idx="252">
                  <c:v>63.22</c:v>
                </c:pt>
                <c:pt idx="253">
                  <c:v>33.19</c:v>
                </c:pt>
                <c:pt idx="254">
                  <c:v>3.15</c:v>
                </c:pt>
                <c:pt idx="255">
                  <c:v>2.82</c:v>
                </c:pt>
                <c:pt idx="256">
                  <c:v>2.4900000000000002</c:v>
                </c:pt>
                <c:pt idx="257">
                  <c:v>2.66</c:v>
                </c:pt>
                <c:pt idx="258">
                  <c:v>2.82</c:v>
                </c:pt>
                <c:pt idx="259">
                  <c:v>3.64</c:v>
                </c:pt>
                <c:pt idx="260">
                  <c:v>4.46</c:v>
                </c:pt>
                <c:pt idx="261">
                  <c:v>3.31</c:v>
                </c:pt>
                <c:pt idx="262">
                  <c:v>2.16</c:v>
                </c:pt>
                <c:pt idx="263">
                  <c:v>3.31</c:v>
                </c:pt>
                <c:pt idx="264">
                  <c:v>4.46</c:v>
                </c:pt>
                <c:pt idx="265">
                  <c:v>4.3</c:v>
                </c:pt>
                <c:pt idx="266">
                  <c:v>4.13</c:v>
                </c:pt>
                <c:pt idx="267">
                  <c:v>3.48</c:v>
                </c:pt>
                <c:pt idx="268">
                  <c:v>2.82</c:v>
                </c:pt>
                <c:pt idx="269">
                  <c:v>2.82</c:v>
                </c:pt>
                <c:pt idx="270">
                  <c:v>2.82</c:v>
                </c:pt>
                <c:pt idx="271">
                  <c:v>2.82</c:v>
                </c:pt>
                <c:pt idx="272">
                  <c:v>2.82</c:v>
                </c:pt>
                <c:pt idx="273">
                  <c:v>3.81</c:v>
                </c:pt>
                <c:pt idx="274">
                  <c:v>4.79</c:v>
                </c:pt>
                <c:pt idx="275">
                  <c:v>4.13</c:v>
                </c:pt>
                <c:pt idx="276">
                  <c:v>3.48</c:v>
                </c:pt>
                <c:pt idx="277">
                  <c:v>3.31</c:v>
                </c:pt>
                <c:pt idx="278">
                  <c:v>3.15</c:v>
                </c:pt>
                <c:pt idx="279">
                  <c:v>2.82</c:v>
                </c:pt>
                <c:pt idx="280">
                  <c:v>2.4900000000000002</c:v>
                </c:pt>
                <c:pt idx="281">
                  <c:v>2.82</c:v>
                </c:pt>
                <c:pt idx="282">
                  <c:v>3.15</c:v>
                </c:pt>
                <c:pt idx="283">
                  <c:v>2.82</c:v>
                </c:pt>
                <c:pt idx="284">
                  <c:v>2.4900000000000002</c:v>
                </c:pt>
                <c:pt idx="285">
                  <c:v>2.66</c:v>
                </c:pt>
                <c:pt idx="286">
                  <c:v>2.82</c:v>
                </c:pt>
                <c:pt idx="287">
                  <c:v>3.64</c:v>
                </c:pt>
                <c:pt idx="288">
                  <c:v>4.46</c:v>
                </c:pt>
                <c:pt idx="289">
                  <c:v>3.15</c:v>
                </c:pt>
                <c:pt idx="290">
                  <c:v>1.84</c:v>
                </c:pt>
                <c:pt idx="291">
                  <c:v>3.31</c:v>
                </c:pt>
                <c:pt idx="292">
                  <c:v>4.79</c:v>
                </c:pt>
                <c:pt idx="293">
                  <c:v>4.46</c:v>
                </c:pt>
                <c:pt idx="294">
                  <c:v>4.13</c:v>
                </c:pt>
                <c:pt idx="295">
                  <c:v>6.43</c:v>
                </c:pt>
                <c:pt idx="296">
                  <c:v>8.73</c:v>
                </c:pt>
                <c:pt idx="297">
                  <c:v>5.78</c:v>
                </c:pt>
                <c:pt idx="298">
                  <c:v>2.82</c:v>
                </c:pt>
                <c:pt idx="299">
                  <c:v>2.66</c:v>
                </c:pt>
                <c:pt idx="300">
                  <c:v>2.4900000000000002</c:v>
                </c:pt>
                <c:pt idx="301">
                  <c:v>2.4900000000000002</c:v>
                </c:pt>
                <c:pt idx="302">
                  <c:v>2.4900000000000002</c:v>
                </c:pt>
                <c:pt idx="303">
                  <c:v>25.8</c:v>
                </c:pt>
                <c:pt idx="304">
                  <c:v>49.11</c:v>
                </c:pt>
                <c:pt idx="305">
                  <c:v>25.64</c:v>
                </c:pt>
                <c:pt idx="306">
                  <c:v>2.16</c:v>
                </c:pt>
                <c:pt idx="307">
                  <c:v>2.82</c:v>
                </c:pt>
                <c:pt idx="308">
                  <c:v>3.48</c:v>
                </c:pt>
                <c:pt idx="309">
                  <c:v>31.54</c:v>
                </c:pt>
                <c:pt idx="310">
                  <c:v>59.61</c:v>
                </c:pt>
                <c:pt idx="311">
                  <c:v>31.54</c:v>
                </c:pt>
                <c:pt idx="312">
                  <c:v>3.48</c:v>
                </c:pt>
                <c:pt idx="313">
                  <c:v>3.81</c:v>
                </c:pt>
                <c:pt idx="314">
                  <c:v>4.13</c:v>
                </c:pt>
                <c:pt idx="315">
                  <c:v>4.13</c:v>
                </c:pt>
                <c:pt idx="316">
                  <c:v>4.13</c:v>
                </c:pt>
                <c:pt idx="317">
                  <c:v>3.31</c:v>
                </c:pt>
                <c:pt idx="318">
                  <c:v>2.4900000000000002</c:v>
                </c:pt>
                <c:pt idx="319">
                  <c:v>3.15</c:v>
                </c:pt>
                <c:pt idx="320">
                  <c:v>3.81</c:v>
                </c:pt>
                <c:pt idx="321">
                  <c:v>3.64</c:v>
                </c:pt>
                <c:pt idx="322">
                  <c:v>3.48</c:v>
                </c:pt>
                <c:pt idx="323">
                  <c:v>4.3</c:v>
                </c:pt>
                <c:pt idx="324">
                  <c:v>5.12</c:v>
                </c:pt>
                <c:pt idx="325">
                  <c:v>12.18</c:v>
                </c:pt>
                <c:pt idx="326">
                  <c:v>19.23</c:v>
                </c:pt>
                <c:pt idx="327">
                  <c:v>13.49</c:v>
                </c:pt>
                <c:pt idx="328">
                  <c:v>7.74</c:v>
                </c:pt>
                <c:pt idx="329">
                  <c:v>5.94</c:v>
                </c:pt>
                <c:pt idx="330">
                  <c:v>4.13</c:v>
                </c:pt>
                <c:pt idx="331">
                  <c:v>3.64</c:v>
                </c:pt>
                <c:pt idx="332">
                  <c:v>3.15</c:v>
                </c:pt>
                <c:pt idx="333">
                  <c:v>24.32</c:v>
                </c:pt>
                <c:pt idx="334">
                  <c:v>45.5</c:v>
                </c:pt>
                <c:pt idx="335">
                  <c:v>25.47</c:v>
                </c:pt>
                <c:pt idx="336">
                  <c:v>5.45</c:v>
                </c:pt>
                <c:pt idx="337">
                  <c:v>4.95</c:v>
                </c:pt>
                <c:pt idx="338">
                  <c:v>4.46</c:v>
                </c:pt>
                <c:pt idx="339">
                  <c:v>6.1</c:v>
                </c:pt>
                <c:pt idx="340">
                  <c:v>7.74</c:v>
                </c:pt>
                <c:pt idx="341">
                  <c:v>7.74</c:v>
                </c:pt>
                <c:pt idx="342">
                  <c:v>7.74</c:v>
                </c:pt>
                <c:pt idx="343">
                  <c:v>23.17</c:v>
                </c:pt>
                <c:pt idx="344">
                  <c:v>38.6</c:v>
                </c:pt>
                <c:pt idx="345">
                  <c:v>22.68</c:v>
                </c:pt>
                <c:pt idx="346">
                  <c:v>6.76</c:v>
                </c:pt>
                <c:pt idx="347">
                  <c:v>8.89</c:v>
                </c:pt>
                <c:pt idx="348">
                  <c:v>11.03</c:v>
                </c:pt>
                <c:pt idx="349">
                  <c:v>30.56</c:v>
                </c:pt>
                <c:pt idx="350">
                  <c:v>50.09</c:v>
                </c:pt>
                <c:pt idx="351">
                  <c:v>31.22</c:v>
                </c:pt>
                <c:pt idx="352">
                  <c:v>12.34</c:v>
                </c:pt>
                <c:pt idx="353">
                  <c:v>12.67</c:v>
                </c:pt>
                <c:pt idx="354">
                  <c:v>13</c:v>
                </c:pt>
                <c:pt idx="355">
                  <c:v>13.65</c:v>
                </c:pt>
                <c:pt idx="356">
                  <c:v>14.31</c:v>
                </c:pt>
                <c:pt idx="357">
                  <c:v>15.13</c:v>
                </c:pt>
                <c:pt idx="358">
                  <c:v>15.95</c:v>
                </c:pt>
                <c:pt idx="359">
                  <c:v>16.440000000000001</c:v>
                </c:pt>
                <c:pt idx="360">
                  <c:v>16.940000000000001</c:v>
                </c:pt>
                <c:pt idx="361">
                  <c:v>40.57</c:v>
                </c:pt>
                <c:pt idx="362">
                  <c:v>64.209999999999994</c:v>
                </c:pt>
                <c:pt idx="363">
                  <c:v>40.57</c:v>
                </c:pt>
                <c:pt idx="364">
                  <c:v>16.940000000000001</c:v>
                </c:pt>
                <c:pt idx="365">
                  <c:v>17.43</c:v>
                </c:pt>
                <c:pt idx="366">
                  <c:v>17.920000000000002</c:v>
                </c:pt>
                <c:pt idx="367">
                  <c:v>18.25</c:v>
                </c:pt>
                <c:pt idx="368">
                  <c:v>18.579999999999998</c:v>
                </c:pt>
                <c:pt idx="369">
                  <c:v>19.23</c:v>
                </c:pt>
                <c:pt idx="370">
                  <c:v>19.89</c:v>
                </c:pt>
                <c:pt idx="371">
                  <c:v>20.71</c:v>
                </c:pt>
                <c:pt idx="372">
                  <c:v>21.53</c:v>
                </c:pt>
                <c:pt idx="373">
                  <c:v>22.68</c:v>
                </c:pt>
                <c:pt idx="374">
                  <c:v>23.83</c:v>
                </c:pt>
                <c:pt idx="375">
                  <c:v>23.99</c:v>
                </c:pt>
                <c:pt idx="376">
                  <c:v>24.16</c:v>
                </c:pt>
                <c:pt idx="377">
                  <c:v>25.31</c:v>
                </c:pt>
                <c:pt idx="378">
                  <c:v>26.46</c:v>
                </c:pt>
                <c:pt idx="379">
                  <c:v>34.17</c:v>
                </c:pt>
                <c:pt idx="380">
                  <c:v>41.89</c:v>
                </c:pt>
                <c:pt idx="381">
                  <c:v>34.99</c:v>
                </c:pt>
                <c:pt idx="382">
                  <c:v>28.1</c:v>
                </c:pt>
                <c:pt idx="383">
                  <c:v>28.1</c:v>
                </c:pt>
                <c:pt idx="384">
                  <c:v>28.1</c:v>
                </c:pt>
                <c:pt idx="385">
                  <c:v>27.28</c:v>
                </c:pt>
                <c:pt idx="386">
                  <c:v>26.46</c:v>
                </c:pt>
                <c:pt idx="387">
                  <c:v>25.96</c:v>
                </c:pt>
                <c:pt idx="388">
                  <c:v>25.47</c:v>
                </c:pt>
                <c:pt idx="389">
                  <c:v>25.31</c:v>
                </c:pt>
                <c:pt idx="390">
                  <c:v>25.14</c:v>
                </c:pt>
                <c:pt idx="391">
                  <c:v>25.8</c:v>
                </c:pt>
                <c:pt idx="392">
                  <c:v>26.46</c:v>
                </c:pt>
                <c:pt idx="393">
                  <c:v>28.1</c:v>
                </c:pt>
                <c:pt idx="394">
                  <c:v>29.74</c:v>
                </c:pt>
                <c:pt idx="395">
                  <c:v>53.7</c:v>
                </c:pt>
                <c:pt idx="396">
                  <c:v>77.67</c:v>
                </c:pt>
                <c:pt idx="397">
                  <c:v>55.18</c:v>
                </c:pt>
                <c:pt idx="398">
                  <c:v>32.69</c:v>
                </c:pt>
                <c:pt idx="399">
                  <c:v>34.33</c:v>
                </c:pt>
                <c:pt idx="400">
                  <c:v>35.979999999999997</c:v>
                </c:pt>
                <c:pt idx="401">
                  <c:v>36.14</c:v>
                </c:pt>
                <c:pt idx="402">
                  <c:v>36.299999999999997</c:v>
                </c:pt>
                <c:pt idx="403">
                  <c:v>36.14</c:v>
                </c:pt>
                <c:pt idx="404">
                  <c:v>35.979999999999997</c:v>
                </c:pt>
                <c:pt idx="405">
                  <c:v>36.299999999999997</c:v>
                </c:pt>
                <c:pt idx="406">
                  <c:v>36.630000000000003</c:v>
                </c:pt>
                <c:pt idx="407">
                  <c:v>37.130000000000003</c:v>
                </c:pt>
                <c:pt idx="408">
                  <c:v>37.619999999999997</c:v>
                </c:pt>
                <c:pt idx="409">
                  <c:v>37.950000000000003</c:v>
                </c:pt>
                <c:pt idx="410">
                  <c:v>38.270000000000003</c:v>
                </c:pt>
                <c:pt idx="411">
                  <c:v>40.74</c:v>
                </c:pt>
                <c:pt idx="412">
                  <c:v>43.2</c:v>
                </c:pt>
                <c:pt idx="413">
                  <c:v>47.96</c:v>
                </c:pt>
                <c:pt idx="414">
                  <c:v>52.72</c:v>
                </c:pt>
                <c:pt idx="415">
                  <c:v>55.84</c:v>
                </c:pt>
                <c:pt idx="416">
                  <c:v>58.96</c:v>
                </c:pt>
                <c:pt idx="417">
                  <c:v>59.28</c:v>
                </c:pt>
                <c:pt idx="418">
                  <c:v>59.61</c:v>
                </c:pt>
                <c:pt idx="419">
                  <c:v>60.6</c:v>
                </c:pt>
                <c:pt idx="420">
                  <c:v>61.58</c:v>
                </c:pt>
                <c:pt idx="421">
                  <c:v>62.57</c:v>
                </c:pt>
                <c:pt idx="422">
                  <c:v>63.55</c:v>
                </c:pt>
                <c:pt idx="423">
                  <c:v>64.209999999999994</c:v>
                </c:pt>
                <c:pt idx="424">
                  <c:v>64.86</c:v>
                </c:pt>
                <c:pt idx="425">
                  <c:v>64.37</c:v>
                </c:pt>
                <c:pt idx="426">
                  <c:v>63.88</c:v>
                </c:pt>
                <c:pt idx="427">
                  <c:v>63.55</c:v>
                </c:pt>
                <c:pt idx="428">
                  <c:v>63.22</c:v>
                </c:pt>
                <c:pt idx="429">
                  <c:v>67.98</c:v>
                </c:pt>
                <c:pt idx="430">
                  <c:v>72.739999999999995</c:v>
                </c:pt>
                <c:pt idx="431">
                  <c:v>82.92</c:v>
                </c:pt>
                <c:pt idx="432">
                  <c:v>93.1</c:v>
                </c:pt>
                <c:pt idx="433">
                  <c:v>96.87</c:v>
                </c:pt>
                <c:pt idx="434">
                  <c:v>100.65</c:v>
                </c:pt>
                <c:pt idx="435">
                  <c:v>114.11</c:v>
                </c:pt>
                <c:pt idx="436">
                  <c:v>127.56</c:v>
                </c:pt>
                <c:pt idx="437">
                  <c:v>100.81</c:v>
                </c:pt>
                <c:pt idx="438">
                  <c:v>74.06</c:v>
                </c:pt>
                <c:pt idx="439">
                  <c:v>114.27</c:v>
                </c:pt>
                <c:pt idx="440">
                  <c:v>154.47999999999999</c:v>
                </c:pt>
                <c:pt idx="441">
                  <c:v>116.4</c:v>
                </c:pt>
                <c:pt idx="442">
                  <c:v>78.319999999999993</c:v>
                </c:pt>
                <c:pt idx="443">
                  <c:v>83.08</c:v>
                </c:pt>
                <c:pt idx="444">
                  <c:v>87.84</c:v>
                </c:pt>
                <c:pt idx="445">
                  <c:v>86.53</c:v>
                </c:pt>
                <c:pt idx="446">
                  <c:v>85.22</c:v>
                </c:pt>
                <c:pt idx="447">
                  <c:v>94.57</c:v>
                </c:pt>
                <c:pt idx="448">
                  <c:v>103.93</c:v>
                </c:pt>
                <c:pt idx="449">
                  <c:v>120.51</c:v>
                </c:pt>
                <c:pt idx="450">
                  <c:v>137.08000000000001</c:v>
                </c:pt>
                <c:pt idx="451">
                  <c:v>182.06</c:v>
                </c:pt>
                <c:pt idx="452">
                  <c:v>227.03</c:v>
                </c:pt>
                <c:pt idx="453">
                  <c:v>278.08</c:v>
                </c:pt>
                <c:pt idx="454">
                  <c:v>329.12</c:v>
                </c:pt>
                <c:pt idx="455">
                  <c:v>359.16</c:v>
                </c:pt>
                <c:pt idx="456">
                  <c:v>389.2</c:v>
                </c:pt>
                <c:pt idx="457">
                  <c:v>390.35</c:v>
                </c:pt>
                <c:pt idx="458">
                  <c:v>391.5</c:v>
                </c:pt>
                <c:pt idx="459">
                  <c:v>406.1</c:v>
                </c:pt>
                <c:pt idx="460">
                  <c:v>420.71</c:v>
                </c:pt>
                <c:pt idx="461">
                  <c:v>461.75</c:v>
                </c:pt>
                <c:pt idx="462">
                  <c:v>502.78</c:v>
                </c:pt>
                <c:pt idx="463">
                  <c:v>558.75</c:v>
                </c:pt>
                <c:pt idx="464">
                  <c:v>614.72</c:v>
                </c:pt>
                <c:pt idx="465">
                  <c:v>584.52</c:v>
                </c:pt>
                <c:pt idx="466">
                  <c:v>554.32000000000005</c:v>
                </c:pt>
                <c:pt idx="467">
                  <c:v>469.3</c:v>
                </c:pt>
                <c:pt idx="468">
                  <c:v>384.27</c:v>
                </c:pt>
                <c:pt idx="469">
                  <c:v>498.02</c:v>
                </c:pt>
                <c:pt idx="470">
                  <c:v>611.77</c:v>
                </c:pt>
                <c:pt idx="471">
                  <c:v>462.89</c:v>
                </c:pt>
                <c:pt idx="472">
                  <c:v>314.02</c:v>
                </c:pt>
                <c:pt idx="473">
                  <c:v>259.86</c:v>
                </c:pt>
                <c:pt idx="474">
                  <c:v>205.69</c:v>
                </c:pt>
                <c:pt idx="475">
                  <c:v>196.34</c:v>
                </c:pt>
                <c:pt idx="476">
                  <c:v>186.98</c:v>
                </c:pt>
                <c:pt idx="477">
                  <c:v>190.92</c:v>
                </c:pt>
                <c:pt idx="478">
                  <c:v>194.86</c:v>
                </c:pt>
                <c:pt idx="479">
                  <c:v>196.67</c:v>
                </c:pt>
                <c:pt idx="480">
                  <c:v>198.47</c:v>
                </c:pt>
                <c:pt idx="481">
                  <c:v>218.66</c:v>
                </c:pt>
                <c:pt idx="482">
                  <c:v>238.85</c:v>
                </c:pt>
                <c:pt idx="483">
                  <c:v>243.12</c:v>
                </c:pt>
                <c:pt idx="484">
                  <c:v>247.38</c:v>
                </c:pt>
                <c:pt idx="485">
                  <c:v>228.84</c:v>
                </c:pt>
                <c:pt idx="486">
                  <c:v>210.29</c:v>
                </c:pt>
                <c:pt idx="487">
                  <c:v>210.78</c:v>
                </c:pt>
                <c:pt idx="488">
                  <c:v>211.27</c:v>
                </c:pt>
                <c:pt idx="489">
                  <c:v>207.66</c:v>
                </c:pt>
                <c:pt idx="490">
                  <c:v>204.05</c:v>
                </c:pt>
                <c:pt idx="491">
                  <c:v>196.5</c:v>
                </c:pt>
                <c:pt idx="492">
                  <c:v>188.95</c:v>
                </c:pt>
                <c:pt idx="493">
                  <c:v>178.12</c:v>
                </c:pt>
                <c:pt idx="494">
                  <c:v>167.29</c:v>
                </c:pt>
                <c:pt idx="495">
                  <c:v>161.38</c:v>
                </c:pt>
                <c:pt idx="496">
                  <c:v>155.47</c:v>
                </c:pt>
                <c:pt idx="497">
                  <c:v>154.65</c:v>
                </c:pt>
                <c:pt idx="498">
                  <c:v>153.83000000000001</c:v>
                </c:pt>
                <c:pt idx="499">
                  <c:v>159.57</c:v>
                </c:pt>
                <c:pt idx="500">
                  <c:v>165.32</c:v>
                </c:pt>
                <c:pt idx="501">
                  <c:v>166.79</c:v>
                </c:pt>
                <c:pt idx="502">
                  <c:v>168.27</c:v>
                </c:pt>
                <c:pt idx="503">
                  <c:v>155.63</c:v>
                </c:pt>
                <c:pt idx="504">
                  <c:v>142.99</c:v>
                </c:pt>
                <c:pt idx="505">
                  <c:v>152.68</c:v>
                </c:pt>
                <c:pt idx="506">
                  <c:v>162.36000000000001</c:v>
                </c:pt>
                <c:pt idx="507">
                  <c:v>149.07</c:v>
                </c:pt>
                <c:pt idx="508">
                  <c:v>135.77000000000001</c:v>
                </c:pt>
                <c:pt idx="509">
                  <c:v>129.69999999999999</c:v>
                </c:pt>
                <c:pt idx="510">
                  <c:v>123.62</c:v>
                </c:pt>
                <c:pt idx="511">
                  <c:v>118.21</c:v>
                </c:pt>
                <c:pt idx="512">
                  <c:v>112.79</c:v>
                </c:pt>
                <c:pt idx="513">
                  <c:v>106.88</c:v>
                </c:pt>
                <c:pt idx="514">
                  <c:v>100.97</c:v>
                </c:pt>
                <c:pt idx="515">
                  <c:v>101.14</c:v>
                </c:pt>
                <c:pt idx="516">
                  <c:v>101.3</c:v>
                </c:pt>
                <c:pt idx="517">
                  <c:v>109.67</c:v>
                </c:pt>
                <c:pt idx="518">
                  <c:v>118.04</c:v>
                </c:pt>
                <c:pt idx="519">
                  <c:v>125.59</c:v>
                </c:pt>
                <c:pt idx="520">
                  <c:v>133.13999999999999</c:v>
                </c:pt>
                <c:pt idx="521">
                  <c:v>136.76</c:v>
                </c:pt>
                <c:pt idx="522">
                  <c:v>140.37</c:v>
                </c:pt>
                <c:pt idx="523">
                  <c:v>141.02000000000001</c:v>
                </c:pt>
                <c:pt idx="524">
                  <c:v>141.68</c:v>
                </c:pt>
                <c:pt idx="525">
                  <c:v>150.71</c:v>
                </c:pt>
                <c:pt idx="526">
                  <c:v>159.72999999999999</c:v>
                </c:pt>
                <c:pt idx="527">
                  <c:v>146.28</c:v>
                </c:pt>
                <c:pt idx="528">
                  <c:v>132.82</c:v>
                </c:pt>
                <c:pt idx="529">
                  <c:v>131.18</c:v>
                </c:pt>
                <c:pt idx="530">
                  <c:v>129.53</c:v>
                </c:pt>
                <c:pt idx="531">
                  <c:v>134.94999999999999</c:v>
                </c:pt>
                <c:pt idx="532">
                  <c:v>140.37</c:v>
                </c:pt>
                <c:pt idx="533">
                  <c:v>147.1</c:v>
                </c:pt>
                <c:pt idx="534">
                  <c:v>153.83000000000001</c:v>
                </c:pt>
                <c:pt idx="535">
                  <c:v>154.81</c:v>
                </c:pt>
                <c:pt idx="536">
                  <c:v>155.80000000000001</c:v>
                </c:pt>
                <c:pt idx="537">
                  <c:v>156.62</c:v>
                </c:pt>
                <c:pt idx="538">
                  <c:v>157.44</c:v>
                </c:pt>
                <c:pt idx="539">
                  <c:v>160.38999999999999</c:v>
                </c:pt>
                <c:pt idx="540">
                  <c:v>163.35</c:v>
                </c:pt>
                <c:pt idx="541">
                  <c:v>170.57</c:v>
                </c:pt>
                <c:pt idx="542">
                  <c:v>177.79</c:v>
                </c:pt>
                <c:pt idx="543">
                  <c:v>190.76</c:v>
                </c:pt>
                <c:pt idx="544">
                  <c:v>203.72</c:v>
                </c:pt>
                <c:pt idx="545">
                  <c:v>216.2</c:v>
                </c:pt>
                <c:pt idx="546">
                  <c:v>228.67</c:v>
                </c:pt>
                <c:pt idx="547">
                  <c:v>244.1</c:v>
                </c:pt>
                <c:pt idx="548">
                  <c:v>259.52999999999997</c:v>
                </c:pt>
                <c:pt idx="549">
                  <c:v>279.23</c:v>
                </c:pt>
                <c:pt idx="550">
                  <c:v>298.92</c:v>
                </c:pt>
                <c:pt idx="551">
                  <c:v>299.25</c:v>
                </c:pt>
                <c:pt idx="552">
                  <c:v>299.58</c:v>
                </c:pt>
                <c:pt idx="553">
                  <c:v>302.86</c:v>
                </c:pt>
                <c:pt idx="554">
                  <c:v>306.14</c:v>
                </c:pt>
                <c:pt idx="555">
                  <c:v>318.95</c:v>
                </c:pt>
                <c:pt idx="556">
                  <c:v>331.75</c:v>
                </c:pt>
                <c:pt idx="557">
                  <c:v>340.12</c:v>
                </c:pt>
                <c:pt idx="558">
                  <c:v>348.49</c:v>
                </c:pt>
                <c:pt idx="559">
                  <c:v>353.42</c:v>
                </c:pt>
                <c:pt idx="560">
                  <c:v>358.34</c:v>
                </c:pt>
                <c:pt idx="561">
                  <c:v>343.08</c:v>
                </c:pt>
                <c:pt idx="562">
                  <c:v>327.81</c:v>
                </c:pt>
                <c:pt idx="563">
                  <c:v>356.04</c:v>
                </c:pt>
                <c:pt idx="564">
                  <c:v>384.27</c:v>
                </c:pt>
                <c:pt idx="565">
                  <c:v>413</c:v>
                </c:pt>
                <c:pt idx="566">
                  <c:v>441.72</c:v>
                </c:pt>
                <c:pt idx="567">
                  <c:v>417.1</c:v>
                </c:pt>
                <c:pt idx="568">
                  <c:v>392.48</c:v>
                </c:pt>
                <c:pt idx="569">
                  <c:v>411.52</c:v>
                </c:pt>
                <c:pt idx="570">
                  <c:v>430.56</c:v>
                </c:pt>
                <c:pt idx="571">
                  <c:v>466.18</c:v>
                </c:pt>
                <c:pt idx="572">
                  <c:v>501.8</c:v>
                </c:pt>
                <c:pt idx="573">
                  <c:v>433.84</c:v>
                </c:pt>
                <c:pt idx="574">
                  <c:v>365.89</c:v>
                </c:pt>
                <c:pt idx="575">
                  <c:v>371.96</c:v>
                </c:pt>
                <c:pt idx="576">
                  <c:v>378.04</c:v>
                </c:pt>
                <c:pt idx="577">
                  <c:v>330.93</c:v>
                </c:pt>
                <c:pt idx="578">
                  <c:v>283.82</c:v>
                </c:pt>
                <c:pt idx="579">
                  <c:v>277.58</c:v>
                </c:pt>
                <c:pt idx="580">
                  <c:v>271.35000000000002</c:v>
                </c:pt>
                <c:pt idx="581">
                  <c:v>262.32</c:v>
                </c:pt>
                <c:pt idx="582">
                  <c:v>253.29</c:v>
                </c:pt>
                <c:pt idx="583">
                  <c:v>250.67</c:v>
                </c:pt>
                <c:pt idx="584">
                  <c:v>248.04</c:v>
                </c:pt>
                <c:pt idx="585">
                  <c:v>260.83999999999997</c:v>
                </c:pt>
                <c:pt idx="586">
                  <c:v>273.64999999999998</c:v>
                </c:pt>
                <c:pt idx="587">
                  <c:v>331.09</c:v>
                </c:pt>
                <c:pt idx="588">
                  <c:v>388.54</c:v>
                </c:pt>
                <c:pt idx="589">
                  <c:v>347.34</c:v>
                </c:pt>
                <c:pt idx="590">
                  <c:v>306.14</c:v>
                </c:pt>
                <c:pt idx="591">
                  <c:v>306.47000000000003</c:v>
                </c:pt>
                <c:pt idx="592">
                  <c:v>306.8</c:v>
                </c:pt>
                <c:pt idx="593">
                  <c:v>301.88</c:v>
                </c:pt>
                <c:pt idx="594">
                  <c:v>296.95</c:v>
                </c:pt>
                <c:pt idx="595">
                  <c:v>279.23</c:v>
                </c:pt>
                <c:pt idx="596">
                  <c:v>261.5</c:v>
                </c:pt>
                <c:pt idx="597">
                  <c:v>255.75</c:v>
                </c:pt>
                <c:pt idx="598">
                  <c:v>250.01</c:v>
                </c:pt>
                <c:pt idx="599">
                  <c:v>233.1</c:v>
                </c:pt>
                <c:pt idx="600">
                  <c:v>216.2</c:v>
                </c:pt>
                <c:pt idx="601">
                  <c:v>210.62</c:v>
                </c:pt>
                <c:pt idx="602">
                  <c:v>205.04</c:v>
                </c:pt>
                <c:pt idx="603">
                  <c:v>190.76</c:v>
                </c:pt>
                <c:pt idx="604">
                  <c:v>176.48</c:v>
                </c:pt>
                <c:pt idx="605">
                  <c:v>155.96</c:v>
                </c:pt>
                <c:pt idx="606">
                  <c:v>135.44</c:v>
                </c:pt>
                <c:pt idx="607">
                  <c:v>147.26</c:v>
                </c:pt>
                <c:pt idx="608">
                  <c:v>159.08000000000001</c:v>
                </c:pt>
                <c:pt idx="609">
                  <c:v>178.28</c:v>
                </c:pt>
                <c:pt idx="610">
                  <c:v>197.49</c:v>
                </c:pt>
                <c:pt idx="611">
                  <c:v>191.74</c:v>
                </c:pt>
                <c:pt idx="612">
                  <c:v>186</c:v>
                </c:pt>
                <c:pt idx="613">
                  <c:v>184.19</c:v>
                </c:pt>
                <c:pt idx="614">
                  <c:v>182.39</c:v>
                </c:pt>
                <c:pt idx="615">
                  <c:v>179.76</c:v>
                </c:pt>
                <c:pt idx="616">
                  <c:v>177.13</c:v>
                </c:pt>
                <c:pt idx="617">
                  <c:v>172.21</c:v>
                </c:pt>
                <c:pt idx="618">
                  <c:v>167.29</c:v>
                </c:pt>
                <c:pt idx="619">
                  <c:v>163.51</c:v>
                </c:pt>
                <c:pt idx="620">
                  <c:v>159.72999999999999</c:v>
                </c:pt>
                <c:pt idx="621">
                  <c:v>196.83</c:v>
                </c:pt>
                <c:pt idx="622">
                  <c:v>233.92</c:v>
                </c:pt>
                <c:pt idx="623">
                  <c:v>209.47</c:v>
                </c:pt>
                <c:pt idx="624">
                  <c:v>185.01</c:v>
                </c:pt>
                <c:pt idx="625">
                  <c:v>189.12</c:v>
                </c:pt>
                <c:pt idx="626">
                  <c:v>193.22</c:v>
                </c:pt>
                <c:pt idx="627">
                  <c:v>178.45</c:v>
                </c:pt>
                <c:pt idx="628">
                  <c:v>163.66999999999999</c:v>
                </c:pt>
                <c:pt idx="629">
                  <c:v>168.43</c:v>
                </c:pt>
                <c:pt idx="630">
                  <c:v>173.19</c:v>
                </c:pt>
                <c:pt idx="631">
                  <c:v>171.72</c:v>
                </c:pt>
                <c:pt idx="632">
                  <c:v>170.24</c:v>
                </c:pt>
                <c:pt idx="633">
                  <c:v>191.74</c:v>
                </c:pt>
                <c:pt idx="634">
                  <c:v>213.24</c:v>
                </c:pt>
                <c:pt idx="635">
                  <c:v>174.34</c:v>
                </c:pt>
                <c:pt idx="636">
                  <c:v>135.44</c:v>
                </c:pt>
                <c:pt idx="637">
                  <c:v>130.19</c:v>
                </c:pt>
                <c:pt idx="638">
                  <c:v>124.94</c:v>
                </c:pt>
                <c:pt idx="639">
                  <c:v>120.51</c:v>
                </c:pt>
                <c:pt idx="640">
                  <c:v>116.07</c:v>
                </c:pt>
                <c:pt idx="641">
                  <c:v>110.66</c:v>
                </c:pt>
                <c:pt idx="642">
                  <c:v>105.24</c:v>
                </c:pt>
                <c:pt idx="643">
                  <c:v>105.08</c:v>
                </c:pt>
                <c:pt idx="644">
                  <c:v>104.91</c:v>
                </c:pt>
                <c:pt idx="645">
                  <c:v>112.14</c:v>
                </c:pt>
                <c:pt idx="646">
                  <c:v>119.36</c:v>
                </c:pt>
                <c:pt idx="647">
                  <c:v>146.77000000000001</c:v>
                </c:pt>
                <c:pt idx="648">
                  <c:v>174.18</c:v>
                </c:pt>
                <c:pt idx="649">
                  <c:v>211.11</c:v>
                </c:pt>
                <c:pt idx="650">
                  <c:v>248.04</c:v>
                </c:pt>
                <c:pt idx="651">
                  <c:v>276.11</c:v>
                </c:pt>
                <c:pt idx="652">
                  <c:v>304.17</c:v>
                </c:pt>
                <c:pt idx="653">
                  <c:v>326.17</c:v>
                </c:pt>
                <c:pt idx="654">
                  <c:v>348.16</c:v>
                </c:pt>
                <c:pt idx="655">
                  <c:v>369.17</c:v>
                </c:pt>
                <c:pt idx="656">
                  <c:v>390.18</c:v>
                </c:pt>
                <c:pt idx="657">
                  <c:v>401.51</c:v>
                </c:pt>
                <c:pt idx="658">
                  <c:v>412.83</c:v>
                </c:pt>
                <c:pt idx="659">
                  <c:v>540.37</c:v>
                </c:pt>
                <c:pt idx="660">
                  <c:v>667.9</c:v>
                </c:pt>
                <c:pt idx="661">
                  <c:v>529.70000000000005</c:v>
                </c:pt>
                <c:pt idx="662">
                  <c:v>391.5</c:v>
                </c:pt>
                <c:pt idx="663">
                  <c:v>464.04</c:v>
                </c:pt>
                <c:pt idx="664">
                  <c:v>536.59</c:v>
                </c:pt>
                <c:pt idx="665">
                  <c:v>736.35</c:v>
                </c:pt>
                <c:pt idx="666">
                  <c:v>936.1</c:v>
                </c:pt>
                <c:pt idx="667">
                  <c:v>702.21</c:v>
                </c:pt>
                <c:pt idx="668">
                  <c:v>468.31</c:v>
                </c:pt>
                <c:pt idx="669">
                  <c:v>758.01</c:v>
                </c:pt>
                <c:pt idx="670">
                  <c:v>1047.71</c:v>
                </c:pt>
                <c:pt idx="671">
                  <c:v>751.77</c:v>
                </c:pt>
                <c:pt idx="672">
                  <c:v>455.84</c:v>
                </c:pt>
                <c:pt idx="673">
                  <c:v>433.02</c:v>
                </c:pt>
                <c:pt idx="674">
                  <c:v>410.21</c:v>
                </c:pt>
                <c:pt idx="675">
                  <c:v>318.77999999999997</c:v>
                </c:pt>
                <c:pt idx="676">
                  <c:v>227.36</c:v>
                </c:pt>
                <c:pt idx="677">
                  <c:v>195.52</c:v>
                </c:pt>
                <c:pt idx="678">
                  <c:v>163.66999999999999</c:v>
                </c:pt>
                <c:pt idx="679">
                  <c:v>178.12</c:v>
                </c:pt>
                <c:pt idx="680">
                  <c:v>192.56</c:v>
                </c:pt>
                <c:pt idx="681">
                  <c:v>201.75</c:v>
                </c:pt>
                <c:pt idx="682">
                  <c:v>210.95</c:v>
                </c:pt>
                <c:pt idx="683">
                  <c:v>234.09</c:v>
                </c:pt>
                <c:pt idx="684">
                  <c:v>257.23</c:v>
                </c:pt>
                <c:pt idx="685">
                  <c:v>227.52</c:v>
                </c:pt>
                <c:pt idx="686">
                  <c:v>197.81</c:v>
                </c:pt>
                <c:pt idx="687">
                  <c:v>237.54</c:v>
                </c:pt>
                <c:pt idx="688">
                  <c:v>277.26</c:v>
                </c:pt>
                <c:pt idx="689">
                  <c:v>260.35000000000002</c:v>
                </c:pt>
                <c:pt idx="690">
                  <c:v>243.44</c:v>
                </c:pt>
                <c:pt idx="691">
                  <c:v>288.91000000000003</c:v>
                </c:pt>
                <c:pt idx="692">
                  <c:v>334.38</c:v>
                </c:pt>
                <c:pt idx="693">
                  <c:v>435.81</c:v>
                </c:pt>
                <c:pt idx="694">
                  <c:v>537.25</c:v>
                </c:pt>
                <c:pt idx="695">
                  <c:v>474.38</c:v>
                </c:pt>
                <c:pt idx="696">
                  <c:v>411.52</c:v>
                </c:pt>
                <c:pt idx="697">
                  <c:v>467</c:v>
                </c:pt>
                <c:pt idx="698">
                  <c:v>522.48</c:v>
                </c:pt>
                <c:pt idx="699">
                  <c:v>410.86</c:v>
                </c:pt>
                <c:pt idx="700">
                  <c:v>299.25</c:v>
                </c:pt>
                <c:pt idx="701">
                  <c:v>269.05</c:v>
                </c:pt>
                <c:pt idx="702">
                  <c:v>238.85</c:v>
                </c:pt>
                <c:pt idx="703">
                  <c:v>260.51</c:v>
                </c:pt>
                <c:pt idx="704">
                  <c:v>282.18</c:v>
                </c:pt>
                <c:pt idx="705">
                  <c:v>317.14</c:v>
                </c:pt>
                <c:pt idx="706">
                  <c:v>352.1</c:v>
                </c:pt>
                <c:pt idx="707">
                  <c:v>362.28</c:v>
                </c:pt>
                <c:pt idx="708">
                  <c:v>372.46</c:v>
                </c:pt>
                <c:pt idx="709">
                  <c:v>501.96</c:v>
                </c:pt>
                <c:pt idx="710">
                  <c:v>631.46</c:v>
                </c:pt>
                <c:pt idx="711">
                  <c:v>452.39</c:v>
                </c:pt>
                <c:pt idx="712">
                  <c:v>273.32</c:v>
                </c:pt>
                <c:pt idx="713">
                  <c:v>239.01</c:v>
                </c:pt>
                <c:pt idx="714">
                  <c:v>204.71</c:v>
                </c:pt>
                <c:pt idx="715">
                  <c:v>177.79</c:v>
                </c:pt>
                <c:pt idx="716">
                  <c:v>150.87</c:v>
                </c:pt>
                <c:pt idx="717">
                  <c:v>141.84</c:v>
                </c:pt>
                <c:pt idx="718">
                  <c:v>132.82</c:v>
                </c:pt>
                <c:pt idx="719">
                  <c:v>128.88</c:v>
                </c:pt>
                <c:pt idx="720">
                  <c:v>124.94</c:v>
                </c:pt>
                <c:pt idx="721">
                  <c:v>130.85</c:v>
                </c:pt>
                <c:pt idx="722">
                  <c:v>136.76</c:v>
                </c:pt>
                <c:pt idx="723">
                  <c:v>134.13</c:v>
                </c:pt>
                <c:pt idx="724">
                  <c:v>131.5</c:v>
                </c:pt>
                <c:pt idx="725">
                  <c:v>123.13</c:v>
                </c:pt>
                <c:pt idx="726">
                  <c:v>114.76</c:v>
                </c:pt>
                <c:pt idx="727">
                  <c:v>115.09</c:v>
                </c:pt>
                <c:pt idx="728">
                  <c:v>115.42</c:v>
                </c:pt>
                <c:pt idx="729">
                  <c:v>118.7</c:v>
                </c:pt>
                <c:pt idx="730">
                  <c:v>121.98</c:v>
                </c:pt>
                <c:pt idx="731">
                  <c:v>126.09</c:v>
                </c:pt>
                <c:pt idx="732">
                  <c:v>130.19</c:v>
                </c:pt>
                <c:pt idx="733">
                  <c:v>133.13999999999999</c:v>
                </c:pt>
                <c:pt idx="734">
                  <c:v>136.1</c:v>
                </c:pt>
                <c:pt idx="735">
                  <c:v>142.01</c:v>
                </c:pt>
                <c:pt idx="736">
                  <c:v>147.91999999999999</c:v>
                </c:pt>
                <c:pt idx="737">
                  <c:v>162.19999999999999</c:v>
                </c:pt>
                <c:pt idx="738">
                  <c:v>176.48</c:v>
                </c:pt>
                <c:pt idx="739">
                  <c:v>199.78</c:v>
                </c:pt>
                <c:pt idx="740">
                  <c:v>223.09</c:v>
                </c:pt>
                <c:pt idx="741">
                  <c:v>238.03</c:v>
                </c:pt>
                <c:pt idx="742">
                  <c:v>252.96</c:v>
                </c:pt>
                <c:pt idx="743">
                  <c:v>247.06</c:v>
                </c:pt>
                <c:pt idx="744">
                  <c:v>241.15</c:v>
                </c:pt>
                <c:pt idx="745">
                  <c:v>257.39999999999998</c:v>
                </c:pt>
                <c:pt idx="746">
                  <c:v>273.64999999999998</c:v>
                </c:pt>
                <c:pt idx="747">
                  <c:v>254.44</c:v>
                </c:pt>
                <c:pt idx="748">
                  <c:v>235.24</c:v>
                </c:pt>
                <c:pt idx="749">
                  <c:v>241.64</c:v>
                </c:pt>
                <c:pt idx="750">
                  <c:v>248.04</c:v>
                </c:pt>
                <c:pt idx="751">
                  <c:v>243.12</c:v>
                </c:pt>
                <c:pt idx="752">
                  <c:v>238.19</c:v>
                </c:pt>
                <c:pt idx="753">
                  <c:v>228.02</c:v>
                </c:pt>
                <c:pt idx="754">
                  <c:v>217.84</c:v>
                </c:pt>
                <c:pt idx="755">
                  <c:v>215.05</c:v>
                </c:pt>
                <c:pt idx="756">
                  <c:v>212.26</c:v>
                </c:pt>
                <c:pt idx="757">
                  <c:v>218.82</c:v>
                </c:pt>
                <c:pt idx="758">
                  <c:v>225.39</c:v>
                </c:pt>
                <c:pt idx="759">
                  <c:v>231.46</c:v>
                </c:pt>
                <c:pt idx="760">
                  <c:v>237.54</c:v>
                </c:pt>
                <c:pt idx="761">
                  <c:v>240.98</c:v>
                </c:pt>
                <c:pt idx="762">
                  <c:v>244.43</c:v>
                </c:pt>
                <c:pt idx="763">
                  <c:v>252.14</c:v>
                </c:pt>
                <c:pt idx="764">
                  <c:v>259.86</c:v>
                </c:pt>
                <c:pt idx="765">
                  <c:v>266.42</c:v>
                </c:pt>
                <c:pt idx="766">
                  <c:v>272.99</c:v>
                </c:pt>
                <c:pt idx="767">
                  <c:v>269.54000000000002</c:v>
                </c:pt>
                <c:pt idx="768">
                  <c:v>266.10000000000002</c:v>
                </c:pt>
                <c:pt idx="769">
                  <c:v>298.76</c:v>
                </c:pt>
                <c:pt idx="770">
                  <c:v>331.42</c:v>
                </c:pt>
                <c:pt idx="771">
                  <c:v>327.48</c:v>
                </c:pt>
                <c:pt idx="772">
                  <c:v>323.54000000000002</c:v>
                </c:pt>
                <c:pt idx="773">
                  <c:v>383.29</c:v>
                </c:pt>
                <c:pt idx="774">
                  <c:v>443.03</c:v>
                </c:pt>
                <c:pt idx="775">
                  <c:v>454.52</c:v>
                </c:pt>
                <c:pt idx="776">
                  <c:v>466.01</c:v>
                </c:pt>
                <c:pt idx="777">
                  <c:v>510.49</c:v>
                </c:pt>
                <c:pt idx="778">
                  <c:v>554.98</c:v>
                </c:pt>
                <c:pt idx="779">
                  <c:v>554.80999999999995</c:v>
                </c:pt>
                <c:pt idx="780">
                  <c:v>554.65</c:v>
                </c:pt>
                <c:pt idx="781">
                  <c:v>484.4</c:v>
                </c:pt>
                <c:pt idx="782">
                  <c:v>414.15</c:v>
                </c:pt>
                <c:pt idx="783">
                  <c:v>385.75</c:v>
                </c:pt>
                <c:pt idx="784">
                  <c:v>357.36</c:v>
                </c:pt>
                <c:pt idx="785">
                  <c:v>328.14</c:v>
                </c:pt>
                <c:pt idx="786">
                  <c:v>298.92</c:v>
                </c:pt>
                <c:pt idx="787">
                  <c:v>298.92</c:v>
                </c:pt>
                <c:pt idx="788">
                  <c:v>298.92</c:v>
                </c:pt>
                <c:pt idx="789">
                  <c:v>326.17</c:v>
                </c:pt>
                <c:pt idx="790">
                  <c:v>353.42</c:v>
                </c:pt>
                <c:pt idx="791">
                  <c:v>341.93</c:v>
                </c:pt>
                <c:pt idx="792">
                  <c:v>330.44</c:v>
                </c:pt>
                <c:pt idx="793">
                  <c:v>351.45</c:v>
                </c:pt>
                <c:pt idx="794">
                  <c:v>372.46</c:v>
                </c:pt>
                <c:pt idx="795">
                  <c:v>371.96</c:v>
                </c:pt>
                <c:pt idx="796">
                  <c:v>371.47</c:v>
                </c:pt>
                <c:pt idx="797">
                  <c:v>387.39</c:v>
                </c:pt>
                <c:pt idx="798">
                  <c:v>403.31</c:v>
                </c:pt>
                <c:pt idx="799">
                  <c:v>444.51</c:v>
                </c:pt>
                <c:pt idx="800">
                  <c:v>485.71</c:v>
                </c:pt>
                <c:pt idx="801">
                  <c:v>464.21</c:v>
                </c:pt>
                <c:pt idx="802">
                  <c:v>442.71</c:v>
                </c:pt>
                <c:pt idx="803">
                  <c:v>393.79</c:v>
                </c:pt>
                <c:pt idx="804">
                  <c:v>344.88</c:v>
                </c:pt>
                <c:pt idx="805">
                  <c:v>337.17</c:v>
                </c:pt>
                <c:pt idx="806">
                  <c:v>329.45</c:v>
                </c:pt>
                <c:pt idx="807">
                  <c:v>372.78</c:v>
                </c:pt>
                <c:pt idx="808">
                  <c:v>416.12</c:v>
                </c:pt>
                <c:pt idx="809">
                  <c:v>508.85</c:v>
                </c:pt>
                <c:pt idx="810">
                  <c:v>601.59</c:v>
                </c:pt>
                <c:pt idx="811">
                  <c:v>778.04</c:v>
                </c:pt>
                <c:pt idx="812">
                  <c:v>954.48</c:v>
                </c:pt>
                <c:pt idx="813">
                  <c:v>779.02</c:v>
                </c:pt>
                <c:pt idx="814">
                  <c:v>603.55999999999995</c:v>
                </c:pt>
                <c:pt idx="815">
                  <c:v>490.14</c:v>
                </c:pt>
                <c:pt idx="816">
                  <c:v>376.72</c:v>
                </c:pt>
                <c:pt idx="817">
                  <c:v>372.13</c:v>
                </c:pt>
                <c:pt idx="818">
                  <c:v>367.53</c:v>
                </c:pt>
                <c:pt idx="819">
                  <c:v>488.83</c:v>
                </c:pt>
                <c:pt idx="820">
                  <c:v>610.13</c:v>
                </c:pt>
                <c:pt idx="821">
                  <c:v>547.26</c:v>
                </c:pt>
                <c:pt idx="822">
                  <c:v>484.4</c:v>
                </c:pt>
                <c:pt idx="823">
                  <c:v>443.03</c:v>
                </c:pt>
                <c:pt idx="824">
                  <c:v>401.67</c:v>
                </c:pt>
                <c:pt idx="825">
                  <c:v>494.08</c:v>
                </c:pt>
                <c:pt idx="826">
                  <c:v>586.49</c:v>
                </c:pt>
                <c:pt idx="827">
                  <c:v>483.08</c:v>
                </c:pt>
                <c:pt idx="828">
                  <c:v>379.68</c:v>
                </c:pt>
                <c:pt idx="829">
                  <c:v>371.96</c:v>
                </c:pt>
                <c:pt idx="830">
                  <c:v>364.25</c:v>
                </c:pt>
                <c:pt idx="831">
                  <c:v>363.26</c:v>
                </c:pt>
                <c:pt idx="832">
                  <c:v>362.28</c:v>
                </c:pt>
                <c:pt idx="833">
                  <c:v>325.02</c:v>
                </c:pt>
                <c:pt idx="834">
                  <c:v>287.76</c:v>
                </c:pt>
                <c:pt idx="835">
                  <c:v>290.06</c:v>
                </c:pt>
                <c:pt idx="836">
                  <c:v>292.36</c:v>
                </c:pt>
                <c:pt idx="837">
                  <c:v>368.84</c:v>
                </c:pt>
                <c:pt idx="838">
                  <c:v>445.33</c:v>
                </c:pt>
                <c:pt idx="839">
                  <c:v>426.95</c:v>
                </c:pt>
                <c:pt idx="840">
                  <c:v>408.57</c:v>
                </c:pt>
                <c:pt idx="841">
                  <c:v>641.48</c:v>
                </c:pt>
                <c:pt idx="842">
                  <c:v>874.38</c:v>
                </c:pt>
                <c:pt idx="843">
                  <c:v>855.34</c:v>
                </c:pt>
                <c:pt idx="844">
                  <c:v>836.31</c:v>
                </c:pt>
                <c:pt idx="845">
                  <c:v>827.61</c:v>
                </c:pt>
                <c:pt idx="846">
                  <c:v>818.91</c:v>
                </c:pt>
                <c:pt idx="847">
                  <c:v>596.34</c:v>
                </c:pt>
                <c:pt idx="848">
                  <c:v>373.77</c:v>
                </c:pt>
                <c:pt idx="849">
                  <c:v>455.18</c:v>
                </c:pt>
                <c:pt idx="850">
                  <c:v>536.59</c:v>
                </c:pt>
                <c:pt idx="851">
                  <c:v>603.07000000000005</c:v>
                </c:pt>
                <c:pt idx="852">
                  <c:v>669.54</c:v>
                </c:pt>
                <c:pt idx="853">
                  <c:v>573.36</c:v>
                </c:pt>
                <c:pt idx="854">
                  <c:v>477.17</c:v>
                </c:pt>
                <c:pt idx="855">
                  <c:v>618.5</c:v>
                </c:pt>
                <c:pt idx="856">
                  <c:v>759.82</c:v>
                </c:pt>
                <c:pt idx="857">
                  <c:v>721.9</c:v>
                </c:pt>
                <c:pt idx="858">
                  <c:v>683.99</c:v>
                </c:pt>
                <c:pt idx="859">
                  <c:v>683.17</c:v>
                </c:pt>
                <c:pt idx="860">
                  <c:v>682.35</c:v>
                </c:pt>
                <c:pt idx="861">
                  <c:v>681.52</c:v>
                </c:pt>
                <c:pt idx="862">
                  <c:v>680.7</c:v>
                </c:pt>
                <c:pt idx="863">
                  <c:v>692.19</c:v>
                </c:pt>
                <c:pt idx="864">
                  <c:v>703.68</c:v>
                </c:pt>
                <c:pt idx="865">
                  <c:v>569.91</c:v>
                </c:pt>
                <c:pt idx="866">
                  <c:v>436.14</c:v>
                </c:pt>
                <c:pt idx="867">
                  <c:v>303.52</c:v>
                </c:pt>
                <c:pt idx="868">
                  <c:v>170.9</c:v>
                </c:pt>
                <c:pt idx="869">
                  <c:v>405.28</c:v>
                </c:pt>
                <c:pt idx="870">
                  <c:v>639.66999999999996</c:v>
                </c:pt>
                <c:pt idx="871">
                  <c:v>632.61</c:v>
                </c:pt>
                <c:pt idx="872">
                  <c:v>625.54999999999995</c:v>
                </c:pt>
                <c:pt idx="873">
                  <c:v>619.15</c:v>
                </c:pt>
                <c:pt idx="874">
                  <c:v>612.75</c:v>
                </c:pt>
                <c:pt idx="875">
                  <c:v>613.08000000000004</c:v>
                </c:pt>
                <c:pt idx="876">
                  <c:v>613.41</c:v>
                </c:pt>
                <c:pt idx="877">
                  <c:v>612.41999999999996</c:v>
                </c:pt>
                <c:pt idx="878">
                  <c:v>611.44000000000005</c:v>
                </c:pt>
                <c:pt idx="879">
                  <c:v>611.11</c:v>
                </c:pt>
                <c:pt idx="880">
                  <c:v>610.78</c:v>
                </c:pt>
                <c:pt idx="881">
                  <c:v>610.78</c:v>
                </c:pt>
                <c:pt idx="882">
                  <c:v>610.78</c:v>
                </c:pt>
                <c:pt idx="883">
                  <c:v>618.82000000000005</c:v>
                </c:pt>
                <c:pt idx="884">
                  <c:v>626.87</c:v>
                </c:pt>
                <c:pt idx="885">
                  <c:v>622.27</c:v>
                </c:pt>
                <c:pt idx="886">
                  <c:v>617.67999999999995</c:v>
                </c:pt>
                <c:pt idx="887">
                  <c:v>614.39</c:v>
                </c:pt>
                <c:pt idx="888">
                  <c:v>611.11</c:v>
                </c:pt>
                <c:pt idx="889">
                  <c:v>615.21</c:v>
                </c:pt>
                <c:pt idx="890">
                  <c:v>619.32000000000005</c:v>
                </c:pt>
                <c:pt idx="891">
                  <c:v>617.17999999999995</c:v>
                </c:pt>
                <c:pt idx="892">
                  <c:v>615.04999999999995</c:v>
                </c:pt>
                <c:pt idx="893">
                  <c:v>622.92999999999995</c:v>
                </c:pt>
                <c:pt idx="894">
                  <c:v>630.80999999999995</c:v>
                </c:pt>
                <c:pt idx="895">
                  <c:v>645.58000000000004</c:v>
                </c:pt>
                <c:pt idx="896">
                  <c:v>660.35</c:v>
                </c:pt>
                <c:pt idx="897">
                  <c:v>671.18</c:v>
                </c:pt>
                <c:pt idx="898">
                  <c:v>682.02</c:v>
                </c:pt>
                <c:pt idx="899">
                  <c:v>676.11</c:v>
                </c:pt>
                <c:pt idx="900">
                  <c:v>670.2</c:v>
                </c:pt>
                <c:pt idx="901">
                  <c:v>660.84</c:v>
                </c:pt>
                <c:pt idx="902">
                  <c:v>651.49</c:v>
                </c:pt>
                <c:pt idx="903">
                  <c:v>646.4</c:v>
                </c:pt>
                <c:pt idx="904">
                  <c:v>641.30999999999995</c:v>
                </c:pt>
                <c:pt idx="905">
                  <c:v>668.07</c:v>
                </c:pt>
                <c:pt idx="906">
                  <c:v>694.82</c:v>
                </c:pt>
                <c:pt idx="907">
                  <c:v>630.48</c:v>
                </c:pt>
                <c:pt idx="908">
                  <c:v>566.14</c:v>
                </c:pt>
                <c:pt idx="909">
                  <c:v>624.9</c:v>
                </c:pt>
                <c:pt idx="910">
                  <c:v>683.66</c:v>
                </c:pt>
                <c:pt idx="911">
                  <c:v>537.58000000000004</c:v>
                </c:pt>
                <c:pt idx="912">
                  <c:v>391.5</c:v>
                </c:pt>
                <c:pt idx="913">
                  <c:v>371.96</c:v>
                </c:pt>
                <c:pt idx="914">
                  <c:v>352.43</c:v>
                </c:pt>
                <c:pt idx="915">
                  <c:v>337.17</c:v>
                </c:pt>
                <c:pt idx="916">
                  <c:v>321.89999999999998</c:v>
                </c:pt>
                <c:pt idx="917">
                  <c:v>359.65</c:v>
                </c:pt>
                <c:pt idx="918">
                  <c:v>397.4</c:v>
                </c:pt>
                <c:pt idx="919">
                  <c:v>384.44</c:v>
                </c:pt>
                <c:pt idx="920">
                  <c:v>371.47</c:v>
                </c:pt>
                <c:pt idx="921">
                  <c:v>329.29</c:v>
                </c:pt>
                <c:pt idx="922">
                  <c:v>287.10000000000002</c:v>
                </c:pt>
                <c:pt idx="923">
                  <c:v>300.73</c:v>
                </c:pt>
                <c:pt idx="924">
                  <c:v>314.35000000000002</c:v>
                </c:pt>
                <c:pt idx="925">
                  <c:v>533.79999999999995</c:v>
                </c:pt>
                <c:pt idx="926">
                  <c:v>753.25</c:v>
                </c:pt>
                <c:pt idx="927">
                  <c:v>631.13</c:v>
                </c:pt>
                <c:pt idx="928">
                  <c:v>509.02</c:v>
                </c:pt>
                <c:pt idx="929">
                  <c:v>436.96</c:v>
                </c:pt>
                <c:pt idx="930">
                  <c:v>364.91</c:v>
                </c:pt>
                <c:pt idx="931">
                  <c:v>383.29</c:v>
                </c:pt>
                <c:pt idx="932">
                  <c:v>401.67</c:v>
                </c:pt>
                <c:pt idx="933">
                  <c:v>467.33</c:v>
                </c:pt>
                <c:pt idx="934">
                  <c:v>532.98</c:v>
                </c:pt>
                <c:pt idx="935">
                  <c:v>432.04</c:v>
                </c:pt>
                <c:pt idx="936">
                  <c:v>331.09</c:v>
                </c:pt>
                <c:pt idx="937">
                  <c:v>291.86</c:v>
                </c:pt>
                <c:pt idx="938">
                  <c:v>252.64</c:v>
                </c:pt>
                <c:pt idx="939">
                  <c:v>252.64</c:v>
                </c:pt>
                <c:pt idx="940">
                  <c:v>252.64</c:v>
                </c:pt>
                <c:pt idx="941">
                  <c:v>305.32</c:v>
                </c:pt>
                <c:pt idx="942">
                  <c:v>358.01</c:v>
                </c:pt>
                <c:pt idx="943">
                  <c:v>380.33</c:v>
                </c:pt>
                <c:pt idx="944">
                  <c:v>402.66</c:v>
                </c:pt>
                <c:pt idx="945">
                  <c:v>320.42</c:v>
                </c:pt>
                <c:pt idx="946">
                  <c:v>238.19</c:v>
                </c:pt>
                <c:pt idx="947">
                  <c:v>224.08</c:v>
                </c:pt>
                <c:pt idx="948">
                  <c:v>209.96</c:v>
                </c:pt>
                <c:pt idx="949">
                  <c:v>223.58</c:v>
                </c:pt>
                <c:pt idx="950">
                  <c:v>237.21</c:v>
                </c:pt>
                <c:pt idx="951">
                  <c:v>331.59</c:v>
                </c:pt>
                <c:pt idx="952">
                  <c:v>425.96</c:v>
                </c:pt>
                <c:pt idx="953">
                  <c:v>362.77</c:v>
                </c:pt>
                <c:pt idx="954">
                  <c:v>299.58</c:v>
                </c:pt>
                <c:pt idx="955">
                  <c:v>300.73</c:v>
                </c:pt>
                <c:pt idx="956">
                  <c:v>301.88</c:v>
                </c:pt>
                <c:pt idx="957">
                  <c:v>245.09</c:v>
                </c:pt>
                <c:pt idx="958">
                  <c:v>188.29</c:v>
                </c:pt>
                <c:pt idx="959">
                  <c:v>234.25</c:v>
                </c:pt>
                <c:pt idx="960">
                  <c:v>280.20999999999998</c:v>
                </c:pt>
                <c:pt idx="961">
                  <c:v>256.25</c:v>
                </c:pt>
                <c:pt idx="962">
                  <c:v>232.28</c:v>
                </c:pt>
                <c:pt idx="963">
                  <c:v>242.3</c:v>
                </c:pt>
                <c:pt idx="964">
                  <c:v>252.31</c:v>
                </c:pt>
                <c:pt idx="965">
                  <c:v>220.63</c:v>
                </c:pt>
                <c:pt idx="966">
                  <c:v>188.95</c:v>
                </c:pt>
                <c:pt idx="967">
                  <c:v>313.04000000000002</c:v>
                </c:pt>
                <c:pt idx="968">
                  <c:v>437.13</c:v>
                </c:pt>
                <c:pt idx="969">
                  <c:v>416.61</c:v>
                </c:pt>
                <c:pt idx="970">
                  <c:v>396.09</c:v>
                </c:pt>
                <c:pt idx="971">
                  <c:v>468.97</c:v>
                </c:pt>
                <c:pt idx="972">
                  <c:v>541.84</c:v>
                </c:pt>
                <c:pt idx="973">
                  <c:v>397.4</c:v>
                </c:pt>
                <c:pt idx="974">
                  <c:v>252.96</c:v>
                </c:pt>
                <c:pt idx="975">
                  <c:v>215.87</c:v>
                </c:pt>
                <c:pt idx="976">
                  <c:v>178.77</c:v>
                </c:pt>
                <c:pt idx="977">
                  <c:v>260.83999999999997</c:v>
                </c:pt>
                <c:pt idx="978">
                  <c:v>342.91</c:v>
                </c:pt>
                <c:pt idx="979">
                  <c:v>307.29000000000002</c:v>
                </c:pt>
                <c:pt idx="980">
                  <c:v>271.68</c:v>
                </c:pt>
                <c:pt idx="981">
                  <c:v>333.06</c:v>
                </c:pt>
                <c:pt idx="982">
                  <c:v>394.45</c:v>
                </c:pt>
                <c:pt idx="983">
                  <c:v>381.48</c:v>
                </c:pt>
                <c:pt idx="984">
                  <c:v>368.52</c:v>
                </c:pt>
                <c:pt idx="985">
                  <c:v>302.37</c:v>
                </c:pt>
                <c:pt idx="986">
                  <c:v>236.22</c:v>
                </c:pt>
                <c:pt idx="987">
                  <c:v>296.13</c:v>
                </c:pt>
                <c:pt idx="988">
                  <c:v>356.04</c:v>
                </c:pt>
                <c:pt idx="989">
                  <c:v>252.96</c:v>
                </c:pt>
                <c:pt idx="990">
                  <c:v>149.88999999999999</c:v>
                </c:pt>
                <c:pt idx="991">
                  <c:v>267.89999999999998</c:v>
                </c:pt>
                <c:pt idx="992">
                  <c:v>385.91</c:v>
                </c:pt>
                <c:pt idx="993">
                  <c:v>372.29</c:v>
                </c:pt>
                <c:pt idx="994">
                  <c:v>358.67</c:v>
                </c:pt>
                <c:pt idx="995">
                  <c:v>353.09</c:v>
                </c:pt>
                <c:pt idx="996">
                  <c:v>347.51</c:v>
                </c:pt>
                <c:pt idx="997">
                  <c:v>349.48</c:v>
                </c:pt>
                <c:pt idx="998">
                  <c:v>351.45</c:v>
                </c:pt>
                <c:pt idx="999">
                  <c:v>314.19</c:v>
                </c:pt>
                <c:pt idx="1000">
                  <c:v>276.93</c:v>
                </c:pt>
                <c:pt idx="1001">
                  <c:v>285.63</c:v>
                </c:pt>
                <c:pt idx="1002">
                  <c:v>294.33</c:v>
                </c:pt>
                <c:pt idx="1003">
                  <c:v>292.02999999999997</c:v>
                </c:pt>
                <c:pt idx="1004">
                  <c:v>289.73</c:v>
                </c:pt>
                <c:pt idx="1005">
                  <c:v>309.58999999999997</c:v>
                </c:pt>
                <c:pt idx="1006">
                  <c:v>329.45</c:v>
                </c:pt>
                <c:pt idx="1007">
                  <c:v>296.95</c:v>
                </c:pt>
                <c:pt idx="1008">
                  <c:v>264.45</c:v>
                </c:pt>
                <c:pt idx="1009">
                  <c:v>267.74</c:v>
                </c:pt>
                <c:pt idx="1010">
                  <c:v>271.02</c:v>
                </c:pt>
                <c:pt idx="1011">
                  <c:v>270.69</c:v>
                </c:pt>
                <c:pt idx="1012">
                  <c:v>270.36</c:v>
                </c:pt>
                <c:pt idx="1013">
                  <c:v>265.93</c:v>
                </c:pt>
                <c:pt idx="1014">
                  <c:v>261.5</c:v>
                </c:pt>
                <c:pt idx="1015">
                  <c:v>258.22000000000003</c:v>
                </c:pt>
                <c:pt idx="1016">
                  <c:v>254.93</c:v>
                </c:pt>
                <c:pt idx="1017">
                  <c:v>250.83</c:v>
                </c:pt>
                <c:pt idx="1018">
                  <c:v>246.73</c:v>
                </c:pt>
                <c:pt idx="1019">
                  <c:v>246.23</c:v>
                </c:pt>
                <c:pt idx="1020">
                  <c:v>245.74</c:v>
                </c:pt>
                <c:pt idx="1021">
                  <c:v>242.62</c:v>
                </c:pt>
                <c:pt idx="1022">
                  <c:v>239.51</c:v>
                </c:pt>
                <c:pt idx="1023">
                  <c:v>235.89</c:v>
                </c:pt>
                <c:pt idx="1024">
                  <c:v>232.28</c:v>
                </c:pt>
                <c:pt idx="1025">
                  <c:v>229.99</c:v>
                </c:pt>
                <c:pt idx="1026">
                  <c:v>227.69</c:v>
                </c:pt>
                <c:pt idx="1027">
                  <c:v>224.08</c:v>
                </c:pt>
                <c:pt idx="1028">
                  <c:v>220.47</c:v>
                </c:pt>
                <c:pt idx="1029">
                  <c:v>216.69</c:v>
                </c:pt>
                <c:pt idx="1030">
                  <c:v>212.92</c:v>
                </c:pt>
                <c:pt idx="1031">
                  <c:v>209.3</c:v>
                </c:pt>
                <c:pt idx="1032">
                  <c:v>205.69</c:v>
                </c:pt>
                <c:pt idx="1033">
                  <c:v>233.1</c:v>
                </c:pt>
                <c:pt idx="1034">
                  <c:v>260.51</c:v>
                </c:pt>
                <c:pt idx="1035">
                  <c:v>226.21</c:v>
                </c:pt>
                <c:pt idx="1036">
                  <c:v>191.91</c:v>
                </c:pt>
                <c:pt idx="1037">
                  <c:v>191.74</c:v>
                </c:pt>
                <c:pt idx="1038">
                  <c:v>191.58</c:v>
                </c:pt>
                <c:pt idx="1039">
                  <c:v>187.97</c:v>
                </c:pt>
                <c:pt idx="1040">
                  <c:v>184.36</c:v>
                </c:pt>
                <c:pt idx="1041">
                  <c:v>181.73</c:v>
                </c:pt>
                <c:pt idx="1042">
                  <c:v>179.1</c:v>
                </c:pt>
                <c:pt idx="1043">
                  <c:v>175.33</c:v>
                </c:pt>
                <c:pt idx="1044">
                  <c:v>171.55</c:v>
                </c:pt>
                <c:pt idx="1045">
                  <c:v>128.55000000000001</c:v>
                </c:pt>
                <c:pt idx="1046">
                  <c:v>85.55</c:v>
                </c:pt>
                <c:pt idx="1047">
                  <c:v>74.22</c:v>
                </c:pt>
                <c:pt idx="1048">
                  <c:v>62.89</c:v>
                </c:pt>
                <c:pt idx="1049">
                  <c:v>59.12</c:v>
                </c:pt>
                <c:pt idx="1050">
                  <c:v>55.34</c:v>
                </c:pt>
                <c:pt idx="1051">
                  <c:v>53.37</c:v>
                </c:pt>
                <c:pt idx="1052">
                  <c:v>51.4</c:v>
                </c:pt>
                <c:pt idx="1053">
                  <c:v>50.26</c:v>
                </c:pt>
                <c:pt idx="1054">
                  <c:v>49.11</c:v>
                </c:pt>
                <c:pt idx="1055">
                  <c:v>48.12</c:v>
                </c:pt>
                <c:pt idx="1056">
                  <c:v>47.14</c:v>
                </c:pt>
                <c:pt idx="1057">
                  <c:v>44.84</c:v>
                </c:pt>
                <c:pt idx="1058">
                  <c:v>42.54</c:v>
                </c:pt>
                <c:pt idx="1059">
                  <c:v>45</c:v>
                </c:pt>
                <c:pt idx="1060">
                  <c:v>47.47</c:v>
                </c:pt>
                <c:pt idx="1061">
                  <c:v>43.69</c:v>
                </c:pt>
                <c:pt idx="1062">
                  <c:v>39.92</c:v>
                </c:pt>
                <c:pt idx="1063">
                  <c:v>40.24</c:v>
                </c:pt>
                <c:pt idx="1064">
                  <c:v>40.57</c:v>
                </c:pt>
                <c:pt idx="1065">
                  <c:v>39.090000000000003</c:v>
                </c:pt>
                <c:pt idx="1066">
                  <c:v>37.619999999999997</c:v>
                </c:pt>
                <c:pt idx="1067">
                  <c:v>37.78</c:v>
                </c:pt>
                <c:pt idx="1068">
                  <c:v>37.950000000000003</c:v>
                </c:pt>
                <c:pt idx="1069">
                  <c:v>37.78</c:v>
                </c:pt>
                <c:pt idx="1070">
                  <c:v>37.619999999999997</c:v>
                </c:pt>
                <c:pt idx="1071">
                  <c:v>36.630000000000003</c:v>
                </c:pt>
                <c:pt idx="1072">
                  <c:v>35.65</c:v>
                </c:pt>
                <c:pt idx="1073">
                  <c:v>35.479999999999997</c:v>
                </c:pt>
                <c:pt idx="1074">
                  <c:v>35.32</c:v>
                </c:pt>
                <c:pt idx="1075">
                  <c:v>77.010000000000005</c:v>
                </c:pt>
                <c:pt idx="1076">
                  <c:v>118.7</c:v>
                </c:pt>
                <c:pt idx="1077">
                  <c:v>88.99</c:v>
                </c:pt>
                <c:pt idx="1078">
                  <c:v>59.28</c:v>
                </c:pt>
                <c:pt idx="1079">
                  <c:v>46.81</c:v>
                </c:pt>
                <c:pt idx="1080">
                  <c:v>34.33</c:v>
                </c:pt>
                <c:pt idx="1081">
                  <c:v>33.19</c:v>
                </c:pt>
                <c:pt idx="1082">
                  <c:v>32.04</c:v>
                </c:pt>
                <c:pt idx="1083">
                  <c:v>34.83</c:v>
                </c:pt>
                <c:pt idx="1084">
                  <c:v>37.619999999999997</c:v>
                </c:pt>
                <c:pt idx="1085">
                  <c:v>35.81</c:v>
                </c:pt>
                <c:pt idx="1086">
                  <c:v>34.01</c:v>
                </c:pt>
                <c:pt idx="1087">
                  <c:v>33.68</c:v>
                </c:pt>
                <c:pt idx="1088">
                  <c:v>33.35</c:v>
                </c:pt>
                <c:pt idx="1089">
                  <c:v>64.86</c:v>
                </c:pt>
                <c:pt idx="1090">
                  <c:v>96.38</c:v>
                </c:pt>
                <c:pt idx="1091">
                  <c:v>62.4</c:v>
                </c:pt>
                <c:pt idx="1092">
                  <c:v>28.43</c:v>
                </c:pt>
                <c:pt idx="1093">
                  <c:v>27.77</c:v>
                </c:pt>
                <c:pt idx="1094">
                  <c:v>27.11</c:v>
                </c:pt>
                <c:pt idx="1095">
                  <c:v>26.29</c:v>
                </c:pt>
                <c:pt idx="1096">
                  <c:v>25.47</c:v>
                </c:pt>
                <c:pt idx="1097">
                  <c:v>23.83</c:v>
                </c:pt>
                <c:pt idx="1098">
                  <c:v>22.19</c:v>
                </c:pt>
                <c:pt idx="1099">
                  <c:v>22.85</c:v>
                </c:pt>
                <c:pt idx="1100">
                  <c:v>23.5</c:v>
                </c:pt>
                <c:pt idx="1101">
                  <c:v>24.32</c:v>
                </c:pt>
                <c:pt idx="1102">
                  <c:v>25.14</c:v>
                </c:pt>
                <c:pt idx="1103">
                  <c:v>23.67</c:v>
                </c:pt>
                <c:pt idx="1104">
                  <c:v>22.19</c:v>
                </c:pt>
                <c:pt idx="1105">
                  <c:v>42.05</c:v>
                </c:pt>
                <c:pt idx="1106">
                  <c:v>61.91</c:v>
                </c:pt>
                <c:pt idx="1107">
                  <c:v>40.409999999999997</c:v>
                </c:pt>
                <c:pt idx="1108">
                  <c:v>18.91</c:v>
                </c:pt>
                <c:pt idx="1109">
                  <c:v>19.23</c:v>
                </c:pt>
                <c:pt idx="1110">
                  <c:v>19.559999999999999</c:v>
                </c:pt>
                <c:pt idx="1111">
                  <c:v>54.03</c:v>
                </c:pt>
                <c:pt idx="1112">
                  <c:v>88.5</c:v>
                </c:pt>
                <c:pt idx="1113">
                  <c:v>53.37</c:v>
                </c:pt>
                <c:pt idx="1114">
                  <c:v>18.25</c:v>
                </c:pt>
                <c:pt idx="1115">
                  <c:v>17.920000000000002</c:v>
                </c:pt>
                <c:pt idx="1116">
                  <c:v>17.59</c:v>
                </c:pt>
                <c:pt idx="1117">
                  <c:v>16.28</c:v>
                </c:pt>
                <c:pt idx="1118">
                  <c:v>14.97</c:v>
                </c:pt>
                <c:pt idx="1119">
                  <c:v>14.47</c:v>
                </c:pt>
                <c:pt idx="1120">
                  <c:v>13.98</c:v>
                </c:pt>
                <c:pt idx="1121">
                  <c:v>30.07</c:v>
                </c:pt>
                <c:pt idx="1122">
                  <c:v>46.15</c:v>
                </c:pt>
                <c:pt idx="1123">
                  <c:v>52.06</c:v>
                </c:pt>
                <c:pt idx="1124">
                  <c:v>57.97</c:v>
                </c:pt>
                <c:pt idx="1125">
                  <c:v>35.32</c:v>
                </c:pt>
                <c:pt idx="1126">
                  <c:v>12.67</c:v>
                </c:pt>
                <c:pt idx="1127">
                  <c:v>11.19</c:v>
                </c:pt>
                <c:pt idx="1128">
                  <c:v>9.7100000000000009</c:v>
                </c:pt>
                <c:pt idx="1129">
                  <c:v>11.19</c:v>
                </c:pt>
                <c:pt idx="1130">
                  <c:v>12.67</c:v>
                </c:pt>
                <c:pt idx="1131">
                  <c:v>11.68</c:v>
                </c:pt>
                <c:pt idx="1132">
                  <c:v>10.7</c:v>
                </c:pt>
                <c:pt idx="1133">
                  <c:v>10.039999999999999</c:v>
                </c:pt>
                <c:pt idx="1134">
                  <c:v>9.39</c:v>
                </c:pt>
                <c:pt idx="1135">
                  <c:v>8.24</c:v>
                </c:pt>
                <c:pt idx="1136">
                  <c:v>7.09</c:v>
                </c:pt>
                <c:pt idx="1137">
                  <c:v>7.58</c:v>
                </c:pt>
                <c:pt idx="1138">
                  <c:v>8.5399999999999991</c:v>
                </c:pt>
                <c:pt idx="1139">
                  <c:v>8.24</c:v>
                </c:pt>
                <c:pt idx="1140">
                  <c:v>8.4</c:v>
                </c:pt>
                <c:pt idx="1141">
                  <c:v>44.02</c:v>
                </c:pt>
                <c:pt idx="1142">
                  <c:v>79.64</c:v>
                </c:pt>
                <c:pt idx="1143">
                  <c:v>51.24</c:v>
                </c:pt>
                <c:pt idx="1144">
                  <c:v>22.85</c:v>
                </c:pt>
                <c:pt idx="1145">
                  <c:v>14.31</c:v>
                </c:pt>
                <c:pt idx="1146">
                  <c:v>5.78</c:v>
                </c:pt>
                <c:pt idx="1147">
                  <c:v>50.26</c:v>
                </c:pt>
                <c:pt idx="1148">
                  <c:v>94.74</c:v>
                </c:pt>
                <c:pt idx="1149">
                  <c:v>50.91</c:v>
                </c:pt>
                <c:pt idx="1150">
                  <c:v>7.09</c:v>
                </c:pt>
                <c:pt idx="1151">
                  <c:v>7.42</c:v>
                </c:pt>
                <c:pt idx="1152">
                  <c:v>7.74</c:v>
                </c:pt>
                <c:pt idx="1153">
                  <c:v>5.94</c:v>
                </c:pt>
                <c:pt idx="1154">
                  <c:v>4.13</c:v>
                </c:pt>
                <c:pt idx="1155">
                  <c:v>3.31</c:v>
                </c:pt>
                <c:pt idx="1156">
                  <c:v>2.95</c:v>
                </c:pt>
                <c:pt idx="1157">
                  <c:v>4.95</c:v>
                </c:pt>
                <c:pt idx="1158">
                  <c:v>7.42</c:v>
                </c:pt>
                <c:pt idx="1159">
                  <c:v>6.43</c:v>
                </c:pt>
                <c:pt idx="1160">
                  <c:v>5.45</c:v>
                </c:pt>
                <c:pt idx="1161">
                  <c:v>4.13</c:v>
                </c:pt>
                <c:pt idx="1162">
                  <c:v>2.82</c:v>
                </c:pt>
                <c:pt idx="1163">
                  <c:v>2.98</c:v>
                </c:pt>
                <c:pt idx="1164">
                  <c:v>3.15</c:v>
                </c:pt>
                <c:pt idx="1165">
                  <c:v>3.15</c:v>
                </c:pt>
                <c:pt idx="1166">
                  <c:v>3.15</c:v>
                </c:pt>
                <c:pt idx="1167">
                  <c:v>5.28</c:v>
                </c:pt>
                <c:pt idx="1168">
                  <c:v>7.42</c:v>
                </c:pt>
                <c:pt idx="1169">
                  <c:v>41.56</c:v>
                </c:pt>
                <c:pt idx="1170">
                  <c:v>75.7</c:v>
                </c:pt>
                <c:pt idx="1171">
                  <c:v>48.61</c:v>
                </c:pt>
                <c:pt idx="1172">
                  <c:v>21.53</c:v>
                </c:pt>
                <c:pt idx="1173">
                  <c:v>13.49</c:v>
                </c:pt>
                <c:pt idx="1174">
                  <c:v>5.45</c:v>
                </c:pt>
                <c:pt idx="1175">
                  <c:v>4.13</c:v>
                </c:pt>
                <c:pt idx="1176">
                  <c:v>2.82</c:v>
                </c:pt>
                <c:pt idx="1177">
                  <c:v>2.33</c:v>
                </c:pt>
                <c:pt idx="1178">
                  <c:v>1.84</c:v>
                </c:pt>
                <c:pt idx="1179">
                  <c:v>2.66</c:v>
                </c:pt>
                <c:pt idx="1180">
                  <c:v>3.48</c:v>
                </c:pt>
                <c:pt idx="1181">
                  <c:v>3.15</c:v>
                </c:pt>
                <c:pt idx="1182">
                  <c:v>2.82</c:v>
                </c:pt>
                <c:pt idx="1183">
                  <c:v>2.4900000000000002</c:v>
                </c:pt>
                <c:pt idx="1184">
                  <c:v>2.16</c:v>
                </c:pt>
                <c:pt idx="1185">
                  <c:v>17.760000000000002</c:v>
                </c:pt>
                <c:pt idx="1186">
                  <c:v>33.35</c:v>
                </c:pt>
                <c:pt idx="1187">
                  <c:v>17.760000000000002</c:v>
                </c:pt>
                <c:pt idx="1188">
                  <c:v>2.16</c:v>
                </c:pt>
                <c:pt idx="1189">
                  <c:v>2.16</c:v>
                </c:pt>
                <c:pt idx="1190">
                  <c:v>2.16</c:v>
                </c:pt>
                <c:pt idx="1191">
                  <c:v>14.64</c:v>
                </c:pt>
                <c:pt idx="1192">
                  <c:v>27.11</c:v>
                </c:pt>
                <c:pt idx="1193">
                  <c:v>14.97</c:v>
                </c:pt>
                <c:pt idx="1194">
                  <c:v>2.82</c:v>
                </c:pt>
                <c:pt idx="1195">
                  <c:v>2</c:v>
                </c:pt>
                <c:pt idx="1196">
                  <c:v>2.63</c:v>
                </c:pt>
                <c:pt idx="1197">
                  <c:v>21.2</c:v>
                </c:pt>
                <c:pt idx="1198">
                  <c:v>41.23</c:v>
                </c:pt>
                <c:pt idx="1199">
                  <c:v>48.29</c:v>
                </c:pt>
                <c:pt idx="1200">
                  <c:v>55.34</c:v>
                </c:pt>
                <c:pt idx="1201">
                  <c:v>28.92</c:v>
                </c:pt>
                <c:pt idx="1202">
                  <c:v>2.4900000000000002</c:v>
                </c:pt>
                <c:pt idx="1203">
                  <c:v>2.16</c:v>
                </c:pt>
                <c:pt idx="1204">
                  <c:v>1.84</c:v>
                </c:pt>
                <c:pt idx="1205">
                  <c:v>41.23</c:v>
                </c:pt>
                <c:pt idx="1206">
                  <c:v>80.62</c:v>
                </c:pt>
                <c:pt idx="1207">
                  <c:v>86.69</c:v>
                </c:pt>
                <c:pt idx="1208">
                  <c:v>92.77</c:v>
                </c:pt>
                <c:pt idx="1209">
                  <c:v>47.63</c:v>
                </c:pt>
                <c:pt idx="1210">
                  <c:v>2.4900000000000002</c:v>
                </c:pt>
                <c:pt idx="1211">
                  <c:v>2.4900000000000002</c:v>
                </c:pt>
                <c:pt idx="1212">
                  <c:v>2.4900000000000002</c:v>
                </c:pt>
                <c:pt idx="1213">
                  <c:v>2.33</c:v>
                </c:pt>
                <c:pt idx="1214">
                  <c:v>2.16</c:v>
                </c:pt>
                <c:pt idx="1215">
                  <c:v>2.33</c:v>
                </c:pt>
                <c:pt idx="1216">
                  <c:v>2.4900000000000002</c:v>
                </c:pt>
                <c:pt idx="1217">
                  <c:v>2</c:v>
                </c:pt>
                <c:pt idx="1218">
                  <c:v>2.95</c:v>
                </c:pt>
                <c:pt idx="1219">
                  <c:v>6.43</c:v>
                </c:pt>
                <c:pt idx="1220">
                  <c:v>11.36</c:v>
                </c:pt>
                <c:pt idx="1221">
                  <c:v>6.43</c:v>
                </c:pt>
                <c:pt idx="1222">
                  <c:v>1.51</c:v>
                </c:pt>
                <c:pt idx="1223">
                  <c:v>2.98</c:v>
                </c:pt>
                <c:pt idx="1224">
                  <c:v>4.46</c:v>
                </c:pt>
                <c:pt idx="1225">
                  <c:v>3.97</c:v>
                </c:pt>
                <c:pt idx="1226">
                  <c:v>3.48</c:v>
                </c:pt>
                <c:pt idx="1227">
                  <c:v>2.82</c:v>
                </c:pt>
                <c:pt idx="1228">
                  <c:v>2.16</c:v>
                </c:pt>
                <c:pt idx="1229">
                  <c:v>2.82</c:v>
                </c:pt>
                <c:pt idx="1230">
                  <c:v>3.48</c:v>
                </c:pt>
                <c:pt idx="1231">
                  <c:v>4.3</c:v>
                </c:pt>
                <c:pt idx="1232">
                  <c:v>5.12</c:v>
                </c:pt>
                <c:pt idx="1233">
                  <c:v>4.95</c:v>
                </c:pt>
                <c:pt idx="1234">
                  <c:v>4.79</c:v>
                </c:pt>
                <c:pt idx="1235">
                  <c:v>2.4900000000000002</c:v>
                </c:pt>
                <c:pt idx="1236">
                  <c:v>0.19</c:v>
                </c:pt>
                <c:pt idx="1237">
                  <c:v>5.61</c:v>
                </c:pt>
                <c:pt idx="1238">
                  <c:v>11.03</c:v>
                </c:pt>
                <c:pt idx="1239">
                  <c:v>6.6</c:v>
                </c:pt>
                <c:pt idx="1240">
                  <c:v>2.16</c:v>
                </c:pt>
                <c:pt idx="1241">
                  <c:v>2.16</c:v>
                </c:pt>
                <c:pt idx="1242">
                  <c:v>2.16</c:v>
                </c:pt>
                <c:pt idx="1243">
                  <c:v>1.51</c:v>
                </c:pt>
                <c:pt idx="1244">
                  <c:v>2.2999999999999998</c:v>
                </c:pt>
                <c:pt idx="1245">
                  <c:v>2.66</c:v>
                </c:pt>
                <c:pt idx="1246">
                  <c:v>4.46</c:v>
                </c:pt>
                <c:pt idx="1247">
                  <c:v>2.98</c:v>
                </c:pt>
                <c:pt idx="1248">
                  <c:v>1.51</c:v>
                </c:pt>
                <c:pt idx="1249">
                  <c:v>1.97</c:v>
                </c:pt>
                <c:pt idx="1250">
                  <c:v>3.61</c:v>
                </c:pt>
                <c:pt idx="1251">
                  <c:v>6.1</c:v>
                </c:pt>
                <c:pt idx="1252">
                  <c:v>10.7</c:v>
                </c:pt>
                <c:pt idx="1253">
                  <c:v>6.43</c:v>
                </c:pt>
                <c:pt idx="1254">
                  <c:v>2.16</c:v>
                </c:pt>
                <c:pt idx="1255">
                  <c:v>3.97</c:v>
                </c:pt>
                <c:pt idx="1256">
                  <c:v>5.78</c:v>
                </c:pt>
                <c:pt idx="1257">
                  <c:v>5.45</c:v>
                </c:pt>
                <c:pt idx="1258">
                  <c:v>5.12</c:v>
                </c:pt>
                <c:pt idx="1259">
                  <c:v>3.97</c:v>
                </c:pt>
                <c:pt idx="1260">
                  <c:v>2.82</c:v>
                </c:pt>
                <c:pt idx="1261">
                  <c:v>34.17</c:v>
                </c:pt>
                <c:pt idx="1262">
                  <c:v>65.52</c:v>
                </c:pt>
                <c:pt idx="1263">
                  <c:v>34.17</c:v>
                </c:pt>
                <c:pt idx="1264">
                  <c:v>2.82</c:v>
                </c:pt>
                <c:pt idx="1265">
                  <c:v>5.28</c:v>
                </c:pt>
                <c:pt idx="1266">
                  <c:v>7.74</c:v>
                </c:pt>
                <c:pt idx="1267">
                  <c:v>6.6</c:v>
                </c:pt>
                <c:pt idx="1268">
                  <c:v>5.45</c:v>
                </c:pt>
                <c:pt idx="1269">
                  <c:v>4.95</c:v>
                </c:pt>
                <c:pt idx="1270">
                  <c:v>4.46</c:v>
                </c:pt>
                <c:pt idx="1271">
                  <c:v>3.15</c:v>
                </c:pt>
                <c:pt idx="1272">
                  <c:v>1.84</c:v>
                </c:pt>
                <c:pt idx="1273">
                  <c:v>1.67</c:v>
                </c:pt>
                <c:pt idx="1274">
                  <c:v>2.2999999999999998</c:v>
                </c:pt>
                <c:pt idx="1275">
                  <c:v>36.14</c:v>
                </c:pt>
                <c:pt idx="1276">
                  <c:v>70.77</c:v>
                </c:pt>
                <c:pt idx="1277">
                  <c:v>38.11</c:v>
                </c:pt>
                <c:pt idx="1278">
                  <c:v>5.45</c:v>
                </c:pt>
                <c:pt idx="1279">
                  <c:v>4.13</c:v>
                </c:pt>
                <c:pt idx="1280">
                  <c:v>2.82</c:v>
                </c:pt>
                <c:pt idx="1281">
                  <c:v>2.82</c:v>
                </c:pt>
                <c:pt idx="1282">
                  <c:v>2.82</c:v>
                </c:pt>
                <c:pt idx="1283">
                  <c:v>3.64</c:v>
                </c:pt>
                <c:pt idx="1284">
                  <c:v>4.46</c:v>
                </c:pt>
                <c:pt idx="1285">
                  <c:v>3.64</c:v>
                </c:pt>
                <c:pt idx="1286">
                  <c:v>2.82</c:v>
                </c:pt>
                <c:pt idx="1287">
                  <c:v>2.98</c:v>
                </c:pt>
                <c:pt idx="1288">
                  <c:v>3.15</c:v>
                </c:pt>
                <c:pt idx="1289">
                  <c:v>3.97</c:v>
                </c:pt>
                <c:pt idx="1290">
                  <c:v>4.79</c:v>
                </c:pt>
                <c:pt idx="1291">
                  <c:v>46.48</c:v>
                </c:pt>
                <c:pt idx="1292">
                  <c:v>88.17</c:v>
                </c:pt>
                <c:pt idx="1293">
                  <c:v>75.040000000000006</c:v>
                </c:pt>
                <c:pt idx="1294">
                  <c:v>61.91</c:v>
                </c:pt>
                <c:pt idx="1295">
                  <c:v>32.369999999999997</c:v>
                </c:pt>
                <c:pt idx="1296">
                  <c:v>2.82</c:v>
                </c:pt>
                <c:pt idx="1297">
                  <c:v>3.97</c:v>
                </c:pt>
                <c:pt idx="1298">
                  <c:v>5.12</c:v>
                </c:pt>
                <c:pt idx="1299">
                  <c:v>5.45</c:v>
                </c:pt>
                <c:pt idx="1300">
                  <c:v>5.78</c:v>
                </c:pt>
                <c:pt idx="1301">
                  <c:v>6.6</c:v>
                </c:pt>
                <c:pt idx="1302">
                  <c:v>7.42</c:v>
                </c:pt>
                <c:pt idx="1303">
                  <c:v>5.45</c:v>
                </c:pt>
                <c:pt idx="1304">
                  <c:v>3.48</c:v>
                </c:pt>
                <c:pt idx="1305">
                  <c:v>4.46</c:v>
                </c:pt>
                <c:pt idx="1306">
                  <c:v>5.45</c:v>
                </c:pt>
                <c:pt idx="1307">
                  <c:v>4.79</c:v>
                </c:pt>
                <c:pt idx="1308">
                  <c:v>4.13</c:v>
                </c:pt>
                <c:pt idx="1309">
                  <c:v>3.64</c:v>
                </c:pt>
                <c:pt idx="1310">
                  <c:v>3.15</c:v>
                </c:pt>
                <c:pt idx="1311">
                  <c:v>3.48</c:v>
                </c:pt>
                <c:pt idx="1312">
                  <c:v>3.81</c:v>
                </c:pt>
                <c:pt idx="1313">
                  <c:v>3.31</c:v>
                </c:pt>
                <c:pt idx="1314">
                  <c:v>2.82</c:v>
                </c:pt>
                <c:pt idx="1315">
                  <c:v>2</c:v>
                </c:pt>
                <c:pt idx="1316">
                  <c:v>1.18</c:v>
                </c:pt>
                <c:pt idx="1317">
                  <c:v>1.84</c:v>
                </c:pt>
                <c:pt idx="1318">
                  <c:v>2.4900000000000002</c:v>
                </c:pt>
                <c:pt idx="1319">
                  <c:v>2.66</c:v>
                </c:pt>
                <c:pt idx="1320">
                  <c:v>2.82</c:v>
                </c:pt>
                <c:pt idx="1321">
                  <c:v>29.41</c:v>
                </c:pt>
                <c:pt idx="1322">
                  <c:v>56</c:v>
                </c:pt>
                <c:pt idx="1323">
                  <c:v>29.41</c:v>
                </c:pt>
                <c:pt idx="1324">
                  <c:v>2.82</c:v>
                </c:pt>
                <c:pt idx="1325">
                  <c:v>2.98</c:v>
                </c:pt>
                <c:pt idx="1326">
                  <c:v>3.15</c:v>
                </c:pt>
                <c:pt idx="1327">
                  <c:v>3.15</c:v>
                </c:pt>
                <c:pt idx="1328">
                  <c:v>3.15</c:v>
                </c:pt>
                <c:pt idx="1329">
                  <c:v>2.82</c:v>
                </c:pt>
                <c:pt idx="1330">
                  <c:v>2.4900000000000002</c:v>
                </c:pt>
                <c:pt idx="1331">
                  <c:v>2.82</c:v>
                </c:pt>
                <c:pt idx="1332">
                  <c:v>3.15</c:v>
                </c:pt>
                <c:pt idx="1333">
                  <c:v>6.92</c:v>
                </c:pt>
                <c:pt idx="1334">
                  <c:v>10.7</c:v>
                </c:pt>
                <c:pt idx="1335">
                  <c:v>6.76</c:v>
                </c:pt>
                <c:pt idx="1336">
                  <c:v>2.82</c:v>
                </c:pt>
                <c:pt idx="1337">
                  <c:v>2.66</c:v>
                </c:pt>
                <c:pt idx="1338">
                  <c:v>2.4900000000000002</c:v>
                </c:pt>
                <c:pt idx="1339">
                  <c:v>2.4900000000000002</c:v>
                </c:pt>
                <c:pt idx="1340">
                  <c:v>2.4900000000000002</c:v>
                </c:pt>
                <c:pt idx="1341">
                  <c:v>3.64</c:v>
                </c:pt>
                <c:pt idx="1342">
                  <c:v>4.79</c:v>
                </c:pt>
                <c:pt idx="1343">
                  <c:v>9.8800000000000008</c:v>
                </c:pt>
                <c:pt idx="1344">
                  <c:v>14.97</c:v>
                </c:pt>
                <c:pt idx="1345">
                  <c:v>8.73</c:v>
                </c:pt>
                <c:pt idx="1346">
                  <c:v>2.4900000000000002</c:v>
                </c:pt>
                <c:pt idx="1347">
                  <c:v>2.33</c:v>
                </c:pt>
                <c:pt idx="1348">
                  <c:v>2.16</c:v>
                </c:pt>
                <c:pt idx="1349">
                  <c:v>2.98</c:v>
                </c:pt>
                <c:pt idx="1350">
                  <c:v>3.81</c:v>
                </c:pt>
                <c:pt idx="1351">
                  <c:v>3.97</c:v>
                </c:pt>
                <c:pt idx="1352">
                  <c:v>4.13</c:v>
                </c:pt>
                <c:pt idx="1353">
                  <c:v>2.82</c:v>
                </c:pt>
                <c:pt idx="1354">
                  <c:v>1.51</c:v>
                </c:pt>
                <c:pt idx="1355">
                  <c:v>2.66</c:v>
                </c:pt>
                <c:pt idx="1356">
                  <c:v>3.81</c:v>
                </c:pt>
                <c:pt idx="1357">
                  <c:v>4.46</c:v>
                </c:pt>
                <c:pt idx="1358">
                  <c:v>5.12</c:v>
                </c:pt>
                <c:pt idx="1359">
                  <c:v>60.27</c:v>
                </c:pt>
                <c:pt idx="1360">
                  <c:v>115.42</c:v>
                </c:pt>
                <c:pt idx="1361">
                  <c:v>59.61</c:v>
                </c:pt>
                <c:pt idx="1362">
                  <c:v>3.81</c:v>
                </c:pt>
                <c:pt idx="1363">
                  <c:v>3.64</c:v>
                </c:pt>
                <c:pt idx="1364">
                  <c:v>3.48</c:v>
                </c:pt>
                <c:pt idx="1365">
                  <c:v>6.92</c:v>
                </c:pt>
                <c:pt idx="1366">
                  <c:v>10.37</c:v>
                </c:pt>
                <c:pt idx="1367">
                  <c:v>8.24</c:v>
                </c:pt>
                <c:pt idx="1368">
                  <c:v>6.1</c:v>
                </c:pt>
                <c:pt idx="1369">
                  <c:v>4.46</c:v>
                </c:pt>
                <c:pt idx="1370">
                  <c:v>2.82</c:v>
                </c:pt>
                <c:pt idx="1371">
                  <c:v>2.66</c:v>
                </c:pt>
                <c:pt idx="1372">
                  <c:v>2.4900000000000002</c:v>
                </c:pt>
                <c:pt idx="1373">
                  <c:v>2.4900000000000002</c:v>
                </c:pt>
                <c:pt idx="1374">
                  <c:v>2.4900000000000002</c:v>
                </c:pt>
                <c:pt idx="1375">
                  <c:v>2.66</c:v>
                </c:pt>
                <c:pt idx="1376">
                  <c:v>2.82</c:v>
                </c:pt>
                <c:pt idx="1377">
                  <c:v>3.48</c:v>
                </c:pt>
                <c:pt idx="1378">
                  <c:v>4.13</c:v>
                </c:pt>
                <c:pt idx="1379">
                  <c:v>4.63</c:v>
                </c:pt>
                <c:pt idx="1380">
                  <c:v>5.12</c:v>
                </c:pt>
                <c:pt idx="1381">
                  <c:v>3.97</c:v>
                </c:pt>
                <c:pt idx="1382">
                  <c:v>2.82</c:v>
                </c:pt>
                <c:pt idx="1383">
                  <c:v>2.66</c:v>
                </c:pt>
                <c:pt idx="1384">
                  <c:v>2.4900000000000002</c:v>
                </c:pt>
                <c:pt idx="1385">
                  <c:v>1.67</c:v>
                </c:pt>
                <c:pt idx="1386">
                  <c:v>0.85</c:v>
                </c:pt>
                <c:pt idx="1387">
                  <c:v>2</c:v>
                </c:pt>
                <c:pt idx="1388">
                  <c:v>3.61</c:v>
                </c:pt>
                <c:pt idx="1389">
                  <c:v>2.98</c:v>
                </c:pt>
                <c:pt idx="1390">
                  <c:v>2.82</c:v>
                </c:pt>
                <c:pt idx="1391">
                  <c:v>2.82</c:v>
                </c:pt>
                <c:pt idx="1392">
                  <c:v>2.82</c:v>
                </c:pt>
                <c:pt idx="1393">
                  <c:v>2.98</c:v>
                </c:pt>
                <c:pt idx="1394">
                  <c:v>3.15</c:v>
                </c:pt>
                <c:pt idx="1395">
                  <c:v>2.98</c:v>
                </c:pt>
                <c:pt idx="1396">
                  <c:v>2.82</c:v>
                </c:pt>
                <c:pt idx="1397">
                  <c:v>2.82</c:v>
                </c:pt>
                <c:pt idx="1398">
                  <c:v>2.82</c:v>
                </c:pt>
                <c:pt idx="1399">
                  <c:v>2.4900000000000002</c:v>
                </c:pt>
                <c:pt idx="1400">
                  <c:v>2.16</c:v>
                </c:pt>
                <c:pt idx="1401">
                  <c:v>2</c:v>
                </c:pt>
                <c:pt idx="1402">
                  <c:v>1.84</c:v>
                </c:pt>
                <c:pt idx="1403">
                  <c:v>1.84</c:v>
                </c:pt>
                <c:pt idx="1404">
                  <c:v>1.84</c:v>
                </c:pt>
                <c:pt idx="1405">
                  <c:v>3.48</c:v>
                </c:pt>
                <c:pt idx="1406">
                  <c:v>5.12</c:v>
                </c:pt>
                <c:pt idx="1407">
                  <c:v>3.81</c:v>
                </c:pt>
                <c:pt idx="1408">
                  <c:v>2.4900000000000002</c:v>
                </c:pt>
                <c:pt idx="1409">
                  <c:v>2.16</c:v>
                </c:pt>
                <c:pt idx="1410">
                  <c:v>1.84</c:v>
                </c:pt>
                <c:pt idx="1411">
                  <c:v>1.84</c:v>
                </c:pt>
                <c:pt idx="1412">
                  <c:v>2.63</c:v>
                </c:pt>
                <c:pt idx="1413">
                  <c:v>1.84</c:v>
                </c:pt>
                <c:pt idx="1414">
                  <c:v>1.84</c:v>
                </c:pt>
                <c:pt idx="1415">
                  <c:v>2.66</c:v>
                </c:pt>
                <c:pt idx="1416">
                  <c:v>3.48</c:v>
                </c:pt>
                <c:pt idx="1417">
                  <c:v>5.45</c:v>
                </c:pt>
                <c:pt idx="1418">
                  <c:v>7.42</c:v>
                </c:pt>
                <c:pt idx="1419">
                  <c:v>6.92</c:v>
                </c:pt>
                <c:pt idx="1420">
                  <c:v>6.43</c:v>
                </c:pt>
                <c:pt idx="1421">
                  <c:v>4.3</c:v>
                </c:pt>
                <c:pt idx="1422">
                  <c:v>2.16</c:v>
                </c:pt>
                <c:pt idx="1423">
                  <c:v>2.66</c:v>
                </c:pt>
                <c:pt idx="1424">
                  <c:v>3.15</c:v>
                </c:pt>
                <c:pt idx="1425">
                  <c:v>33.020000000000003</c:v>
                </c:pt>
                <c:pt idx="1426">
                  <c:v>62.89</c:v>
                </c:pt>
                <c:pt idx="1427">
                  <c:v>32.04</c:v>
                </c:pt>
                <c:pt idx="1428">
                  <c:v>1.18</c:v>
                </c:pt>
                <c:pt idx="1429">
                  <c:v>3.31</c:v>
                </c:pt>
                <c:pt idx="1430">
                  <c:v>5.45</c:v>
                </c:pt>
                <c:pt idx="1431">
                  <c:v>3.97</c:v>
                </c:pt>
                <c:pt idx="1432">
                  <c:v>2.4900000000000002</c:v>
                </c:pt>
                <c:pt idx="1433">
                  <c:v>3.97</c:v>
                </c:pt>
                <c:pt idx="1434">
                  <c:v>5.45</c:v>
                </c:pt>
                <c:pt idx="1435">
                  <c:v>4.63</c:v>
                </c:pt>
                <c:pt idx="1436">
                  <c:v>3.81</c:v>
                </c:pt>
                <c:pt idx="1437">
                  <c:v>4.46</c:v>
                </c:pt>
                <c:pt idx="1438">
                  <c:v>5.12</c:v>
                </c:pt>
                <c:pt idx="1439">
                  <c:v>5.12</c:v>
                </c:pt>
              </c:numCache>
            </c:numRef>
          </c:yVal>
          <c:smooth val="1"/>
          <c:extLst>
            <c:ext xmlns:c16="http://schemas.microsoft.com/office/drawing/2014/chart" uri="{C3380CC4-5D6E-409C-BE32-E72D297353CC}">
              <c16:uniqueId val="{00000002-9590-43F9-8413-D2CA92CA4B80}"/>
            </c:ext>
          </c:extLst>
        </c:ser>
        <c:dLbls>
          <c:showLegendKey val="0"/>
          <c:showVal val="0"/>
          <c:showCatName val="0"/>
          <c:showSerName val="0"/>
          <c:showPercent val="0"/>
          <c:showBubbleSize val="0"/>
        </c:dLbls>
        <c:axId val="87412736"/>
        <c:axId val="87414656"/>
      </c:scatterChart>
      <c:valAx>
        <c:axId val="87412736"/>
        <c:scaling>
          <c:orientation val="minMax"/>
          <c:max val="41884"/>
          <c:min val="41883"/>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a:latin typeface="Times New Roman" panose="02020603050405020304" pitchFamily="18" charset="0"/>
                    <a:cs typeface="Times New Roman" panose="02020603050405020304" pitchFamily="18" charset="0"/>
                  </a:rPr>
                  <a:t>Time</a:t>
                </a:r>
              </a:p>
            </c:rich>
          </c:tx>
          <c:layout>
            <c:manualLayout>
              <c:xMode val="edge"/>
              <c:yMode val="edge"/>
              <c:x val="0.49404417471071932"/>
              <c:y val="0.92252202675409067"/>
            </c:manualLayout>
          </c:layout>
          <c:overlay val="0"/>
          <c:spPr>
            <a:noFill/>
            <a:ln>
              <a:noFill/>
            </a:ln>
            <a:effectLst/>
          </c:spPr>
        </c:title>
        <c:numFmt formatCode="h:mm" sourceLinked="1"/>
        <c:majorTickMark val="out"/>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7414656"/>
        <c:crosses val="autoZero"/>
        <c:crossBetween val="midCat"/>
        <c:majorUnit val="0.25"/>
        <c:minorUnit val="3.0000000000000006E-2"/>
      </c:valAx>
      <c:valAx>
        <c:axId val="8741465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Irradiance (W/m</a:t>
                </a:r>
                <a:r>
                  <a:rPr lang="en-US" sz="1200" baseline="30000">
                    <a:latin typeface="Times New Roman" panose="02020603050405020304" pitchFamily="18" charset="0"/>
                    <a:cs typeface="Times New Roman" panose="02020603050405020304" pitchFamily="18" charset="0"/>
                  </a:rPr>
                  <a:t>2</a:t>
                </a:r>
                <a:r>
                  <a:rPr lang="en-US" sz="1200">
                    <a:latin typeface="Times New Roman" panose="02020603050405020304" pitchFamily="18" charset="0"/>
                    <a:cs typeface="Times New Roman" panose="02020603050405020304" pitchFamily="18" charset="0"/>
                  </a:rPr>
                  <a:t>)</a:t>
                </a:r>
              </a:p>
            </c:rich>
          </c:tx>
          <c:layout>
            <c:manualLayout>
              <c:xMode val="edge"/>
              <c:yMode val="edge"/>
              <c:x val="1.1074197120708749E-2"/>
              <c:y val="0.42552117788250454"/>
            </c:manualLayout>
          </c:layout>
          <c:overlay val="0"/>
          <c:spPr>
            <a:noFill/>
            <a:ln>
              <a:noFill/>
            </a:ln>
            <a:effectLst/>
          </c:sp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7412736"/>
        <c:crosses val="autoZero"/>
        <c:crossBetween val="midCat"/>
      </c:valAx>
      <c:spPr>
        <a:noFill/>
        <a:ln>
          <a:noFill/>
        </a:ln>
        <a:effectLst/>
      </c:spPr>
    </c:plotArea>
    <c:legend>
      <c:legendPos val="b"/>
      <c:layout>
        <c:manualLayout>
          <c:xMode val="edge"/>
          <c:yMode val="edge"/>
          <c:x val="5.8041000688867344E-3"/>
          <c:y val="0.94692490196872903"/>
          <c:w val="0.99324613493080804"/>
          <c:h val="4.37172197386132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428079434693201"/>
          <c:y val="2.2344691935249478E-2"/>
          <c:w val="0.84071132870755239"/>
          <c:h val="0.87276297692322102"/>
        </c:manualLayout>
      </c:layout>
      <c:barChart>
        <c:barDir val="col"/>
        <c:grouping val="clustered"/>
        <c:varyColors val="0"/>
        <c:ser>
          <c:idx val="0"/>
          <c:order val="0"/>
          <c:tx>
            <c:strRef>
              <c:f>Sheet1!$B$1</c:f>
              <c:strCache>
                <c:ptCount val="1"/>
                <c:pt idx="0">
                  <c:v>Tapping Cycle #1 (Volume, Litres)</c:v>
                </c:pt>
              </c:strCache>
            </c:strRef>
          </c:tx>
          <c:invertIfNegative val="0"/>
          <c:cat>
            <c:numRef>
              <c:f>Sheet1!$A$2:$A$28</c:f>
              <c:numCache>
                <c:formatCode>h:mm</c:formatCode>
                <c:ptCount val="27"/>
                <c:pt idx="0">
                  <c:v>0.29166666666666702</c:v>
                </c:pt>
                <c:pt idx="1">
                  <c:v>0.29513888888888917</c:v>
                </c:pt>
                <c:pt idx="2">
                  <c:v>0.30208333333333331</c:v>
                </c:pt>
                <c:pt idx="3">
                  <c:v>0.31250000000000028</c:v>
                </c:pt>
                <c:pt idx="4">
                  <c:v>0.3229166666666673</c:v>
                </c:pt>
                <c:pt idx="5">
                  <c:v>0.33333333333333331</c:v>
                </c:pt>
                <c:pt idx="6">
                  <c:v>0.33680555555555597</c:v>
                </c:pt>
                <c:pt idx="7">
                  <c:v>0.34375</c:v>
                </c:pt>
                <c:pt idx="8">
                  <c:v>0.35416666666666702</c:v>
                </c:pt>
                <c:pt idx="9">
                  <c:v>0.36458333333333331</c:v>
                </c:pt>
                <c:pt idx="10">
                  <c:v>0.37500000000000028</c:v>
                </c:pt>
                <c:pt idx="11">
                  <c:v>0.39583333333333331</c:v>
                </c:pt>
                <c:pt idx="12">
                  <c:v>0.43750000000000028</c:v>
                </c:pt>
                <c:pt idx="13">
                  <c:v>0.47916666666666702</c:v>
                </c:pt>
                <c:pt idx="14">
                  <c:v>0.48958333333333331</c:v>
                </c:pt>
                <c:pt idx="15">
                  <c:v>0.53125</c:v>
                </c:pt>
                <c:pt idx="16">
                  <c:v>0.60416666666666652</c:v>
                </c:pt>
                <c:pt idx="17">
                  <c:v>0.64583333333333415</c:v>
                </c:pt>
                <c:pt idx="18">
                  <c:v>0.6875</c:v>
                </c:pt>
                <c:pt idx="19">
                  <c:v>0.75000000000000056</c:v>
                </c:pt>
                <c:pt idx="20">
                  <c:v>0.76041666666666652</c:v>
                </c:pt>
                <c:pt idx="21">
                  <c:v>0.77083333333333415</c:v>
                </c:pt>
                <c:pt idx="22">
                  <c:v>0.79166666666666652</c:v>
                </c:pt>
                <c:pt idx="23">
                  <c:v>0.85416666666666652</c:v>
                </c:pt>
                <c:pt idx="24">
                  <c:v>0.87500000000000056</c:v>
                </c:pt>
                <c:pt idx="25">
                  <c:v>0.88541666666666596</c:v>
                </c:pt>
                <c:pt idx="26">
                  <c:v>0.8958333333333337</c:v>
                </c:pt>
              </c:numCache>
            </c:numRef>
          </c:cat>
          <c:val>
            <c:numRef>
              <c:f>Sheet1!$B$2:$B$28</c:f>
              <c:numCache>
                <c:formatCode>General</c:formatCode>
                <c:ptCount val="27"/>
                <c:pt idx="0">
                  <c:v>2</c:v>
                </c:pt>
                <c:pt idx="1">
                  <c:v>0</c:v>
                </c:pt>
                <c:pt idx="2">
                  <c:v>0</c:v>
                </c:pt>
                <c:pt idx="3">
                  <c:v>2</c:v>
                </c:pt>
                <c:pt idx="4">
                  <c:v>0</c:v>
                </c:pt>
                <c:pt idx="5">
                  <c:v>0</c:v>
                </c:pt>
                <c:pt idx="6">
                  <c:v>0</c:v>
                </c:pt>
                <c:pt idx="7">
                  <c:v>0</c:v>
                </c:pt>
                <c:pt idx="8">
                  <c:v>2</c:v>
                </c:pt>
                <c:pt idx="9">
                  <c:v>0</c:v>
                </c:pt>
                <c:pt idx="10">
                  <c:v>0</c:v>
                </c:pt>
                <c:pt idx="11">
                  <c:v>2</c:v>
                </c:pt>
                <c:pt idx="12">
                  <c:v>0</c:v>
                </c:pt>
                <c:pt idx="13">
                  <c:v>2</c:v>
                </c:pt>
                <c:pt idx="14">
                  <c:v>2</c:v>
                </c:pt>
                <c:pt idx="15">
                  <c:v>2</c:v>
                </c:pt>
                <c:pt idx="16">
                  <c:v>0</c:v>
                </c:pt>
                <c:pt idx="17">
                  <c:v>0</c:v>
                </c:pt>
                <c:pt idx="18">
                  <c:v>0</c:v>
                </c:pt>
                <c:pt idx="19">
                  <c:v>2</c:v>
                </c:pt>
                <c:pt idx="20">
                  <c:v>2</c:v>
                </c:pt>
                <c:pt idx="21">
                  <c:v>0</c:v>
                </c:pt>
                <c:pt idx="22">
                  <c:v>0</c:v>
                </c:pt>
                <c:pt idx="23">
                  <c:v>8</c:v>
                </c:pt>
                <c:pt idx="24">
                  <c:v>0</c:v>
                </c:pt>
                <c:pt idx="25">
                  <c:v>0</c:v>
                </c:pt>
                <c:pt idx="26">
                  <c:v>10</c:v>
                </c:pt>
              </c:numCache>
            </c:numRef>
          </c:val>
          <c:extLst>
            <c:ext xmlns:c16="http://schemas.microsoft.com/office/drawing/2014/chart" uri="{C3380CC4-5D6E-409C-BE32-E72D297353CC}">
              <c16:uniqueId val="{00000000-11B4-46DF-B19F-B9F1B9EFACE1}"/>
            </c:ext>
          </c:extLst>
        </c:ser>
        <c:ser>
          <c:idx val="1"/>
          <c:order val="1"/>
          <c:tx>
            <c:strRef>
              <c:f>Sheet1!$C$1</c:f>
              <c:strCache>
                <c:ptCount val="1"/>
                <c:pt idx="0">
                  <c:v>Tapping Cycle #2 (Volume, Litres)</c:v>
                </c:pt>
              </c:strCache>
            </c:strRef>
          </c:tx>
          <c:invertIfNegative val="0"/>
          <c:cat>
            <c:numRef>
              <c:f>Sheet1!$A$2:$A$28</c:f>
              <c:numCache>
                <c:formatCode>h:mm</c:formatCode>
                <c:ptCount val="27"/>
                <c:pt idx="0">
                  <c:v>0.29166666666666702</c:v>
                </c:pt>
                <c:pt idx="1">
                  <c:v>0.29513888888888917</c:v>
                </c:pt>
                <c:pt idx="2">
                  <c:v>0.30208333333333331</c:v>
                </c:pt>
                <c:pt idx="3">
                  <c:v>0.31250000000000028</c:v>
                </c:pt>
                <c:pt idx="4">
                  <c:v>0.3229166666666673</c:v>
                </c:pt>
                <c:pt idx="5">
                  <c:v>0.33333333333333331</c:v>
                </c:pt>
                <c:pt idx="6">
                  <c:v>0.33680555555555597</c:v>
                </c:pt>
                <c:pt idx="7">
                  <c:v>0.34375</c:v>
                </c:pt>
                <c:pt idx="8">
                  <c:v>0.35416666666666702</c:v>
                </c:pt>
                <c:pt idx="9">
                  <c:v>0.36458333333333331</c:v>
                </c:pt>
                <c:pt idx="10">
                  <c:v>0.37500000000000028</c:v>
                </c:pt>
                <c:pt idx="11">
                  <c:v>0.39583333333333331</c:v>
                </c:pt>
                <c:pt idx="12">
                  <c:v>0.43750000000000028</c:v>
                </c:pt>
                <c:pt idx="13">
                  <c:v>0.47916666666666702</c:v>
                </c:pt>
                <c:pt idx="14">
                  <c:v>0.48958333333333331</c:v>
                </c:pt>
                <c:pt idx="15">
                  <c:v>0.53125</c:v>
                </c:pt>
                <c:pt idx="16">
                  <c:v>0.60416666666666652</c:v>
                </c:pt>
                <c:pt idx="17">
                  <c:v>0.64583333333333415</c:v>
                </c:pt>
                <c:pt idx="18">
                  <c:v>0.6875</c:v>
                </c:pt>
                <c:pt idx="19">
                  <c:v>0.75000000000000056</c:v>
                </c:pt>
                <c:pt idx="20">
                  <c:v>0.76041666666666652</c:v>
                </c:pt>
                <c:pt idx="21">
                  <c:v>0.77083333333333415</c:v>
                </c:pt>
                <c:pt idx="22">
                  <c:v>0.79166666666666652</c:v>
                </c:pt>
                <c:pt idx="23">
                  <c:v>0.85416666666666652</c:v>
                </c:pt>
                <c:pt idx="24">
                  <c:v>0.87500000000000056</c:v>
                </c:pt>
                <c:pt idx="25">
                  <c:v>0.88541666666666596</c:v>
                </c:pt>
                <c:pt idx="26">
                  <c:v>0.8958333333333337</c:v>
                </c:pt>
              </c:numCache>
            </c:numRef>
          </c:cat>
          <c:val>
            <c:numRef>
              <c:f>Sheet1!$C$2:$C$28</c:f>
              <c:numCache>
                <c:formatCode>General</c:formatCode>
                <c:ptCount val="27"/>
                <c:pt idx="0">
                  <c:v>2</c:v>
                </c:pt>
                <c:pt idx="1">
                  <c:v>0</c:v>
                </c:pt>
                <c:pt idx="2">
                  <c:v>27</c:v>
                </c:pt>
                <c:pt idx="3">
                  <c:v>2</c:v>
                </c:pt>
                <c:pt idx="4">
                  <c:v>0</c:v>
                </c:pt>
                <c:pt idx="5">
                  <c:v>2</c:v>
                </c:pt>
                <c:pt idx="6">
                  <c:v>0</c:v>
                </c:pt>
                <c:pt idx="7">
                  <c:v>2</c:v>
                </c:pt>
                <c:pt idx="8">
                  <c:v>2</c:v>
                </c:pt>
                <c:pt idx="9">
                  <c:v>0</c:v>
                </c:pt>
                <c:pt idx="10">
                  <c:v>0</c:v>
                </c:pt>
                <c:pt idx="11">
                  <c:v>0</c:v>
                </c:pt>
                <c:pt idx="12">
                  <c:v>2</c:v>
                </c:pt>
                <c:pt idx="13">
                  <c:v>2</c:v>
                </c:pt>
                <c:pt idx="14">
                  <c:v>2</c:v>
                </c:pt>
                <c:pt idx="15">
                  <c:v>6</c:v>
                </c:pt>
                <c:pt idx="16">
                  <c:v>2</c:v>
                </c:pt>
                <c:pt idx="17">
                  <c:v>2</c:v>
                </c:pt>
                <c:pt idx="18">
                  <c:v>2</c:v>
                </c:pt>
                <c:pt idx="19">
                  <c:v>2</c:v>
                </c:pt>
                <c:pt idx="20">
                  <c:v>2</c:v>
                </c:pt>
                <c:pt idx="21">
                  <c:v>2</c:v>
                </c:pt>
                <c:pt idx="22">
                  <c:v>2</c:v>
                </c:pt>
                <c:pt idx="23">
                  <c:v>6</c:v>
                </c:pt>
                <c:pt idx="24">
                  <c:v>0</c:v>
                </c:pt>
                <c:pt idx="25">
                  <c:v>2</c:v>
                </c:pt>
                <c:pt idx="26">
                  <c:v>27</c:v>
                </c:pt>
              </c:numCache>
            </c:numRef>
          </c:val>
          <c:extLst>
            <c:ext xmlns:c16="http://schemas.microsoft.com/office/drawing/2014/chart" uri="{C3380CC4-5D6E-409C-BE32-E72D297353CC}">
              <c16:uniqueId val="{00000001-11B4-46DF-B19F-B9F1B9EFACE1}"/>
            </c:ext>
          </c:extLst>
        </c:ser>
        <c:ser>
          <c:idx val="2"/>
          <c:order val="2"/>
          <c:tx>
            <c:strRef>
              <c:f>Sheet1!$D$1</c:f>
              <c:strCache>
                <c:ptCount val="1"/>
                <c:pt idx="0">
                  <c:v>Tapping Cycle #3 (Volume, Litres)</c:v>
                </c:pt>
              </c:strCache>
            </c:strRef>
          </c:tx>
          <c:invertIfNegative val="0"/>
          <c:cat>
            <c:numRef>
              <c:f>Sheet1!$A$2:$A$28</c:f>
              <c:numCache>
                <c:formatCode>h:mm</c:formatCode>
                <c:ptCount val="27"/>
                <c:pt idx="0">
                  <c:v>0.29166666666666702</c:v>
                </c:pt>
                <c:pt idx="1">
                  <c:v>0.29513888888888917</c:v>
                </c:pt>
                <c:pt idx="2">
                  <c:v>0.30208333333333331</c:v>
                </c:pt>
                <c:pt idx="3">
                  <c:v>0.31250000000000028</c:v>
                </c:pt>
                <c:pt idx="4">
                  <c:v>0.3229166666666673</c:v>
                </c:pt>
                <c:pt idx="5">
                  <c:v>0.33333333333333331</c:v>
                </c:pt>
                <c:pt idx="6">
                  <c:v>0.33680555555555597</c:v>
                </c:pt>
                <c:pt idx="7">
                  <c:v>0.34375</c:v>
                </c:pt>
                <c:pt idx="8">
                  <c:v>0.35416666666666702</c:v>
                </c:pt>
                <c:pt idx="9">
                  <c:v>0.36458333333333331</c:v>
                </c:pt>
                <c:pt idx="10">
                  <c:v>0.37500000000000028</c:v>
                </c:pt>
                <c:pt idx="11">
                  <c:v>0.39583333333333331</c:v>
                </c:pt>
                <c:pt idx="12">
                  <c:v>0.43750000000000028</c:v>
                </c:pt>
                <c:pt idx="13">
                  <c:v>0.47916666666666702</c:v>
                </c:pt>
                <c:pt idx="14">
                  <c:v>0.48958333333333331</c:v>
                </c:pt>
                <c:pt idx="15">
                  <c:v>0.53125</c:v>
                </c:pt>
                <c:pt idx="16">
                  <c:v>0.60416666666666652</c:v>
                </c:pt>
                <c:pt idx="17">
                  <c:v>0.64583333333333415</c:v>
                </c:pt>
                <c:pt idx="18">
                  <c:v>0.6875</c:v>
                </c:pt>
                <c:pt idx="19">
                  <c:v>0.75000000000000056</c:v>
                </c:pt>
                <c:pt idx="20">
                  <c:v>0.76041666666666652</c:v>
                </c:pt>
                <c:pt idx="21">
                  <c:v>0.77083333333333415</c:v>
                </c:pt>
                <c:pt idx="22">
                  <c:v>0.79166666666666652</c:v>
                </c:pt>
                <c:pt idx="23">
                  <c:v>0.85416666666666652</c:v>
                </c:pt>
                <c:pt idx="24">
                  <c:v>0.87500000000000056</c:v>
                </c:pt>
                <c:pt idx="25">
                  <c:v>0.88541666666666596</c:v>
                </c:pt>
                <c:pt idx="26">
                  <c:v>0.8958333333333337</c:v>
                </c:pt>
              </c:numCache>
            </c:numRef>
          </c:cat>
          <c:val>
            <c:numRef>
              <c:f>Sheet1!$D$2:$D$28</c:f>
              <c:numCache>
                <c:formatCode>General</c:formatCode>
                <c:ptCount val="27"/>
                <c:pt idx="0">
                  <c:v>2</c:v>
                </c:pt>
                <c:pt idx="1">
                  <c:v>24</c:v>
                </c:pt>
                <c:pt idx="2">
                  <c:v>0</c:v>
                </c:pt>
                <c:pt idx="3">
                  <c:v>2</c:v>
                </c:pt>
                <c:pt idx="4">
                  <c:v>2</c:v>
                </c:pt>
                <c:pt idx="5">
                  <c:v>0</c:v>
                </c:pt>
                <c:pt idx="6">
                  <c:v>62</c:v>
                </c:pt>
                <c:pt idx="7">
                  <c:v>0</c:v>
                </c:pt>
                <c:pt idx="8">
                  <c:v>5</c:v>
                </c:pt>
                <c:pt idx="9">
                  <c:v>2</c:v>
                </c:pt>
                <c:pt idx="10">
                  <c:v>2</c:v>
                </c:pt>
                <c:pt idx="11">
                  <c:v>2</c:v>
                </c:pt>
                <c:pt idx="12">
                  <c:v>2</c:v>
                </c:pt>
                <c:pt idx="13">
                  <c:v>2</c:v>
                </c:pt>
                <c:pt idx="14">
                  <c:v>2</c:v>
                </c:pt>
                <c:pt idx="15">
                  <c:v>0</c:v>
                </c:pt>
                <c:pt idx="16">
                  <c:v>6</c:v>
                </c:pt>
                <c:pt idx="17">
                  <c:v>2</c:v>
                </c:pt>
                <c:pt idx="18">
                  <c:v>2</c:v>
                </c:pt>
                <c:pt idx="19">
                  <c:v>2</c:v>
                </c:pt>
                <c:pt idx="20">
                  <c:v>2</c:v>
                </c:pt>
                <c:pt idx="21">
                  <c:v>2</c:v>
                </c:pt>
                <c:pt idx="22">
                  <c:v>2</c:v>
                </c:pt>
                <c:pt idx="23">
                  <c:v>13</c:v>
                </c:pt>
                <c:pt idx="24">
                  <c:v>62</c:v>
                </c:pt>
                <c:pt idx="25">
                  <c:v>0</c:v>
                </c:pt>
                <c:pt idx="26">
                  <c:v>2</c:v>
                </c:pt>
              </c:numCache>
            </c:numRef>
          </c:val>
          <c:extLst>
            <c:ext xmlns:c16="http://schemas.microsoft.com/office/drawing/2014/chart" uri="{C3380CC4-5D6E-409C-BE32-E72D297353CC}">
              <c16:uniqueId val="{00000002-11B4-46DF-B19F-B9F1B9EFACE1}"/>
            </c:ext>
          </c:extLst>
        </c:ser>
        <c:dLbls>
          <c:showLegendKey val="0"/>
          <c:showVal val="0"/>
          <c:showCatName val="0"/>
          <c:showSerName val="0"/>
          <c:showPercent val="0"/>
          <c:showBubbleSize val="0"/>
        </c:dLbls>
        <c:gapWidth val="150"/>
        <c:axId val="89764992"/>
        <c:axId val="89766912"/>
      </c:barChart>
      <c:catAx>
        <c:axId val="89764992"/>
        <c:scaling>
          <c:orientation val="minMax"/>
        </c:scaling>
        <c:delete val="0"/>
        <c:axPos val="b"/>
        <c:title>
          <c:tx>
            <c:rich>
              <a:bodyPr/>
              <a:lstStyle/>
              <a:p>
                <a:pPr>
                  <a:defRPr sz="1200"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Time </a:t>
                </a:r>
              </a:p>
            </c:rich>
          </c:tx>
          <c:layout>
            <c:manualLayout>
              <c:xMode val="edge"/>
              <c:yMode val="edge"/>
              <c:x val="0.47957944660509172"/>
              <c:y val="0.95746867131442215"/>
            </c:manualLayout>
          </c:layout>
          <c:overlay val="0"/>
        </c:title>
        <c:numFmt formatCode="h:mm" sourceLinked="1"/>
        <c:majorTickMark val="out"/>
        <c:minorTickMark val="none"/>
        <c:tickLblPos val="nextTo"/>
        <c:txPr>
          <a:bodyPr rot="-5400000" vert="horz"/>
          <a:lstStyle/>
          <a:p>
            <a:pPr>
              <a:defRPr sz="1200">
                <a:latin typeface="Times New Roman" panose="02020603050405020304" pitchFamily="18" charset="0"/>
                <a:cs typeface="Times New Roman" panose="02020603050405020304" pitchFamily="18" charset="0"/>
              </a:defRPr>
            </a:pPr>
            <a:endParaRPr lang="en-US"/>
          </a:p>
        </c:txPr>
        <c:crossAx val="89766912"/>
        <c:crosses val="autoZero"/>
        <c:auto val="1"/>
        <c:lblAlgn val="ctr"/>
        <c:lblOffset val="100"/>
        <c:noMultiLvlLbl val="0"/>
      </c:catAx>
      <c:valAx>
        <c:axId val="89766912"/>
        <c:scaling>
          <c:orientation val="minMax"/>
        </c:scaling>
        <c:delete val="0"/>
        <c:axPos val="l"/>
        <c:majorGridlines/>
        <c:minorGridlines/>
        <c:title>
          <c:tx>
            <c:rich>
              <a:bodyPr rot="-5400000" vert="horz"/>
              <a:lstStyle/>
              <a:p>
                <a:pPr>
                  <a:defRPr sz="1200" b="0">
                    <a:latin typeface="Times New Roman" panose="02020603050405020304" pitchFamily="18" charset="0"/>
                    <a:cs typeface="Times New Roman" panose="02020603050405020304" pitchFamily="18" charset="0"/>
                  </a:defRPr>
                </a:pPr>
                <a:r>
                  <a:rPr lang="en-US" sz="1200" b="0">
                    <a:latin typeface="Times New Roman" panose="02020603050405020304" pitchFamily="18" charset="0"/>
                    <a:cs typeface="Times New Roman" panose="02020603050405020304" pitchFamily="18" charset="0"/>
                  </a:rPr>
                  <a:t>Volume of water consumed (Lt)</a:t>
                </a:r>
              </a:p>
            </c:rich>
          </c:tx>
          <c:overlay val="0"/>
        </c:title>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en-US"/>
          </a:p>
        </c:txPr>
        <c:crossAx val="89764992"/>
        <c:crosses val="autoZero"/>
        <c:crossBetween val="between"/>
      </c:valAx>
    </c:plotArea>
    <c:legend>
      <c:legendPos val="r"/>
      <c:layout>
        <c:manualLayout>
          <c:xMode val="edge"/>
          <c:yMode val="edge"/>
          <c:x val="0.39924170717405405"/>
          <c:y val="0.34276857582183357"/>
          <c:w val="0.26447521450418371"/>
          <c:h val="0.15880288473115173"/>
        </c:manualLayout>
      </c:layout>
      <c:overlay val="0"/>
      <c:spPr>
        <a:solidFill>
          <a:schemeClr val="bg1"/>
        </a:solidFill>
        <a:ln>
          <a:solidFill>
            <a:schemeClr val="tx1"/>
          </a:solidFill>
        </a:ln>
      </c:spPr>
      <c:txPr>
        <a:bodyPr/>
        <a:lstStyle/>
        <a:p>
          <a:pPr>
            <a:defRPr sz="120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779730816476223"/>
          <c:y val="4.5973166397678546E-2"/>
          <c:w val="0.86547312722959391"/>
          <c:h val="0.7892272787935406"/>
        </c:manualLayout>
      </c:layout>
      <c:barChart>
        <c:barDir val="col"/>
        <c:grouping val="clustered"/>
        <c:varyColors val="0"/>
        <c:ser>
          <c:idx val="0"/>
          <c:order val="0"/>
          <c:invertIfNegative val="0"/>
          <c:dLbls>
            <c:dLbl>
              <c:idx val="0"/>
              <c:layout>
                <c:manualLayout>
                  <c:x val="1.4353383341875175E-3"/>
                  <c:y val="-2.164751908261697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DE8-41AD-8B00-F75F358882FB}"/>
                </c:ext>
              </c:extLst>
            </c:dLbl>
            <c:dLbl>
              <c:idx val="3"/>
              <c:layout>
                <c:manualLayout>
                  <c:x val="-4.3883708173341508E-3"/>
                  <c:y val="0.4268504689062867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D55-43B6-B0F4-EFB58D8384F9}"/>
                </c:ext>
              </c:extLst>
            </c:dLbl>
            <c:spPr>
              <a:solidFill>
                <a:sysClr val="window" lastClr="FFFFFF"/>
              </a:solidFill>
              <a:ln>
                <a:solidFill>
                  <a:schemeClr val="tx1"/>
                </a:solidFill>
              </a:ln>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[Book1.xlsx]Sheet1!$A$1:$A$6</c:f>
              <c:strCache>
                <c:ptCount val="6"/>
                <c:pt idx="0">
                  <c:v>Coal</c:v>
                </c:pt>
                <c:pt idx="1">
                  <c:v>Oil</c:v>
                </c:pt>
                <c:pt idx="2">
                  <c:v>Natural Gas</c:v>
                </c:pt>
                <c:pt idx="3">
                  <c:v>Modern Renewables</c:v>
                </c:pt>
                <c:pt idx="4">
                  <c:v>Electricity</c:v>
                </c:pt>
                <c:pt idx="5">
                  <c:v>Biomass &amp; Waste</c:v>
                </c:pt>
              </c:strCache>
            </c:strRef>
          </c:cat>
          <c:val>
            <c:numRef>
              <c:f>[Book1.xlsx]Sheet1!$B$1:$B$6</c:f>
              <c:numCache>
                <c:formatCode>General</c:formatCode>
                <c:ptCount val="6"/>
                <c:pt idx="0">
                  <c:v>1</c:v>
                </c:pt>
                <c:pt idx="1">
                  <c:v>8</c:v>
                </c:pt>
                <c:pt idx="2">
                  <c:v>15</c:v>
                </c:pt>
                <c:pt idx="3">
                  <c:v>57</c:v>
                </c:pt>
                <c:pt idx="4">
                  <c:v>39</c:v>
                </c:pt>
                <c:pt idx="5">
                  <c:v>14</c:v>
                </c:pt>
              </c:numCache>
            </c:numRef>
          </c:val>
          <c:extLst>
            <c:ext xmlns:c16="http://schemas.microsoft.com/office/drawing/2014/chart" uri="{C3380CC4-5D6E-409C-BE32-E72D297353CC}">
              <c16:uniqueId val="{00000001-ADE8-41AD-8B00-F75F358882FB}"/>
            </c:ext>
          </c:extLst>
        </c:ser>
        <c:dLbls>
          <c:showLegendKey val="0"/>
          <c:showVal val="1"/>
          <c:showCatName val="0"/>
          <c:showSerName val="0"/>
          <c:showPercent val="0"/>
          <c:showBubbleSize val="0"/>
        </c:dLbls>
        <c:gapWidth val="150"/>
        <c:axId val="34399360"/>
        <c:axId val="61083008"/>
      </c:barChart>
      <c:catAx>
        <c:axId val="34399360"/>
        <c:scaling>
          <c:orientation val="minMax"/>
        </c:scaling>
        <c:delete val="0"/>
        <c:axPos val="b"/>
        <c:title>
          <c:tx>
            <c:rich>
              <a:bodyPr/>
              <a:lstStyle/>
              <a:p>
                <a:pPr>
                  <a:defRPr sz="1400" b="0">
                    <a:latin typeface="Times New Roman" panose="02020603050405020304" pitchFamily="18" charset="0"/>
                    <a:cs typeface="Times New Roman" panose="02020603050405020304" pitchFamily="18" charset="0"/>
                  </a:defRPr>
                </a:pPr>
                <a:r>
                  <a:rPr lang="en-GB" sz="1400" b="0">
                    <a:latin typeface="Times New Roman" panose="02020603050405020304" pitchFamily="18" charset="0"/>
                    <a:cs typeface="Times New Roman" panose="02020603050405020304" pitchFamily="18" charset="0"/>
                  </a:rPr>
                  <a:t>Energy soource</a:t>
                </a:r>
              </a:p>
            </c:rich>
          </c:tx>
          <c:layout>
            <c:manualLayout>
              <c:xMode val="edge"/>
              <c:yMode val="edge"/>
              <c:x val="0.29302154016266374"/>
              <c:y val="0.92399522483088004"/>
            </c:manualLayout>
          </c:layout>
          <c:overlay val="0"/>
        </c:title>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en-US"/>
          </a:p>
        </c:txPr>
        <c:crossAx val="61083008"/>
        <c:crosses val="autoZero"/>
        <c:auto val="1"/>
        <c:lblAlgn val="ctr"/>
        <c:lblOffset val="100"/>
        <c:noMultiLvlLbl val="0"/>
      </c:catAx>
      <c:valAx>
        <c:axId val="61083008"/>
        <c:scaling>
          <c:orientation val="minMax"/>
        </c:scaling>
        <c:delete val="0"/>
        <c:axPos val="l"/>
        <c:majorGridlines/>
        <c:title>
          <c:tx>
            <c:rich>
              <a:bodyPr rot="-5400000" vert="horz"/>
              <a:lstStyle/>
              <a:p>
                <a:pPr>
                  <a:defRPr sz="1400" b="0">
                    <a:latin typeface="Times New Roman" panose="02020603050405020304" pitchFamily="18" charset="0"/>
                    <a:cs typeface="Times New Roman" panose="02020603050405020304" pitchFamily="18" charset="0"/>
                  </a:defRPr>
                </a:pPr>
                <a:r>
                  <a:rPr lang="en-GB" sz="1400" b="0">
                    <a:latin typeface="Times New Roman" panose="02020603050405020304" pitchFamily="18" charset="0"/>
                    <a:cs typeface="Times New Roman" panose="02020603050405020304" pitchFamily="18" charset="0"/>
                  </a:rPr>
                  <a:t>Percent</a:t>
                </a:r>
                <a:r>
                  <a:rPr lang="en-GB" sz="1400" b="0" baseline="0">
                    <a:latin typeface="Times New Roman" panose="02020603050405020304" pitchFamily="18" charset="0"/>
                    <a:cs typeface="Times New Roman" panose="02020603050405020304" pitchFamily="18" charset="0"/>
                  </a:rPr>
                  <a:t> growth rate </a:t>
                </a:r>
                <a:r>
                  <a:rPr lang="en-GB" sz="1400" b="0">
                    <a:latin typeface="Times New Roman" panose="02020603050405020304" pitchFamily="18" charset="0"/>
                    <a:cs typeface="Times New Roman" panose="02020603050405020304" pitchFamily="18" charset="0"/>
                  </a:rPr>
                  <a:t> (%)</a:t>
                </a:r>
              </a:p>
            </c:rich>
          </c:tx>
          <c:layout>
            <c:manualLayout>
              <c:xMode val="edge"/>
              <c:yMode val="edge"/>
              <c:x val="1.3288268963876268E-2"/>
              <c:y val="0.35884068631548444"/>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34399360"/>
        <c:crosses val="autoZero"/>
        <c:crossBetween val="between"/>
      </c:valAx>
    </c:plotArea>
    <c:plotVisOnly val="1"/>
    <c:dispBlanksAs val="gap"/>
    <c:showDLblsOverMax val="0"/>
  </c:chart>
  <c:spPr>
    <a:ln>
      <a:solidFill>
        <a:schemeClr val="tx1"/>
      </a:solid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100459508840991"/>
          <c:y val="5.9171007266678913E-2"/>
          <c:w val="0.83645269506874553"/>
          <c:h val="0.83966263522270634"/>
        </c:manualLayout>
      </c:layout>
      <c:barChart>
        <c:barDir val="col"/>
        <c:grouping val="percentStacked"/>
        <c:varyColors val="0"/>
        <c:ser>
          <c:idx val="0"/>
          <c:order val="0"/>
          <c:tx>
            <c:strRef>
              <c:f>Sheet1!$A$2</c:f>
              <c:strCache>
                <c:ptCount val="1"/>
                <c:pt idx="0">
                  <c:v>Lighting and Appliances</c:v>
                </c:pt>
              </c:strCache>
            </c:strRef>
          </c:tx>
          <c:invertIfNegative val="0"/>
          <c:dLbls>
            <c:delete val="1"/>
          </c:dLbls>
          <c:cat>
            <c:strRef>
              <c:f>Sheet1!$B$1:$C$1</c:f>
              <c:strCache>
                <c:ptCount val="2"/>
                <c:pt idx="0">
                  <c:v>Domestic energy consumption</c:v>
                </c:pt>
                <c:pt idx="1">
                  <c:v>Domestic energy spend</c:v>
                </c:pt>
              </c:strCache>
            </c:strRef>
          </c:cat>
          <c:val>
            <c:numRef>
              <c:f>Sheet1!$B$2:$C$2</c:f>
              <c:numCache>
                <c:formatCode>General</c:formatCode>
                <c:ptCount val="2"/>
                <c:pt idx="0">
                  <c:v>15</c:v>
                </c:pt>
                <c:pt idx="1">
                  <c:v>33</c:v>
                </c:pt>
              </c:numCache>
            </c:numRef>
          </c:val>
          <c:extLst>
            <c:ext xmlns:c16="http://schemas.microsoft.com/office/drawing/2014/chart" uri="{C3380CC4-5D6E-409C-BE32-E72D297353CC}">
              <c16:uniqueId val="{00000000-D6D0-4E98-B771-50E7743A93BB}"/>
            </c:ext>
          </c:extLst>
        </c:ser>
        <c:ser>
          <c:idx val="1"/>
          <c:order val="1"/>
          <c:tx>
            <c:strRef>
              <c:f>Sheet1!$A$3</c:f>
              <c:strCache>
                <c:ptCount val="1"/>
                <c:pt idx="0">
                  <c:v>Cooking</c:v>
                </c:pt>
              </c:strCache>
            </c:strRef>
          </c:tx>
          <c:spPr>
            <a:ln w="76200"/>
          </c:spPr>
          <c:invertIfNegative val="0"/>
          <c:dLbls>
            <c:delete val="1"/>
          </c:dLbls>
          <c:cat>
            <c:strRef>
              <c:f>Sheet1!$B$1:$C$1</c:f>
              <c:strCache>
                <c:ptCount val="2"/>
                <c:pt idx="0">
                  <c:v>Domestic energy consumption</c:v>
                </c:pt>
                <c:pt idx="1">
                  <c:v>Domestic energy spend</c:v>
                </c:pt>
              </c:strCache>
            </c:strRef>
          </c:cat>
          <c:val>
            <c:numRef>
              <c:f>Sheet1!$B$3:$C$3</c:f>
              <c:numCache>
                <c:formatCode>General</c:formatCode>
                <c:ptCount val="2"/>
                <c:pt idx="0">
                  <c:v>3</c:v>
                </c:pt>
                <c:pt idx="1">
                  <c:v>3</c:v>
                </c:pt>
              </c:numCache>
            </c:numRef>
          </c:val>
          <c:extLst>
            <c:ext xmlns:c16="http://schemas.microsoft.com/office/drawing/2014/chart" uri="{C3380CC4-5D6E-409C-BE32-E72D297353CC}">
              <c16:uniqueId val="{00000001-D6D0-4E98-B771-50E7743A93BB}"/>
            </c:ext>
          </c:extLst>
        </c:ser>
        <c:ser>
          <c:idx val="2"/>
          <c:order val="2"/>
          <c:tx>
            <c:strRef>
              <c:f>Sheet1!$A$4</c:f>
              <c:strCache>
                <c:ptCount val="1"/>
                <c:pt idx="0">
                  <c:v>Water heating</c:v>
                </c:pt>
              </c:strCache>
            </c:strRef>
          </c:tx>
          <c:invertIfNegative val="0"/>
          <c:dLbls>
            <c:delete val="1"/>
          </c:dLbls>
          <c:cat>
            <c:strRef>
              <c:f>Sheet1!$B$1:$C$1</c:f>
              <c:strCache>
                <c:ptCount val="2"/>
                <c:pt idx="0">
                  <c:v>Domestic energy consumption</c:v>
                </c:pt>
                <c:pt idx="1">
                  <c:v>Domestic energy spend</c:v>
                </c:pt>
              </c:strCache>
            </c:strRef>
          </c:cat>
          <c:val>
            <c:numRef>
              <c:f>Sheet1!$B$4:$C$4</c:f>
              <c:numCache>
                <c:formatCode>General</c:formatCode>
                <c:ptCount val="2"/>
                <c:pt idx="0">
                  <c:v>16</c:v>
                </c:pt>
                <c:pt idx="1">
                  <c:v>13</c:v>
                </c:pt>
              </c:numCache>
            </c:numRef>
          </c:val>
          <c:extLst>
            <c:ext xmlns:c16="http://schemas.microsoft.com/office/drawing/2014/chart" uri="{C3380CC4-5D6E-409C-BE32-E72D297353CC}">
              <c16:uniqueId val="{00000002-D6D0-4E98-B771-50E7743A93BB}"/>
            </c:ext>
          </c:extLst>
        </c:ser>
        <c:ser>
          <c:idx val="3"/>
          <c:order val="3"/>
          <c:tx>
            <c:strRef>
              <c:f>Sheet1!$A$5</c:f>
              <c:strCache>
                <c:ptCount val="1"/>
                <c:pt idx="0">
                  <c:v>Space heating</c:v>
                </c:pt>
              </c:strCache>
            </c:strRef>
          </c:tx>
          <c:invertIfNegative val="0"/>
          <c:dLbls>
            <c:delete val="1"/>
          </c:dLbls>
          <c:cat>
            <c:strRef>
              <c:f>Sheet1!$B$1:$C$1</c:f>
              <c:strCache>
                <c:ptCount val="2"/>
                <c:pt idx="0">
                  <c:v>Domestic energy consumption</c:v>
                </c:pt>
                <c:pt idx="1">
                  <c:v>Domestic energy spend</c:v>
                </c:pt>
              </c:strCache>
            </c:strRef>
          </c:cat>
          <c:val>
            <c:numRef>
              <c:f>Sheet1!$B$5:$C$5</c:f>
              <c:numCache>
                <c:formatCode>General</c:formatCode>
                <c:ptCount val="2"/>
                <c:pt idx="0">
                  <c:v>66</c:v>
                </c:pt>
                <c:pt idx="1">
                  <c:v>51</c:v>
                </c:pt>
              </c:numCache>
            </c:numRef>
          </c:val>
          <c:extLst>
            <c:ext xmlns:c16="http://schemas.microsoft.com/office/drawing/2014/chart" uri="{C3380CC4-5D6E-409C-BE32-E72D297353CC}">
              <c16:uniqueId val="{00000003-D6D0-4E98-B771-50E7743A93BB}"/>
            </c:ext>
          </c:extLst>
        </c:ser>
        <c:dLbls>
          <c:showLegendKey val="0"/>
          <c:showVal val="1"/>
          <c:showCatName val="0"/>
          <c:showSerName val="0"/>
          <c:showPercent val="0"/>
          <c:showBubbleSize val="0"/>
        </c:dLbls>
        <c:gapWidth val="150"/>
        <c:overlap val="100"/>
        <c:axId val="72233728"/>
        <c:axId val="72235264"/>
      </c:barChart>
      <c:catAx>
        <c:axId val="72233728"/>
        <c:scaling>
          <c:orientation val="minMax"/>
        </c:scaling>
        <c:delete val="0"/>
        <c:axPos val="b"/>
        <c:numFmt formatCode="General" sourceLinked="0"/>
        <c:majorTickMark val="out"/>
        <c:minorTickMark val="none"/>
        <c:tickLblPos val="nextTo"/>
        <c:crossAx val="72235264"/>
        <c:crosses val="autoZero"/>
        <c:auto val="1"/>
        <c:lblAlgn val="ctr"/>
        <c:lblOffset val="100"/>
        <c:noMultiLvlLbl val="0"/>
      </c:catAx>
      <c:valAx>
        <c:axId val="72235264"/>
        <c:scaling>
          <c:orientation val="minMax"/>
        </c:scaling>
        <c:delete val="0"/>
        <c:axPos val="l"/>
        <c:majorGridlines/>
        <c:title>
          <c:tx>
            <c:rich>
              <a:bodyPr rot="-5400000" vert="horz"/>
              <a:lstStyle/>
              <a:p>
                <a:pPr>
                  <a:defRPr b="0"/>
                </a:pPr>
                <a:r>
                  <a:rPr lang="en-US" b="0"/>
                  <a:t>Percentage of total (%)</a:t>
                </a:r>
              </a:p>
            </c:rich>
          </c:tx>
          <c:layout>
            <c:manualLayout>
              <c:xMode val="edge"/>
              <c:yMode val="edge"/>
              <c:x val="1.2913385826771654E-2"/>
              <c:y val="0.33590561295445076"/>
            </c:manualLayout>
          </c:layout>
          <c:overlay val="0"/>
        </c:title>
        <c:numFmt formatCode="0%" sourceLinked="1"/>
        <c:majorTickMark val="out"/>
        <c:minorTickMark val="none"/>
        <c:tickLblPos val="nextTo"/>
        <c:crossAx val="72233728"/>
        <c:crosses val="autoZero"/>
        <c:crossBetween val="between"/>
      </c:valAx>
    </c:plotArea>
    <c:legend>
      <c:legendPos val="r"/>
      <c:layout>
        <c:manualLayout>
          <c:xMode val="edge"/>
          <c:yMode val="edge"/>
          <c:x val="0.47544541203872676"/>
          <c:y val="0.21702992328271101"/>
          <c:w val="0.19035309906650022"/>
          <c:h val="0.63906786218196709"/>
        </c:manualLayout>
      </c:layout>
      <c:overlay val="0"/>
      <c:spPr>
        <a:solidFill>
          <a:schemeClr val="bg1"/>
        </a:solidFill>
        <a:ln>
          <a:solidFill>
            <a:schemeClr val="accent1"/>
          </a:solidFill>
        </a:ln>
      </c:spPr>
    </c:legend>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78887988917068"/>
          <c:y val="0.11435982910895252"/>
          <c:w val="0.88256695569040322"/>
          <c:h val="0.69229755085645739"/>
        </c:manualLayout>
      </c:layout>
      <c:barChart>
        <c:barDir val="col"/>
        <c:grouping val="clustered"/>
        <c:varyColors val="0"/>
        <c:ser>
          <c:idx val="0"/>
          <c:order val="0"/>
          <c:tx>
            <c:strRef>
              <c:f>Sheet1!$B$1</c:f>
              <c:strCache>
                <c:ptCount val="1"/>
                <c:pt idx="0">
                  <c:v>Litres of hot water per person used in domestic properties</c:v>
                </c:pt>
              </c:strCache>
            </c:strRef>
          </c:tx>
          <c:invertIfNegative val="0"/>
          <c:cat>
            <c:strRef>
              <c:f>Sheet1!$A$2:$A$8</c:f>
              <c:strCache>
                <c:ptCount val="7"/>
                <c:pt idx="0">
                  <c:v>Couple under 60, no dependent children</c:v>
                </c:pt>
                <c:pt idx="1">
                  <c:v>Couple over 60, no dependent chiildren</c:v>
                </c:pt>
                <c:pt idx="2">
                  <c:v>Couple with dependent children</c:v>
                </c:pt>
                <c:pt idx="3">
                  <c:v>Lone parent living with children</c:v>
                </c:pt>
                <c:pt idx="4">
                  <c:v>Large adult household</c:v>
                </c:pt>
                <c:pt idx="5">
                  <c:v>One person aged under 60 years</c:v>
                </c:pt>
                <c:pt idx="6">
                  <c:v>One person aged 60 years or more</c:v>
                </c:pt>
              </c:strCache>
            </c:strRef>
          </c:cat>
          <c:val>
            <c:numRef>
              <c:f>Sheet1!$B$2:$B$8</c:f>
              <c:numCache>
                <c:formatCode>General</c:formatCode>
                <c:ptCount val="7"/>
                <c:pt idx="0">
                  <c:v>55</c:v>
                </c:pt>
                <c:pt idx="1">
                  <c:v>46</c:v>
                </c:pt>
                <c:pt idx="2">
                  <c:v>50</c:v>
                </c:pt>
                <c:pt idx="3">
                  <c:v>54</c:v>
                </c:pt>
                <c:pt idx="4">
                  <c:v>52</c:v>
                </c:pt>
                <c:pt idx="5">
                  <c:v>58</c:v>
                </c:pt>
                <c:pt idx="6">
                  <c:v>53</c:v>
                </c:pt>
              </c:numCache>
            </c:numRef>
          </c:val>
          <c:extLst>
            <c:ext xmlns:c16="http://schemas.microsoft.com/office/drawing/2014/chart" uri="{C3380CC4-5D6E-409C-BE32-E72D297353CC}">
              <c16:uniqueId val="{00000000-C2EA-4FA1-9A58-C31DBE0AD971}"/>
            </c:ext>
          </c:extLst>
        </c:ser>
        <c:dLbls>
          <c:showLegendKey val="0"/>
          <c:showVal val="0"/>
          <c:showCatName val="0"/>
          <c:showSerName val="0"/>
          <c:showPercent val="0"/>
          <c:showBubbleSize val="0"/>
        </c:dLbls>
        <c:gapWidth val="150"/>
        <c:axId val="72272128"/>
        <c:axId val="72278016"/>
      </c:barChart>
      <c:catAx>
        <c:axId val="72272128"/>
        <c:scaling>
          <c:orientation val="minMax"/>
        </c:scaling>
        <c:delete val="0"/>
        <c:axPos val="b"/>
        <c:numFmt formatCode="General" sourceLinked="0"/>
        <c:majorTickMark val="out"/>
        <c:minorTickMark val="none"/>
        <c:tickLblPos val="nextTo"/>
        <c:spPr>
          <a:solidFill>
            <a:srgbClr val="FFFFFF"/>
          </a:solidFill>
        </c:spPr>
        <c:txPr>
          <a:bodyPr/>
          <a:lstStyle/>
          <a:p>
            <a:pPr>
              <a:defRPr sz="1000">
                <a:latin typeface="Times New Roman" panose="02020603050405020304" pitchFamily="18" charset="0"/>
                <a:cs typeface="Times New Roman" panose="02020603050405020304" pitchFamily="18" charset="0"/>
              </a:defRPr>
            </a:pPr>
            <a:endParaRPr lang="en-US"/>
          </a:p>
        </c:txPr>
        <c:crossAx val="72278016"/>
        <c:crosses val="autoZero"/>
        <c:auto val="1"/>
        <c:lblAlgn val="ctr"/>
        <c:lblOffset val="100"/>
        <c:noMultiLvlLbl val="0"/>
      </c:catAx>
      <c:valAx>
        <c:axId val="72278016"/>
        <c:scaling>
          <c:orientation val="minMax"/>
          <c:max val="60"/>
        </c:scaling>
        <c:delete val="0"/>
        <c:axPos val="l"/>
        <c:majorGridlines/>
        <c:title>
          <c:tx>
            <c:rich>
              <a:bodyPr rot="-5400000" vert="horz"/>
              <a:lstStyle/>
              <a:p>
                <a:pPr>
                  <a:defRPr sz="1200" b="0">
                    <a:latin typeface="Times New Roman" panose="02020603050405020304" pitchFamily="18" charset="0"/>
                    <a:cs typeface="Times New Roman" panose="02020603050405020304" pitchFamily="18" charset="0"/>
                  </a:defRPr>
                </a:pPr>
                <a:r>
                  <a:rPr lang="en-GB" sz="1200" b="0">
                    <a:latin typeface="Times New Roman" panose="02020603050405020304" pitchFamily="18" charset="0"/>
                    <a:cs typeface="Times New Roman" panose="02020603050405020304" pitchFamily="18" charset="0"/>
                  </a:rPr>
                  <a:t>Litres (lt) of hot water per person per day</a:t>
                </a:r>
              </a:p>
            </c:rich>
          </c:tx>
          <c:layout>
            <c:manualLayout>
              <c:xMode val="edge"/>
              <c:yMode val="edge"/>
              <c:x val="4.8076199581291801E-3"/>
              <c:y val="0.17313128311791232"/>
            </c:manualLayout>
          </c:layout>
          <c:overlay val="0"/>
        </c:title>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en-US"/>
          </a:p>
        </c:txPr>
        <c:crossAx val="72272128"/>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400" u="sng"/>
              <a:t>Declination</a:t>
            </a:r>
            <a:r>
              <a:rPr lang="en-GB" sz="1400" u="sng" baseline="0"/>
              <a:t> Angle (</a:t>
            </a:r>
            <a:r>
              <a:rPr lang="el-GR" sz="1400" u="sng" baseline="0">
                <a:latin typeface="Times New Roman"/>
                <a:cs typeface="Times New Roman"/>
              </a:rPr>
              <a:t>δ</a:t>
            </a:r>
            <a:r>
              <a:rPr lang="en-GB" sz="1400" u="sng" baseline="0">
                <a:latin typeface="Times New Roman"/>
                <a:cs typeface="Times New Roman"/>
              </a:rPr>
              <a:t>) </a:t>
            </a:r>
            <a:r>
              <a:rPr lang="en-GB" sz="1400" u="sng" baseline="0"/>
              <a:t>throughout the year</a:t>
            </a:r>
            <a:endParaRPr lang="en-GB" sz="1400" u="sng"/>
          </a:p>
        </c:rich>
      </c:tx>
      <c:layout>
        <c:manualLayout>
          <c:xMode val="edge"/>
          <c:yMode val="edge"/>
          <c:x val="0.40276407837764727"/>
          <c:y val="4.0339702760084861E-2"/>
        </c:manualLayout>
      </c:layout>
      <c:overlay val="1"/>
    </c:title>
    <c:autoTitleDeleted val="0"/>
    <c:plotArea>
      <c:layout/>
      <c:scatterChart>
        <c:scatterStyle val="smoothMarker"/>
        <c:varyColors val="0"/>
        <c:ser>
          <c:idx val="0"/>
          <c:order val="0"/>
          <c:spPr>
            <a:ln w="15875"/>
          </c:spPr>
          <c:marker>
            <c:symbol val="none"/>
          </c:marker>
          <c:xVal>
            <c:numRef>
              <c:f>Sheet1!$B$1:$B$399</c:f>
              <c:numCache>
                <c:formatCode>General</c:formatCode>
                <c:ptCount val="39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numCache>
            </c:numRef>
          </c:xVal>
          <c:yVal>
            <c:numRef>
              <c:f>Sheet1!$C$1:$C$399</c:f>
              <c:numCache>
                <c:formatCode>General</c:formatCode>
                <c:ptCount val="399"/>
                <c:pt idx="0">
                  <c:v>-0.36150273579542552</c:v>
                </c:pt>
                <c:pt idx="1">
                  <c:v>0.61192229900703055</c:v>
                </c:pt>
                <c:pt idx="2">
                  <c:v>1.164492151658618</c:v>
                </c:pt>
                <c:pt idx="3">
                  <c:v>0.54017775624328823</c:v>
                </c:pt>
                <c:pt idx="4">
                  <c:v>-0.43535864854558581</c:v>
                </c:pt>
                <c:pt idx="5">
                  <c:v>-1.1495747797895817</c:v>
                </c:pt>
                <c:pt idx="6">
                  <c:v>-0.71197755158786269</c:v>
                </c:pt>
                <c:pt idx="7">
                  <c:v>0.25491775419143953</c:v>
                </c:pt>
                <c:pt idx="8">
                  <c:v>1.0858669669977321</c:v>
                </c:pt>
                <c:pt idx="9">
                  <c:v>0.86946634836017478</c:v>
                </c:pt>
                <c:pt idx="10">
                  <c:v>-7.3478681024892994E-2</c:v>
                </c:pt>
                <c:pt idx="11">
                  <c:v>-0.97979432022846902</c:v>
                </c:pt>
                <c:pt idx="12">
                  <c:v>-1.0028476903525112</c:v>
                </c:pt>
                <c:pt idx="13">
                  <c:v>-0.10806173140872544</c:v>
                </c:pt>
                <c:pt idx="14">
                  <c:v>0.84099959638414135</c:v>
                </c:pt>
                <c:pt idx="15">
                  <c:v>1.1015242359187858</c:v>
                </c:pt>
                <c:pt idx="16">
                  <c:v>0.28942368881101332</c:v>
                </c:pt>
                <c:pt idx="17">
                  <c:v>-0.68008515925473079</c:v>
                </c:pt>
                <c:pt idx="18">
                  <c:v>-1.1563005635245458</c:v>
                </c:pt>
                <c:pt idx="19">
                  <c:v>-0.46942703783185663</c:v>
                </c:pt>
                <c:pt idx="20">
                  <c:v>0.50649053549967005</c:v>
                </c:pt>
                <c:pt idx="21">
                  <c:v>1.1615805890638673</c:v>
                </c:pt>
                <c:pt idx="22">
                  <c:v>0.64469752931184365</c:v>
                </c:pt>
                <c:pt idx="23">
                  <c:v>-0.3271039570065819</c:v>
                </c:pt>
                <c:pt idx="24">
                  <c:v>-1.1168065207640749</c:v>
                </c:pt>
                <c:pt idx="25">
                  <c:v>-0.80896133905948464</c:v>
                </c:pt>
                <c:pt idx="26">
                  <c:v>0.14587128447826841</c:v>
                </c:pt>
                <c:pt idx="27">
                  <c:v>1.0266060288093579</c:v>
                </c:pt>
                <c:pt idx="28">
                  <c:v>0.95322751920457083</c:v>
                </c:pt>
                <c:pt idx="29">
                  <c:v>3.5662676480450892E-2</c:v>
                </c:pt>
                <c:pt idx="30">
                  <c:v>-0.89959156965670506</c:v>
                </c:pt>
                <c:pt idx="31">
                  <c:v>-1.06697832225858</c:v>
                </c:pt>
                <c:pt idx="32">
                  <c:v>-0.21715385913177976</c:v>
                </c:pt>
                <c:pt idx="33">
                  <c:v>0.74626114758848394</c:v>
                </c:pt>
                <c:pt idx="34">
                  <c:v>1.1401783616938312</c:v>
                </c:pt>
                <c:pt idx="35">
                  <c:v>0.39795717394794622</c:v>
                </c:pt>
                <c:pt idx="36">
                  <c:v>-0.5767353730249597</c:v>
                </c:pt>
                <c:pt idx="37">
                  <c:v>-1.1655653390668539</c:v>
                </c:pt>
                <c:pt idx="38">
                  <c:v>-0.57569866759470512</c:v>
                </c:pt>
                <c:pt idx="39">
                  <c:v>0.39902425368364286</c:v>
                </c:pt>
                <c:pt idx="40">
                  <c:v>1.1404751365228551</c:v>
                </c:pt>
                <c:pt idx="41">
                  <c:v>0.74529393627256735</c:v>
                </c:pt>
                <c:pt idx="42">
                  <c:v>-0.21822978305568524</c:v>
                </c:pt>
                <c:pt idx="43">
                  <c:v>-1.067541158905803</c:v>
                </c:pt>
                <c:pt idx="44">
                  <c:v>-0.8987488910669057</c:v>
                </c:pt>
                <c:pt idx="45">
                  <c:v>3.6739721581232392E-2</c:v>
                </c:pt>
                <c:pt idx="46">
                  <c:v>0.95400296746222168</c:v>
                </c:pt>
                <c:pt idx="47">
                  <c:v>1.0259511287860017</c:v>
                </c:pt>
                <c:pt idx="48">
                  <c:v>0.14479453502203579</c:v>
                </c:pt>
                <c:pt idx="49">
                  <c:v>-0.8098861761952395</c:v>
                </c:pt>
                <c:pt idx="50">
                  <c:v>-1.1163984326695391</c:v>
                </c:pt>
                <c:pt idx="51">
                  <c:v>-0.32603167497402602</c:v>
                </c:pt>
                <c:pt idx="52">
                  <c:v>0.64571220226363835</c:v>
                </c:pt>
                <c:pt idx="53">
                  <c:v>1.1614604212808499</c:v>
                </c:pt>
                <c:pt idx="54">
                  <c:v>0.50543803726373304</c:v>
                </c:pt>
                <c:pt idx="55">
                  <c:v>-0.47048553567362267</c:v>
                </c:pt>
                <c:pt idx="56">
                  <c:v>-1.1564810465806969</c:v>
                </c:pt>
                <c:pt idx="57">
                  <c:v>-0.67908441556451904</c:v>
                </c:pt>
                <c:pt idx="58">
                  <c:v>0.29049764559936642</c:v>
                </c:pt>
                <c:pt idx="59">
                  <c:v>1.1019863563731722</c:v>
                </c:pt>
                <c:pt idx="60">
                  <c:v>0.84009989037681143</c:v>
                </c:pt>
                <c:pt idx="61">
                  <c:v>-0.10913865534764416</c:v>
                </c:pt>
                <c:pt idx="62">
                  <c:v>-1.0035456966255998</c:v>
                </c:pt>
                <c:pt idx="63">
                  <c:v>-0.9790569060157176</c:v>
                </c:pt>
                <c:pt idx="64">
                  <c:v>-7.2401672867492314E-2</c:v>
                </c:pt>
                <c:pt idx="65">
                  <c:v>0.87033922605062641</c:v>
                </c:pt>
                <c:pt idx="66">
                  <c:v>1.0853542264487053</c:v>
                </c:pt>
                <c:pt idx="67">
                  <c:v>0.25384264159953196</c:v>
                </c:pt>
                <c:pt idx="68">
                  <c:v>-0.71296282821292956</c:v>
                </c:pt>
                <c:pt idx="69">
                  <c:v>-1.1493365085606315</c:v>
                </c:pt>
                <c:pt idx="70">
                  <c:v>-0.43429543333870768</c:v>
                </c:pt>
                <c:pt idx="71">
                  <c:v>0.54122318243656542</c:v>
                </c:pt>
                <c:pt idx="72">
                  <c:v>1.1645532600584709</c:v>
                </c:pt>
                <c:pt idx="73">
                  <c:v>0.6108959216390909</c:v>
                </c:pt>
                <c:pt idx="74">
                  <c:v>-0.362572811481635</c:v>
                </c:pt>
                <c:pt idx="75">
                  <c:v>-1.129400463912362</c:v>
                </c:pt>
                <c:pt idx="76">
                  <c:v>-0.77795666113985862</c:v>
                </c:pt>
                <c:pt idx="77">
                  <c:v>0.18151920277658079</c:v>
                </c:pt>
                <c:pt idx="78">
                  <c:v>1.0475430825884318</c:v>
                </c:pt>
                <c:pt idx="79">
                  <c:v>0.92695778600661349</c:v>
                </c:pt>
                <c:pt idx="80">
                  <c:v>0</c:v>
                </c:pt>
                <c:pt idx="81">
                  <c:v>-0.92695778600661349</c:v>
                </c:pt>
                <c:pt idx="82">
                  <c:v>-1.0475430825884318</c:v>
                </c:pt>
                <c:pt idx="83">
                  <c:v>-0.18151920277658079</c:v>
                </c:pt>
                <c:pt idx="84">
                  <c:v>0.77795666113985862</c:v>
                </c:pt>
                <c:pt idx="85">
                  <c:v>1.129400463912362</c:v>
                </c:pt>
                <c:pt idx="86">
                  <c:v>0.362572811481635</c:v>
                </c:pt>
                <c:pt idx="87">
                  <c:v>-0.6108959216390909</c:v>
                </c:pt>
                <c:pt idx="88">
                  <c:v>-1.1645532600584709</c:v>
                </c:pt>
                <c:pt idx="89">
                  <c:v>-0.54122318243656542</c:v>
                </c:pt>
                <c:pt idx="90">
                  <c:v>0.43429543333870768</c:v>
                </c:pt>
                <c:pt idx="91">
                  <c:v>1.1493365085606315</c:v>
                </c:pt>
                <c:pt idx="92">
                  <c:v>0.71296282821292956</c:v>
                </c:pt>
                <c:pt idx="93">
                  <c:v>-0.25384264159953196</c:v>
                </c:pt>
                <c:pt idx="94">
                  <c:v>-1.0853542264487053</c:v>
                </c:pt>
                <c:pt idx="95">
                  <c:v>-0.87033922605062641</c:v>
                </c:pt>
                <c:pt idx="96">
                  <c:v>7.2401672867492314E-2</c:v>
                </c:pt>
                <c:pt idx="97">
                  <c:v>0.9790569060157176</c:v>
                </c:pt>
                <c:pt idx="98">
                  <c:v>1.0035456966255998</c:v>
                </c:pt>
                <c:pt idx="99">
                  <c:v>0.10913865534764416</c:v>
                </c:pt>
                <c:pt idx="100">
                  <c:v>-0.84009989037681143</c:v>
                </c:pt>
                <c:pt idx="101">
                  <c:v>-1.1019863563731722</c:v>
                </c:pt>
                <c:pt idx="102">
                  <c:v>-0.29049764559936642</c:v>
                </c:pt>
                <c:pt idx="103">
                  <c:v>0.67908441556451904</c:v>
                </c:pt>
                <c:pt idx="104">
                  <c:v>1.1564810465806969</c:v>
                </c:pt>
                <c:pt idx="105">
                  <c:v>0.47048553567362267</c:v>
                </c:pt>
                <c:pt idx="106">
                  <c:v>-0.50543803726373304</c:v>
                </c:pt>
                <c:pt idx="107">
                  <c:v>-1.1614604212808499</c:v>
                </c:pt>
                <c:pt idx="108">
                  <c:v>-0.64571220226363835</c:v>
                </c:pt>
                <c:pt idx="109">
                  <c:v>0.32603167497402602</c:v>
                </c:pt>
                <c:pt idx="110">
                  <c:v>1.1163984326695391</c:v>
                </c:pt>
                <c:pt idx="111">
                  <c:v>0.8098861761952395</c:v>
                </c:pt>
                <c:pt idx="112">
                  <c:v>-0.14479453502203579</c:v>
                </c:pt>
                <c:pt idx="113">
                  <c:v>-1.0259511287860017</c:v>
                </c:pt>
                <c:pt idx="114">
                  <c:v>-0.95400296746222168</c:v>
                </c:pt>
                <c:pt idx="115">
                  <c:v>-3.6739721581232392E-2</c:v>
                </c:pt>
                <c:pt idx="116">
                  <c:v>0.8987488910669057</c:v>
                </c:pt>
                <c:pt idx="117">
                  <c:v>1.067541158905803</c:v>
                </c:pt>
                <c:pt idx="118">
                  <c:v>0.21822978305568524</c:v>
                </c:pt>
                <c:pt idx="119">
                  <c:v>-0.74529393627256735</c:v>
                </c:pt>
                <c:pt idx="120">
                  <c:v>-1.1404751365228551</c:v>
                </c:pt>
                <c:pt idx="121">
                  <c:v>-0.39902425368364286</c:v>
                </c:pt>
                <c:pt idx="122">
                  <c:v>0.57569866759470512</c:v>
                </c:pt>
                <c:pt idx="123">
                  <c:v>1.1655653390668539</c:v>
                </c:pt>
                <c:pt idx="124">
                  <c:v>0.5767353730249597</c:v>
                </c:pt>
                <c:pt idx="125">
                  <c:v>-0.39795717394794622</c:v>
                </c:pt>
                <c:pt idx="126">
                  <c:v>-1.1401783616938312</c:v>
                </c:pt>
                <c:pt idx="127">
                  <c:v>-0.74626114758848394</c:v>
                </c:pt>
                <c:pt idx="128">
                  <c:v>0.21715385913177976</c:v>
                </c:pt>
                <c:pt idx="129">
                  <c:v>1.06697832225858</c:v>
                </c:pt>
                <c:pt idx="130">
                  <c:v>0.89959156965670506</c:v>
                </c:pt>
                <c:pt idx="131">
                  <c:v>-3.5662676480450892E-2</c:v>
                </c:pt>
                <c:pt idx="132">
                  <c:v>-0.95322751920457083</c:v>
                </c:pt>
                <c:pt idx="133">
                  <c:v>-1.0266060288093579</c:v>
                </c:pt>
                <c:pt idx="134">
                  <c:v>-0.14587128447826841</c:v>
                </c:pt>
                <c:pt idx="135">
                  <c:v>0.80896133905948464</c:v>
                </c:pt>
                <c:pt idx="136">
                  <c:v>1.1168065207640749</c:v>
                </c:pt>
                <c:pt idx="137">
                  <c:v>0.3271039570065819</c:v>
                </c:pt>
                <c:pt idx="138">
                  <c:v>-0.64469752931184365</c:v>
                </c:pt>
                <c:pt idx="139">
                  <c:v>-1.1615805890638673</c:v>
                </c:pt>
                <c:pt idx="140">
                  <c:v>-0.50649053549967005</c:v>
                </c:pt>
                <c:pt idx="141">
                  <c:v>0.46942703783185663</c:v>
                </c:pt>
                <c:pt idx="142">
                  <c:v>1.1563005635245458</c:v>
                </c:pt>
                <c:pt idx="143">
                  <c:v>0.68008515925473079</c:v>
                </c:pt>
                <c:pt idx="144">
                  <c:v>-0.28942368881101332</c:v>
                </c:pt>
                <c:pt idx="145">
                  <c:v>-1.1015242359187858</c:v>
                </c:pt>
                <c:pt idx="146">
                  <c:v>-0.84099959638414135</c:v>
                </c:pt>
                <c:pt idx="147">
                  <c:v>0.10806173140872544</c:v>
                </c:pt>
                <c:pt idx="148">
                  <c:v>1.0028476903525112</c:v>
                </c:pt>
                <c:pt idx="149">
                  <c:v>0.97979432022846902</c:v>
                </c:pt>
                <c:pt idx="150">
                  <c:v>7.3478681024892994E-2</c:v>
                </c:pt>
                <c:pt idx="151">
                  <c:v>-0.86946634836017478</c:v>
                </c:pt>
                <c:pt idx="152">
                  <c:v>-1.0858669669977321</c:v>
                </c:pt>
                <c:pt idx="153">
                  <c:v>-0.25491775419143953</c:v>
                </c:pt>
                <c:pt idx="154">
                  <c:v>0.71197755158786269</c:v>
                </c:pt>
                <c:pt idx="155">
                  <c:v>1.1495747797895817</c:v>
                </c:pt>
                <c:pt idx="156">
                  <c:v>0.43535864854558581</c:v>
                </c:pt>
                <c:pt idx="157">
                  <c:v>-0.54017775624328823</c:v>
                </c:pt>
                <c:pt idx="158">
                  <c:v>-1.164492151658618</c:v>
                </c:pt>
                <c:pt idx="159">
                  <c:v>-0.61192229900703055</c:v>
                </c:pt>
                <c:pt idx="160">
                  <c:v>0.36150273579542552</c:v>
                </c:pt>
                <c:pt idx="161">
                  <c:v>1.1290464708412591</c:v>
                </c:pt>
                <c:pt idx="162">
                  <c:v>0.77890352725002265</c:v>
                </c:pt>
                <c:pt idx="163">
                  <c:v>-0.18044275830985074</c:v>
                </c:pt>
                <c:pt idx="164">
                  <c:v>-1.0469323834262962</c:v>
                </c:pt>
                <c:pt idx="165">
                  <c:v>-0.9277676330769381</c:v>
                </c:pt>
                <c:pt idx="166">
                  <c:v>-1.0770546420346319E-3</c:v>
                </c:pt>
                <c:pt idx="167">
                  <c:v>0.92614693883135857</c:v>
                </c:pt>
                <c:pt idx="168">
                  <c:v>1.0481524116672905</c:v>
                </c:pt>
                <c:pt idx="169">
                  <c:v>0.18259563532051876</c:v>
                </c:pt>
                <c:pt idx="170">
                  <c:v>-0.77700916514001583</c:v>
                </c:pt>
                <c:pt idx="171">
                  <c:v>-1.1297528000502222</c:v>
                </c:pt>
                <c:pt idx="172">
                  <c:v>-0.36364281040662261</c:v>
                </c:pt>
                <c:pt idx="173">
                  <c:v>0.60986921721911991</c:v>
                </c:pt>
                <c:pt idx="174">
                  <c:v>1.1646125795676237</c:v>
                </c:pt>
                <c:pt idx="175">
                  <c:v>0.54226837442298859</c:v>
                </c:pt>
                <c:pt idx="176">
                  <c:v>-0.43323209115994388</c:v>
                </c:pt>
                <c:pt idx="177">
                  <c:v>-1.1490965062054697</c:v>
                </c:pt>
                <c:pt idx="178">
                  <c:v>-0.71394760660230117</c:v>
                </c:pt>
                <c:pt idx="179">
                  <c:v>0.25276750022551675</c:v>
                </c:pt>
                <c:pt idx="180">
                  <c:v>1.084839986882512</c:v>
                </c:pt>
                <c:pt idx="181">
                  <c:v>0.87121125561735868</c:v>
                </c:pt>
                <c:pt idx="182">
                  <c:v>-7.1324663055283982E-2</c:v>
                </c:pt>
                <c:pt idx="183">
                  <c:v>-0.97831833956902514</c:v>
                </c:pt>
                <c:pt idx="184">
                  <c:v>-1.0042424750953753</c:v>
                </c:pt>
                <c:pt idx="185">
                  <c:v>-0.11021557565884446</c:v>
                </c:pt>
                <c:pt idx="186">
                  <c:v>0.8391994117299636</c:v>
                </c:pt>
                <c:pt idx="187">
                  <c:v>1.1024469191541619</c:v>
                </c:pt>
                <c:pt idx="188">
                  <c:v>0.29157156081671481</c:v>
                </c:pt>
                <c:pt idx="189">
                  <c:v>-0.67808323521409053</c:v>
                </c:pt>
                <c:pt idx="190">
                  <c:v>-1.1566597715113063</c:v>
                </c:pt>
                <c:pt idx="191">
                  <c:v>-0.47154387480262355</c:v>
                </c:pt>
                <c:pt idx="192">
                  <c:v>0.50438534529828949</c:v>
                </c:pt>
                <c:pt idx="193">
                  <c:v>1.1613384764272743</c:v>
                </c:pt>
                <c:pt idx="194">
                  <c:v>0.64672649456473308</c:v>
                </c:pt>
                <c:pt idx="195">
                  <c:v>-0.32495933579089703</c:v>
                </c:pt>
                <c:pt idx="196">
                  <c:v>-1.1159887351185613</c:v>
                </c:pt>
                <c:pt idx="197">
                  <c:v>-0.8108103121692587</c:v>
                </c:pt>
                <c:pt idx="198">
                  <c:v>0.14371777872281441</c:v>
                </c:pt>
                <c:pt idx="199">
                  <c:v>1.0252949295477123</c:v>
                </c:pt>
                <c:pt idx="200">
                  <c:v>0.95477733811188492</c:v>
                </c:pt>
                <c:pt idx="201">
                  <c:v>3.7816766065759601E-2</c:v>
                </c:pt>
                <c:pt idx="202">
                  <c:v>-0.89790528983032458</c:v>
                </c:pt>
                <c:pt idx="203">
                  <c:v>-1.0681025580424215</c:v>
                </c:pt>
                <c:pt idx="204">
                  <c:v>-0.21930568776641612</c:v>
                </c:pt>
                <c:pt idx="205">
                  <c:v>0.74432616346801261</c:v>
                </c:pt>
                <c:pt idx="206">
                  <c:v>1.1407702134121518</c:v>
                </c:pt>
                <c:pt idx="207">
                  <c:v>0.40009123316922596</c:v>
                </c:pt>
                <c:pt idx="208">
                  <c:v>-0.57466168437944065</c:v>
                </c:pt>
                <c:pt idx="209">
                  <c:v>-1.1655635462994198</c:v>
                </c:pt>
                <c:pt idx="210">
                  <c:v>-0.57777179928867672</c:v>
                </c:pt>
                <c:pt idx="211">
                  <c:v>0.39688999470812547</c:v>
                </c:pt>
                <c:pt idx="212">
                  <c:v>1.1398798900307499</c:v>
                </c:pt>
                <c:pt idx="213">
                  <c:v>0.74722779545544693</c:v>
                </c:pt>
                <c:pt idx="214">
                  <c:v>-0.21607791624365574</c:v>
                </c:pt>
                <c:pt idx="215">
                  <c:v>-1.0664140500219679</c:v>
                </c:pt>
                <c:pt idx="216">
                  <c:v>-0.90043332333583459</c:v>
                </c:pt>
                <c:pt idx="217">
                  <c:v>3.4585630785825806E-2</c:v>
                </c:pt>
                <c:pt idx="218">
                  <c:v>0.95245099560527968</c:v>
                </c:pt>
                <c:pt idx="219">
                  <c:v>1.0272596274978592</c:v>
                </c:pt>
                <c:pt idx="220">
                  <c:v>0.14694802697016526</c:v>
                </c:pt>
                <c:pt idx="221">
                  <c:v>-0.80803580288790799</c:v>
                </c:pt>
                <c:pt idx="222">
                  <c:v>-1.1172129979229839</c:v>
                </c:pt>
                <c:pt idx="223">
                  <c:v>-0.3281761813664299</c:v>
                </c:pt>
                <c:pt idx="224">
                  <c:v>0.64368247734084105</c:v>
                </c:pt>
                <c:pt idx="225">
                  <c:v>1.1616989793178281</c:v>
                </c:pt>
                <c:pt idx="226">
                  <c:v>0.50754283888325757</c:v>
                </c:pt>
                <c:pt idx="227">
                  <c:v>-0.46836838226995148</c:v>
                </c:pt>
                <c:pt idx="228">
                  <c:v>-1.1561183230275633</c:v>
                </c:pt>
                <c:pt idx="229">
                  <c:v>-0.68108546453426777</c:v>
                </c:pt>
                <c:pt idx="230">
                  <c:v>0.28834969087213597</c:v>
                </c:pt>
                <c:pt idx="231">
                  <c:v>1.1010605594367455</c:v>
                </c:pt>
                <c:pt idx="232">
                  <c:v>0.84189852756312289</c:v>
                </c:pt>
                <c:pt idx="233">
                  <c:v>-0.1069848039171576</c:v>
                </c:pt>
                <c:pt idx="234">
                  <c:v>-1.0021484584659899</c:v>
                </c:pt>
                <c:pt idx="235">
                  <c:v>-0.98053057996960691</c:v>
                </c:pt>
                <c:pt idx="236">
                  <c:v>-7.4555687484848129E-2</c:v>
                </c:pt>
                <c:pt idx="237">
                  <c:v>0.86859262478035049</c:v>
                </c:pt>
                <c:pt idx="238">
                  <c:v>1.086378206739008</c:v>
                </c:pt>
                <c:pt idx="239">
                  <c:v>0.25599283767034231</c:v>
                </c:pt>
                <c:pt idx="240">
                  <c:v>-0.71099177858559093</c:v>
                </c:pt>
                <c:pt idx="241">
                  <c:v>-1.149811318995382</c:v>
                </c:pt>
                <c:pt idx="242">
                  <c:v>-0.43642173591164179</c:v>
                </c:pt>
                <c:pt idx="243">
                  <c:v>0.53913209709359677</c:v>
                </c:pt>
                <c:pt idx="244">
                  <c:v>1.1644292546019934</c:v>
                </c:pt>
                <c:pt idx="245">
                  <c:v>0.61294834781264151</c:v>
                </c:pt>
                <c:pt idx="246">
                  <c:v>-0.36043258397683564</c:v>
                </c:pt>
                <c:pt idx="247">
                  <c:v>-1.1286908221390499</c:v>
                </c:pt>
                <c:pt idx="248">
                  <c:v>-0.77984976141976992</c:v>
                </c:pt>
                <c:pt idx="249">
                  <c:v>0.17936630209869767</c:v>
                </c:pt>
                <c:pt idx="250">
                  <c:v>1.0463203162129018</c:v>
                </c:pt>
                <c:pt idx="251">
                  <c:v>0.92857647776762908</c:v>
                </c:pt>
                <c:pt idx="252">
                  <c:v>2.1541092682771097E-3</c:v>
                </c:pt>
                <c:pt idx="253">
                  <c:v>-0.92533509382582968</c:v>
                </c:pt>
                <c:pt idx="254">
                  <c:v>-1.0487603686338101</c:v>
                </c:pt>
                <c:pt idx="255">
                  <c:v>-0.1836720557614038</c:v>
                </c:pt>
                <c:pt idx="256">
                  <c:v>0.77606104129875064</c:v>
                </c:pt>
                <c:pt idx="257">
                  <c:v>1.1301034779582699</c:v>
                </c:pt>
                <c:pt idx="258">
                  <c:v>0.36471273193817116</c:v>
                </c:pt>
                <c:pt idx="259">
                  <c:v>-0.60884218725372374</c:v>
                </c:pt>
                <c:pt idx="260">
                  <c:v>-1.1646701099589707</c:v>
                </c:pt>
                <c:pt idx="261">
                  <c:v>-0.54331333094822609</c:v>
                </c:pt>
                <c:pt idx="262">
                  <c:v>0.43216862287458802</c:v>
                </c:pt>
                <c:pt idx="263">
                  <c:v>1.1488547736273123</c:v>
                </c:pt>
                <c:pt idx="264">
                  <c:v>0.71493188489435622</c:v>
                </c:pt>
                <c:pt idx="265">
                  <c:v>-0.25169233039773276</c:v>
                </c:pt>
                <c:pt idx="266">
                  <c:v>-1.0843242500938344</c:v>
                </c:pt>
                <c:pt idx="267">
                  <c:v>-0.87208243482491654</c:v>
                </c:pt>
                <c:pt idx="268">
                  <c:v>7.024765163010746E-2</c:v>
                </c:pt>
                <c:pt idx="269">
                  <c:v>0.97757862312719046</c:v>
                </c:pt>
                <c:pt idx="270">
                  <c:v>1.0049380235737131</c:v>
                </c:pt>
                <c:pt idx="271">
                  <c:v>0.11129249226609762</c:v>
                </c:pt>
                <c:pt idx="272">
                  <c:v>-0.8382981626308007</c:v>
                </c:pt>
                <c:pt idx="273">
                  <c:v>-1.1029059226206661</c:v>
                </c:pt>
                <c:pt idx="274">
                  <c:v>-0.29264543403976284</c:v>
                </c:pt>
                <c:pt idx="275">
                  <c:v>0.67708161995048943</c:v>
                </c:pt>
                <c:pt idx="276">
                  <c:v>1.1568367376381918</c:v>
                </c:pt>
                <c:pt idx="277">
                  <c:v>0.4726020542224838</c:v>
                </c:pt>
                <c:pt idx="278">
                  <c:v>-0.50333246072235871</c:v>
                </c:pt>
                <c:pt idx="279">
                  <c:v>-1.1612147549683631</c:v>
                </c:pt>
                <c:pt idx="280">
                  <c:v>-0.64774040458005644</c:v>
                </c:pt>
                <c:pt idx="281">
                  <c:v>0.32388693997622575</c:v>
                </c:pt>
                <c:pt idx="282">
                  <c:v>1.1155774295954461</c:v>
                </c:pt>
                <c:pt idx="283">
                  <c:v>0.81173374485353855</c:v>
                </c:pt>
                <c:pt idx="284">
                  <c:v>-0.14264101570044072</c:v>
                </c:pt>
                <c:pt idx="285">
                  <c:v>-1.0246374332167874</c:v>
                </c:pt>
                <c:pt idx="286">
                  <c:v>-0.95555062888773057</c:v>
                </c:pt>
                <c:pt idx="287">
                  <c:v>-3.8893809911193442E-2</c:v>
                </c:pt>
                <c:pt idx="288">
                  <c:v>0.89706076821026515</c:v>
                </c:pt>
                <c:pt idx="289">
                  <c:v>1.068662517750756</c:v>
                </c:pt>
                <c:pt idx="290">
                  <c:v>0.22038157301274278</c:v>
                </c:pt>
                <c:pt idx="291">
                  <c:v>-0.74335783113232679</c:v>
                </c:pt>
                <c:pt idx="292">
                  <c:v>-1.1410635912619989</c:v>
                </c:pt>
                <c:pt idx="293">
                  <c:v>-0.40115811165519344</c:v>
                </c:pt>
                <c:pt idx="294">
                  <c:v>0.57362442475686615</c:v>
                </c:pt>
                <c:pt idx="295">
                  <c:v>1.1655599607714286</c:v>
                </c:pt>
                <c:pt idx="296">
                  <c:v>0.57880794500051869</c:v>
                </c:pt>
                <c:pt idx="297">
                  <c:v>-0.39582271670663305</c:v>
                </c:pt>
                <c:pt idx="298">
                  <c:v>-1.1395797226452364</c:v>
                </c:pt>
                <c:pt idx="299">
                  <c:v>-0.74819387791031</c:v>
                </c:pt>
                <c:pt idx="300">
                  <c:v>0.21500195463804939</c:v>
                </c:pt>
                <c:pt idx="301">
                  <c:v>1.065848344120728</c:v>
                </c:pt>
                <c:pt idx="302">
                  <c:v>0.90127414983980769</c:v>
                </c:pt>
                <c:pt idx="303">
                  <c:v>-3.3508584519393834E-2</c:v>
                </c:pt>
                <c:pt idx="304">
                  <c:v>-0.95167339893122416</c:v>
                </c:pt>
                <c:pt idx="305">
                  <c:v>-1.0279119227339537</c:v>
                </c:pt>
                <c:pt idx="306">
                  <c:v>-0.14802476237484252</c:v>
                </c:pt>
                <c:pt idx="307">
                  <c:v>0.80710956980433957</c:v>
                </c:pt>
                <c:pt idx="308">
                  <c:v>1.1176178626722375</c:v>
                </c:pt>
                <c:pt idx="309">
                  <c:v>0.32924834752837484</c:v>
                </c:pt>
                <c:pt idx="310">
                  <c:v>-0.64266704797848095</c:v>
                </c:pt>
                <c:pt idx="311">
                  <c:v>-1.1618155915909609</c:v>
                </c:pt>
                <c:pt idx="312">
                  <c:v>-0.50859494628784996</c:v>
                </c:pt>
                <c:pt idx="313">
                  <c:v>0.46730956997669454</c:v>
                </c:pt>
                <c:pt idx="314">
                  <c:v>1.1559343257809818</c:v>
                </c:pt>
                <c:pt idx="315">
                  <c:v>0.68208532964934132</c:v>
                </c:pt>
                <c:pt idx="316">
                  <c:v>-0.28727565220031809</c:v>
                </c:pt>
                <c:pt idx="317">
                  <c:v>-1.100595328577388</c:v>
                </c:pt>
                <c:pt idx="318">
                  <c:v>-0.84279668172335243</c:v>
                </c:pt>
                <c:pt idx="319">
                  <c:v>0.10590787294680688</c:v>
                </c:pt>
                <c:pt idx="320">
                  <c:v>1.0014480031576272</c:v>
                </c:pt>
                <c:pt idx="321">
                  <c:v>0.98126568300264605</c:v>
                </c:pt>
                <c:pt idx="322">
                  <c:v>7.5632692203966095E-2</c:v>
                </c:pt>
                <c:pt idx="323">
                  <c:v>-0.86771805754432885</c:v>
                </c:pt>
                <c:pt idx="324">
                  <c:v>-1.086887943886091</c:v>
                </c:pt>
                <c:pt idx="325">
                  <c:v>-0.25706789170281258</c:v>
                </c:pt>
                <c:pt idx="326">
                  <c:v>0.71000551106143162</c:v>
                </c:pt>
                <c:pt idx="327">
                  <c:v>1.1500461252873644</c:v>
                </c:pt>
                <c:pt idx="328">
                  <c:v>0.43748469456417538</c:v>
                </c:pt>
                <c:pt idx="329">
                  <c:v>-0.53808620623415693</c:v>
                </c:pt>
                <c:pt idx="330">
                  <c:v>-1.1643645691293687</c:v>
                </c:pt>
                <c:pt idx="331">
                  <c:v>-0.61397406654181974</c:v>
                </c:pt>
                <c:pt idx="332">
                  <c:v>0.35936235665146482</c:v>
                </c:pt>
                <c:pt idx="333">
                  <c:v>1.1283335191134305</c:v>
                </c:pt>
                <c:pt idx="334">
                  <c:v>0.78079536159589547</c:v>
                </c:pt>
                <c:pt idx="335">
                  <c:v>-0.17828983431960671</c:v>
                </c:pt>
                <c:pt idx="336">
                  <c:v>-1.045706882983215</c:v>
                </c:pt>
                <c:pt idx="337">
                  <c:v>-0.92938431780395558</c:v>
                </c:pt>
                <c:pt idx="338">
                  <c:v>-3.2311638629094011E-3</c:v>
                </c:pt>
                <c:pt idx="339">
                  <c:v>0.9245222532646391</c:v>
                </c:pt>
                <c:pt idx="340">
                  <c:v>1.0493669514619008</c:v>
                </c:pt>
                <c:pt idx="341">
                  <c:v>0.1847484639170712</c:v>
                </c:pt>
                <c:pt idx="342">
                  <c:v>-0.77511229166185491</c:v>
                </c:pt>
                <c:pt idx="343">
                  <c:v>-1.1304524963455165</c:v>
                </c:pt>
                <c:pt idx="344">
                  <c:v>-0.36578257544070852</c:v>
                </c:pt>
                <c:pt idx="345">
                  <c:v>0.60781483324576713</c:v>
                </c:pt>
                <c:pt idx="346">
                  <c:v>1.1647258510122447</c:v>
                </c:pt>
                <c:pt idx="347">
                  <c:v>0.54435805075410515</c:v>
                </c:pt>
                <c:pt idx="348">
                  <c:v>-0.43110502934427714</c:v>
                </c:pt>
                <c:pt idx="349">
                  <c:v>-1.148611311735638</c:v>
                </c:pt>
                <c:pt idx="350">
                  <c:v>-0.71591566122433592</c:v>
                </c:pt>
                <c:pt idx="351">
                  <c:v>0.2506171324419646</c:v>
                </c:pt>
                <c:pt idx="352">
                  <c:v>1.0838070178814578</c:v>
                </c:pt>
                <c:pt idx="353">
                  <c:v>0.87295276143673528</c:v>
                </c:pt>
                <c:pt idx="354">
                  <c:v>-6.9170638633057682E-2</c:v>
                </c:pt>
                <c:pt idx="355">
                  <c:v>-0.97683775893012703</c:v>
                </c:pt>
                <c:pt idx="356">
                  <c:v>-1.0056323398742384</c:v>
                </c:pt>
                <c:pt idx="357">
                  <c:v>-0.11236940509199088</c:v>
                </c:pt>
                <c:pt idx="358">
                  <c:v>0.83739614526490957</c:v>
                </c:pt>
                <c:pt idx="359">
                  <c:v>1.103363365136244</c:v>
                </c:pt>
                <c:pt idx="360">
                  <c:v>0.29371926484231486</c:v>
                </c:pt>
                <c:pt idx="361">
                  <c:v>-0.67607957151737741</c:v>
                </c:pt>
                <c:pt idx="362">
                  <c:v>-1.1570119442897224</c:v>
                </c:pt>
                <c:pt idx="363">
                  <c:v>-0.47366007293302831</c:v>
                </c:pt>
                <c:pt idx="364">
                  <c:v>0.50227938465107991</c:v>
                </c:pt>
                <c:pt idx="365">
                  <c:v>1.1610892573760399</c:v>
                </c:pt>
                <c:pt idx="366">
                  <c:v>0.64875393067098752</c:v>
                </c:pt>
                <c:pt idx="367">
                  <c:v>-0.32281448804588669</c:v>
                </c:pt>
                <c:pt idx="368">
                  <c:v>-1.1151645175895868</c:v>
                </c:pt>
                <c:pt idx="369">
                  <c:v>-0.81265647211808534</c:v>
                </c:pt>
                <c:pt idx="370">
                  <c:v>0.14156424607318743</c:v>
                </c:pt>
                <c:pt idx="371">
                  <c:v>1.0239786419178079</c:v>
                </c:pt>
                <c:pt idx="372">
                  <c:v>0.9563228375245294</c:v>
                </c:pt>
                <c:pt idx="373">
                  <c:v>3.9970853094347135E-2</c:v>
                </c:pt>
                <c:pt idx="374">
                  <c:v>-0.89621532846938567</c:v>
                </c:pt>
                <c:pt idx="375">
                  <c:v>-1.069221036116726</c:v>
                </c:pt>
                <c:pt idx="376">
                  <c:v>-0.22145743854121838</c:v>
                </c:pt>
                <c:pt idx="377">
                  <c:v>0.74238894122012078</c:v>
                </c:pt>
                <c:pt idx="378">
                  <c:v>1.1413552689786461</c:v>
                </c:pt>
                <c:pt idx="379">
                  <c:v>0.40222488838854248</c:v>
                </c:pt>
                <c:pt idx="380">
                  <c:v>-0.57258689010085306</c:v>
                </c:pt>
                <c:pt idx="381">
                  <c:v>-1.165554582496614</c:v>
                </c:pt>
                <c:pt idx="382">
                  <c:v>-0.57984380877134567</c:v>
                </c:pt>
                <c:pt idx="383">
                  <c:v>0.39475534068236584</c:v>
                </c:pt>
                <c:pt idx="384">
                  <c:v>1.1392778606548393</c:v>
                </c:pt>
                <c:pt idx="385">
                  <c:v>0.74915939298714862</c:v>
                </c:pt>
                <c:pt idx="386">
                  <c:v>-0.21392597455945694</c:v>
                </c:pt>
                <c:pt idx="387">
                  <c:v>-1.0652812064831112</c:v>
                </c:pt>
                <c:pt idx="388">
                  <c:v>-0.90211404690357722</c:v>
                </c:pt>
                <c:pt idx="389">
                  <c:v>3.2431537702772989E-2</c:v>
                </c:pt>
                <c:pt idx="390">
                  <c:v>0.95089473144986136</c:v>
                </c:pt>
                <c:pt idx="391">
                  <c:v>1.0285629124024338</c:v>
                </c:pt>
                <c:pt idx="392">
                  <c:v>0.14910149056775804</c:v>
                </c:pt>
                <c:pt idx="393">
                  <c:v>-0.80618264193058153</c:v>
                </c:pt>
                <c:pt idx="394">
                  <c:v>-1.1180211135429019</c:v>
                </c:pt>
                <c:pt idx="395">
                  <c:v>-0.33032045496400747</c:v>
                </c:pt>
                <c:pt idx="396">
                  <c:v>0.64165124284914343</c:v>
                </c:pt>
                <c:pt idx="397">
                  <c:v>1.1619304254382101</c:v>
                </c:pt>
                <c:pt idx="398">
                  <c:v>0.50964685658283293</c:v>
                </c:pt>
              </c:numCache>
            </c:numRef>
          </c:yVal>
          <c:smooth val="1"/>
          <c:extLst>
            <c:ext xmlns:c16="http://schemas.microsoft.com/office/drawing/2014/chart" uri="{C3380CC4-5D6E-409C-BE32-E72D297353CC}">
              <c16:uniqueId val="{00000000-B768-4B23-B863-244A0FF58AB9}"/>
            </c:ext>
          </c:extLst>
        </c:ser>
        <c:dLbls>
          <c:showLegendKey val="0"/>
          <c:showVal val="0"/>
          <c:showCatName val="0"/>
          <c:showSerName val="0"/>
          <c:showPercent val="0"/>
          <c:showBubbleSize val="0"/>
        </c:dLbls>
        <c:axId val="72002560"/>
        <c:axId val="72033408"/>
      </c:scatterChart>
      <c:valAx>
        <c:axId val="72002560"/>
        <c:scaling>
          <c:orientation val="minMax"/>
          <c:max val="400"/>
        </c:scaling>
        <c:delete val="0"/>
        <c:axPos val="b"/>
        <c:title>
          <c:tx>
            <c:rich>
              <a:bodyPr/>
              <a:lstStyle/>
              <a:p>
                <a:pPr>
                  <a:defRPr sz="1200"/>
                </a:pPr>
                <a:r>
                  <a:rPr lang="en-GB" sz="1200">
                    <a:latin typeface="TUOS Blake" panose="020B0503040000020004" pitchFamily="34" charset="0"/>
                  </a:rPr>
                  <a:t>Day of the year</a:t>
                </a:r>
              </a:p>
            </c:rich>
          </c:tx>
          <c:layout>
            <c:manualLayout>
              <c:xMode val="edge"/>
              <c:yMode val="edge"/>
              <c:x val="0.46044467143426004"/>
              <c:y val="0.89485831786950254"/>
            </c:manualLayout>
          </c:layout>
          <c:overlay val="0"/>
        </c:title>
        <c:numFmt formatCode="General" sourceLinked="1"/>
        <c:majorTickMark val="out"/>
        <c:minorTickMark val="none"/>
        <c:tickLblPos val="nextTo"/>
        <c:spPr>
          <a:ln w="22225"/>
        </c:spPr>
        <c:txPr>
          <a:bodyPr/>
          <a:lstStyle/>
          <a:p>
            <a:pPr>
              <a:defRPr sz="1400" b="1">
                <a:latin typeface="TUOS Blake" panose="020B0503040000020004" pitchFamily="34" charset="0"/>
              </a:defRPr>
            </a:pPr>
            <a:endParaRPr lang="en-US"/>
          </a:p>
        </c:txPr>
        <c:crossAx val="72033408"/>
        <c:crosses val="autoZero"/>
        <c:crossBetween val="midCat"/>
      </c:valAx>
      <c:valAx>
        <c:axId val="72033408"/>
        <c:scaling>
          <c:orientation val="minMax"/>
        </c:scaling>
        <c:delete val="0"/>
        <c:axPos val="l"/>
        <c:majorGridlines/>
        <c:title>
          <c:tx>
            <c:rich>
              <a:bodyPr rot="-5400000" vert="horz"/>
              <a:lstStyle/>
              <a:p>
                <a:pPr>
                  <a:defRPr sz="1200"/>
                </a:pPr>
                <a:r>
                  <a:rPr lang="en-GB" sz="1200">
                    <a:latin typeface="TUOS Blake" panose="020B0503040000020004" pitchFamily="34" charset="0"/>
                  </a:rPr>
                  <a:t>Declination</a:t>
                </a:r>
                <a:r>
                  <a:rPr lang="en-GB" sz="1200" baseline="0">
                    <a:latin typeface="TUOS Blake" panose="020B0503040000020004" pitchFamily="34" charset="0"/>
                  </a:rPr>
                  <a:t> Angle (</a:t>
                </a:r>
                <a:r>
                  <a:rPr lang="el-GR" sz="1200" baseline="0">
                    <a:latin typeface="Times New Roman"/>
                    <a:cs typeface="Times New Roman"/>
                  </a:rPr>
                  <a:t>δ</a:t>
                </a:r>
                <a:r>
                  <a:rPr lang="en-GB" sz="1200" baseline="0">
                    <a:latin typeface="TUOS Blake" panose="020B0503040000020004" pitchFamily="34" charset="0"/>
                    <a:cs typeface="Times New Roman"/>
                  </a:rPr>
                  <a:t>)</a:t>
                </a:r>
                <a:endParaRPr lang="en-GB" sz="1200">
                  <a:latin typeface="TUOS Blake" panose="020B0503040000020004" pitchFamily="34" charset="0"/>
                </a:endParaRPr>
              </a:p>
            </c:rich>
          </c:tx>
          <c:overlay val="0"/>
        </c:title>
        <c:numFmt formatCode="General" sourceLinked="1"/>
        <c:majorTickMark val="out"/>
        <c:minorTickMark val="none"/>
        <c:tickLblPos val="nextTo"/>
        <c:spPr>
          <a:ln>
            <a:solidFill>
              <a:schemeClr val="tx1"/>
            </a:solidFill>
          </a:ln>
        </c:spPr>
        <c:txPr>
          <a:bodyPr/>
          <a:lstStyle/>
          <a:p>
            <a:pPr>
              <a:defRPr sz="1400" b="1">
                <a:latin typeface="TUOS Blake" panose="020B0503040000020004" pitchFamily="34" charset="0"/>
              </a:defRPr>
            </a:pPr>
            <a:endParaRPr lang="en-US"/>
          </a:p>
        </c:txPr>
        <c:crossAx val="72002560"/>
        <c:crosses val="autoZero"/>
        <c:crossBetween val="midCat"/>
      </c:valAx>
      <c:spPr>
        <a:ln w="19050">
          <a:solidFill>
            <a:schemeClr val="tx1"/>
          </a:solidFill>
        </a:ln>
      </c:spPr>
    </c:plotArea>
    <c:plotVisOnly val="1"/>
    <c:dispBlanksAs val="gap"/>
    <c:showDLblsOverMax val="0"/>
  </c:chart>
  <c:spPr>
    <a:ln w="6350">
      <a:solidFill>
        <a:schemeClr val="tx1"/>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[MET PREDICTED 0HRS.xlsx]Sheet1!PivotTable1</c:name>
    <c:fmtId val="-1"/>
  </c:pivotSource>
  <c:chart>
    <c:title>
      <c:tx>
        <c:rich>
          <a:bodyPr/>
          <a:lstStyle/>
          <a:p>
            <a:pPr>
              <a:defRPr/>
            </a:pPr>
            <a:r>
              <a:rPr lang="en-US" sz="1200" b="1" i="0" u="sng" baseline="0">
                <a:effectLst/>
                <a:latin typeface="TUOS Blake" panose="020B0503040000020004" pitchFamily="34" charset="0"/>
              </a:rPr>
              <a:t>Direct, Diffuse and Total  Irradiance predicted by the MET Office +0Hr </a:t>
            </a:r>
            <a:r>
              <a:rPr lang="en-GB" sz="1200" b="1" i="0" u="sng" baseline="0">
                <a:effectLst/>
                <a:latin typeface="TUOS Blake" panose="020B0503040000020004" pitchFamily="34" charset="0"/>
              </a:rPr>
              <a:t>19/02/2014  – 19/02/2015 </a:t>
            </a:r>
            <a:endParaRPr lang="en-GB" sz="1000" b="1">
              <a:effectLst/>
              <a:latin typeface="TUOS Blake" panose="020B0503040000020004" pitchFamily="34" charset="0"/>
            </a:endParaRPr>
          </a:p>
        </c:rich>
      </c:tx>
      <c:layout>
        <c:manualLayout>
          <c:xMode val="edge"/>
          <c:yMode val="edge"/>
          <c:x val="0.27203161627697303"/>
          <c:y val="2.7726997412036786E-2"/>
        </c:manualLayout>
      </c:layout>
      <c:overlay val="1"/>
      <c:spPr>
        <a:solidFill>
          <a:schemeClr val="bg1"/>
        </a:solidFill>
      </c:spPr>
    </c:title>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spPr>
          <a:ln w="19050"/>
        </c:spPr>
        <c:marker>
          <c:symbol val="none"/>
        </c:marker>
      </c:pivotFmt>
      <c:pivotFmt>
        <c:idx val="5"/>
        <c:spPr>
          <a:ln w="19050"/>
        </c:spPr>
        <c:marker>
          <c:symbol val="none"/>
        </c:marker>
      </c:pivotFmt>
      <c:pivotFmt>
        <c:idx val="6"/>
        <c:spPr>
          <a:ln w="19050"/>
        </c:spPr>
        <c:marker>
          <c:symbol val="none"/>
        </c:marker>
      </c:pivotFmt>
      <c:pivotFmt>
        <c:idx val="7"/>
        <c:spPr>
          <a:ln w="19050"/>
        </c:spPr>
      </c:pivotFmt>
      <c:pivotFmt>
        <c:idx val="8"/>
        <c:marker>
          <c:symbol val="none"/>
        </c:marker>
      </c:pivotFmt>
      <c:pivotFmt>
        <c:idx val="9"/>
        <c:spPr>
          <a:ln w="19050"/>
        </c:spPr>
        <c:marker>
          <c:symbol val="none"/>
        </c:marker>
      </c:pivotFmt>
      <c:pivotFmt>
        <c:idx val="10"/>
        <c:spPr>
          <a:ln w="19050"/>
        </c:spPr>
      </c:pivotFmt>
      <c:pivotFmt>
        <c:idx val="11"/>
        <c:spPr>
          <a:ln w="19050"/>
        </c:spPr>
        <c:marker>
          <c:symbol val="none"/>
        </c:marker>
      </c:pivotFmt>
      <c:pivotFmt>
        <c:idx val="12"/>
        <c:spPr>
          <a:ln w="19050"/>
        </c:spPr>
      </c:pivotFmt>
      <c:pivotFmt>
        <c:idx val="13"/>
        <c:spPr>
          <a:ln w="19050"/>
        </c:spPr>
        <c:marker>
          <c:symbol val="none"/>
        </c:marker>
      </c:pivotFmt>
      <c:pivotFmt>
        <c:idx val="14"/>
        <c:spPr>
          <a:ln w="19050"/>
        </c:spPr>
        <c:marker>
          <c:symbol val="none"/>
        </c:marker>
      </c:pivotFmt>
      <c:pivotFmt>
        <c:idx val="15"/>
        <c:spPr>
          <a:ln w="19050"/>
        </c:spPr>
        <c:marker>
          <c:symbol val="none"/>
        </c:marker>
      </c:pivotFmt>
      <c:pivotFmt>
        <c:idx val="16"/>
        <c:spPr>
          <a:ln w="19050"/>
        </c:spPr>
        <c:marker>
          <c:symbol val="none"/>
        </c:marker>
      </c:pivotFmt>
      <c:pivotFmt>
        <c:idx val="17"/>
        <c:spPr>
          <a:ln w="19050"/>
        </c:spPr>
        <c:marker>
          <c:symbol val="none"/>
        </c:marker>
      </c:pivotFmt>
    </c:pivotFmts>
    <c:plotArea>
      <c:layout>
        <c:manualLayout>
          <c:layoutTarget val="inner"/>
          <c:xMode val="edge"/>
          <c:yMode val="edge"/>
          <c:x val="6.4564049963881889E-2"/>
          <c:y val="2.6410299367243602E-2"/>
          <c:w val="0.91507238424465176"/>
          <c:h val="0.81164601802397163"/>
        </c:manualLayout>
      </c:layout>
      <c:lineChart>
        <c:grouping val="stacked"/>
        <c:varyColors val="0"/>
        <c:ser>
          <c:idx val="0"/>
          <c:order val="0"/>
          <c:tx>
            <c:strRef>
              <c:f>Sheet1!$B$1</c:f>
              <c:strCache>
                <c:ptCount val="1"/>
                <c:pt idx="0">
                  <c:v>Average of Direct Irradiation (W/m^2), Forecast +0 Hrs</c:v>
                </c:pt>
              </c:strCache>
            </c:strRef>
          </c:tx>
          <c:spPr>
            <a:ln w="19050">
              <a:solidFill>
                <a:srgbClr val="0070C0"/>
              </a:solidFill>
            </a:ln>
          </c:spPr>
          <c:marker>
            <c:symbol val="none"/>
          </c:marker>
          <c:cat>
            <c:multiLvlStrRef>
              <c:f>Sheet1!$A$2:$A$735</c:f>
              <c:multiLvlStrCache>
                <c:ptCount val="365"/>
                <c:lvl>
                  <c:pt idx="0">
                    <c:v>Feb</c:v>
                  </c:pt>
                  <c:pt idx="1">
                    <c:v>Feb</c:v>
                  </c:pt>
                  <c:pt idx="3">
                    <c:v>Feb</c:v>
                  </c:pt>
                  <c:pt idx="4">
                    <c:v>Feb</c:v>
                  </c:pt>
                  <c:pt idx="5">
                    <c:v>Feb</c:v>
                  </c:pt>
                  <c:pt idx="6">
                    <c:v>Feb</c:v>
                  </c:pt>
                  <c:pt idx="7">
                    <c:v>Feb</c:v>
                  </c:pt>
                  <c:pt idx="8">
                    <c:v>Feb</c:v>
                  </c:pt>
                  <c:pt idx="9">
                    <c:v>Feb</c:v>
                  </c:pt>
                  <c:pt idx="10">
                    <c:v>Mar</c:v>
                  </c:pt>
                  <c:pt idx="11">
                    <c:v>Mar</c:v>
                  </c:pt>
                  <c:pt idx="12">
                    <c:v>Mar</c:v>
                  </c:pt>
                  <c:pt idx="13">
                    <c:v>Mar</c:v>
                  </c:pt>
                  <c:pt idx="14">
                    <c:v>Mar</c:v>
                  </c:pt>
                  <c:pt idx="15">
                    <c:v>Mar</c:v>
                  </c:pt>
                  <c:pt idx="16">
                    <c:v>Mar</c:v>
                  </c:pt>
                  <c:pt idx="17">
                    <c:v>Mar</c:v>
                  </c:pt>
                  <c:pt idx="18">
                    <c:v>Mar</c:v>
                  </c:pt>
                  <c:pt idx="19">
                    <c:v>Mar</c:v>
                  </c:pt>
                  <c:pt idx="20">
                    <c:v>Mar</c:v>
                  </c:pt>
                  <c:pt idx="21">
                    <c:v>Mar</c:v>
                  </c:pt>
                  <c:pt idx="22">
                    <c:v>Mar</c:v>
                  </c:pt>
                  <c:pt idx="23">
                    <c:v>Mar</c:v>
                  </c:pt>
                  <c:pt idx="24">
                    <c:v>Mar</c:v>
                  </c:pt>
                  <c:pt idx="25">
                    <c:v>Mar</c:v>
                  </c:pt>
                  <c:pt idx="26">
                    <c:v>Mar</c:v>
                  </c:pt>
                  <c:pt idx="27">
                    <c:v>Mar</c:v>
                  </c:pt>
                  <c:pt idx="28">
                    <c:v>Mar</c:v>
                  </c:pt>
                  <c:pt idx="29">
                    <c:v>Mar</c:v>
                  </c:pt>
                  <c:pt idx="31">
                    <c:v>Mar</c:v>
                  </c:pt>
                  <c:pt idx="32">
                    <c:v>Mar</c:v>
                  </c:pt>
                  <c:pt idx="33">
                    <c:v>Mar</c:v>
                  </c:pt>
                  <c:pt idx="34">
                    <c:v>Mar</c:v>
                  </c:pt>
                  <c:pt idx="35">
                    <c:v>Mar</c:v>
                  </c:pt>
                  <c:pt idx="36">
                    <c:v>Mar</c:v>
                  </c:pt>
                  <c:pt idx="37">
                    <c:v>Mar</c:v>
                  </c:pt>
                  <c:pt idx="38">
                    <c:v>Mar</c:v>
                  </c:pt>
                  <c:pt idx="39">
                    <c:v>Mar</c:v>
                  </c:pt>
                  <c:pt idx="40">
                    <c:v>Mar</c:v>
                  </c:pt>
                  <c:pt idx="41">
                    <c:v>Apr</c:v>
                  </c:pt>
                  <c:pt idx="42">
                    <c:v>Apr</c:v>
                  </c:pt>
                  <c:pt idx="43">
                    <c:v>Apr</c:v>
                  </c:pt>
                  <c:pt idx="44">
                    <c:v>Apr</c:v>
                  </c:pt>
                  <c:pt idx="45">
                    <c:v>Apr</c:v>
                  </c:pt>
                  <c:pt idx="46">
                    <c:v>Apr</c:v>
                  </c:pt>
                  <c:pt idx="47">
                    <c:v>Apr</c:v>
                  </c:pt>
                  <c:pt idx="48">
                    <c:v>Apr</c:v>
                  </c:pt>
                  <c:pt idx="49">
                    <c:v>Apr</c:v>
                  </c:pt>
                  <c:pt idx="50">
                    <c:v>Apr</c:v>
                  </c:pt>
                  <c:pt idx="51">
                    <c:v>Apr</c:v>
                  </c:pt>
                  <c:pt idx="52">
                    <c:v>Apr</c:v>
                  </c:pt>
                  <c:pt idx="53">
                    <c:v>Apr</c:v>
                  </c:pt>
                  <c:pt idx="54">
                    <c:v>Apr</c:v>
                  </c:pt>
                  <c:pt idx="55">
                    <c:v>Apr</c:v>
                  </c:pt>
                  <c:pt idx="56">
                    <c:v>Apr</c:v>
                  </c:pt>
                  <c:pt idx="57">
                    <c:v>Apr</c:v>
                  </c:pt>
                  <c:pt idx="58">
                    <c:v>Apr</c:v>
                  </c:pt>
                  <c:pt idx="59">
                    <c:v>Apr</c:v>
                  </c:pt>
                  <c:pt idx="60">
                    <c:v>Apr</c:v>
                  </c:pt>
                  <c:pt idx="62">
                    <c:v>Apr</c:v>
                  </c:pt>
                  <c:pt idx="63">
                    <c:v>Apr</c:v>
                  </c:pt>
                  <c:pt idx="64">
                    <c:v>Apr</c:v>
                  </c:pt>
                  <c:pt idx="65">
                    <c:v>Apr</c:v>
                  </c:pt>
                  <c:pt idx="66">
                    <c:v>Apr</c:v>
                  </c:pt>
                  <c:pt idx="67">
                    <c:v>Apr</c:v>
                  </c:pt>
                  <c:pt idx="68">
                    <c:v>Apr</c:v>
                  </c:pt>
                  <c:pt idx="69">
                    <c:v>Apr</c:v>
                  </c:pt>
                  <c:pt idx="70">
                    <c:v>Apr</c:v>
                  </c:pt>
                  <c:pt idx="71">
                    <c:v>May</c:v>
                  </c:pt>
                  <c:pt idx="72">
                    <c:v>May</c:v>
                  </c:pt>
                  <c:pt idx="73">
                    <c:v>May</c:v>
                  </c:pt>
                  <c:pt idx="74">
                    <c:v>May</c:v>
                  </c:pt>
                  <c:pt idx="75">
                    <c:v>May</c:v>
                  </c:pt>
                  <c:pt idx="76">
                    <c:v>May</c:v>
                  </c:pt>
                  <c:pt idx="77">
                    <c:v>May</c:v>
                  </c:pt>
                  <c:pt idx="78">
                    <c:v>May</c:v>
                  </c:pt>
                  <c:pt idx="79">
                    <c:v>May</c:v>
                  </c:pt>
                  <c:pt idx="80">
                    <c:v>May</c:v>
                  </c:pt>
                  <c:pt idx="81">
                    <c:v>May</c:v>
                  </c:pt>
                  <c:pt idx="82">
                    <c:v>May</c:v>
                  </c:pt>
                  <c:pt idx="83">
                    <c:v>May</c:v>
                  </c:pt>
                  <c:pt idx="84">
                    <c:v>May</c:v>
                  </c:pt>
                  <c:pt idx="85">
                    <c:v>May</c:v>
                  </c:pt>
                  <c:pt idx="86">
                    <c:v>May</c:v>
                  </c:pt>
                  <c:pt idx="87">
                    <c:v>May</c:v>
                  </c:pt>
                  <c:pt idx="88">
                    <c:v>May</c:v>
                  </c:pt>
                  <c:pt idx="89">
                    <c:v>May</c:v>
                  </c:pt>
                  <c:pt idx="90">
                    <c:v>May</c:v>
                  </c:pt>
                  <c:pt idx="92">
                    <c:v>May</c:v>
                  </c:pt>
                  <c:pt idx="93">
                    <c:v>May</c:v>
                  </c:pt>
                  <c:pt idx="94">
                    <c:v>May</c:v>
                  </c:pt>
                  <c:pt idx="95">
                    <c:v>May</c:v>
                  </c:pt>
                  <c:pt idx="96">
                    <c:v>May</c:v>
                  </c:pt>
                  <c:pt idx="97">
                    <c:v>May</c:v>
                  </c:pt>
                  <c:pt idx="98">
                    <c:v>May</c:v>
                  </c:pt>
                  <c:pt idx="99">
                    <c:v>May</c:v>
                  </c:pt>
                  <c:pt idx="100">
                    <c:v>May</c:v>
                  </c:pt>
                  <c:pt idx="101">
                    <c:v>May</c:v>
                  </c:pt>
                  <c:pt idx="102">
                    <c:v>Jun</c:v>
                  </c:pt>
                  <c:pt idx="103">
                    <c:v>Jun</c:v>
                  </c:pt>
                  <c:pt idx="104">
                    <c:v>Jun</c:v>
                  </c:pt>
                  <c:pt idx="105">
                    <c:v>Jun</c:v>
                  </c:pt>
                  <c:pt idx="106">
                    <c:v>Jun</c:v>
                  </c:pt>
                  <c:pt idx="107">
                    <c:v>Jun</c:v>
                  </c:pt>
                  <c:pt idx="108">
                    <c:v>Jun</c:v>
                  </c:pt>
                  <c:pt idx="109">
                    <c:v>Jun</c:v>
                  </c:pt>
                  <c:pt idx="110">
                    <c:v>Jun</c:v>
                  </c:pt>
                  <c:pt idx="111">
                    <c:v>Jun</c:v>
                  </c:pt>
                  <c:pt idx="112">
                    <c:v>Jun</c:v>
                  </c:pt>
                  <c:pt idx="113">
                    <c:v>Jun</c:v>
                  </c:pt>
                  <c:pt idx="114">
                    <c:v>Jun</c:v>
                  </c:pt>
                  <c:pt idx="115">
                    <c:v>Jun</c:v>
                  </c:pt>
                  <c:pt idx="116">
                    <c:v>Jun</c:v>
                  </c:pt>
                  <c:pt idx="117">
                    <c:v>Jun</c:v>
                  </c:pt>
                  <c:pt idx="118">
                    <c:v>Jun</c:v>
                  </c:pt>
                  <c:pt idx="119">
                    <c:v>Jun</c:v>
                  </c:pt>
                  <c:pt idx="120">
                    <c:v>Jun</c:v>
                  </c:pt>
                  <c:pt idx="121">
                    <c:v>Jun</c:v>
                  </c:pt>
                  <c:pt idx="123">
                    <c:v>Jun</c:v>
                  </c:pt>
                  <c:pt idx="124">
                    <c:v>Jun</c:v>
                  </c:pt>
                  <c:pt idx="125">
                    <c:v>Jun</c:v>
                  </c:pt>
                  <c:pt idx="126">
                    <c:v>Jun</c:v>
                  </c:pt>
                  <c:pt idx="127">
                    <c:v>Jun</c:v>
                  </c:pt>
                  <c:pt idx="128">
                    <c:v>Jun</c:v>
                  </c:pt>
                  <c:pt idx="129">
                    <c:v>Jun</c:v>
                  </c:pt>
                  <c:pt idx="130">
                    <c:v>Jun</c:v>
                  </c:pt>
                  <c:pt idx="131">
                    <c:v>Jun</c:v>
                  </c:pt>
                  <c:pt idx="132">
                    <c:v>Jul</c:v>
                  </c:pt>
                  <c:pt idx="133">
                    <c:v>Jul</c:v>
                  </c:pt>
                  <c:pt idx="134">
                    <c:v>Jul</c:v>
                  </c:pt>
                  <c:pt idx="135">
                    <c:v>Jul</c:v>
                  </c:pt>
                  <c:pt idx="136">
                    <c:v>Jul</c:v>
                  </c:pt>
                  <c:pt idx="137">
                    <c:v>Jul</c:v>
                  </c:pt>
                  <c:pt idx="138">
                    <c:v>Jul</c:v>
                  </c:pt>
                  <c:pt idx="139">
                    <c:v>Jul</c:v>
                  </c:pt>
                  <c:pt idx="140">
                    <c:v>Jul</c:v>
                  </c:pt>
                  <c:pt idx="141">
                    <c:v>Jul</c:v>
                  </c:pt>
                  <c:pt idx="142">
                    <c:v>Jul</c:v>
                  </c:pt>
                  <c:pt idx="143">
                    <c:v>Jul</c:v>
                  </c:pt>
                  <c:pt idx="144">
                    <c:v>Jul</c:v>
                  </c:pt>
                  <c:pt idx="145">
                    <c:v>Jul</c:v>
                  </c:pt>
                  <c:pt idx="146">
                    <c:v>Jul</c:v>
                  </c:pt>
                  <c:pt idx="147">
                    <c:v>Jul</c:v>
                  </c:pt>
                  <c:pt idx="148">
                    <c:v>Jul</c:v>
                  </c:pt>
                  <c:pt idx="149">
                    <c:v>Jul</c:v>
                  </c:pt>
                  <c:pt idx="150">
                    <c:v>Jul</c:v>
                  </c:pt>
                  <c:pt idx="151">
                    <c:v>Jul</c:v>
                  </c:pt>
                  <c:pt idx="153">
                    <c:v>Jul</c:v>
                  </c:pt>
                  <c:pt idx="154">
                    <c:v>Jul</c:v>
                  </c:pt>
                  <c:pt idx="155">
                    <c:v>Jul</c:v>
                  </c:pt>
                  <c:pt idx="156">
                    <c:v>Jul</c:v>
                  </c:pt>
                  <c:pt idx="157">
                    <c:v>Jul</c:v>
                  </c:pt>
                  <c:pt idx="158">
                    <c:v>Jul</c:v>
                  </c:pt>
                  <c:pt idx="159">
                    <c:v>Jul</c:v>
                  </c:pt>
                  <c:pt idx="160">
                    <c:v>Jul</c:v>
                  </c:pt>
                  <c:pt idx="161">
                    <c:v>Jul</c:v>
                  </c:pt>
                  <c:pt idx="162">
                    <c:v>Jul</c:v>
                  </c:pt>
                  <c:pt idx="163">
                    <c:v>Aug</c:v>
                  </c:pt>
                  <c:pt idx="164">
                    <c:v>Aug</c:v>
                  </c:pt>
                  <c:pt idx="165">
                    <c:v>Aug</c:v>
                  </c:pt>
                  <c:pt idx="166">
                    <c:v>Aug</c:v>
                  </c:pt>
                  <c:pt idx="167">
                    <c:v>Aug</c:v>
                  </c:pt>
                  <c:pt idx="168">
                    <c:v>Aug</c:v>
                  </c:pt>
                  <c:pt idx="169">
                    <c:v>Aug</c:v>
                  </c:pt>
                  <c:pt idx="170">
                    <c:v>Aug</c:v>
                  </c:pt>
                  <c:pt idx="171">
                    <c:v>Aug</c:v>
                  </c:pt>
                  <c:pt idx="172">
                    <c:v>Aug</c:v>
                  </c:pt>
                  <c:pt idx="173">
                    <c:v>Aug</c:v>
                  </c:pt>
                  <c:pt idx="174">
                    <c:v>Aug</c:v>
                  </c:pt>
                  <c:pt idx="175">
                    <c:v>Aug</c:v>
                  </c:pt>
                  <c:pt idx="176">
                    <c:v>Aug</c:v>
                  </c:pt>
                  <c:pt idx="177">
                    <c:v>Aug</c:v>
                  </c:pt>
                  <c:pt idx="178">
                    <c:v>Aug</c:v>
                  </c:pt>
                  <c:pt idx="179">
                    <c:v>Aug</c:v>
                  </c:pt>
                  <c:pt idx="180">
                    <c:v>Aug</c:v>
                  </c:pt>
                  <c:pt idx="181">
                    <c:v>Aug</c:v>
                  </c:pt>
                  <c:pt idx="182">
                    <c:v>Aug</c:v>
                  </c:pt>
                  <c:pt idx="184">
                    <c:v>Aug</c:v>
                  </c:pt>
                  <c:pt idx="185">
                    <c:v>Aug</c:v>
                  </c:pt>
                  <c:pt idx="186">
                    <c:v>Aug</c:v>
                  </c:pt>
                  <c:pt idx="187">
                    <c:v>Aug</c:v>
                  </c:pt>
                  <c:pt idx="188">
                    <c:v>Aug</c:v>
                  </c:pt>
                  <c:pt idx="189">
                    <c:v>Aug</c:v>
                  </c:pt>
                  <c:pt idx="190">
                    <c:v>Aug</c:v>
                  </c:pt>
                  <c:pt idx="191">
                    <c:v>Aug</c:v>
                  </c:pt>
                  <c:pt idx="192">
                    <c:v>Aug</c:v>
                  </c:pt>
                  <c:pt idx="193">
                    <c:v>Aug</c:v>
                  </c:pt>
                  <c:pt idx="194">
                    <c:v>Sep</c:v>
                  </c:pt>
                  <c:pt idx="195">
                    <c:v>Sep</c:v>
                  </c:pt>
                  <c:pt idx="196">
                    <c:v>Sep</c:v>
                  </c:pt>
                  <c:pt idx="197">
                    <c:v>Sep</c:v>
                  </c:pt>
                  <c:pt idx="198">
                    <c:v>Sep</c:v>
                  </c:pt>
                  <c:pt idx="199">
                    <c:v>Sep</c:v>
                  </c:pt>
                  <c:pt idx="200">
                    <c:v>Sep</c:v>
                  </c:pt>
                  <c:pt idx="201">
                    <c:v>Sep</c:v>
                  </c:pt>
                  <c:pt idx="202">
                    <c:v>Sep</c:v>
                  </c:pt>
                  <c:pt idx="203">
                    <c:v>Sep</c:v>
                  </c:pt>
                  <c:pt idx="204">
                    <c:v>Sep</c:v>
                  </c:pt>
                  <c:pt idx="205">
                    <c:v>Sep</c:v>
                  </c:pt>
                  <c:pt idx="206">
                    <c:v>Sep</c:v>
                  </c:pt>
                  <c:pt idx="207">
                    <c:v>Sep</c:v>
                  </c:pt>
                  <c:pt idx="208">
                    <c:v>Sep</c:v>
                  </c:pt>
                  <c:pt idx="209">
                    <c:v>Sep</c:v>
                  </c:pt>
                  <c:pt idx="210">
                    <c:v>Sep</c:v>
                  </c:pt>
                  <c:pt idx="211">
                    <c:v>Sep</c:v>
                  </c:pt>
                  <c:pt idx="212">
                    <c:v>Sep</c:v>
                  </c:pt>
                  <c:pt idx="213">
                    <c:v>Sep</c:v>
                  </c:pt>
                  <c:pt idx="215">
                    <c:v>Sep</c:v>
                  </c:pt>
                  <c:pt idx="216">
                    <c:v>Sep</c:v>
                  </c:pt>
                  <c:pt idx="217">
                    <c:v>Sep</c:v>
                  </c:pt>
                  <c:pt idx="218">
                    <c:v>Sep</c:v>
                  </c:pt>
                  <c:pt idx="219">
                    <c:v>Sep</c:v>
                  </c:pt>
                  <c:pt idx="220">
                    <c:v>Sep</c:v>
                  </c:pt>
                  <c:pt idx="221">
                    <c:v>Sep</c:v>
                  </c:pt>
                  <c:pt idx="222">
                    <c:v>Sep</c:v>
                  </c:pt>
                  <c:pt idx="223">
                    <c:v>Sep</c:v>
                  </c:pt>
                  <c:pt idx="224">
                    <c:v>Oct</c:v>
                  </c:pt>
                  <c:pt idx="225">
                    <c:v>Oct</c:v>
                  </c:pt>
                  <c:pt idx="226">
                    <c:v>Oct</c:v>
                  </c:pt>
                  <c:pt idx="227">
                    <c:v>Oct</c:v>
                  </c:pt>
                  <c:pt idx="228">
                    <c:v>Oct</c:v>
                  </c:pt>
                  <c:pt idx="229">
                    <c:v>Oct</c:v>
                  </c:pt>
                  <c:pt idx="230">
                    <c:v>Oct</c:v>
                  </c:pt>
                  <c:pt idx="231">
                    <c:v>Oct</c:v>
                  </c:pt>
                  <c:pt idx="232">
                    <c:v>Oct</c:v>
                  </c:pt>
                  <c:pt idx="233">
                    <c:v>Oct</c:v>
                  </c:pt>
                  <c:pt idx="234">
                    <c:v>Oct</c:v>
                  </c:pt>
                  <c:pt idx="235">
                    <c:v>Oct</c:v>
                  </c:pt>
                  <c:pt idx="236">
                    <c:v>Oct</c:v>
                  </c:pt>
                  <c:pt idx="237">
                    <c:v>Oct</c:v>
                  </c:pt>
                  <c:pt idx="238">
                    <c:v>Oct</c:v>
                  </c:pt>
                  <c:pt idx="239">
                    <c:v>Oct</c:v>
                  </c:pt>
                  <c:pt idx="240">
                    <c:v>Oct</c:v>
                  </c:pt>
                  <c:pt idx="241">
                    <c:v>Oct</c:v>
                  </c:pt>
                  <c:pt idx="242">
                    <c:v>Oct</c:v>
                  </c:pt>
                  <c:pt idx="243">
                    <c:v>Oct</c:v>
                  </c:pt>
                  <c:pt idx="245">
                    <c:v>Oct</c:v>
                  </c:pt>
                  <c:pt idx="246">
                    <c:v>Oct</c:v>
                  </c:pt>
                  <c:pt idx="247">
                    <c:v>Oct</c:v>
                  </c:pt>
                  <c:pt idx="248">
                    <c:v>Oct</c:v>
                  </c:pt>
                  <c:pt idx="249">
                    <c:v>Oct</c:v>
                  </c:pt>
                  <c:pt idx="250">
                    <c:v>Oct</c:v>
                  </c:pt>
                  <c:pt idx="251">
                    <c:v>Oct</c:v>
                  </c:pt>
                  <c:pt idx="252">
                    <c:v>Oct</c:v>
                  </c:pt>
                  <c:pt idx="253">
                    <c:v>Oct</c:v>
                  </c:pt>
                  <c:pt idx="254">
                    <c:v>Oct</c:v>
                  </c:pt>
                  <c:pt idx="255">
                    <c:v>Nov</c:v>
                  </c:pt>
                  <c:pt idx="256">
                    <c:v>Nov</c:v>
                  </c:pt>
                  <c:pt idx="257">
                    <c:v>Nov</c:v>
                  </c:pt>
                  <c:pt idx="258">
                    <c:v>Nov</c:v>
                  </c:pt>
                  <c:pt idx="259">
                    <c:v>Nov</c:v>
                  </c:pt>
                  <c:pt idx="260">
                    <c:v>Nov</c:v>
                  </c:pt>
                  <c:pt idx="261">
                    <c:v>Nov</c:v>
                  </c:pt>
                  <c:pt idx="262">
                    <c:v>Nov</c:v>
                  </c:pt>
                  <c:pt idx="263">
                    <c:v>Nov</c:v>
                  </c:pt>
                  <c:pt idx="264">
                    <c:v>Nov</c:v>
                  </c:pt>
                  <c:pt idx="265">
                    <c:v>Nov</c:v>
                  </c:pt>
                  <c:pt idx="266">
                    <c:v>Nov</c:v>
                  </c:pt>
                  <c:pt idx="267">
                    <c:v>Nov</c:v>
                  </c:pt>
                  <c:pt idx="268">
                    <c:v>Nov</c:v>
                  </c:pt>
                  <c:pt idx="269">
                    <c:v>Nov</c:v>
                  </c:pt>
                  <c:pt idx="270">
                    <c:v>Nov</c:v>
                  </c:pt>
                  <c:pt idx="271">
                    <c:v>Nov</c:v>
                  </c:pt>
                  <c:pt idx="272">
                    <c:v>Nov</c:v>
                  </c:pt>
                  <c:pt idx="273">
                    <c:v>Nov</c:v>
                  </c:pt>
                  <c:pt idx="274">
                    <c:v>Nov</c:v>
                  </c:pt>
                  <c:pt idx="276">
                    <c:v>Nov</c:v>
                  </c:pt>
                  <c:pt idx="277">
                    <c:v>Nov</c:v>
                  </c:pt>
                  <c:pt idx="278">
                    <c:v>Nov</c:v>
                  </c:pt>
                  <c:pt idx="279">
                    <c:v>Nov</c:v>
                  </c:pt>
                  <c:pt idx="280">
                    <c:v>Nov</c:v>
                  </c:pt>
                  <c:pt idx="281">
                    <c:v>Nov</c:v>
                  </c:pt>
                  <c:pt idx="282">
                    <c:v>Nov</c:v>
                  </c:pt>
                  <c:pt idx="283">
                    <c:v>Nov</c:v>
                  </c:pt>
                  <c:pt idx="284">
                    <c:v>Nov</c:v>
                  </c:pt>
                  <c:pt idx="285">
                    <c:v>Dec</c:v>
                  </c:pt>
                  <c:pt idx="286">
                    <c:v>Dec</c:v>
                  </c:pt>
                  <c:pt idx="287">
                    <c:v>Dec</c:v>
                  </c:pt>
                  <c:pt idx="288">
                    <c:v>Dec</c:v>
                  </c:pt>
                  <c:pt idx="289">
                    <c:v>Dec</c:v>
                  </c:pt>
                  <c:pt idx="290">
                    <c:v>Dec</c:v>
                  </c:pt>
                  <c:pt idx="291">
                    <c:v>Dec</c:v>
                  </c:pt>
                  <c:pt idx="292">
                    <c:v>Dec</c:v>
                  </c:pt>
                  <c:pt idx="293">
                    <c:v>Dec</c:v>
                  </c:pt>
                  <c:pt idx="294">
                    <c:v>Dec</c:v>
                  </c:pt>
                  <c:pt idx="295">
                    <c:v>Dec</c:v>
                  </c:pt>
                  <c:pt idx="296">
                    <c:v>Dec</c:v>
                  </c:pt>
                  <c:pt idx="297">
                    <c:v>Dec</c:v>
                  </c:pt>
                  <c:pt idx="298">
                    <c:v>Dec</c:v>
                  </c:pt>
                  <c:pt idx="299">
                    <c:v>Dec</c:v>
                  </c:pt>
                  <c:pt idx="300">
                    <c:v>Dec</c:v>
                  </c:pt>
                  <c:pt idx="301">
                    <c:v>Dec</c:v>
                  </c:pt>
                  <c:pt idx="302">
                    <c:v>Dec</c:v>
                  </c:pt>
                  <c:pt idx="303">
                    <c:v>Dec</c:v>
                  </c:pt>
                  <c:pt idx="304">
                    <c:v>Dec</c:v>
                  </c:pt>
                  <c:pt idx="306">
                    <c:v>Dec</c:v>
                  </c:pt>
                  <c:pt idx="307">
                    <c:v>Dec</c:v>
                  </c:pt>
                  <c:pt idx="308">
                    <c:v>Dec</c:v>
                  </c:pt>
                  <c:pt idx="309">
                    <c:v>Dec</c:v>
                  </c:pt>
                  <c:pt idx="310">
                    <c:v>Dec</c:v>
                  </c:pt>
                  <c:pt idx="311">
                    <c:v>Dec</c:v>
                  </c:pt>
                  <c:pt idx="312">
                    <c:v>Dec</c:v>
                  </c:pt>
                  <c:pt idx="313">
                    <c:v>Dec</c:v>
                  </c:pt>
                  <c:pt idx="314">
                    <c:v>Dec</c:v>
                  </c:pt>
                  <c:pt idx="315">
                    <c:v>Dec</c:v>
                  </c:pt>
                  <c:pt idx="316">
                    <c:v>Jan</c:v>
                  </c:pt>
                  <c:pt idx="317">
                    <c:v>Jan</c:v>
                  </c:pt>
                  <c:pt idx="318">
                    <c:v>Jan</c:v>
                  </c:pt>
                  <c:pt idx="319">
                    <c:v>Jan</c:v>
                  </c:pt>
                  <c:pt idx="320">
                    <c:v>Jan</c:v>
                  </c:pt>
                  <c:pt idx="321">
                    <c:v>Jan</c:v>
                  </c:pt>
                  <c:pt idx="322">
                    <c:v>Jan</c:v>
                  </c:pt>
                  <c:pt idx="323">
                    <c:v>Jan</c:v>
                  </c:pt>
                  <c:pt idx="324">
                    <c:v>Jan</c:v>
                  </c:pt>
                  <c:pt idx="325">
                    <c:v>Jan</c:v>
                  </c:pt>
                  <c:pt idx="326">
                    <c:v>Jan</c:v>
                  </c:pt>
                  <c:pt idx="327">
                    <c:v>Jan</c:v>
                  </c:pt>
                  <c:pt idx="328">
                    <c:v>Jan</c:v>
                  </c:pt>
                  <c:pt idx="329">
                    <c:v>Jan</c:v>
                  </c:pt>
                  <c:pt idx="330">
                    <c:v>Jan</c:v>
                  </c:pt>
                  <c:pt idx="331">
                    <c:v>Jan</c:v>
                  </c:pt>
                  <c:pt idx="332">
                    <c:v>Jan</c:v>
                  </c:pt>
                  <c:pt idx="333">
                    <c:v>Jan</c:v>
                  </c:pt>
                  <c:pt idx="334">
                    <c:v>Jan</c:v>
                  </c:pt>
                  <c:pt idx="335">
                    <c:v>Jan</c:v>
                  </c:pt>
                  <c:pt idx="337">
                    <c:v>Jan</c:v>
                  </c:pt>
                  <c:pt idx="338">
                    <c:v>Jan</c:v>
                  </c:pt>
                  <c:pt idx="339">
                    <c:v>Jan</c:v>
                  </c:pt>
                  <c:pt idx="340">
                    <c:v>Jan</c:v>
                  </c:pt>
                  <c:pt idx="341">
                    <c:v>Jan</c:v>
                  </c:pt>
                  <c:pt idx="342">
                    <c:v>Jan</c:v>
                  </c:pt>
                  <c:pt idx="343">
                    <c:v>Jan</c:v>
                  </c:pt>
                  <c:pt idx="344">
                    <c:v>Jan</c:v>
                  </c:pt>
                  <c:pt idx="345">
                    <c:v>Jan</c:v>
                  </c:pt>
                  <c:pt idx="346">
                    <c:v>Jan</c:v>
                  </c:pt>
                  <c:pt idx="347">
                    <c:v>Feb</c:v>
                  </c:pt>
                  <c:pt idx="348">
                    <c:v>Feb</c:v>
                  </c:pt>
                  <c:pt idx="349">
                    <c:v>Feb</c:v>
                  </c:pt>
                  <c:pt idx="350">
                    <c:v>Feb</c:v>
                  </c:pt>
                  <c:pt idx="351">
                    <c:v>Feb</c:v>
                  </c:pt>
                  <c:pt idx="352">
                    <c:v>Feb</c:v>
                  </c:pt>
                  <c:pt idx="353">
                    <c:v>Feb</c:v>
                  </c:pt>
                  <c:pt idx="354">
                    <c:v>Feb</c:v>
                  </c:pt>
                  <c:pt idx="355">
                    <c:v>Feb</c:v>
                  </c:pt>
                  <c:pt idx="356">
                    <c:v>Feb</c:v>
                  </c:pt>
                  <c:pt idx="357">
                    <c:v>Feb</c:v>
                  </c:pt>
                  <c:pt idx="358">
                    <c:v>Feb</c:v>
                  </c:pt>
                  <c:pt idx="359">
                    <c:v>Feb</c:v>
                  </c:pt>
                  <c:pt idx="360">
                    <c:v>Feb</c:v>
                  </c:pt>
                  <c:pt idx="361">
                    <c:v>Feb</c:v>
                  </c:pt>
                  <c:pt idx="362">
                    <c:v>Feb</c:v>
                  </c:pt>
                  <c:pt idx="363">
                    <c:v>Feb</c:v>
                  </c:pt>
                  <c:pt idx="364">
                    <c:v>Feb</c:v>
                  </c:pt>
                </c:lvl>
                <c:lvl>
                  <c:pt idx="0">
                    <c:v>19</c:v>
                  </c:pt>
                  <c:pt idx="1">
                    <c:v>20</c:v>
                  </c:pt>
                  <c:pt idx="2">
                    <c:v>21</c:v>
                  </c:pt>
                  <c:pt idx="3">
                    <c:v>22</c:v>
                  </c:pt>
                  <c:pt idx="4">
                    <c:v>23</c:v>
                  </c:pt>
                  <c:pt idx="5">
                    <c:v>24</c:v>
                  </c:pt>
                  <c:pt idx="6">
                    <c:v>25</c:v>
                  </c:pt>
                  <c:pt idx="7">
                    <c:v>26</c:v>
                  </c:pt>
                  <c:pt idx="8">
                    <c:v>27</c:v>
                  </c:pt>
                  <c:pt idx="9">
                    <c:v>28</c:v>
                  </c:pt>
                  <c:pt idx="10">
                    <c:v>1</c:v>
                  </c:pt>
                  <c:pt idx="11">
                    <c:v>2</c:v>
                  </c:pt>
                  <c:pt idx="12">
                    <c:v>3</c:v>
                  </c:pt>
                  <c:pt idx="13">
                    <c:v>4</c:v>
                  </c:pt>
                  <c:pt idx="14">
                    <c:v>5</c:v>
                  </c:pt>
                  <c:pt idx="15">
                    <c:v>6</c:v>
                  </c:pt>
                  <c:pt idx="16">
                    <c:v>7</c:v>
                  </c:pt>
                  <c:pt idx="17">
                    <c:v>8</c:v>
                  </c:pt>
                  <c:pt idx="18">
                    <c:v>9</c:v>
                  </c:pt>
                  <c:pt idx="19">
                    <c:v>10</c:v>
                  </c:pt>
                  <c:pt idx="20">
                    <c:v>11</c:v>
                  </c:pt>
                  <c:pt idx="21">
                    <c:v>12</c:v>
                  </c:pt>
                  <c:pt idx="22">
                    <c:v>13</c:v>
                  </c:pt>
                  <c:pt idx="23">
                    <c:v>14</c:v>
                  </c:pt>
                  <c:pt idx="24">
                    <c:v>15</c:v>
                  </c:pt>
                  <c:pt idx="25">
                    <c:v>16</c:v>
                  </c:pt>
                  <c:pt idx="26">
                    <c:v>17</c:v>
                  </c:pt>
                  <c:pt idx="27">
                    <c:v>18</c:v>
                  </c:pt>
                  <c:pt idx="28">
                    <c:v>19</c:v>
                  </c:pt>
                  <c:pt idx="29">
                    <c:v>20</c:v>
                  </c:pt>
                  <c:pt idx="30">
                    <c:v>21</c:v>
                  </c:pt>
                  <c:pt idx="31">
                    <c:v>22</c:v>
                  </c:pt>
                  <c:pt idx="32">
                    <c:v>23</c:v>
                  </c:pt>
                  <c:pt idx="33">
                    <c:v>24</c:v>
                  </c:pt>
                  <c:pt idx="34">
                    <c:v>25</c:v>
                  </c:pt>
                  <c:pt idx="35">
                    <c:v>26</c:v>
                  </c:pt>
                  <c:pt idx="36">
                    <c:v>27</c:v>
                  </c:pt>
                  <c:pt idx="37">
                    <c:v>28</c:v>
                  </c:pt>
                  <c:pt idx="38">
                    <c:v>29</c:v>
                  </c:pt>
                  <c:pt idx="39">
                    <c:v>30</c:v>
                  </c:pt>
                  <c:pt idx="40">
                    <c:v>31</c:v>
                  </c:pt>
                  <c:pt idx="41">
                    <c:v>1</c:v>
                  </c:pt>
                  <c:pt idx="42">
                    <c:v>2</c:v>
                  </c:pt>
                  <c:pt idx="43">
                    <c:v>3</c:v>
                  </c:pt>
                  <c:pt idx="44">
                    <c:v>4</c:v>
                  </c:pt>
                  <c:pt idx="45">
                    <c:v>5</c:v>
                  </c:pt>
                  <c:pt idx="46">
                    <c:v>6</c:v>
                  </c:pt>
                  <c:pt idx="47">
                    <c:v>7</c:v>
                  </c:pt>
                  <c:pt idx="48">
                    <c:v>8</c:v>
                  </c:pt>
                  <c:pt idx="49">
                    <c:v>9</c:v>
                  </c:pt>
                  <c:pt idx="50">
                    <c:v>10</c:v>
                  </c:pt>
                  <c:pt idx="51">
                    <c:v>11</c:v>
                  </c:pt>
                  <c:pt idx="52">
                    <c:v>12</c:v>
                  </c:pt>
                  <c:pt idx="53">
                    <c:v>13</c:v>
                  </c:pt>
                  <c:pt idx="54">
                    <c:v>14</c:v>
                  </c:pt>
                  <c:pt idx="55">
                    <c:v>15</c:v>
                  </c:pt>
                  <c:pt idx="56">
                    <c:v>16</c:v>
                  </c:pt>
                  <c:pt idx="57">
                    <c:v>17</c:v>
                  </c:pt>
                  <c:pt idx="58">
                    <c:v>18</c:v>
                  </c:pt>
                  <c:pt idx="59">
                    <c:v>19</c:v>
                  </c:pt>
                  <c:pt idx="60">
                    <c:v>20</c:v>
                  </c:pt>
                  <c:pt idx="61">
                    <c:v>21</c:v>
                  </c:pt>
                  <c:pt idx="62">
                    <c:v>22</c:v>
                  </c:pt>
                  <c:pt idx="63">
                    <c:v>23</c:v>
                  </c:pt>
                  <c:pt idx="64">
                    <c:v>24</c:v>
                  </c:pt>
                  <c:pt idx="65">
                    <c:v>25</c:v>
                  </c:pt>
                  <c:pt idx="66">
                    <c:v>26</c:v>
                  </c:pt>
                  <c:pt idx="67">
                    <c:v>27</c:v>
                  </c:pt>
                  <c:pt idx="68">
                    <c:v>28</c:v>
                  </c:pt>
                  <c:pt idx="69">
                    <c:v>29</c:v>
                  </c:pt>
                  <c:pt idx="70">
                    <c:v>30</c:v>
                  </c:pt>
                  <c:pt idx="71">
                    <c:v>1</c:v>
                  </c:pt>
                  <c:pt idx="72">
                    <c:v>2</c:v>
                  </c:pt>
                  <c:pt idx="73">
                    <c:v>3</c:v>
                  </c:pt>
                  <c:pt idx="74">
                    <c:v>4</c:v>
                  </c:pt>
                  <c:pt idx="75">
                    <c:v>5</c:v>
                  </c:pt>
                  <c:pt idx="76">
                    <c:v>6</c:v>
                  </c:pt>
                  <c:pt idx="77">
                    <c:v>7</c:v>
                  </c:pt>
                  <c:pt idx="78">
                    <c:v>8</c:v>
                  </c:pt>
                  <c:pt idx="79">
                    <c:v>9</c:v>
                  </c:pt>
                  <c:pt idx="80">
                    <c:v>10</c:v>
                  </c:pt>
                  <c:pt idx="81">
                    <c:v>11</c:v>
                  </c:pt>
                  <c:pt idx="82">
                    <c:v>12</c:v>
                  </c:pt>
                  <c:pt idx="83">
                    <c:v>13</c:v>
                  </c:pt>
                  <c:pt idx="84">
                    <c:v>14</c:v>
                  </c:pt>
                  <c:pt idx="85">
                    <c:v>15</c:v>
                  </c:pt>
                  <c:pt idx="86">
                    <c:v>16</c:v>
                  </c:pt>
                  <c:pt idx="87">
                    <c:v>17</c:v>
                  </c:pt>
                  <c:pt idx="88">
                    <c:v>18</c:v>
                  </c:pt>
                  <c:pt idx="89">
                    <c:v>19</c:v>
                  </c:pt>
                  <c:pt idx="90">
                    <c:v>20</c:v>
                  </c:pt>
                  <c:pt idx="91">
                    <c:v>21</c:v>
                  </c:pt>
                  <c:pt idx="92">
                    <c:v>22</c:v>
                  </c:pt>
                  <c:pt idx="93">
                    <c:v>23</c:v>
                  </c:pt>
                  <c:pt idx="94">
                    <c:v>24</c:v>
                  </c:pt>
                  <c:pt idx="95">
                    <c:v>25</c:v>
                  </c:pt>
                  <c:pt idx="96">
                    <c:v>26</c:v>
                  </c:pt>
                  <c:pt idx="97">
                    <c:v>27</c:v>
                  </c:pt>
                  <c:pt idx="98">
                    <c:v>28</c:v>
                  </c:pt>
                  <c:pt idx="99">
                    <c:v>29</c:v>
                  </c:pt>
                  <c:pt idx="100">
                    <c:v>30</c:v>
                  </c:pt>
                  <c:pt idx="101">
                    <c:v>31</c:v>
                  </c:pt>
                  <c:pt idx="102">
                    <c:v>1</c:v>
                  </c:pt>
                  <c:pt idx="103">
                    <c:v>2</c:v>
                  </c:pt>
                  <c:pt idx="104">
                    <c:v>3</c:v>
                  </c:pt>
                  <c:pt idx="105">
                    <c:v>4</c:v>
                  </c:pt>
                  <c:pt idx="106">
                    <c:v>5</c:v>
                  </c:pt>
                  <c:pt idx="107">
                    <c:v>6</c:v>
                  </c:pt>
                  <c:pt idx="108">
                    <c:v>7</c:v>
                  </c:pt>
                  <c:pt idx="109">
                    <c:v>8</c:v>
                  </c:pt>
                  <c:pt idx="110">
                    <c:v>9</c:v>
                  </c:pt>
                  <c:pt idx="111">
                    <c:v>10</c:v>
                  </c:pt>
                  <c:pt idx="112">
                    <c:v>11</c:v>
                  </c:pt>
                  <c:pt idx="113">
                    <c:v>12</c:v>
                  </c:pt>
                  <c:pt idx="114">
                    <c:v>13</c:v>
                  </c:pt>
                  <c:pt idx="115">
                    <c:v>14</c:v>
                  </c:pt>
                  <c:pt idx="116">
                    <c:v>15</c:v>
                  </c:pt>
                  <c:pt idx="117">
                    <c:v>16</c:v>
                  </c:pt>
                  <c:pt idx="118">
                    <c:v>17</c:v>
                  </c:pt>
                  <c:pt idx="119">
                    <c:v>18</c:v>
                  </c:pt>
                  <c:pt idx="120">
                    <c:v>19</c:v>
                  </c:pt>
                  <c:pt idx="121">
                    <c:v>20</c:v>
                  </c:pt>
                  <c:pt idx="122">
                    <c:v>21</c:v>
                  </c:pt>
                  <c:pt idx="123">
                    <c:v>22</c:v>
                  </c:pt>
                  <c:pt idx="124">
                    <c:v>23</c:v>
                  </c:pt>
                  <c:pt idx="125">
                    <c:v>24</c:v>
                  </c:pt>
                  <c:pt idx="126">
                    <c:v>25</c:v>
                  </c:pt>
                  <c:pt idx="127">
                    <c:v>26</c:v>
                  </c:pt>
                  <c:pt idx="128">
                    <c:v>27</c:v>
                  </c:pt>
                  <c:pt idx="129">
                    <c:v>28</c:v>
                  </c:pt>
                  <c:pt idx="130">
                    <c:v>29</c:v>
                  </c:pt>
                  <c:pt idx="131">
                    <c:v>30</c:v>
                  </c:pt>
                  <c:pt idx="132">
                    <c:v>1</c:v>
                  </c:pt>
                  <c:pt idx="133">
                    <c:v>2</c:v>
                  </c:pt>
                  <c:pt idx="134">
                    <c:v>3</c:v>
                  </c:pt>
                  <c:pt idx="135">
                    <c:v>4</c:v>
                  </c:pt>
                  <c:pt idx="136">
                    <c:v>5</c:v>
                  </c:pt>
                  <c:pt idx="137">
                    <c:v>6</c:v>
                  </c:pt>
                  <c:pt idx="138">
                    <c:v>7</c:v>
                  </c:pt>
                  <c:pt idx="139">
                    <c:v>8</c:v>
                  </c:pt>
                  <c:pt idx="140">
                    <c:v>9</c:v>
                  </c:pt>
                  <c:pt idx="141">
                    <c:v>10</c:v>
                  </c:pt>
                  <c:pt idx="142">
                    <c:v>11</c:v>
                  </c:pt>
                  <c:pt idx="143">
                    <c:v>12</c:v>
                  </c:pt>
                  <c:pt idx="144">
                    <c:v>13</c:v>
                  </c:pt>
                  <c:pt idx="145">
                    <c:v>14</c:v>
                  </c:pt>
                  <c:pt idx="146">
                    <c:v>15</c:v>
                  </c:pt>
                  <c:pt idx="147">
                    <c:v>16</c:v>
                  </c:pt>
                  <c:pt idx="148">
                    <c:v>17</c:v>
                  </c:pt>
                  <c:pt idx="149">
                    <c:v>18</c:v>
                  </c:pt>
                  <c:pt idx="150">
                    <c:v>19</c:v>
                  </c:pt>
                  <c:pt idx="151">
                    <c:v>20</c:v>
                  </c:pt>
                  <c:pt idx="152">
                    <c:v>21</c:v>
                  </c:pt>
                  <c:pt idx="153">
                    <c:v>22</c:v>
                  </c:pt>
                  <c:pt idx="154">
                    <c:v>23</c:v>
                  </c:pt>
                  <c:pt idx="155">
                    <c:v>24</c:v>
                  </c:pt>
                  <c:pt idx="156">
                    <c:v>25</c:v>
                  </c:pt>
                  <c:pt idx="157">
                    <c:v>26</c:v>
                  </c:pt>
                  <c:pt idx="158">
                    <c:v>27</c:v>
                  </c:pt>
                  <c:pt idx="159">
                    <c:v>28</c:v>
                  </c:pt>
                  <c:pt idx="160">
                    <c:v>29</c:v>
                  </c:pt>
                  <c:pt idx="161">
                    <c:v>30</c:v>
                  </c:pt>
                  <c:pt idx="162">
                    <c:v>31</c:v>
                  </c:pt>
                  <c:pt idx="163">
                    <c:v>1</c:v>
                  </c:pt>
                  <c:pt idx="164">
                    <c:v>2</c:v>
                  </c:pt>
                  <c:pt idx="165">
                    <c:v>3</c:v>
                  </c:pt>
                  <c:pt idx="166">
                    <c:v>4</c:v>
                  </c:pt>
                  <c:pt idx="167">
                    <c:v>5</c:v>
                  </c:pt>
                  <c:pt idx="168">
                    <c:v>6</c:v>
                  </c:pt>
                  <c:pt idx="169">
                    <c:v>7</c:v>
                  </c:pt>
                  <c:pt idx="170">
                    <c:v>8</c:v>
                  </c:pt>
                  <c:pt idx="171">
                    <c:v>9</c:v>
                  </c:pt>
                  <c:pt idx="172">
                    <c:v>10</c:v>
                  </c:pt>
                  <c:pt idx="173">
                    <c:v>11</c:v>
                  </c:pt>
                  <c:pt idx="174">
                    <c:v>12</c:v>
                  </c:pt>
                  <c:pt idx="175">
                    <c:v>13</c:v>
                  </c:pt>
                  <c:pt idx="176">
                    <c:v>14</c:v>
                  </c:pt>
                  <c:pt idx="177">
                    <c:v>15</c:v>
                  </c:pt>
                  <c:pt idx="178">
                    <c:v>16</c:v>
                  </c:pt>
                  <c:pt idx="179">
                    <c:v>17</c:v>
                  </c:pt>
                  <c:pt idx="180">
                    <c:v>18</c:v>
                  </c:pt>
                  <c:pt idx="181">
                    <c:v>19</c:v>
                  </c:pt>
                  <c:pt idx="182">
                    <c:v>20</c:v>
                  </c:pt>
                  <c:pt idx="183">
                    <c:v>21</c:v>
                  </c:pt>
                  <c:pt idx="184">
                    <c:v>22</c:v>
                  </c:pt>
                  <c:pt idx="185">
                    <c:v>23</c:v>
                  </c:pt>
                  <c:pt idx="186">
                    <c:v>24</c:v>
                  </c:pt>
                  <c:pt idx="187">
                    <c:v>25</c:v>
                  </c:pt>
                  <c:pt idx="188">
                    <c:v>26</c:v>
                  </c:pt>
                  <c:pt idx="189">
                    <c:v>27</c:v>
                  </c:pt>
                  <c:pt idx="190">
                    <c:v>28</c:v>
                  </c:pt>
                  <c:pt idx="191">
                    <c:v>29</c:v>
                  </c:pt>
                  <c:pt idx="192">
                    <c:v>30</c:v>
                  </c:pt>
                  <c:pt idx="193">
                    <c:v>31</c:v>
                  </c:pt>
                  <c:pt idx="194">
                    <c:v>1</c:v>
                  </c:pt>
                  <c:pt idx="195">
                    <c:v>2</c:v>
                  </c:pt>
                  <c:pt idx="196">
                    <c:v>3</c:v>
                  </c:pt>
                  <c:pt idx="197">
                    <c:v>4</c:v>
                  </c:pt>
                  <c:pt idx="198">
                    <c:v>5</c:v>
                  </c:pt>
                  <c:pt idx="199">
                    <c:v>6</c:v>
                  </c:pt>
                  <c:pt idx="200">
                    <c:v>7</c:v>
                  </c:pt>
                  <c:pt idx="201">
                    <c:v>8</c:v>
                  </c:pt>
                  <c:pt idx="202">
                    <c:v>9</c:v>
                  </c:pt>
                  <c:pt idx="203">
                    <c:v>10</c:v>
                  </c:pt>
                  <c:pt idx="204">
                    <c:v>11</c:v>
                  </c:pt>
                  <c:pt idx="205">
                    <c:v>12</c:v>
                  </c:pt>
                  <c:pt idx="206">
                    <c:v>13</c:v>
                  </c:pt>
                  <c:pt idx="207">
                    <c:v>14</c:v>
                  </c:pt>
                  <c:pt idx="208">
                    <c:v>15</c:v>
                  </c:pt>
                  <c:pt idx="209">
                    <c:v>16</c:v>
                  </c:pt>
                  <c:pt idx="210">
                    <c:v>17</c:v>
                  </c:pt>
                  <c:pt idx="211">
                    <c:v>18</c:v>
                  </c:pt>
                  <c:pt idx="212">
                    <c:v>19</c:v>
                  </c:pt>
                  <c:pt idx="213">
                    <c:v>20</c:v>
                  </c:pt>
                  <c:pt idx="214">
                    <c:v>21</c:v>
                  </c:pt>
                  <c:pt idx="215">
                    <c:v>22</c:v>
                  </c:pt>
                  <c:pt idx="216">
                    <c:v>23</c:v>
                  </c:pt>
                  <c:pt idx="217">
                    <c:v>24</c:v>
                  </c:pt>
                  <c:pt idx="218">
                    <c:v>25</c:v>
                  </c:pt>
                  <c:pt idx="219">
                    <c:v>26</c:v>
                  </c:pt>
                  <c:pt idx="220">
                    <c:v>27</c:v>
                  </c:pt>
                  <c:pt idx="221">
                    <c:v>28</c:v>
                  </c:pt>
                  <c:pt idx="222">
                    <c:v>29</c:v>
                  </c:pt>
                  <c:pt idx="223">
                    <c:v>30</c:v>
                  </c:pt>
                  <c:pt idx="224">
                    <c:v>1</c:v>
                  </c:pt>
                  <c:pt idx="225">
                    <c:v>2</c:v>
                  </c:pt>
                  <c:pt idx="226">
                    <c:v>3</c:v>
                  </c:pt>
                  <c:pt idx="227">
                    <c:v>4</c:v>
                  </c:pt>
                  <c:pt idx="228">
                    <c:v>5</c:v>
                  </c:pt>
                  <c:pt idx="229">
                    <c:v>6</c:v>
                  </c:pt>
                  <c:pt idx="230">
                    <c:v>7</c:v>
                  </c:pt>
                  <c:pt idx="231">
                    <c:v>8</c:v>
                  </c:pt>
                  <c:pt idx="232">
                    <c:v>9</c:v>
                  </c:pt>
                  <c:pt idx="233">
                    <c:v>10</c:v>
                  </c:pt>
                  <c:pt idx="234">
                    <c:v>11</c:v>
                  </c:pt>
                  <c:pt idx="235">
                    <c:v>12</c:v>
                  </c:pt>
                  <c:pt idx="236">
                    <c:v>13</c:v>
                  </c:pt>
                  <c:pt idx="237">
                    <c:v>14</c:v>
                  </c:pt>
                  <c:pt idx="238">
                    <c:v>15</c:v>
                  </c:pt>
                  <c:pt idx="239">
                    <c:v>16</c:v>
                  </c:pt>
                  <c:pt idx="240">
                    <c:v>17</c:v>
                  </c:pt>
                  <c:pt idx="241">
                    <c:v>18</c:v>
                  </c:pt>
                  <c:pt idx="242">
                    <c:v>19</c:v>
                  </c:pt>
                  <c:pt idx="243">
                    <c:v>20</c:v>
                  </c:pt>
                  <c:pt idx="244">
                    <c:v>21</c:v>
                  </c:pt>
                  <c:pt idx="245">
                    <c:v>22</c:v>
                  </c:pt>
                  <c:pt idx="246">
                    <c:v>23</c:v>
                  </c:pt>
                  <c:pt idx="247">
                    <c:v>24</c:v>
                  </c:pt>
                  <c:pt idx="248">
                    <c:v>25</c:v>
                  </c:pt>
                  <c:pt idx="249">
                    <c:v>26</c:v>
                  </c:pt>
                  <c:pt idx="250">
                    <c:v>27</c:v>
                  </c:pt>
                  <c:pt idx="251">
                    <c:v>28</c:v>
                  </c:pt>
                  <c:pt idx="252">
                    <c:v>29</c:v>
                  </c:pt>
                  <c:pt idx="253">
                    <c:v>30</c:v>
                  </c:pt>
                  <c:pt idx="254">
                    <c:v>31</c:v>
                  </c:pt>
                  <c:pt idx="255">
                    <c:v>1</c:v>
                  </c:pt>
                  <c:pt idx="256">
                    <c:v>2</c:v>
                  </c:pt>
                  <c:pt idx="257">
                    <c:v>3</c:v>
                  </c:pt>
                  <c:pt idx="258">
                    <c:v>4</c:v>
                  </c:pt>
                  <c:pt idx="259">
                    <c:v>5</c:v>
                  </c:pt>
                  <c:pt idx="260">
                    <c:v>6</c:v>
                  </c:pt>
                  <c:pt idx="261">
                    <c:v>7</c:v>
                  </c:pt>
                  <c:pt idx="262">
                    <c:v>8</c:v>
                  </c:pt>
                  <c:pt idx="263">
                    <c:v>9</c:v>
                  </c:pt>
                  <c:pt idx="264">
                    <c:v>10</c:v>
                  </c:pt>
                  <c:pt idx="265">
                    <c:v>11</c:v>
                  </c:pt>
                  <c:pt idx="266">
                    <c:v>12</c:v>
                  </c:pt>
                  <c:pt idx="267">
                    <c:v>13</c:v>
                  </c:pt>
                  <c:pt idx="268">
                    <c:v>14</c:v>
                  </c:pt>
                  <c:pt idx="269">
                    <c:v>15</c:v>
                  </c:pt>
                  <c:pt idx="270">
                    <c:v>16</c:v>
                  </c:pt>
                  <c:pt idx="271">
                    <c:v>17</c:v>
                  </c:pt>
                  <c:pt idx="272">
                    <c:v>18</c:v>
                  </c:pt>
                  <c:pt idx="273">
                    <c:v>19</c:v>
                  </c:pt>
                  <c:pt idx="274">
                    <c:v>20</c:v>
                  </c:pt>
                  <c:pt idx="275">
                    <c:v>21</c:v>
                  </c:pt>
                  <c:pt idx="276">
                    <c:v>22</c:v>
                  </c:pt>
                  <c:pt idx="277">
                    <c:v>23</c:v>
                  </c:pt>
                  <c:pt idx="278">
                    <c:v>24</c:v>
                  </c:pt>
                  <c:pt idx="279">
                    <c:v>25</c:v>
                  </c:pt>
                  <c:pt idx="280">
                    <c:v>26</c:v>
                  </c:pt>
                  <c:pt idx="281">
                    <c:v>27</c:v>
                  </c:pt>
                  <c:pt idx="282">
                    <c:v>28</c:v>
                  </c:pt>
                  <c:pt idx="283">
                    <c:v>29</c:v>
                  </c:pt>
                  <c:pt idx="284">
                    <c:v>30</c:v>
                  </c:pt>
                  <c:pt idx="285">
                    <c:v>1</c:v>
                  </c:pt>
                  <c:pt idx="286">
                    <c:v>2</c:v>
                  </c:pt>
                  <c:pt idx="287">
                    <c:v>3</c:v>
                  </c:pt>
                  <c:pt idx="288">
                    <c:v>4</c:v>
                  </c:pt>
                  <c:pt idx="289">
                    <c:v>5</c:v>
                  </c:pt>
                  <c:pt idx="290">
                    <c:v>6</c:v>
                  </c:pt>
                  <c:pt idx="291">
                    <c:v>7</c:v>
                  </c:pt>
                  <c:pt idx="292">
                    <c:v>8</c:v>
                  </c:pt>
                  <c:pt idx="293">
                    <c:v>9</c:v>
                  </c:pt>
                  <c:pt idx="294">
                    <c:v>10</c:v>
                  </c:pt>
                  <c:pt idx="295">
                    <c:v>11</c:v>
                  </c:pt>
                  <c:pt idx="296">
                    <c:v>12</c:v>
                  </c:pt>
                  <c:pt idx="297">
                    <c:v>13</c:v>
                  </c:pt>
                  <c:pt idx="298">
                    <c:v>14</c:v>
                  </c:pt>
                  <c:pt idx="299">
                    <c:v>15</c:v>
                  </c:pt>
                  <c:pt idx="300">
                    <c:v>16</c:v>
                  </c:pt>
                  <c:pt idx="301">
                    <c:v>17</c:v>
                  </c:pt>
                  <c:pt idx="302">
                    <c:v>18</c:v>
                  </c:pt>
                  <c:pt idx="303">
                    <c:v>19</c:v>
                  </c:pt>
                  <c:pt idx="304">
                    <c:v>20</c:v>
                  </c:pt>
                  <c:pt idx="305">
                    <c:v>21</c:v>
                  </c:pt>
                  <c:pt idx="306">
                    <c:v>22</c:v>
                  </c:pt>
                  <c:pt idx="307">
                    <c:v>23</c:v>
                  </c:pt>
                  <c:pt idx="308">
                    <c:v>24</c:v>
                  </c:pt>
                  <c:pt idx="309">
                    <c:v>25</c:v>
                  </c:pt>
                  <c:pt idx="310">
                    <c:v>26</c:v>
                  </c:pt>
                  <c:pt idx="311">
                    <c:v>27</c:v>
                  </c:pt>
                  <c:pt idx="312">
                    <c:v>28</c:v>
                  </c:pt>
                  <c:pt idx="313">
                    <c:v>29</c:v>
                  </c:pt>
                  <c:pt idx="314">
                    <c:v>30</c:v>
                  </c:pt>
                  <c:pt idx="315">
                    <c:v>31</c:v>
                  </c:pt>
                  <c:pt idx="316">
                    <c:v>1</c:v>
                  </c:pt>
                  <c:pt idx="317">
                    <c:v>2</c:v>
                  </c:pt>
                  <c:pt idx="318">
                    <c:v>3</c:v>
                  </c:pt>
                  <c:pt idx="319">
                    <c:v>4</c:v>
                  </c:pt>
                  <c:pt idx="320">
                    <c:v>5</c:v>
                  </c:pt>
                  <c:pt idx="321">
                    <c:v>6</c:v>
                  </c:pt>
                  <c:pt idx="322">
                    <c:v>7</c:v>
                  </c:pt>
                  <c:pt idx="323">
                    <c:v>8</c:v>
                  </c:pt>
                  <c:pt idx="324">
                    <c:v>9</c:v>
                  </c:pt>
                  <c:pt idx="325">
                    <c:v>10</c:v>
                  </c:pt>
                  <c:pt idx="326">
                    <c:v>11</c:v>
                  </c:pt>
                  <c:pt idx="327">
                    <c:v>12</c:v>
                  </c:pt>
                  <c:pt idx="328">
                    <c:v>13</c:v>
                  </c:pt>
                  <c:pt idx="329">
                    <c:v>14</c:v>
                  </c:pt>
                  <c:pt idx="330">
                    <c:v>15</c:v>
                  </c:pt>
                  <c:pt idx="331">
                    <c:v>16</c:v>
                  </c:pt>
                  <c:pt idx="332">
                    <c:v>17</c:v>
                  </c:pt>
                  <c:pt idx="333">
                    <c:v>18</c:v>
                  </c:pt>
                  <c:pt idx="334">
                    <c:v>19</c:v>
                  </c:pt>
                  <c:pt idx="335">
                    <c:v>20</c:v>
                  </c:pt>
                  <c:pt idx="336">
                    <c:v>21</c:v>
                  </c:pt>
                  <c:pt idx="337">
                    <c:v>22</c:v>
                  </c:pt>
                  <c:pt idx="338">
                    <c:v>23</c:v>
                  </c:pt>
                  <c:pt idx="339">
                    <c:v>24</c:v>
                  </c:pt>
                  <c:pt idx="340">
                    <c:v>25</c:v>
                  </c:pt>
                  <c:pt idx="341">
                    <c:v>26</c:v>
                  </c:pt>
                  <c:pt idx="342">
                    <c:v>27</c:v>
                  </c:pt>
                  <c:pt idx="343">
                    <c:v>28</c:v>
                  </c:pt>
                  <c:pt idx="344">
                    <c:v>29</c:v>
                  </c:pt>
                  <c:pt idx="345">
                    <c:v>30</c:v>
                  </c:pt>
                  <c:pt idx="346">
                    <c:v>31</c:v>
                  </c:pt>
                  <c:pt idx="347">
                    <c:v>1</c:v>
                  </c:pt>
                  <c:pt idx="348">
                    <c:v>2</c:v>
                  </c:pt>
                  <c:pt idx="349">
                    <c:v>3</c:v>
                  </c:pt>
                  <c:pt idx="350">
                    <c:v>4</c:v>
                  </c:pt>
                  <c:pt idx="351">
                    <c:v>5</c:v>
                  </c:pt>
                  <c:pt idx="352">
                    <c:v>6</c:v>
                  </c:pt>
                  <c:pt idx="353">
                    <c:v>7</c:v>
                  </c:pt>
                  <c:pt idx="354">
                    <c:v>8</c:v>
                  </c:pt>
                  <c:pt idx="355">
                    <c:v>9</c:v>
                  </c:pt>
                  <c:pt idx="356">
                    <c:v>10</c:v>
                  </c:pt>
                  <c:pt idx="357">
                    <c:v>11</c:v>
                  </c:pt>
                  <c:pt idx="358">
                    <c:v>12</c:v>
                  </c:pt>
                  <c:pt idx="359">
                    <c:v>13</c:v>
                  </c:pt>
                  <c:pt idx="360">
                    <c:v>14</c:v>
                  </c:pt>
                  <c:pt idx="361">
                    <c:v>15</c:v>
                  </c:pt>
                  <c:pt idx="362">
                    <c:v>16</c:v>
                  </c:pt>
                  <c:pt idx="363">
                    <c:v>17</c:v>
                  </c:pt>
                  <c:pt idx="364">
                    <c:v>18</c:v>
                  </c:pt>
                </c:lvl>
                <c:lvl>
                  <c:pt idx="0">
                    <c:v>2</c:v>
                  </c:pt>
                  <c:pt idx="10">
                    <c:v>3</c:v>
                  </c:pt>
                  <c:pt idx="41">
                    <c:v>4</c:v>
                  </c:pt>
                  <c:pt idx="71">
                    <c:v>5</c:v>
                  </c:pt>
                  <c:pt idx="102">
                    <c:v>6</c:v>
                  </c:pt>
                  <c:pt idx="132">
                    <c:v>7</c:v>
                  </c:pt>
                  <c:pt idx="163">
                    <c:v>8</c:v>
                  </c:pt>
                  <c:pt idx="194">
                    <c:v>9</c:v>
                  </c:pt>
                  <c:pt idx="224">
                    <c:v>10</c:v>
                  </c:pt>
                  <c:pt idx="255">
                    <c:v>11</c:v>
                  </c:pt>
                  <c:pt idx="285">
                    <c:v>12</c:v>
                  </c:pt>
                  <c:pt idx="316">
                    <c:v>1</c:v>
                  </c:pt>
                  <c:pt idx="347">
                    <c:v>2</c:v>
                  </c:pt>
                </c:lvl>
                <c:lvl>
                  <c:pt idx="0">
                    <c:v>2014</c:v>
                  </c:pt>
                  <c:pt idx="316">
                    <c:v>2015</c:v>
                  </c:pt>
                </c:lvl>
              </c:multiLvlStrCache>
            </c:multiLvlStrRef>
          </c:cat>
          <c:val>
            <c:numRef>
              <c:f>Sheet1!$B$2:$B$735</c:f>
              <c:numCache>
                <c:formatCode>General</c:formatCode>
                <c:ptCount val="365"/>
                <c:pt idx="0">
                  <c:v>49.363749999999165</c:v>
                </c:pt>
                <c:pt idx="1">
                  <c:v>55.517500000000155</c:v>
                </c:pt>
                <c:pt idx="2">
                  <c:v>72.37125000000006</c:v>
                </c:pt>
                <c:pt idx="3">
                  <c:v>69.989999999999412</c:v>
                </c:pt>
                <c:pt idx="4">
                  <c:v>40.753749999999073</c:v>
                </c:pt>
                <c:pt idx="5">
                  <c:v>49.056249999999594</c:v>
                </c:pt>
                <c:pt idx="6">
                  <c:v>53.440000000000296</c:v>
                </c:pt>
                <c:pt idx="7">
                  <c:v>41.1849999999991</c:v>
                </c:pt>
                <c:pt idx="8">
                  <c:v>86.297500000001193</c:v>
                </c:pt>
                <c:pt idx="9">
                  <c:v>54.481249999999321</c:v>
                </c:pt>
                <c:pt idx="10">
                  <c:v>59.748749999999461</c:v>
                </c:pt>
                <c:pt idx="11">
                  <c:v>34.557500000000999</c:v>
                </c:pt>
                <c:pt idx="12">
                  <c:v>79.484999999999701</c:v>
                </c:pt>
                <c:pt idx="13">
                  <c:v>64.58874999999945</c:v>
                </c:pt>
                <c:pt idx="14">
                  <c:v>45.164999999998386</c:v>
                </c:pt>
                <c:pt idx="15">
                  <c:v>42.339999999998454</c:v>
                </c:pt>
                <c:pt idx="16">
                  <c:v>67.971249999999927</c:v>
                </c:pt>
                <c:pt idx="17">
                  <c:v>41.33249999999849</c:v>
                </c:pt>
                <c:pt idx="18">
                  <c:v>89.83999999999989</c:v>
                </c:pt>
                <c:pt idx="19">
                  <c:v>62.457499999999328</c:v>
                </c:pt>
                <c:pt idx="20">
                  <c:v>57.693749999999255</c:v>
                </c:pt>
                <c:pt idx="21">
                  <c:v>72.382499999999709</c:v>
                </c:pt>
                <c:pt idx="22">
                  <c:v>85.718750000000185</c:v>
                </c:pt>
                <c:pt idx="23">
                  <c:v>50.288749999998956</c:v>
                </c:pt>
                <c:pt idx="24">
                  <c:v>64.971250000000637</c:v>
                </c:pt>
                <c:pt idx="25">
                  <c:v>78.458750000000478</c:v>
                </c:pt>
                <c:pt idx="26">
                  <c:v>40.397500000000029</c:v>
                </c:pt>
                <c:pt idx="27">
                  <c:v>37.458749999998624</c:v>
                </c:pt>
                <c:pt idx="28">
                  <c:v>69.502499999999898</c:v>
                </c:pt>
                <c:pt idx="29">
                  <c:v>41.370000000000125</c:v>
                </c:pt>
                <c:pt idx="30">
                  <c:v>78.133750000000418</c:v>
                </c:pt>
                <c:pt idx="31">
                  <c:v>46.583749999999853</c:v>
                </c:pt>
                <c:pt idx="32">
                  <c:v>40.729999999999315</c:v>
                </c:pt>
                <c:pt idx="33">
                  <c:v>92.543750000000543</c:v>
                </c:pt>
                <c:pt idx="34">
                  <c:v>36.622500000000358</c:v>
                </c:pt>
                <c:pt idx="35">
                  <c:v>45.023750000000028</c:v>
                </c:pt>
                <c:pt idx="36">
                  <c:v>29.338750000000775</c:v>
                </c:pt>
                <c:pt idx="37">
                  <c:v>34.181250000000205</c:v>
                </c:pt>
                <c:pt idx="38">
                  <c:v>73.293749999999903</c:v>
                </c:pt>
                <c:pt idx="39">
                  <c:v>76.921249999999944</c:v>
                </c:pt>
                <c:pt idx="40">
                  <c:v>53.202499999998857</c:v>
                </c:pt>
                <c:pt idx="41">
                  <c:v>59.028749999999313</c:v>
                </c:pt>
                <c:pt idx="42">
                  <c:v>44.263750000000336</c:v>
                </c:pt>
                <c:pt idx="43">
                  <c:v>36.28625000000023</c:v>
                </c:pt>
                <c:pt idx="44">
                  <c:v>39.458749999998652</c:v>
                </c:pt>
                <c:pt idx="45">
                  <c:v>40.076249999999739</c:v>
                </c:pt>
                <c:pt idx="46">
                  <c:v>37.988750000000202</c:v>
                </c:pt>
                <c:pt idx="47">
                  <c:v>36.647499999999575</c:v>
                </c:pt>
                <c:pt idx="48">
                  <c:v>73.04500000000138</c:v>
                </c:pt>
                <c:pt idx="49">
                  <c:v>83.38750000000141</c:v>
                </c:pt>
                <c:pt idx="50">
                  <c:v>56.420000000000009</c:v>
                </c:pt>
                <c:pt idx="51">
                  <c:v>87.5087500000012</c:v>
                </c:pt>
                <c:pt idx="52">
                  <c:v>55.747499999999604</c:v>
                </c:pt>
                <c:pt idx="53">
                  <c:v>105.4312500000005</c:v>
                </c:pt>
                <c:pt idx="54">
                  <c:v>74.841249999999278</c:v>
                </c:pt>
                <c:pt idx="55">
                  <c:v>116.09374999999883</c:v>
                </c:pt>
                <c:pt idx="56">
                  <c:v>111.97250000000018</c:v>
                </c:pt>
                <c:pt idx="57">
                  <c:v>63.968749999999261</c:v>
                </c:pt>
                <c:pt idx="58">
                  <c:v>116.09374999999882</c:v>
                </c:pt>
                <c:pt idx="59">
                  <c:v>55.308749999998781</c:v>
                </c:pt>
                <c:pt idx="60">
                  <c:v>38.339999999999542</c:v>
                </c:pt>
                <c:pt idx="61">
                  <c:v>44.477500000000006</c:v>
                </c:pt>
                <c:pt idx="62">
                  <c:v>29.338750000000775</c:v>
                </c:pt>
                <c:pt idx="63">
                  <c:v>29.650000000000798</c:v>
                </c:pt>
                <c:pt idx="64">
                  <c:v>80.838749999999678</c:v>
                </c:pt>
                <c:pt idx="65">
                  <c:v>35.496250000001361</c:v>
                </c:pt>
                <c:pt idx="66">
                  <c:v>35.008750000001363</c:v>
                </c:pt>
                <c:pt idx="67">
                  <c:v>38.909999999998803</c:v>
                </c:pt>
                <c:pt idx="68">
                  <c:v>64.971249999999827</c:v>
                </c:pt>
                <c:pt idx="69">
                  <c:v>45.201249999999064</c:v>
                </c:pt>
                <c:pt idx="70">
                  <c:v>40.657499999999374</c:v>
                </c:pt>
                <c:pt idx="71">
                  <c:v>30.925000000000779</c:v>
                </c:pt>
                <c:pt idx="72">
                  <c:v>47.326249999999426</c:v>
                </c:pt>
                <c:pt idx="73">
                  <c:v>90.343749999999261</c:v>
                </c:pt>
                <c:pt idx="74">
                  <c:v>42.339999999998454</c:v>
                </c:pt>
                <c:pt idx="75">
                  <c:v>49.883749999998344</c:v>
                </c:pt>
                <c:pt idx="76">
                  <c:v>58.100000000000406</c:v>
                </c:pt>
                <c:pt idx="77">
                  <c:v>45.469999999998407</c:v>
                </c:pt>
                <c:pt idx="78">
                  <c:v>36.63500000000051</c:v>
                </c:pt>
                <c:pt idx="79">
                  <c:v>55.789999999999921</c:v>
                </c:pt>
                <c:pt idx="80">
                  <c:v>34.6012500000015</c:v>
                </c:pt>
                <c:pt idx="81">
                  <c:v>39.471250000000872</c:v>
                </c:pt>
                <c:pt idx="82">
                  <c:v>44.348750000000642</c:v>
                </c:pt>
                <c:pt idx="83">
                  <c:v>40.268749999999834</c:v>
                </c:pt>
                <c:pt idx="84">
                  <c:v>84.804999999999765</c:v>
                </c:pt>
                <c:pt idx="85">
                  <c:v>63.968749999998813</c:v>
                </c:pt>
                <c:pt idx="86">
                  <c:v>83.38750000000141</c:v>
                </c:pt>
                <c:pt idx="87">
                  <c:v>111.75749999999941</c:v>
                </c:pt>
                <c:pt idx="88">
                  <c:v>103.01125000000079</c:v>
                </c:pt>
                <c:pt idx="89">
                  <c:v>72.886249999999265</c:v>
                </c:pt>
                <c:pt idx="90">
                  <c:v>38.256250000000236</c:v>
                </c:pt>
                <c:pt idx="91">
                  <c:v>72.421249999999759</c:v>
                </c:pt>
                <c:pt idx="92">
                  <c:v>29.99125000000117</c:v>
                </c:pt>
                <c:pt idx="93">
                  <c:v>37.017499999999544</c:v>
                </c:pt>
                <c:pt idx="94">
                  <c:v>33.996250000000735</c:v>
                </c:pt>
                <c:pt idx="95">
                  <c:v>48.505000000000592</c:v>
                </c:pt>
                <c:pt idx="96">
                  <c:v>68.131249999998104</c:v>
                </c:pt>
                <c:pt idx="97">
                  <c:v>34.097500000001119</c:v>
                </c:pt>
                <c:pt idx="98">
                  <c:v>28.093750000000227</c:v>
                </c:pt>
                <c:pt idx="99">
                  <c:v>27.160000000000455</c:v>
                </c:pt>
                <c:pt idx="100">
                  <c:v>35.352499999999495</c:v>
                </c:pt>
                <c:pt idx="101">
                  <c:v>47.649999999999629</c:v>
                </c:pt>
                <c:pt idx="102">
                  <c:v>74.841249999999349</c:v>
                </c:pt>
                <c:pt idx="103">
                  <c:v>40.753749999998753</c:v>
                </c:pt>
                <c:pt idx="104">
                  <c:v>42.339999999998454</c:v>
                </c:pt>
                <c:pt idx="105">
                  <c:v>29.99125000000026</c:v>
                </c:pt>
                <c:pt idx="106">
                  <c:v>76.467500000001024</c:v>
                </c:pt>
                <c:pt idx="107">
                  <c:v>105.43125000000077</c:v>
                </c:pt>
                <c:pt idx="108">
                  <c:v>51.853750000000574</c:v>
                </c:pt>
                <c:pt idx="109">
                  <c:v>55.441249999999734</c:v>
                </c:pt>
                <c:pt idx="110">
                  <c:v>36.339999999998881</c:v>
                </c:pt>
                <c:pt idx="111">
                  <c:v>57.599999999999163</c:v>
                </c:pt>
                <c:pt idx="112">
                  <c:v>55.632499999998352</c:v>
                </c:pt>
                <c:pt idx="113">
                  <c:v>103.01125</c:v>
                </c:pt>
                <c:pt idx="114">
                  <c:v>52.03374999999938</c:v>
                </c:pt>
                <c:pt idx="115">
                  <c:v>46.387499999999875</c:v>
                </c:pt>
                <c:pt idx="116">
                  <c:v>40.684999999999135</c:v>
                </c:pt>
                <c:pt idx="117">
                  <c:v>56.923750000000062</c:v>
                </c:pt>
                <c:pt idx="118">
                  <c:v>43.149999999998968</c:v>
                </c:pt>
                <c:pt idx="119">
                  <c:v>53.942499999999605</c:v>
                </c:pt>
                <c:pt idx="120">
                  <c:v>45.344999999998308</c:v>
                </c:pt>
                <c:pt idx="121">
                  <c:v>78.053749999999951</c:v>
                </c:pt>
                <c:pt idx="122">
                  <c:v>62.173749999997575</c:v>
                </c:pt>
                <c:pt idx="123">
                  <c:v>54.833749999998943</c:v>
                </c:pt>
                <c:pt idx="124">
                  <c:v>57.157500000000375</c:v>
                </c:pt>
                <c:pt idx="125">
                  <c:v>51.626249999998628</c:v>
                </c:pt>
                <c:pt idx="126">
                  <c:v>57.427499999999071</c:v>
                </c:pt>
                <c:pt idx="127">
                  <c:v>43.428749999998487</c:v>
                </c:pt>
                <c:pt idx="128">
                  <c:v>36.311250000001095</c:v>
                </c:pt>
                <c:pt idx="129">
                  <c:v>29.338750000000775</c:v>
                </c:pt>
                <c:pt idx="130">
                  <c:v>45.124999999999453</c:v>
                </c:pt>
                <c:pt idx="131">
                  <c:v>72.924999999999159</c:v>
                </c:pt>
                <c:pt idx="132">
                  <c:v>91.346250000000026</c:v>
                </c:pt>
                <c:pt idx="133">
                  <c:v>57.253749999999165</c:v>
                </c:pt>
                <c:pt idx="134">
                  <c:v>41.836249999998572</c:v>
                </c:pt>
                <c:pt idx="135">
                  <c:v>56.942499999999981</c:v>
                </c:pt>
                <c:pt idx="136">
                  <c:v>56.689999999999756</c:v>
                </c:pt>
                <c:pt idx="137">
                  <c:v>63.963749999999813</c:v>
                </c:pt>
                <c:pt idx="138">
                  <c:v>67.360000000000056</c:v>
                </c:pt>
                <c:pt idx="139">
                  <c:v>59.463750000000552</c:v>
                </c:pt>
                <c:pt idx="140">
                  <c:v>55.249999999998735</c:v>
                </c:pt>
                <c:pt idx="141">
                  <c:v>97.887499999999974</c:v>
                </c:pt>
                <c:pt idx="142">
                  <c:v>49.883749999999175</c:v>
                </c:pt>
                <c:pt idx="143">
                  <c:v>68.998749999998495</c:v>
                </c:pt>
                <c:pt idx="144">
                  <c:v>48.297499999999303</c:v>
                </c:pt>
                <c:pt idx="145">
                  <c:v>79.466249999999121</c:v>
                </c:pt>
                <c:pt idx="146">
                  <c:v>53.837499999998748</c:v>
                </c:pt>
                <c:pt idx="147">
                  <c:v>61.997499999999803</c:v>
                </c:pt>
                <c:pt idx="148">
                  <c:v>89.429999999999794</c:v>
                </c:pt>
                <c:pt idx="149">
                  <c:v>53.286250000000521</c:v>
                </c:pt>
                <c:pt idx="150">
                  <c:v>29.780000000000229</c:v>
                </c:pt>
                <c:pt idx="151">
                  <c:v>50.468749999999581</c:v>
                </c:pt>
                <c:pt idx="152">
                  <c:v>84.590000000000913</c:v>
                </c:pt>
                <c:pt idx="153">
                  <c:v>111.9724999999991</c:v>
                </c:pt>
                <c:pt idx="154">
                  <c:v>79.646250000000705</c:v>
                </c:pt>
                <c:pt idx="155">
                  <c:v>99.768750000000111</c:v>
                </c:pt>
                <c:pt idx="156">
                  <c:v>84.805000000000689</c:v>
                </c:pt>
                <c:pt idx="157">
                  <c:v>60.756249999999234</c:v>
                </c:pt>
                <c:pt idx="158">
                  <c:v>69.614999999999526</c:v>
                </c:pt>
                <c:pt idx="159">
                  <c:v>77.47</c:v>
                </c:pt>
                <c:pt idx="160">
                  <c:v>82.384999999999977</c:v>
                </c:pt>
                <c:pt idx="161">
                  <c:v>57.669999999998616</c:v>
                </c:pt>
                <c:pt idx="162">
                  <c:v>63.176249999999072</c:v>
                </c:pt>
                <c:pt idx="163">
                  <c:v>61.589999999998625</c:v>
                </c:pt>
                <c:pt idx="164">
                  <c:v>27.7825000000005</c:v>
                </c:pt>
                <c:pt idx="165">
                  <c:v>77.723750000000109</c:v>
                </c:pt>
                <c:pt idx="166">
                  <c:v>104.42874999999917</c:v>
                </c:pt>
                <c:pt idx="167">
                  <c:v>52.829999999998762</c:v>
                </c:pt>
                <c:pt idx="168">
                  <c:v>74.025000000000418</c:v>
                </c:pt>
                <c:pt idx="169">
                  <c:v>60.756249999998907</c:v>
                </c:pt>
                <c:pt idx="170">
                  <c:v>43.657500000000127</c:v>
                </c:pt>
                <c:pt idx="171">
                  <c:v>100.17000000000091</c:v>
                </c:pt>
                <c:pt idx="172">
                  <c:v>34.635000000000012</c:v>
                </c:pt>
                <c:pt idx="173">
                  <c:v>51.617499999999914</c:v>
                </c:pt>
                <c:pt idx="174">
                  <c:v>67.360000000000056</c:v>
                </c:pt>
                <c:pt idx="175">
                  <c:v>67.337499999999793</c:v>
                </c:pt>
                <c:pt idx="176">
                  <c:v>52.033749999999813</c:v>
                </c:pt>
                <c:pt idx="177">
                  <c:v>53.483749999999873</c:v>
                </c:pt>
                <c:pt idx="178">
                  <c:v>48.732499999999483</c:v>
                </c:pt>
                <c:pt idx="179">
                  <c:v>41.779999999999163</c:v>
                </c:pt>
                <c:pt idx="180">
                  <c:v>63.626250000000411</c:v>
                </c:pt>
                <c:pt idx="181">
                  <c:v>85.597499999999997</c:v>
                </c:pt>
                <c:pt idx="182">
                  <c:v>68.538749999999979</c:v>
                </c:pt>
                <c:pt idx="183">
                  <c:v>42.573749999999151</c:v>
                </c:pt>
                <c:pt idx="184">
                  <c:v>44.156250000000526</c:v>
                </c:pt>
                <c:pt idx="185">
                  <c:v>60.994999999999251</c:v>
                </c:pt>
                <c:pt idx="186">
                  <c:v>69.213749999998612</c:v>
                </c:pt>
                <c:pt idx="187">
                  <c:v>33.475000000001302</c:v>
                </c:pt>
                <c:pt idx="188">
                  <c:v>43.842499999999752</c:v>
                </c:pt>
                <c:pt idx="189">
                  <c:v>41.512499999998759</c:v>
                </c:pt>
                <c:pt idx="190">
                  <c:v>35.456249999999621</c:v>
                </c:pt>
                <c:pt idx="191">
                  <c:v>59.078749999998301</c:v>
                </c:pt>
                <c:pt idx="192">
                  <c:v>64.298749999999799</c:v>
                </c:pt>
                <c:pt idx="193">
                  <c:v>105.43125000000077</c:v>
                </c:pt>
                <c:pt idx="194">
                  <c:v>62.540000000000106</c:v>
                </c:pt>
                <c:pt idx="195">
                  <c:v>90.019999999999726</c:v>
                </c:pt>
                <c:pt idx="196">
                  <c:v>40.684999999998496</c:v>
                </c:pt>
                <c:pt idx="197">
                  <c:v>42.016249999998756</c:v>
                </c:pt>
                <c:pt idx="198">
                  <c:v>85.597500000001062</c:v>
                </c:pt>
                <c:pt idx="199">
                  <c:v>33.786250000001061</c:v>
                </c:pt>
                <c:pt idx="200">
                  <c:v>91.311250000000967</c:v>
                </c:pt>
                <c:pt idx="201">
                  <c:v>90.343749999999261</c:v>
                </c:pt>
                <c:pt idx="202">
                  <c:v>65.381249999998929</c:v>
                </c:pt>
                <c:pt idx="203">
                  <c:v>102.51249999999966</c:v>
                </c:pt>
                <c:pt idx="204">
                  <c:v>84.590000000000543</c:v>
                </c:pt>
                <c:pt idx="205">
                  <c:v>40.181249999998748</c:v>
                </c:pt>
                <c:pt idx="206">
                  <c:v>41.0087499999985</c:v>
                </c:pt>
                <c:pt idx="207">
                  <c:v>41.512499999998504</c:v>
                </c:pt>
                <c:pt idx="208">
                  <c:v>43.861249999999124</c:v>
                </c:pt>
                <c:pt idx="209">
                  <c:v>41.368749999998755</c:v>
                </c:pt>
                <c:pt idx="210">
                  <c:v>48.588749999999436</c:v>
                </c:pt>
                <c:pt idx="211">
                  <c:v>48.588749999999912</c:v>
                </c:pt>
                <c:pt idx="212">
                  <c:v>42.88999999999978</c:v>
                </c:pt>
                <c:pt idx="213">
                  <c:v>40.106249999999129</c:v>
                </c:pt>
                <c:pt idx="214">
                  <c:v>78.962499999999537</c:v>
                </c:pt>
                <c:pt idx="215">
                  <c:v>88.422500000001151</c:v>
                </c:pt>
                <c:pt idx="216">
                  <c:v>76.588749999998555</c:v>
                </c:pt>
                <c:pt idx="217">
                  <c:v>70.413750000000221</c:v>
                </c:pt>
                <c:pt idx="218">
                  <c:v>45.668749999998212</c:v>
                </c:pt>
                <c:pt idx="219">
                  <c:v>72.925000000000779</c:v>
                </c:pt>
                <c:pt idx="220">
                  <c:v>74.552500000000109</c:v>
                </c:pt>
                <c:pt idx="221">
                  <c:v>63.963750000000353</c:v>
                </c:pt>
                <c:pt idx="222">
                  <c:v>38.663749999999787</c:v>
                </c:pt>
                <c:pt idx="223">
                  <c:v>60.756249999999476</c:v>
                </c:pt>
                <c:pt idx="224">
                  <c:v>48.876249999999054</c:v>
                </c:pt>
                <c:pt idx="225">
                  <c:v>44.337499999999245</c:v>
                </c:pt>
                <c:pt idx="226">
                  <c:v>60.252499999999813</c:v>
                </c:pt>
                <c:pt idx="227">
                  <c:v>36.881250000000549</c:v>
                </c:pt>
                <c:pt idx="228">
                  <c:v>70.216250000000045</c:v>
                </c:pt>
                <c:pt idx="229">
                  <c:v>36.647499999999546</c:v>
                </c:pt>
                <c:pt idx="230">
                  <c:v>40.397500000000029</c:v>
                </c:pt>
                <c:pt idx="231">
                  <c:v>34.366250000001401</c:v>
                </c:pt>
                <c:pt idx="232">
                  <c:v>54.414999999999864</c:v>
                </c:pt>
                <c:pt idx="233">
                  <c:v>67.531249999999659</c:v>
                </c:pt>
                <c:pt idx="234">
                  <c:v>64.588749999999308</c:v>
                </c:pt>
                <c:pt idx="235">
                  <c:v>81.929999999999396</c:v>
                </c:pt>
                <c:pt idx="236">
                  <c:v>34.413750000001521</c:v>
                </c:pt>
                <c:pt idx="237">
                  <c:v>30.2900000000006</c:v>
                </c:pt>
                <c:pt idx="238">
                  <c:v>36.298750000000048</c:v>
                </c:pt>
                <c:pt idx="239">
                  <c:v>36.612499999998967</c:v>
                </c:pt>
                <c:pt idx="240">
                  <c:v>38.341249999998702</c:v>
                </c:pt>
                <c:pt idx="241">
                  <c:v>41.895000000000962</c:v>
                </c:pt>
                <c:pt idx="242">
                  <c:v>81.655000000000868</c:v>
                </c:pt>
                <c:pt idx="243">
                  <c:v>41.819999999998743</c:v>
                </c:pt>
                <c:pt idx="244">
                  <c:v>34.873750000000314</c:v>
                </c:pt>
                <c:pt idx="245">
                  <c:v>50.004999999997743</c:v>
                </c:pt>
                <c:pt idx="246">
                  <c:v>41.008749999998862</c:v>
                </c:pt>
                <c:pt idx="247">
                  <c:v>40.684999999998752</c:v>
                </c:pt>
                <c:pt idx="248">
                  <c:v>57.548749999998471</c:v>
                </c:pt>
                <c:pt idx="249">
                  <c:v>41.836249999998472</c:v>
                </c:pt>
                <c:pt idx="250">
                  <c:v>48.372499999999356</c:v>
                </c:pt>
                <c:pt idx="251">
                  <c:v>48.710000000000008</c:v>
                </c:pt>
                <c:pt idx="252">
                  <c:v>41.692499999999363</c:v>
                </c:pt>
                <c:pt idx="253">
                  <c:v>36.311249999998807</c:v>
                </c:pt>
                <c:pt idx="254">
                  <c:v>49.88374999999899</c:v>
                </c:pt>
                <c:pt idx="255">
                  <c:v>72.794999999999689</c:v>
                </c:pt>
                <c:pt idx="256">
                  <c:v>45.616250000000079</c:v>
                </c:pt>
                <c:pt idx="257">
                  <c:v>82.523750000000248</c:v>
                </c:pt>
                <c:pt idx="258">
                  <c:v>80.878749999999769</c:v>
                </c:pt>
                <c:pt idx="259">
                  <c:v>77.880000000000152</c:v>
                </c:pt>
                <c:pt idx="260">
                  <c:v>44.916249999998854</c:v>
                </c:pt>
                <c:pt idx="261">
                  <c:v>30.302500000000126</c:v>
                </c:pt>
                <c:pt idx="262">
                  <c:v>42.864999999999576</c:v>
                </c:pt>
                <c:pt idx="263">
                  <c:v>83.802500000000308</c:v>
                </c:pt>
                <c:pt idx="264">
                  <c:v>50.648749999999602</c:v>
                </c:pt>
                <c:pt idx="265">
                  <c:v>34.19375000000003</c:v>
                </c:pt>
                <c:pt idx="266">
                  <c:v>42.566250000000082</c:v>
                </c:pt>
                <c:pt idx="267">
                  <c:v>38.532499999999963</c:v>
                </c:pt>
                <c:pt idx="268">
                  <c:v>36.641249999999644</c:v>
                </c:pt>
                <c:pt idx="269">
                  <c:v>71.905000000000769</c:v>
                </c:pt>
                <c:pt idx="270">
                  <c:v>53.349999999999454</c:v>
                </c:pt>
                <c:pt idx="271">
                  <c:v>34.426249999999001</c:v>
                </c:pt>
                <c:pt idx="272">
                  <c:v>40.429999999999509</c:v>
                </c:pt>
                <c:pt idx="273">
                  <c:v>42.016249999998429</c:v>
                </c:pt>
                <c:pt idx="274">
                  <c:v>45.771249999998759</c:v>
                </c:pt>
                <c:pt idx="275">
                  <c:v>38.208750000000428</c:v>
                </c:pt>
                <c:pt idx="276">
                  <c:v>55.502499999999507</c:v>
                </c:pt>
                <c:pt idx="277">
                  <c:v>48.004999999999654</c:v>
                </c:pt>
                <c:pt idx="278">
                  <c:v>68.709999999999013</c:v>
                </c:pt>
                <c:pt idx="279">
                  <c:v>60.355000000000224</c:v>
                </c:pt>
                <c:pt idx="280">
                  <c:v>33.450000000000927</c:v>
                </c:pt>
                <c:pt idx="281">
                  <c:v>40.397499999999575</c:v>
                </c:pt>
                <c:pt idx="282">
                  <c:v>52.08749999999965</c:v>
                </c:pt>
                <c:pt idx="283">
                  <c:v>38.487500000000175</c:v>
                </c:pt>
                <c:pt idx="284">
                  <c:v>63.321249999999104</c:v>
                </c:pt>
                <c:pt idx="285">
                  <c:v>39.75</c:v>
                </c:pt>
                <c:pt idx="286">
                  <c:v>49.056249999999345</c:v>
                </c:pt>
                <c:pt idx="287">
                  <c:v>87.41999999999976</c:v>
                </c:pt>
                <c:pt idx="288">
                  <c:v>40.864999999998645</c:v>
                </c:pt>
                <c:pt idx="289">
                  <c:v>75.934999999999491</c:v>
                </c:pt>
                <c:pt idx="290">
                  <c:v>85.718749999999574</c:v>
                </c:pt>
                <c:pt idx="291">
                  <c:v>43.718749999999261</c:v>
                </c:pt>
                <c:pt idx="292">
                  <c:v>53.851249999999744</c:v>
                </c:pt>
                <c:pt idx="293">
                  <c:v>43.771249999999078</c:v>
                </c:pt>
                <c:pt idx="294">
                  <c:v>42.857499999999646</c:v>
                </c:pt>
                <c:pt idx="295">
                  <c:v>30.56500000000052</c:v>
                </c:pt>
                <c:pt idx="296">
                  <c:v>49.645000000000252</c:v>
                </c:pt>
                <c:pt idx="297">
                  <c:v>89.336249999999907</c:v>
                </c:pt>
                <c:pt idx="298">
                  <c:v>38.317500000000045</c:v>
                </c:pt>
                <c:pt idx="299">
                  <c:v>47.986249999999295</c:v>
                </c:pt>
                <c:pt idx="300">
                  <c:v>57.333749999998595</c:v>
                </c:pt>
                <c:pt idx="301">
                  <c:v>38.544999999998723</c:v>
                </c:pt>
                <c:pt idx="302">
                  <c:v>35.057500000001646</c:v>
                </c:pt>
                <c:pt idx="303">
                  <c:v>79.001250000000866</c:v>
                </c:pt>
                <c:pt idx="304">
                  <c:v>46.822499999999962</c:v>
                </c:pt>
                <c:pt idx="305">
                  <c:v>40.753749999999073</c:v>
                </c:pt>
                <c:pt idx="306">
                  <c:v>37.25750000000032</c:v>
                </c:pt>
                <c:pt idx="307">
                  <c:v>36.560000000000393</c:v>
                </c:pt>
                <c:pt idx="308">
                  <c:v>69.633750000000518</c:v>
                </c:pt>
                <c:pt idx="309">
                  <c:v>68.787500000000264</c:v>
                </c:pt>
                <c:pt idx="310">
                  <c:v>41.33249999999849</c:v>
                </c:pt>
                <c:pt idx="311">
                  <c:v>65.747499999999349</c:v>
                </c:pt>
                <c:pt idx="312">
                  <c:v>83.845000000000013</c:v>
                </c:pt>
                <c:pt idx="313">
                  <c:v>94.176250000000778</c:v>
                </c:pt>
                <c:pt idx="314">
                  <c:v>94.176250000000778</c:v>
                </c:pt>
                <c:pt idx="315">
                  <c:v>55.128749999998895</c:v>
                </c:pt>
                <c:pt idx="316">
                  <c:v>36.514999999999866</c:v>
                </c:pt>
                <c:pt idx="317">
                  <c:v>82.49625000000033</c:v>
                </c:pt>
                <c:pt idx="318">
                  <c:v>40.772500000000065</c:v>
                </c:pt>
                <c:pt idx="319">
                  <c:v>92.259999999999792</c:v>
                </c:pt>
                <c:pt idx="320">
                  <c:v>48.912499999998907</c:v>
                </c:pt>
                <c:pt idx="321">
                  <c:v>65.561250000000129</c:v>
                </c:pt>
                <c:pt idx="322">
                  <c:v>45.6874999999987</c:v>
                </c:pt>
                <c:pt idx="323">
                  <c:v>60.60750000000003</c:v>
                </c:pt>
                <c:pt idx="324">
                  <c:v>31.938750000000674</c:v>
                </c:pt>
                <c:pt idx="325">
                  <c:v>49.216250000000763</c:v>
                </c:pt>
                <c:pt idx="326">
                  <c:v>59.040000000000326</c:v>
                </c:pt>
                <c:pt idx="327">
                  <c:v>37.834999999999624</c:v>
                </c:pt>
                <c:pt idx="328">
                  <c:v>60.081249999999301</c:v>
                </c:pt>
                <c:pt idx="329">
                  <c:v>86.007499999999823</c:v>
                </c:pt>
                <c:pt idx="330">
                  <c:v>45.508750000000333</c:v>
                </c:pt>
                <c:pt idx="331">
                  <c:v>72.789999999999864</c:v>
                </c:pt>
                <c:pt idx="332">
                  <c:v>74.595000000000709</c:v>
                </c:pt>
                <c:pt idx="333">
                  <c:v>59.673749999999039</c:v>
                </c:pt>
                <c:pt idx="334">
                  <c:v>49.784999999999421</c:v>
                </c:pt>
                <c:pt idx="335">
                  <c:v>74.841250000000016</c:v>
                </c:pt>
                <c:pt idx="336">
                  <c:v>16.933750000000021</c:v>
                </c:pt>
                <c:pt idx="337">
                  <c:v>42.262499999998944</c:v>
                </c:pt>
                <c:pt idx="338">
                  <c:v>58.186249999998395</c:v>
                </c:pt>
                <c:pt idx="339">
                  <c:v>92.260000000000304</c:v>
                </c:pt>
                <c:pt idx="340">
                  <c:v>41.33249999999849</c:v>
                </c:pt>
                <c:pt idx="341">
                  <c:v>65.56124999999966</c:v>
                </c:pt>
                <c:pt idx="342">
                  <c:v>42.601249999999375</c:v>
                </c:pt>
                <c:pt idx="343">
                  <c:v>53.28375000000031</c:v>
                </c:pt>
                <c:pt idx="344">
                  <c:v>12.953750000000127</c:v>
                </c:pt>
                <c:pt idx="345">
                  <c:v>62.621249999999399</c:v>
                </c:pt>
                <c:pt idx="346">
                  <c:v>45.892499999999742</c:v>
                </c:pt>
                <c:pt idx="347">
                  <c:v>37.643750000000033</c:v>
                </c:pt>
                <c:pt idx="348">
                  <c:v>62.371250000000444</c:v>
                </c:pt>
                <c:pt idx="349">
                  <c:v>49.379999999999328</c:v>
                </c:pt>
                <c:pt idx="350">
                  <c:v>46.713749999999052</c:v>
                </c:pt>
                <c:pt idx="351">
                  <c:v>39.782499999999963</c:v>
                </c:pt>
                <c:pt idx="352">
                  <c:v>72.925000000000409</c:v>
                </c:pt>
                <c:pt idx="353">
                  <c:v>40.073749999999556</c:v>
                </c:pt>
                <c:pt idx="354">
                  <c:v>77.226250000000405</c:v>
                </c:pt>
                <c:pt idx="355">
                  <c:v>65.057499999999393</c:v>
                </c:pt>
                <c:pt idx="356">
                  <c:v>66.267499999999458</c:v>
                </c:pt>
                <c:pt idx="357">
                  <c:v>40.073750000000011</c:v>
                </c:pt>
                <c:pt idx="358">
                  <c:v>39.75</c:v>
                </c:pt>
                <c:pt idx="359">
                  <c:v>35.6512500000008</c:v>
                </c:pt>
                <c:pt idx="360">
                  <c:v>37.224999999999987</c:v>
                </c:pt>
                <c:pt idx="361">
                  <c:v>57.428749999999518</c:v>
                </c:pt>
                <c:pt idx="362">
                  <c:v>37.257499999999709</c:v>
                </c:pt>
                <c:pt idx="363">
                  <c:v>78.174999999998846</c:v>
                </c:pt>
                <c:pt idx="364">
                  <c:v>41.836249999998607</c:v>
                </c:pt>
              </c:numCache>
            </c:numRef>
          </c:val>
          <c:smooth val="0"/>
          <c:extLst>
            <c:ext xmlns:c16="http://schemas.microsoft.com/office/drawing/2014/chart" uri="{C3380CC4-5D6E-409C-BE32-E72D297353CC}">
              <c16:uniqueId val="{00000002-73E4-4ED4-B5C8-26AF96CC779B}"/>
            </c:ext>
          </c:extLst>
        </c:ser>
        <c:ser>
          <c:idx val="1"/>
          <c:order val="1"/>
          <c:tx>
            <c:strRef>
              <c:f>Sheet1!$C$1</c:f>
              <c:strCache>
                <c:ptCount val="1"/>
                <c:pt idx="0">
                  <c:v>Average of Diffuse Irradiation (W/m^2), Forecast +0 Hrs</c:v>
                </c:pt>
              </c:strCache>
            </c:strRef>
          </c:tx>
          <c:spPr>
            <a:ln w="19050"/>
          </c:spPr>
          <c:marker>
            <c:symbol val="none"/>
          </c:marker>
          <c:cat>
            <c:multiLvlStrRef>
              <c:f>Sheet1!$A$2:$A$735</c:f>
              <c:multiLvlStrCache>
                <c:ptCount val="365"/>
                <c:lvl>
                  <c:pt idx="0">
                    <c:v>Feb</c:v>
                  </c:pt>
                  <c:pt idx="1">
                    <c:v>Feb</c:v>
                  </c:pt>
                  <c:pt idx="3">
                    <c:v>Feb</c:v>
                  </c:pt>
                  <c:pt idx="4">
                    <c:v>Feb</c:v>
                  </c:pt>
                  <c:pt idx="5">
                    <c:v>Feb</c:v>
                  </c:pt>
                  <c:pt idx="6">
                    <c:v>Feb</c:v>
                  </c:pt>
                  <c:pt idx="7">
                    <c:v>Feb</c:v>
                  </c:pt>
                  <c:pt idx="8">
                    <c:v>Feb</c:v>
                  </c:pt>
                  <c:pt idx="9">
                    <c:v>Feb</c:v>
                  </c:pt>
                  <c:pt idx="10">
                    <c:v>Mar</c:v>
                  </c:pt>
                  <c:pt idx="11">
                    <c:v>Mar</c:v>
                  </c:pt>
                  <c:pt idx="12">
                    <c:v>Mar</c:v>
                  </c:pt>
                  <c:pt idx="13">
                    <c:v>Mar</c:v>
                  </c:pt>
                  <c:pt idx="14">
                    <c:v>Mar</c:v>
                  </c:pt>
                  <c:pt idx="15">
                    <c:v>Mar</c:v>
                  </c:pt>
                  <c:pt idx="16">
                    <c:v>Mar</c:v>
                  </c:pt>
                  <c:pt idx="17">
                    <c:v>Mar</c:v>
                  </c:pt>
                  <c:pt idx="18">
                    <c:v>Mar</c:v>
                  </c:pt>
                  <c:pt idx="19">
                    <c:v>Mar</c:v>
                  </c:pt>
                  <c:pt idx="20">
                    <c:v>Mar</c:v>
                  </c:pt>
                  <c:pt idx="21">
                    <c:v>Mar</c:v>
                  </c:pt>
                  <c:pt idx="22">
                    <c:v>Mar</c:v>
                  </c:pt>
                  <c:pt idx="23">
                    <c:v>Mar</c:v>
                  </c:pt>
                  <c:pt idx="24">
                    <c:v>Mar</c:v>
                  </c:pt>
                  <c:pt idx="25">
                    <c:v>Mar</c:v>
                  </c:pt>
                  <c:pt idx="26">
                    <c:v>Mar</c:v>
                  </c:pt>
                  <c:pt idx="27">
                    <c:v>Mar</c:v>
                  </c:pt>
                  <c:pt idx="28">
                    <c:v>Mar</c:v>
                  </c:pt>
                  <c:pt idx="29">
                    <c:v>Mar</c:v>
                  </c:pt>
                  <c:pt idx="31">
                    <c:v>Mar</c:v>
                  </c:pt>
                  <c:pt idx="32">
                    <c:v>Mar</c:v>
                  </c:pt>
                  <c:pt idx="33">
                    <c:v>Mar</c:v>
                  </c:pt>
                  <c:pt idx="34">
                    <c:v>Mar</c:v>
                  </c:pt>
                  <c:pt idx="35">
                    <c:v>Mar</c:v>
                  </c:pt>
                  <c:pt idx="36">
                    <c:v>Mar</c:v>
                  </c:pt>
                  <c:pt idx="37">
                    <c:v>Mar</c:v>
                  </c:pt>
                  <c:pt idx="38">
                    <c:v>Mar</c:v>
                  </c:pt>
                  <c:pt idx="39">
                    <c:v>Mar</c:v>
                  </c:pt>
                  <c:pt idx="40">
                    <c:v>Mar</c:v>
                  </c:pt>
                  <c:pt idx="41">
                    <c:v>Apr</c:v>
                  </c:pt>
                  <c:pt idx="42">
                    <c:v>Apr</c:v>
                  </c:pt>
                  <c:pt idx="43">
                    <c:v>Apr</c:v>
                  </c:pt>
                  <c:pt idx="44">
                    <c:v>Apr</c:v>
                  </c:pt>
                  <c:pt idx="45">
                    <c:v>Apr</c:v>
                  </c:pt>
                  <c:pt idx="46">
                    <c:v>Apr</c:v>
                  </c:pt>
                  <c:pt idx="47">
                    <c:v>Apr</c:v>
                  </c:pt>
                  <c:pt idx="48">
                    <c:v>Apr</c:v>
                  </c:pt>
                  <c:pt idx="49">
                    <c:v>Apr</c:v>
                  </c:pt>
                  <c:pt idx="50">
                    <c:v>Apr</c:v>
                  </c:pt>
                  <c:pt idx="51">
                    <c:v>Apr</c:v>
                  </c:pt>
                  <c:pt idx="52">
                    <c:v>Apr</c:v>
                  </c:pt>
                  <c:pt idx="53">
                    <c:v>Apr</c:v>
                  </c:pt>
                  <c:pt idx="54">
                    <c:v>Apr</c:v>
                  </c:pt>
                  <c:pt idx="55">
                    <c:v>Apr</c:v>
                  </c:pt>
                  <c:pt idx="56">
                    <c:v>Apr</c:v>
                  </c:pt>
                  <c:pt idx="57">
                    <c:v>Apr</c:v>
                  </c:pt>
                  <c:pt idx="58">
                    <c:v>Apr</c:v>
                  </c:pt>
                  <c:pt idx="59">
                    <c:v>Apr</c:v>
                  </c:pt>
                  <c:pt idx="60">
                    <c:v>Apr</c:v>
                  </c:pt>
                  <c:pt idx="62">
                    <c:v>Apr</c:v>
                  </c:pt>
                  <c:pt idx="63">
                    <c:v>Apr</c:v>
                  </c:pt>
                  <c:pt idx="64">
                    <c:v>Apr</c:v>
                  </c:pt>
                  <c:pt idx="65">
                    <c:v>Apr</c:v>
                  </c:pt>
                  <c:pt idx="66">
                    <c:v>Apr</c:v>
                  </c:pt>
                  <c:pt idx="67">
                    <c:v>Apr</c:v>
                  </c:pt>
                  <c:pt idx="68">
                    <c:v>Apr</c:v>
                  </c:pt>
                  <c:pt idx="69">
                    <c:v>Apr</c:v>
                  </c:pt>
                  <c:pt idx="70">
                    <c:v>Apr</c:v>
                  </c:pt>
                  <c:pt idx="71">
                    <c:v>May</c:v>
                  </c:pt>
                  <c:pt idx="72">
                    <c:v>May</c:v>
                  </c:pt>
                  <c:pt idx="73">
                    <c:v>May</c:v>
                  </c:pt>
                  <c:pt idx="74">
                    <c:v>May</c:v>
                  </c:pt>
                  <c:pt idx="75">
                    <c:v>May</c:v>
                  </c:pt>
                  <c:pt idx="76">
                    <c:v>May</c:v>
                  </c:pt>
                  <c:pt idx="77">
                    <c:v>May</c:v>
                  </c:pt>
                  <c:pt idx="78">
                    <c:v>May</c:v>
                  </c:pt>
                  <c:pt idx="79">
                    <c:v>May</c:v>
                  </c:pt>
                  <c:pt idx="80">
                    <c:v>May</c:v>
                  </c:pt>
                  <c:pt idx="81">
                    <c:v>May</c:v>
                  </c:pt>
                  <c:pt idx="82">
                    <c:v>May</c:v>
                  </c:pt>
                  <c:pt idx="83">
                    <c:v>May</c:v>
                  </c:pt>
                  <c:pt idx="84">
                    <c:v>May</c:v>
                  </c:pt>
                  <c:pt idx="85">
                    <c:v>May</c:v>
                  </c:pt>
                  <c:pt idx="86">
                    <c:v>May</c:v>
                  </c:pt>
                  <c:pt idx="87">
                    <c:v>May</c:v>
                  </c:pt>
                  <c:pt idx="88">
                    <c:v>May</c:v>
                  </c:pt>
                  <c:pt idx="89">
                    <c:v>May</c:v>
                  </c:pt>
                  <c:pt idx="90">
                    <c:v>May</c:v>
                  </c:pt>
                  <c:pt idx="92">
                    <c:v>May</c:v>
                  </c:pt>
                  <c:pt idx="93">
                    <c:v>May</c:v>
                  </c:pt>
                  <c:pt idx="94">
                    <c:v>May</c:v>
                  </c:pt>
                  <c:pt idx="95">
                    <c:v>May</c:v>
                  </c:pt>
                  <c:pt idx="96">
                    <c:v>May</c:v>
                  </c:pt>
                  <c:pt idx="97">
                    <c:v>May</c:v>
                  </c:pt>
                  <c:pt idx="98">
                    <c:v>May</c:v>
                  </c:pt>
                  <c:pt idx="99">
                    <c:v>May</c:v>
                  </c:pt>
                  <c:pt idx="100">
                    <c:v>May</c:v>
                  </c:pt>
                  <c:pt idx="101">
                    <c:v>May</c:v>
                  </c:pt>
                  <c:pt idx="102">
                    <c:v>Jun</c:v>
                  </c:pt>
                  <c:pt idx="103">
                    <c:v>Jun</c:v>
                  </c:pt>
                  <c:pt idx="104">
                    <c:v>Jun</c:v>
                  </c:pt>
                  <c:pt idx="105">
                    <c:v>Jun</c:v>
                  </c:pt>
                  <c:pt idx="106">
                    <c:v>Jun</c:v>
                  </c:pt>
                  <c:pt idx="107">
                    <c:v>Jun</c:v>
                  </c:pt>
                  <c:pt idx="108">
                    <c:v>Jun</c:v>
                  </c:pt>
                  <c:pt idx="109">
                    <c:v>Jun</c:v>
                  </c:pt>
                  <c:pt idx="110">
                    <c:v>Jun</c:v>
                  </c:pt>
                  <c:pt idx="111">
                    <c:v>Jun</c:v>
                  </c:pt>
                  <c:pt idx="112">
                    <c:v>Jun</c:v>
                  </c:pt>
                  <c:pt idx="113">
                    <c:v>Jun</c:v>
                  </c:pt>
                  <c:pt idx="114">
                    <c:v>Jun</c:v>
                  </c:pt>
                  <c:pt idx="115">
                    <c:v>Jun</c:v>
                  </c:pt>
                  <c:pt idx="116">
                    <c:v>Jun</c:v>
                  </c:pt>
                  <c:pt idx="117">
                    <c:v>Jun</c:v>
                  </c:pt>
                  <c:pt idx="118">
                    <c:v>Jun</c:v>
                  </c:pt>
                  <c:pt idx="119">
                    <c:v>Jun</c:v>
                  </c:pt>
                  <c:pt idx="120">
                    <c:v>Jun</c:v>
                  </c:pt>
                  <c:pt idx="121">
                    <c:v>Jun</c:v>
                  </c:pt>
                  <c:pt idx="123">
                    <c:v>Jun</c:v>
                  </c:pt>
                  <c:pt idx="124">
                    <c:v>Jun</c:v>
                  </c:pt>
                  <c:pt idx="125">
                    <c:v>Jun</c:v>
                  </c:pt>
                  <c:pt idx="126">
                    <c:v>Jun</c:v>
                  </c:pt>
                  <c:pt idx="127">
                    <c:v>Jun</c:v>
                  </c:pt>
                  <c:pt idx="128">
                    <c:v>Jun</c:v>
                  </c:pt>
                  <c:pt idx="129">
                    <c:v>Jun</c:v>
                  </c:pt>
                  <c:pt idx="130">
                    <c:v>Jun</c:v>
                  </c:pt>
                  <c:pt idx="131">
                    <c:v>Jun</c:v>
                  </c:pt>
                  <c:pt idx="132">
                    <c:v>Jul</c:v>
                  </c:pt>
                  <c:pt idx="133">
                    <c:v>Jul</c:v>
                  </c:pt>
                  <c:pt idx="134">
                    <c:v>Jul</c:v>
                  </c:pt>
                  <c:pt idx="135">
                    <c:v>Jul</c:v>
                  </c:pt>
                  <c:pt idx="136">
                    <c:v>Jul</c:v>
                  </c:pt>
                  <c:pt idx="137">
                    <c:v>Jul</c:v>
                  </c:pt>
                  <c:pt idx="138">
                    <c:v>Jul</c:v>
                  </c:pt>
                  <c:pt idx="139">
                    <c:v>Jul</c:v>
                  </c:pt>
                  <c:pt idx="140">
                    <c:v>Jul</c:v>
                  </c:pt>
                  <c:pt idx="141">
                    <c:v>Jul</c:v>
                  </c:pt>
                  <c:pt idx="142">
                    <c:v>Jul</c:v>
                  </c:pt>
                  <c:pt idx="143">
                    <c:v>Jul</c:v>
                  </c:pt>
                  <c:pt idx="144">
                    <c:v>Jul</c:v>
                  </c:pt>
                  <c:pt idx="145">
                    <c:v>Jul</c:v>
                  </c:pt>
                  <c:pt idx="146">
                    <c:v>Jul</c:v>
                  </c:pt>
                  <c:pt idx="147">
                    <c:v>Jul</c:v>
                  </c:pt>
                  <c:pt idx="148">
                    <c:v>Jul</c:v>
                  </c:pt>
                  <c:pt idx="149">
                    <c:v>Jul</c:v>
                  </c:pt>
                  <c:pt idx="150">
                    <c:v>Jul</c:v>
                  </c:pt>
                  <c:pt idx="151">
                    <c:v>Jul</c:v>
                  </c:pt>
                  <c:pt idx="153">
                    <c:v>Jul</c:v>
                  </c:pt>
                  <c:pt idx="154">
                    <c:v>Jul</c:v>
                  </c:pt>
                  <c:pt idx="155">
                    <c:v>Jul</c:v>
                  </c:pt>
                  <c:pt idx="156">
                    <c:v>Jul</c:v>
                  </c:pt>
                  <c:pt idx="157">
                    <c:v>Jul</c:v>
                  </c:pt>
                  <c:pt idx="158">
                    <c:v>Jul</c:v>
                  </c:pt>
                  <c:pt idx="159">
                    <c:v>Jul</c:v>
                  </c:pt>
                  <c:pt idx="160">
                    <c:v>Jul</c:v>
                  </c:pt>
                  <c:pt idx="161">
                    <c:v>Jul</c:v>
                  </c:pt>
                  <c:pt idx="162">
                    <c:v>Jul</c:v>
                  </c:pt>
                  <c:pt idx="163">
                    <c:v>Aug</c:v>
                  </c:pt>
                  <c:pt idx="164">
                    <c:v>Aug</c:v>
                  </c:pt>
                  <c:pt idx="165">
                    <c:v>Aug</c:v>
                  </c:pt>
                  <c:pt idx="166">
                    <c:v>Aug</c:v>
                  </c:pt>
                  <c:pt idx="167">
                    <c:v>Aug</c:v>
                  </c:pt>
                  <c:pt idx="168">
                    <c:v>Aug</c:v>
                  </c:pt>
                  <c:pt idx="169">
                    <c:v>Aug</c:v>
                  </c:pt>
                  <c:pt idx="170">
                    <c:v>Aug</c:v>
                  </c:pt>
                  <c:pt idx="171">
                    <c:v>Aug</c:v>
                  </c:pt>
                  <c:pt idx="172">
                    <c:v>Aug</c:v>
                  </c:pt>
                  <c:pt idx="173">
                    <c:v>Aug</c:v>
                  </c:pt>
                  <c:pt idx="174">
                    <c:v>Aug</c:v>
                  </c:pt>
                  <c:pt idx="175">
                    <c:v>Aug</c:v>
                  </c:pt>
                  <c:pt idx="176">
                    <c:v>Aug</c:v>
                  </c:pt>
                  <c:pt idx="177">
                    <c:v>Aug</c:v>
                  </c:pt>
                  <c:pt idx="178">
                    <c:v>Aug</c:v>
                  </c:pt>
                  <c:pt idx="179">
                    <c:v>Aug</c:v>
                  </c:pt>
                  <c:pt idx="180">
                    <c:v>Aug</c:v>
                  </c:pt>
                  <c:pt idx="181">
                    <c:v>Aug</c:v>
                  </c:pt>
                  <c:pt idx="182">
                    <c:v>Aug</c:v>
                  </c:pt>
                  <c:pt idx="184">
                    <c:v>Aug</c:v>
                  </c:pt>
                  <c:pt idx="185">
                    <c:v>Aug</c:v>
                  </c:pt>
                  <c:pt idx="186">
                    <c:v>Aug</c:v>
                  </c:pt>
                  <c:pt idx="187">
                    <c:v>Aug</c:v>
                  </c:pt>
                  <c:pt idx="188">
                    <c:v>Aug</c:v>
                  </c:pt>
                  <c:pt idx="189">
                    <c:v>Aug</c:v>
                  </c:pt>
                  <c:pt idx="190">
                    <c:v>Aug</c:v>
                  </c:pt>
                  <c:pt idx="191">
                    <c:v>Aug</c:v>
                  </c:pt>
                  <c:pt idx="192">
                    <c:v>Aug</c:v>
                  </c:pt>
                  <c:pt idx="193">
                    <c:v>Aug</c:v>
                  </c:pt>
                  <c:pt idx="194">
                    <c:v>Sep</c:v>
                  </c:pt>
                  <c:pt idx="195">
                    <c:v>Sep</c:v>
                  </c:pt>
                  <c:pt idx="196">
                    <c:v>Sep</c:v>
                  </c:pt>
                  <c:pt idx="197">
                    <c:v>Sep</c:v>
                  </c:pt>
                  <c:pt idx="198">
                    <c:v>Sep</c:v>
                  </c:pt>
                  <c:pt idx="199">
                    <c:v>Sep</c:v>
                  </c:pt>
                  <c:pt idx="200">
                    <c:v>Sep</c:v>
                  </c:pt>
                  <c:pt idx="201">
                    <c:v>Sep</c:v>
                  </c:pt>
                  <c:pt idx="202">
                    <c:v>Sep</c:v>
                  </c:pt>
                  <c:pt idx="203">
                    <c:v>Sep</c:v>
                  </c:pt>
                  <c:pt idx="204">
                    <c:v>Sep</c:v>
                  </c:pt>
                  <c:pt idx="205">
                    <c:v>Sep</c:v>
                  </c:pt>
                  <c:pt idx="206">
                    <c:v>Sep</c:v>
                  </c:pt>
                  <c:pt idx="207">
                    <c:v>Sep</c:v>
                  </c:pt>
                  <c:pt idx="208">
                    <c:v>Sep</c:v>
                  </c:pt>
                  <c:pt idx="209">
                    <c:v>Sep</c:v>
                  </c:pt>
                  <c:pt idx="210">
                    <c:v>Sep</c:v>
                  </c:pt>
                  <c:pt idx="211">
                    <c:v>Sep</c:v>
                  </c:pt>
                  <c:pt idx="212">
                    <c:v>Sep</c:v>
                  </c:pt>
                  <c:pt idx="213">
                    <c:v>Sep</c:v>
                  </c:pt>
                  <c:pt idx="215">
                    <c:v>Sep</c:v>
                  </c:pt>
                  <c:pt idx="216">
                    <c:v>Sep</c:v>
                  </c:pt>
                  <c:pt idx="217">
                    <c:v>Sep</c:v>
                  </c:pt>
                  <c:pt idx="218">
                    <c:v>Sep</c:v>
                  </c:pt>
                  <c:pt idx="219">
                    <c:v>Sep</c:v>
                  </c:pt>
                  <c:pt idx="220">
                    <c:v>Sep</c:v>
                  </c:pt>
                  <c:pt idx="221">
                    <c:v>Sep</c:v>
                  </c:pt>
                  <c:pt idx="222">
                    <c:v>Sep</c:v>
                  </c:pt>
                  <c:pt idx="223">
                    <c:v>Sep</c:v>
                  </c:pt>
                  <c:pt idx="224">
                    <c:v>Oct</c:v>
                  </c:pt>
                  <c:pt idx="225">
                    <c:v>Oct</c:v>
                  </c:pt>
                  <c:pt idx="226">
                    <c:v>Oct</c:v>
                  </c:pt>
                  <c:pt idx="227">
                    <c:v>Oct</c:v>
                  </c:pt>
                  <c:pt idx="228">
                    <c:v>Oct</c:v>
                  </c:pt>
                  <c:pt idx="229">
                    <c:v>Oct</c:v>
                  </c:pt>
                  <c:pt idx="230">
                    <c:v>Oct</c:v>
                  </c:pt>
                  <c:pt idx="231">
                    <c:v>Oct</c:v>
                  </c:pt>
                  <c:pt idx="232">
                    <c:v>Oct</c:v>
                  </c:pt>
                  <c:pt idx="233">
                    <c:v>Oct</c:v>
                  </c:pt>
                  <c:pt idx="234">
                    <c:v>Oct</c:v>
                  </c:pt>
                  <c:pt idx="235">
                    <c:v>Oct</c:v>
                  </c:pt>
                  <c:pt idx="236">
                    <c:v>Oct</c:v>
                  </c:pt>
                  <c:pt idx="237">
                    <c:v>Oct</c:v>
                  </c:pt>
                  <c:pt idx="238">
                    <c:v>Oct</c:v>
                  </c:pt>
                  <c:pt idx="239">
                    <c:v>Oct</c:v>
                  </c:pt>
                  <c:pt idx="240">
                    <c:v>Oct</c:v>
                  </c:pt>
                  <c:pt idx="241">
                    <c:v>Oct</c:v>
                  </c:pt>
                  <c:pt idx="242">
                    <c:v>Oct</c:v>
                  </c:pt>
                  <c:pt idx="243">
                    <c:v>Oct</c:v>
                  </c:pt>
                  <c:pt idx="245">
                    <c:v>Oct</c:v>
                  </c:pt>
                  <c:pt idx="246">
                    <c:v>Oct</c:v>
                  </c:pt>
                  <c:pt idx="247">
                    <c:v>Oct</c:v>
                  </c:pt>
                  <c:pt idx="248">
                    <c:v>Oct</c:v>
                  </c:pt>
                  <c:pt idx="249">
                    <c:v>Oct</c:v>
                  </c:pt>
                  <c:pt idx="250">
                    <c:v>Oct</c:v>
                  </c:pt>
                  <c:pt idx="251">
                    <c:v>Oct</c:v>
                  </c:pt>
                  <c:pt idx="252">
                    <c:v>Oct</c:v>
                  </c:pt>
                  <c:pt idx="253">
                    <c:v>Oct</c:v>
                  </c:pt>
                  <c:pt idx="254">
                    <c:v>Oct</c:v>
                  </c:pt>
                  <c:pt idx="255">
                    <c:v>Nov</c:v>
                  </c:pt>
                  <c:pt idx="256">
                    <c:v>Nov</c:v>
                  </c:pt>
                  <c:pt idx="257">
                    <c:v>Nov</c:v>
                  </c:pt>
                  <c:pt idx="258">
                    <c:v>Nov</c:v>
                  </c:pt>
                  <c:pt idx="259">
                    <c:v>Nov</c:v>
                  </c:pt>
                  <c:pt idx="260">
                    <c:v>Nov</c:v>
                  </c:pt>
                  <c:pt idx="261">
                    <c:v>Nov</c:v>
                  </c:pt>
                  <c:pt idx="262">
                    <c:v>Nov</c:v>
                  </c:pt>
                  <c:pt idx="263">
                    <c:v>Nov</c:v>
                  </c:pt>
                  <c:pt idx="264">
                    <c:v>Nov</c:v>
                  </c:pt>
                  <c:pt idx="265">
                    <c:v>Nov</c:v>
                  </c:pt>
                  <c:pt idx="266">
                    <c:v>Nov</c:v>
                  </c:pt>
                  <c:pt idx="267">
                    <c:v>Nov</c:v>
                  </c:pt>
                  <c:pt idx="268">
                    <c:v>Nov</c:v>
                  </c:pt>
                  <c:pt idx="269">
                    <c:v>Nov</c:v>
                  </c:pt>
                  <c:pt idx="270">
                    <c:v>Nov</c:v>
                  </c:pt>
                  <c:pt idx="271">
                    <c:v>Nov</c:v>
                  </c:pt>
                  <c:pt idx="272">
                    <c:v>Nov</c:v>
                  </c:pt>
                  <c:pt idx="273">
                    <c:v>Nov</c:v>
                  </c:pt>
                  <c:pt idx="274">
                    <c:v>Nov</c:v>
                  </c:pt>
                  <c:pt idx="276">
                    <c:v>Nov</c:v>
                  </c:pt>
                  <c:pt idx="277">
                    <c:v>Nov</c:v>
                  </c:pt>
                  <c:pt idx="278">
                    <c:v>Nov</c:v>
                  </c:pt>
                  <c:pt idx="279">
                    <c:v>Nov</c:v>
                  </c:pt>
                  <c:pt idx="280">
                    <c:v>Nov</c:v>
                  </c:pt>
                  <c:pt idx="281">
                    <c:v>Nov</c:v>
                  </c:pt>
                  <c:pt idx="282">
                    <c:v>Nov</c:v>
                  </c:pt>
                  <c:pt idx="283">
                    <c:v>Nov</c:v>
                  </c:pt>
                  <c:pt idx="284">
                    <c:v>Nov</c:v>
                  </c:pt>
                  <c:pt idx="285">
                    <c:v>Dec</c:v>
                  </c:pt>
                  <c:pt idx="286">
                    <c:v>Dec</c:v>
                  </c:pt>
                  <c:pt idx="287">
                    <c:v>Dec</c:v>
                  </c:pt>
                  <c:pt idx="288">
                    <c:v>Dec</c:v>
                  </c:pt>
                  <c:pt idx="289">
                    <c:v>Dec</c:v>
                  </c:pt>
                  <c:pt idx="290">
                    <c:v>Dec</c:v>
                  </c:pt>
                  <c:pt idx="291">
                    <c:v>Dec</c:v>
                  </c:pt>
                  <c:pt idx="292">
                    <c:v>Dec</c:v>
                  </c:pt>
                  <c:pt idx="293">
                    <c:v>Dec</c:v>
                  </c:pt>
                  <c:pt idx="294">
                    <c:v>Dec</c:v>
                  </c:pt>
                  <c:pt idx="295">
                    <c:v>Dec</c:v>
                  </c:pt>
                  <c:pt idx="296">
                    <c:v>Dec</c:v>
                  </c:pt>
                  <c:pt idx="297">
                    <c:v>Dec</c:v>
                  </c:pt>
                  <c:pt idx="298">
                    <c:v>Dec</c:v>
                  </c:pt>
                  <c:pt idx="299">
                    <c:v>Dec</c:v>
                  </c:pt>
                  <c:pt idx="300">
                    <c:v>Dec</c:v>
                  </c:pt>
                  <c:pt idx="301">
                    <c:v>Dec</c:v>
                  </c:pt>
                  <c:pt idx="302">
                    <c:v>Dec</c:v>
                  </c:pt>
                  <c:pt idx="303">
                    <c:v>Dec</c:v>
                  </c:pt>
                  <c:pt idx="304">
                    <c:v>Dec</c:v>
                  </c:pt>
                  <c:pt idx="306">
                    <c:v>Dec</c:v>
                  </c:pt>
                  <c:pt idx="307">
                    <c:v>Dec</c:v>
                  </c:pt>
                  <c:pt idx="308">
                    <c:v>Dec</c:v>
                  </c:pt>
                  <c:pt idx="309">
                    <c:v>Dec</c:v>
                  </c:pt>
                  <c:pt idx="310">
                    <c:v>Dec</c:v>
                  </c:pt>
                  <c:pt idx="311">
                    <c:v>Dec</c:v>
                  </c:pt>
                  <c:pt idx="312">
                    <c:v>Dec</c:v>
                  </c:pt>
                  <c:pt idx="313">
                    <c:v>Dec</c:v>
                  </c:pt>
                  <c:pt idx="314">
                    <c:v>Dec</c:v>
                  </c:pt>
                  <c:pt idx="315">
                    <c:v>Dec</c:v>
                  </c:pt>
                  <c:pt idx="316">
                    <c:v>Jan</c:v>
                  </c:pt>
                  <c:pt idx="317">
                    <c:v>Jan</c:v>
                  </c:pt>
                  <c:pt idx="318">
                    <c:v>Jan</c:v>
                  </c:pt>
                  <c:pt idx="319">
                    <c:v>Jan</c:v>
                  </c:pt>
                  <c:pt idx="320">
                    <c:v>Jan</c:v>
                  </c:pt>
                  <c:pt idx="321">
                    <c:v>Jan</c:v>
                  </c:pt>
                  <c:pt idx="322">
                    <c:v>Jan</c:v>
                  </c:pt>
                  <c:pt idx="323">
                    <c:v>Jan</c:v>
                  </c:pt>
                  <c:pt idx="324">
                    <c:v>Jan</c:v>
                  </c:pt>
                  <c:pt idx="325">
                    <c:v>Jan</c:v>
                  </c:pt>
                  <c:pt idx="326">
                    <c:v>Jan</c:v>
                  </c:pt>
                  <c:pt idx="327">
                    <c:v>Jan</c:v>
                  </c:pt>
                  <c:pt idx="328">
                    <c:v>Jan</c:v>
                  </c:pt>
                  <c:pt idx="329">
                    <c:v>Jan</c:v>
                  </c:pt>
                  <c:pt idx="330">
                    <c:v>Jan</c:v>
                  </c:pt>
                  <c:pt idx="331">
                    <c:v>Jan</c:v>
                  </c:pt>
                  <c:pt idx="332">
                    <c:v>Jan</c:v>
                  </c:pt>
                  <c:pt idx="333">
                    <c:v>Jan</c:v>
                  </c:pt>
                  <c:pt idx="334">
                    <c:v>Jan</c:v>
                  </c:pt>
                  <c:pt idx="335">
                    <c:v>Jan</c:v>
                  </c:pt>
                  <c:pt idx="337">
                    <c:v>Jan</c:v>
                  </c:pt>
                  <c:pt idx="338">
                    <c:v>Jan</c:v>
                  </c:pt>
                  <c:pt idx="339">
                    <c:v>Jan</c:v>
                  </c:pt>
                  <c:pt idx="340">
                    <c:v>Jan</c:v>
                  </c:pt>
                  <c:pt idx="341">
                    <c:v>Jan</c:v>
                  </c:pt>
                  <c:pt idx="342">
                    <c:v>Jan</c:v>
                  </c:pt>
                  <c:pt idx="343">
                    <c:v>Jan</c:v>
                  </c:pt>
                  <c:pt idx="344">
                    <c:v>Jan</c:v>
                  </c:pt>
                  <c:pt idx="345">
                    <c:v>Jan</c:v>
                  </c:pt>
                  <c:pt idx="346">
                    <c:v>Jan</c:v>
                  </c:pt>
                  <c:pt idx="347">
                    <c:v>Feb</c:v>
                  </c:pt>
                  <c:pt idx="348">
                    <c:v>Feb</c:v>
                  </c:pt>
                  <c:pt idx="349">
                    <c:v>Feb</c:v>
                  </c:pt>
                  <c:pt idx="350">
                    <c:v>Feb</c:v>
                  </c:pt>
                  <c:pt idx="351">
                    <c:v>Feb</c:v>
                  </c:pt>
                  <c:pt idx="352">
                    <c:v>Feb</c:v>
                  </c:pt>
                  <c:pt idx="353">
                    <c:v>Feb</c:v>
                  </c:pt>
                  <c:pt idx="354">
                    <c:v>Feb</c:v>
                  </c:pt>
                  <c:pt idx="355">
                    <c:v>Feb</c:v>
                  </c:pt>
                  <c:pt idx="356">
                    <c:v>Feb</c:v>
                  </c:pt>
                  <c:pt idx="357">
                    <c:v>Feb</c:v>
                  </c:pt>
                  <c:pt idx="358">
                    <c:v>Feb</c:v>
                  </c:pt>
                  <c:pt idx="359">
                    <c:v>Feb</c:v>
                  </c:pt>
                  <c:pt idx="360">
                    <c:v>Feb</c:v>
                  </c:pt>
                  <c:pt idx="361">
                    <c:v>Feb</c:v>
                  </c:pt>
                  <c:pt idx="362">
                    <c:v>Feb</c:v>
                  </c:pt>
                  <c:pt idx="363">
                    <c:v>Feb</c:v>
                  </c:pt>
                  <c:pt idx="364">
                    <c:v>Feb</c:v>
                  </c:pt>
                </c:lvl>
                <c:lvl>
                  <c:pt idx="0">
                    <c:v>19</c:v>
                  </c:pt>
                  <c:pt idx="1">
                    <c:v>20</c:v>
                  </c:pt>
                  <c:pt idx="2">
                    <c:v>21</c:v>
                  </c:pt>
                  <c:pt idx="3">
                    <c:v>22</c:v>
                  </c:pt>
                  <c:pt idx="4">
                    <c:v>23</c:v>
                  </c:pt>
                  <c:pt idx="5">
                    <c:v>24</c:v>
                  </c:pt>
                  <c:pt idx="6">
                    <c:v>25</c:v>
                  </c:pt>
                  <c:pt idx="7">
                    <c:v>26</c:v>
                  </c:pt>
                  <c:pt idx="8">
                    <c:v>27</c:v>
                  </c:pt>
                  <c:pt idx="9">
                    <c:v>28</c:v>
                  </c:pt>
                  <c:pt idx="10">
                    <c:v>1</c:v>
                  </c:pt>
                  <c:pt idx="11">
                    <c:v>2</c:v>
                  </c:pt>
                  <c:pt idx="12">
                    <c:v>3</c:v>
                  </c:pt>
                  <c:pt idx="13">
                    <c:v>4</c:v>
                  </c:pt>
                  <c:pt idx="14">
                    <c:v>5</c:v>
                  </c:pt>
                  <c:pt idx="15">
                    <c:v>6</c:v>
                  </c:pt>
                  <c:pt idx="16">
                    <c:v>7</c:v>
                  </c:pt>
                  <c:pt idx="17">
                    <c:v>8</c:v>
                  </c:pt>
                  <c:pt idx="18">
                    <c:v>9</c:v>
                  </c:pt>
                  <c:pt idx="19">
                    <c:v>10</c:v>
                  </c:pt>
                  <c:pt idx="20">
                    <c:v>11</c:v>
                  </c:pt>
                  <c:pt idx="21">
                    <c:v>12</c:v>
                  </c:pt>
                  <c:pt idx="22">
                    <c:v>13</c:v>
                  </c:pt>
                  <c:pt idx="23">
                    <c:v>14</c:v>
                  </c:pt>
                  <c:pt idx="24">
                    <c:v>15</c:v>
                  </c:pt>
                  <c:pt idx="25">
                    <c:v>16</c:v>
                  </c:pt>
                  <c:pt idx="26">
                    <c:v>17</c:v>
                  </c:pt>
                  <c:pt idx="27">
                    <c:v>18</c:v>
                  </c:pt>
                  <c:pt idx="28">
                    <c:v>19</c:v>
                  </c:pt>
                  <c:pt idx="29">
                    <c:v>20</c:v>
                  </c:pt>
                  <c:pt idx="30">
                    <c:v>21</c:v>
                  </c:pt>
                  <c:pt idx="31">
                    <c:v>22</c:v>
                  </c:pt>
                  <c:pt idx="32">
                    <c:v>23</c:v>
                  </c:pt>
                  <c:pt idx="33">
                    <c:v>24</c:v>
                  </c:pt>
                  <c:pt idx="34">
                    <c:v>25</c:v>
                  </c:pt>
                  <c:pt idx="35">
                    <c:v>26</c:v>
                  </c:pt>
                  <c:pt idx="36">
                    <c:v>27</c:v>
                  </c:pt>
                  <c:pt idx="37">
                    <c:v>28</c:v>
                  </c:pt>
                  <c:pt idx="38">
                    <c:v>29</c:v>
                  </c:pt>
                  <c:pt idx="39">
                    <c:v>30</c:v>
                  </c:pt>
                  <c:pt idx="40">
                    <c:v>31</c:v>
                  </c:pt>
                  <c:pt idx="41">
                    <c:v>1</c:v>
                  </c:pt>
                  <c:pt idx="42">
                    <c:v>2</c:v>
                  </c:pt>
                  <c:pt idx="43">
                    <c:v>3</c:v>
                  </c:pt>
                  <c:pt idx="44">
                    <c:v>4</c:v>
                  </c:pt>
                  <c:pt idx="45">
                    <c:v>5</c:v>
                  </c:pt>
                  <c:pt idx="46">
                    <c:v>6</c:v>
                  </c:pt>
                  <c:pt idx="47">
                    <c:v>7</c:v>
                  </c:pt>
                  <c:pt idx="48">
                    <c:v>8</c:v>
                  </c:pt>
                  <c:pt idx="49">
                    <c:v>9</c:v>
                  </c:pt>
                  <c:pt idx="50">
                    <c:v>10</c:v>
                  </c:pt>
                  <c:pt idx="51">
                    <c:v>11</c:v>
                  </c:pt>
                  <c:pt idx="52">
                    <c:v>12</c:v>
                  </c:pt>
                  <c:pt idx="53">
                    <c:v>13</c:v>
                  </c:pt>
                  <c:pt idx="54">
                    <c:v>14</c:v>
                  </c:pt>
                  <c:pt idx="55">
                    <c:v>15</c:v>
                  </c:pt>
                  <c:pt idx="56">
                    <c:v>16</c:v>
                  </c:pt>
                  <c:pt idx="57">
                    <c:v>17</c:v>
                  </c:pt>
                  <c:pt idx="58">
                    <c:v>18</c:v>
                  </c:pt>
                  <c:pt idx="59">
                    <c:v>19</c:v>
                  </c:pt>
                  <c:pt idx="60">
                    <c:v>20</c:v>
                  </c:pt>
                  <c:pt idx="61">
                    <c:v>21</c:v>
                  </c:pt>
                  <c:pt idx="62">
                    <c:v>22</c:v>
                  </c:pt>
                  <c:pt idx="63">
                    <c:v>23</c:v>
                  </c:pt>
                  <c:pt idx="64">
                    <c:v>24</c:v>
                  </c:pt>
                  <c:pt idx="65">
                    <c:v>25</c:v>
                  </c:pt>
                  <c:pt idx="66">
                    <c:v>26</c:v>
                  </c:pt>
                  <c:pt idx="67">
                    <c:v>27</c:v>
                  </c:pt>
                  <c:pt idx="68">
                    <c:v>28</c:v>
                  </c:pt>
                  <c:pt idx="69">
                    <c:v>29</c:v>
                  </c:pt>
                  <c:pt idx="70">
                    <c:v>30</c:v>
                  </c:pt>
                  <c:pt idx="71">
                    <c:v>1</c:v>
                  </c:pt>
                  <c:pt idx="72">
                    <c:v>2</c:v>
                  </c:pt>
                  <c:pt idx="73">
                    <c:v>3</c:v>
                  </c:pt>
                  <c:pt idx="74">
                    <c:v>4</c:v>
                  </c:pt>
                  <c:pt idx="75">
                    <c:v>5</c:v>
                  </c:pt>
                  <c:pt idx="76">
                    <c:v>6</c:v>
                  </c:pt>
                  <c:pt idx="77">
                    <c:v>7</c:v>
                  </c:pt>
                  <c:pt idx="78">
                    <c:v>8</c:v>
                  </c:pt>
                  <c:pt idx="79">
                    <c:v>9</c:v>
                  </c:pt>
                  <c:pt idx="80">
                    <c:v>10</c:v>
                  </c:pt>
                  <c:pt idx="81">
                    <c:v>11</c:v>
                  </c:pt>
                  <c:pt idx="82">
                    <c:v>12</c:v>
                  </c:pt>
                  <c:pt idx="83">
                    <c:v>13</c:v>
                  </c:pt>
                  <c:pt idx="84">
                    <c:v>14</c:v>
                  </c:pt>
                  <c:pt idx="85">
                    <c:v>15</c:v>
                  </c:pt>
                  <c:pt idx="86">
                    <c:v>16</c:v>
                  </c:pt>
                  <c:pt idx="87">
                    <c:v>17</c:v>
                  </c:pt>
                  <c:pt idx="88">
                    <c:v>18</c:v>
                  </c:pt>
                  <c:pt idx="89">
                    <c:v>19</c:v>
                  </c:pt>
                  <c:pt idx="90">
                    <c:v>20</c:v>
                  </c:pt>
                  <c:pt idx="91">
                    <c:v>21</c:v>
                  </c:pt>
                  <c:pt idx="92">
                    <c:v>22</c:v>
                  </c:pt>
                  <c:pt idx="93">
                    <c:v>23</c:v>
                  </c:pt>
                  <c:pt idx="94">
                    <c:v>24</c:v>
                  </c:pt>
                  <c:pt idx="95">
                    <c:v>25</c:v>
                  </c:pt>
                  <c:pt idx="96">
                    <c:v>26</c:v>
                  </c:pt>
                  <c:pt idx="97">
                    <c:v>27</c:v>
                  </c:pt>
                  <c:pt idx="98">
                    <c:v>28</c:v>
                  </c:pt>
                  <c:pt idx="99">
                    <c:v>29</c:v>
                  </c:pt>
                  <c:pt idx="100">
                    <c:v>30</c:v>
                  </c:pt>
                  <c:pt idx="101">
                    <c:v>31</c:v>
                  </c:pt>
                  <c:pt idx="102">
                    <c:v>1</c:v>
                  </c:pt>
                  <c:pt idx="103">
                    <c:v>2</c:v>
                  </c:pt>
                  <c:pt idx="104">
                    <c:v>3</c:v>
                  </c:pt>
                  <c:pt idx="105">
                    <c:v>4</c:v>
                  </c:pt>
                  <c:pt idx="106">
                    <c:v>5</c:v>
                  </c:pt>
                  <c:pt idx="107">
                    <c:v>6</c:v>
                  </c:pt>
                  <c:pt idx="108">
                    <c:v>7</c:v>
                  </c:pt>
                  <c:pt idx="109">
                    <c:v>8</c:v>
                  </c:pt>
                  <c:pt idx="110">
                    <c:v>9</c:v>
                  </c:pt>
                  <c:pt idx="111">
                    <c:v>10</c:v>
                  </c:pt>
                  <c:pt idx="112">
                    <c:v>11</c:v>
                  </c:pt>
                  <c:pt idx="113">
                    <c:v>12</c:v>
                  </c:pt>
                  <c:pt idx="114">
                    <c:v>13</c:v>
                  </c:pt>
                  <c:pt idx="115">
                    <c:v>14</c:v>
                  </c:pt>
                  <c:pt idx="116">
                    <c:v>15</c:v>
                  </c:pt>
                  <c:pt idx="117">
                    <c:v>16</c:v>
                  </c:pt>
                  <c:pt idx="118">
                    <c:v>17</c:v>
                  </c:pt>
                  <c:pt idx="119">
                    <c:v>18</c:v>
                  </c:pt>
                  <c:pt idx="120">
                    <c:v>19</c:v>
                  </c:pt>
                  <c:pt idx="121">
                    <c:v>20</c:v>
                  </c:pt>
                  <c:pt idx="122">
                    <c:v>21</c:v>
                  </c:pt>
                  <c:pt idx="123">
                    <c:v>22</c:v>
                  </c:pt>
                  <c:pt idx="124">
                    <c:v>23</c:v>
                  </c:pt>
                  <c:pt idx="125">
                    <c:v>24</c:v>
                  </c:pt>
                  <c:pt idx="126">
                    <c:v>25</c:v>
                  </c:pt>
                  <c:pt idx="127">
                    <c:v>26</c:v>
                  </c:pt>
                  <c:pt idx="128">
                    <c:v>27</c:v>
                  </c:pt>
                  <c:pt idx="129">
                    <c:v>28</c:v>
                  </c:pt>
                  <c:pt idx="130">
                    <c:v>29</c:v>
                  </c:pt>
                  <c:pt idx="131">
                    <c:v>30</c:v>
                  </c:pt>
                  <c:pt idx="132">
                    <c:v>1</c:v>
                  </c:pt>
                  <c:pt idx="133">
                    <c:v>2</c:v>
                  </c:pt>
                  <c:pt idx="134">
                    <c:v>3</c:v>
                  </c:pt>
                  <c:pt idx="135">
                    <c:v>4</c:v>
                  </c:pt>
                  <c:pt idx="136">
                    <c:v>5</c:v>
                  </c:pt>
                  <c:pt idx="137">
                    <c:v>6</c:v>
                  </c:pt>
                  <c:pt idx="138">
                    <c:v>7</c:v>
                  </c:pt>
                  <c:pt idx="139">
                    <c:v>8</c:v>
                  </c:pt>
                  <c:pt idx="140">
                    <c:v>9</c:v>
                  </c:pt>
                  <c:pt idx="141">
                    <c:v>10</c:v>
                  </c:pt>
                  <c:pt idx="142">
                    <c:v>11</c:v>
                  </c:pt>
                  <c:pt idx="143">
                    <c:v>12</c:v>
                  </c:pt>
                  <c:pt idx="144">
                    <c:v>13</c:v>
                  </c:pt>
                  <c:pt idx="145">
                    <c:v>14</c:v>
                  </c:pt>
                  <c:pt idx="146">
                    <c:v>15</c:v>
                  </c:pt>
                  <c:pt idx="147">
                    <c:v>16</c:v>
                  </c:pt>
                  <c:pt idx="148">
                    <c:v>17</c:v>
                  </c:pt>
                  <c:pt idx="149">
                    <c:v>18</c:v>
                  </c:pt>
                  <c:pt idx="150">
                    <c:v>19</c:v>
                  </c:pt>
                  <c:pt idx="151">
                    <c:v>20</c:v>
                  </c:pt>
                  <c:pt idx="152">
                    <c:v>21</c:v>
                  </c:pt>
                  <c:pt idx="153">
                    <c:v>22</c:v>
                  </c:pt>
                  <c:pt idx="154">
                    <c:v>23</c:v>
                  </c:pt>
                  <c:pt idx="155">
                    <c:v>24</c:v>
                  </c:pt>
                  <c:pt idx="156">
                    <c:v>25</c:v>
                  </c:pt>
                  <c:pt idx="157">
                    <c:v>26</c:v>
                  </c:pt>
                  <c:pt idx="158">
                    <c:v>27</c:v>
                  </c:pt>
                  <c:pt idx="159">
                    <c:v>28</c:v>
                  </c:pt>
                  <c:pt idx="160">
                    <c:v>29</c:v>
                  </c:pt>
                  <c:pt idx="161">
                    <c:v>30</c:v>
                  </c:pt>
                  <c:pt idx="162">
                    <c:v>31</c:v>
                  </c:pt>
                  <c:pt idx="163">
                    <c:v>1</c:v>
                  </c:pt>
                  <c:pt idx="164">
                    <c:v>2</c:v>
                  </c:pt>
                  <c:pt idx="165">
                    <c:v>3</c:v>
                  </c:pt>
                  <c:pt idx="166">
                    <c:v>4</c:v>
                  </c:pt>
                  <c:pt idx="167">
                    <c:v>5</c:v>
                  </c:pt>
                  <c:pt idx="168">
                    <c:v>6</c:v>
                  </c:pt>
                  <c:pt idx="169">
                    <c:v>7</c:v>
                  </c:pt>
                  <c:pt idx="170">
                    <c:v>8</c:v>
                  </c:pt>
                  <c:pt idx="171">
                    <c:v>9</c:v>
                  </c:pt>
                  <c:pt idx="172">
                    <c:v>10</c:v>
                  </c:pt>
                  <c:pt idx="173">
                    <c:v>11</c:v>
                  </c:pt>
                  <c:pt idx="174">
                    <c:v>12</c:v>
                  </c:pt>
                  <c:pt idx="175">
                    <c:v>13</c:v>
                  </c:pt>
                  <c:pt idx="176">
                    <c:v>14</c:v>
                  </c:pt>
                  <c:pt idx="177">
                    <c:v>15</c:v>
                  </c:pt>
                  <c:pt idx="178">
                    <c:v>16</c:v>
                  </c:pt>
                  <c:pt idx="179">
                    <c:v>17</c:v>
                  </c:pt>
                  <c:pt idx="180">
                    <c:v>18</c:v>
                  </c:pt>
                  <c:pt idx="181">
                    <c:v>19</c:v>
                  </c:pt>
                  <c:pt idx="182">
                    <c:v>20</c:v>
                  </c:pt>
                  <c:pt idx="183">
                    <c:v>21</c:v>
                  </c:pt>
                  <c:pt idx="184">
                    <c:v>22</c:v>
                  </c:pt>
                  <c:pt idx="185">
                    <c:v>23</c:v>
                  </c:pt>
                  <c:pt idx="186">
                    <c:v>24</c:v>
                  </c:pt>
                  <c:pt idx="187">
                    <c:v>25</c:v>
                  </c:pt>
                  <c:pt idx="188">
                    <c:v>26</c:v>
                  </c:pt>
                  <c:pt idx="189">
                    <c:v>27</c:v>
                  </c:pt>
                  <c:pt idx="190">
                    <c:v>28</c:v>
                  </c:pt>
                  <c:pt idx="191">
                    <c:v>29</c:v>
                  </c:pt>
                  <c:pt idx="192">
                    <c:v>30</c:v>
                  </c:pt>
                  <c:pt idx="193">
                    <c:v>31</c:v>
                  </c:pt>
                  <c:pt idx="194">
                    <c:v>1</c:v>
                  </c:pt>
                  <c:pt idx="195">
                    <c:v>2</c:v>
                  </c:pt>
                  <c:pt idx="196">
                    <c:v>3</c:v>
                  </c:pt>
                  <c:pt idx="197">
                    <c:v>4</c:v>
                  </c:pt>
                  <c:pt idx="198">
                    <c:v>5</c:v>
                  </c:pt>
                  <c:pt idx="199">
                    <c:v>6</c:v>
                  </c:pt>
                  <c:pt idx="200">
                    <c:v>7</c:v>
                  </c:pt>
                  <c:pt idx="201">
                    <c:v>8</c:v>
                  </c:pt>
                  <c:pt idx="202">
                    <c:v>9</c:v>
                  </c:pt>
                  <c:pt idx="203">
                    <c:v>10</c:v>
                  </c:pt>
                  <c:pt idx="204">
                    <c:v>11</c:v>
                  </c:pt>
                  <c:pt idx="205">
                    <c:v>12</c:v>
                  </c:pt>
                  <c:pt idx="206">
                    <c:v>13</c:v>
                  </c:pt>
                  <c:pt idx="207">
                    <c:v>14</c:v>
                  </c:pt>
                  <c:pt idx="208">
                    <c:v>15</c:v>
                  </c:pt>
                  <c:pt idx="209">
                    <c:v>16</c:v>
                  </c:pt>
                  <c:pt idx="210">
                    <c:v>17</c:v>
                  </c:pt>
                  <c:pt idx="211">
                    <c:v>18</c:v>
                  </c:pt>
                  <c:pt idx="212">
                    <c:v>19</c:v>
                  </c:pt>
                  <c:pt idx="213">
                    <c:v>20</c:v>
                  </c:pt>
                  <c:pt idx="214">
                    <c:v>21</c:v>
                  </c:pt>
                  <c:pt idx="215">
                    <c:v>22</c:v>
                  </c:pt>
                  <c:pt idx="216">
                    <c:v>23</c:v>
                  </c:pt>
                  <c:pt idx="217">
                    <c:v>24</c:v>
                  </c:pt>
                  <c:pt idx="218">
                    <c:v>25</c:v>
                  </c:pt>
                  <c:pt idx="219">
                    <c:v>26</c:v>
                  </c:pt>
                  <c:pt idx="220">
                    <c:v>27</c:v>
                  </c:pt>
                  <c:pt idx="221">
                    <c:v>28</c:v>
                  </c:pt>
                  <c:pt idx="222">
                    <c:v>29</c:v>
                  </c:pt>
                  <c:pt idx="223">
                    <c:v>30</c:v>
                  </c:pt>
                  <c:pt idx="224">
                    <c:v>1</c:v>
                  </c:pt>
                  <c:pt idx="225">
                    <c:v>2</c:v>
                  </c:pt>
                  <c:pt idx="226">
                    <c:v>3</c:v>
                  </c:pt>
                  <c:pt idx="227">
                    <c:v>4</c:v>
                  </c:pt>
                  <c:pt idx="228">
                    <c:v>5</c:v>
                  </c:pt>
                  <c:pt idx="229">
                    <c:v>6</c:v>
                  </c:pt>
                  <c:pt idx="230">
                    <c:v>7</c:v>
                  </c:pt>
                  <c:pt idx="231">
                    <c:v>8</c:v>
                  </c:pt>
                  <c:pt idx="232">
                    <c:v>9</c:v>
                  </c:pt>
                  <c:pt idx="233">
                    <c:v>10</c:v>
                  </c:pt>
                  <c:pt idx="234">
                    <c:v>11</c:v>
                  </c:pt>
                  <c:pt idx="235">
                    <c:v>12</c:v>
                  </c:pt>
                  <c:pt idx="236">
                    <c:v>13</c:v>
                  </c:pt>
                  <c:pt idx="237">
                    <c:v>14</c:v>
                  </c:pt>
                  <c:pt idx="238">
                    <c:v>15</c:v>
                  </c:pt>
                  <c:pt idx="239">
                    <c:v>16</c:v>
                  </c:pt>
                  <c:pt idx="240">
                    <c:v>17</c:v>
                  </c:pt>
                  <c:pt idx="241">
                    <c:v>18</c:v>
                  </c:pt>
                  <c:pt idx="242">
                    <c:v>19</c:v>
                  </c:pt>
                  <c:pt idx="243">
                    <c:v>20</c:v>
                  </c:pt>
                  <c:pt idx="244">
                    <c:v>21</c:v>
                  </c:pt>
                  <c:pt idx="245">
                    <c:v>22</c:v>
                  </c:pt>
                  <c:pt idx="246">
                    <c:v>23</c:v>
                  </c:pt>
                  <c:pt idx="247">
                    <c:v>24</c:v>
                  </c:pt>
                  <c:pt idx="248">
                    <c:v>25</c:v>
                  </c:pt>
                  <c:pt idx="249">
                    <c:v>26</c:v>
                  </c:pt>
                  <c:pt idx="250">
                    <c:v>27</c:v>
                  </c:pt>
                  <c:pt idx="251">
                    <c:v>28</c:v>
                  </c:pt>
                  <c:pt idx="252">
                    <c:v>29</c:v>
                  </c:pt>
                  <c:pt idx="253">
                    <c:v>30</c:v>
                  </c:pt>
                  <c:pt idx="254">
                    <c:v>31</c:v>
                  </c:pt>
                  <c:pt idx="255">
                    <c:v>1</c:v>
                  </c:pt>
                  <c:pt idx="256">
                    <c:v>2</c:v>
                  </c:pt>
                  <c:pt idx="257">
                    <c:v>3</c:v>
                  </c:pt>
                  <c:pt idx="258">
                    <c:v>4</c:v>
                  </c:pt>
                  <c:pt idx="259">
                    <c:v>5</c:v>
                  </c:pt>
                  <c:pt idx="260">
                    <c:v>6</c:v>
                  </c:pt>
                  <c:pt idx="261">
                    <c:v>7</c:v>
                  </c:pt>
                  <c:pt idx="262">
                    <c:v>8</c:v>
                  </c:pt>
                  <c:pt idx="263">
                    <c:v>9</c:v>
                  </c:pt>
                  <c:pt idx="264">
                    <c:v>10</c:v>
                  </c:pt>
                  <c:pt idx="265">
                    <c:v>11</c:v>
                  </c:pt>
                  <c:pt idx="266">
                    <c:v>12</c:v>
                  </c:pt>
                  <c:pt idx="267">
                    <c:v>13</c:v>
                  </c:pt>
                  <c:pt idx="268">
                    <c:v>14</c:v>
                  </c:pt>
                  <c:pt idx="269">
                    <c:v>15</c:v>
                  </c:pt>
                  <c:pt idx="270">
                    <c:v>16</c:v>
                  </c:pt>
                  <c:pt idx="271">
                    <c:v>17</c:v>
                  </c:pt>
                  <c:pt idx="272">
                    <c:v>18</c:v>
                  </c:pt>
                  <c:pt idx="273">
                    <c:v>19</c:v>
                  </c:pt>
                  <c:pt idx="274">
                    <c:v>20</c:v>
                  </c:pt>
                  <c:pt idx="275">
                    <c:v>21</c:v>
                  </c:pt>
                  <c:pt idx="276">
                    <c:v>22</c:v>
                  </c:pt>
                  <c:pt idx="277">
                    <c:v>23</c:v>
                  </c:pt>
                  <c:pt idx="278">
                    <c:v>24</c:v>
                  </c:pt>
                  <c:pt idx="279">
                    <c:v>25</c:v>
                  </c:pt>
                  <c:pt idx="280">
                    <c:v>26</c:v>
                  </c:pt>
                  <c:pt idx="281">
                    <c:v>27</c:v>
                  </c:pt>
                  <c:pt idx="282">
                    <c:v>28</c:v>
                  </c:pt>
                  <c:pt idx="283">
                    <c:v>29</c:v>
                  </c:pt>
                  <c:pt idx="284">
                    <c:v>30</c:v>
                  </c:pt>
                  <c:pt idx="285">
                    <c:v>1</c:v>
                  </c:pt>
                  <c:pt idx="286">
                    <c:v>2</c:v>
                  </c:pt>
                  <c:pt idx="287">
                    <c:v>3</c:v>
                  </c:pt>
                  <c:pt idx="288">
                    <c:v>4</c:v>
                  </c:pt>
                  <c:pt idx="289">
                    <c:v>5</c:v>
                  </c:pt>
                  <c:pt idx="290">
                    <c:v>6</c:v>
                  </c:pt>
                  <c:pt idx="291">
                    <c:v>7</c:v>
                  </c:pt>
                  <c:pt idx="292">
                    <c:v>8</c:v>
                  </c:pt>
                  <c:pt idx="293">
                    <c:v>9</c:v>
                  </c:pt>
                  <c:pt idx="294">
                    <c:v>10</c:v>
                  </c:pt>
                  <c:pt idx="295">
                    <c:v>11</c:v>
                  </c:pt>
                  <c:pt idx="296">
                    <c:v>12</c:v>
                  </c:pt>
                  <c:pt idx="297">
                    <c:v>13</c:v>
                  </c:pt>
                  <c:pt idx="298">
                    <c:v>14</c:v>
                  </c:pt>
                  <c:pt idx="299">
                    <c:v>15</c:v>
                  </c:pt>
                  <c:pt idx="300">
                    <c:v>16</c:v>
                  </c:pt>
                  <c:pt idx="301">
                    <c:v>17</c:v>
                  </c:pt>
                  <c:pt idx="302">
                    <c:v>18</c:v>
                  </c:pt>
                  <c:pt idx="303">
                    <c:v>19</c:v>
                  </c:pt>
                  <c:pt idx="304">
                    <c:v>20</c:v>
                  </c:pt>
                  <c:pt idx="305">
                    <c:v>21</c:v>
                  </c:pt>
                  <c:pt idx="306">
                    <c:v>22</c:v>
                  </c:pt>
                  <c:pt idx="307">
                    <c:v>23</c:v>
                  </c:pt>
                  <c:pt idx="308">
                    <c:v>24</c:v>
                  </c:pt>
                  <c:pt idx="309">
                    <c:v>25</c:v>
                  </c:pt>
                  <c:pt idx="310">
                    <c:v>26</c:v>
                  </c:pt>
                  <c:pt idx="311">
                    <c:v>27</c:v>
                  </c:pt>
                  <c:pt idx="312">
                    <c:v>28</c:v>
                  </c:pt>
                  <c:pt idx="313">
                    <c:v>29</c:v>
                  </c:pt>
                  <c:pt idx="314">
                    <c:v>30</c:v>
                  </c:pt>
                  <c:pt idx="315">
                    <c:v>31</c:v>
                  </c:pt>
                  <c:pt idx="316">
                    <c:v>1</c:v>
                  </c:pt>
                  <c:pt idx="317">
                    <c:v>2</c:v>
                  </c:pt>
                  <c:pt idx="318">
                    <c:v>3</c:v>
                  </c:pt>
                  <c:pt idx="319">
                    <c:v>4</c:v>
                  </c:pt>
                  <c:pt idx="320">
                    <c:v>5</c:v>
                  </c:pt>
                  <c:pt idx="321">
                    <c:v>6</c:v>
                  </c:pt>
                  <c:pt idx="322">
                    <c:v>7</c:v>
                  </c:pt>
                  <c:pt idx="323">
                    <c:v>8</c:v>
                  </c:pt>
                  <c:pt idx="324">
                    <c:v>9</c:v>
                  </c:pt>
                  <c:pt idx="325">
                    <c:v>10</c:v>
                  </c:pt>
                  <c:pt idx="326">
                    <c:v>11</c:v>
                  </c:pt>
                  <c:pt idx="327">
                    <c:v>12</c:v>
                  </c:pt>
                  <c:pt idx="328">
                    <c:v>13</c:v>
                  </c:pt>
                  <c:pt idx="329">
                    <c:v>14</c:v>
                  </c:pt>
                  <c:pt idx="330">
                    <c:v>15</c:v>
                  </c:pt>
                  <c:pt idx="331">
                    <c:v>16</c:v>
                  </c:pt>
                  <c:pt idx="332">
                    <c:v>17</c:v>
                  </c:pt>
                  <c:pt idx="333">
                    <c:v>18</c:v>
                  </c:pt>
                  <c:pt idx="334">
                    <c:v>19</c:v>
                  </c:pt>
                  <c:pt idx="335">
                    <c:v>20</c:v>
                  </c:pt>
                  <c:pt idx="336">
                    <c:v>21</c:v>
                  </c:pt>
                  <c:pt idx="337">
                    <c:v>22</c:v>
                  </c:pt>
                  <c:pt idx="338">
                    <c:v>23</c:v>
                  </c:pt>
                  <c:pt idx="339">
                    <c:v>24</c:v>
                  </c:pt>
                  <c:pt idx="340">
                    <c:v>25</c:v>
                  </c:pt>
                  <c:pt idx="341">
                    <c:v>26</c:v>
                  </c:pt>
                  <c:pt idx="342">
                    <c:v>27</c:v>
                  </c:pt>
                  <c:pt idx="343">
                    <c:v>28</c:v>
                  </c:pt>
                  <c:pt idx="344">
                    <c:v>29</c:v>
                  </c:pt>
                  <c:pt idx="345">
                    <c:v>30</c:v>
                  </c:pt>
                  <c:pt idx="346">
                    <c:v>31</c:v>
                  </c:pt>
                  <c:pt idx="347">
                    <c:v>1</c:v>
                  </c:pt>
                  <c:pt idx="348">
                    <c:v>2</c:v>
                  </c:pt>
                  <c:pt idx="349">
                    <c:v>3</c:v>
                  </c:pt>
                  <c:pt idx="350">
                    <c:v>4</c:v>
                  </c:pt>
                  <c:pt idx="351">
                    <c:v>5</c:v>
                  </c:pt>
                  <c:pt idx="352">
                    <c:v>6</c:v>
                  </c:pt>
                  <c:pt idx="353">
                    <c:v>7</c:v>
                  </c:pt>
                  <c:pt idx="354">
                    <c:v>8</c:v>
                  </c:pt>
                  <c:pt idx="355">
                    <c:v>9</c:v>
                  </c:pt>
                  <c:pt idx="356">
                    <c:v>10</c:v>
                  </c:pt>
                  <c:pt idx="357">
                    <c:v>11</c:v>
                  </c:pt>
                  <c:pt idx="358">
                    <c:v>12</c:v>
                  </c:pt>
                  <c:pt idx="359">
                    <c:v>13</c:v>
                  </c:pt>
                  <c:pt idx="360">
                    <c:v>14</c:v>
                  </c:pt>
                  <c:pt idx="361">
                    <c:v>15</c:v>
                  </c:pt>
                  <c:pt idx="362">
                    <c:v>16</c:v>
                  </c:pt>
                  <c:pt idx="363">
                    <c:v>17</c:v>
                  </c:pt>
                  <c:pt idx="364">
                    <c:v>18</c:v>
                  </c:pt>
                </c:lvl>
                <c:lvl>
                  <c:pt idx="0">
                    <c:v>2</c:v>
                  </c:pt>
                  <c:pt idx="10">
                    <c:v>3</c:v>
                  </c:pt>
                  <c:pt idx="41">
                    <c:v>4</c:v>
                  </c:pt>
                  <c:pt idx="71">
                    <c:v>5</c:v>
                  </c:pt>
                  <c:pt idx="102">
                    <c:v>6</c:v>
                  </c:pt>
                  <c:pt idx="132">
                    <c:v>7</c:v>
                  </c:pt>
                  <c:pt idx="163">
                    <c:v>8</c:v>
                  </c:pt>
                  <c:pt idx="194">
                    <c:v>9</c:v>
                  </c:pt>
                  <c:pt idx="224">
                    <c:v>10</c:v>
                  </c:pt>
                  <c:pt idx="255">
                    <c:v>11</c:v>
                  </c:pt>
                  <c:pt idx="285">
                    <c:v>12</c:v>
                  </c:pt>
                  <c:pt idx="316">
                    <c:v>1</c:v>
                  </c:pt>
                  <c:pt idx="347">
                    <c:v>2</c:v>
                  </c:pt>
                </c:lvl>
                <c:lvl>
                  <c:pt idx="0">
                    <c:v>2014</c:v>
                  </c:pt>
                  <c:pt idx="316">
                    <c:v>2015</c:v>
                  </c:pt>
                </c:lvl>
              </c:multiLvlStrCache>
            </c:multiLvlStrRef>
          </c:cat>
          <c:val>
            <c:numRef>
              <c:f>Sheet1!$C$2:$C$735</c:f>
              <c:numCache>
                <c:formatCode>General</c:formatCode>
                <c:ptCount val="365"/>
                <c:pt idx="0">
                  <c:v>60.148750000000021</c:v>
                </c:pt>
                <c:pt idx="1">
                  <c:v>80.265000000000953</c:v>
                </c:pt>
                <c:pt idx="2">
                  <c:v>55.528750000000315</c:v>
                </c:pt>
                <c:pt idx="3">
                  <c:v>60.082500000000508</c:v>
                </c:pt>
                <c:pt idx="4">
                  <c:v>71.920000000000073</c:v>
                </c:pt>
                <c:pt idx="5">
                  <c:v>74.931250000001285</c:v>
                </c:pt>
                <c:pt idx="6">
                  <c:v>73.09249999999976</c:v>
                </c:pt>
                <c:pt idx="7">
                  <c:v>44.73875000000087</c:v>
                </c:pt>
                <c:pt idx="8">
                  <c:v>72.408749999999614</c:v>
                </c:pt>
                <c:pt idx="9">
                  <c:v>63.737500000001333</c:v>
                </c:pt>
                <c:pt idx="10">
                  <c:v>61.9975000000018</c:v>
                </c:pt>
                <c:pt idx="11">
                  <c:v>61.015000000000235</c:v>
                </c:pt>
                <c:pt idx="12">
                  <c:v>66.608750000000143</c:v>
                </c:pt>
                <c:pt idx="13">
                  <c:v>60.884999999999721</c:v>
                </c:pt>
                <c:pt idx="14">
                  <c:v>58.377500000000765</c:v>
                </c:pt>
                <c:pt idx="15">
                  <c:v>73.740000000001601</c:v>
                </c:pt>
                <c:pt idx="16">
                  <c:v>72.366249999999127</c:v>
                </c:pt>
                <c:pt idx="17">
                  <c:v>66.615000000001018</c:v>
                </c:pt>
                <c:pt idx="18">
                  <c:v>63.108749999998203</c:v>
                </c:pt>
                <c:pt idx="19">
                  <c:v>68.406250000000526</c:v>
                </c:pt>
                <c:pt idx="20">
                  <c:v>73.708749999999469</c:v>
                </c:pt>
                <c:pt idx="21">
                  <c:v>73.982499999999433</c:v>
                </c:pt>
                <c:pt idx="22">
                  <c:v>64.381249999998857</c:v>
                </c:pt>
                <c:pt idx="23">
                  <c:v>62.525000000001363</c:v>
                </c:pt>
                <c:pt idx="24">
                  <c:v>84.513750000000073</c:v>
                </c:pt>
                <c:pt idx="25">
                  <c:v>66.049999999999343</c:v>
                </c:pt>
                <c:pt idx="26">
                  <c:v>80.714999999997829</c:v>
                </c:pt>
                <c:pt idx="27">
                  <c:v>72.259999999999636</c:v>
                </c:pt>
                <c:pt idx="28">
                  <c:v>70.139999999998807</c:v>
                </c:pt>
                <c:pt idx="29">
                  <c:v>53.482500000000869</c:v>
                </c:pt>
                <c:pt idx="30">
                  <c:v>56.107499999999554</c:v>
                </c:pt>
                <c:pt idx="31">
                  <c:v>56.566250000000601</c:v>
                </c:pt>
                <c:pt idx="32">
                  <c:v>44.683749999999506</c:v>
                </c:pt>
                <c:pt idx="33">
                  <c:v>67.812499999999133</c:v>
                </c:pt>
                <c:pt idx="34">
                  <c:v>69.977500000000106</c:v>
                </c:pt>
                <c:pt idx="35">
                  <c:v>65.275000000000418</c:v>
                </c:pt>
                <c:pt idx="36">
                  <c:v>58.552499999998624</c:v>
                </c:pt>
                <c:pt idx="37">
                  <c:v>64.023750000001158</c:v>
                </c:pt>
                <c:pt idx="38">
                  <c:v>84.661249999999626</c:v>
                </c:pt>
                <c:pt idx="39">
                  <c:v>88.211250000001201</c:v>
                </c:pt>
                <c:pt idx="40">
                  <c:v>77.475000000001899</c:v>
                </c:pt>
                <c:pt idx="41">
                  <c:v>83.34375000000118</c:v>
                </c:pt>
                <c:pt idx="42">
                  <c:v>73.697499999997916</c:v>
                </c:pt>
                <c:pt idx="43">
                  <c:v>72.929999999998046</c:v>
                </c:pt>
                <c:pt idx="44">
                  <c:v>76.570000000002111</c:v>
                </c:pt>
                <c:pt idx="45">
                  <c:v>58.856249999998198</c:v>
                </c:pt>
                <c:pt idx="46">
                  <c:v>67.128749999999499</c:v>
                </c:pt>
                <c:pt idx="47">
                  <c:v>66.39750000000177</c:v>
                </c:pt>
                <c:pt idx="48">
                  <c:v>65.936250000000044</c:v>
                </c:pt>
                <c:pt idx="49">
                  <c:v>79.896250000000961</c:v>
                </c:pt>
                <c:pt idx="50">
                  <c:v>73.797500000000227</c:v>
                </c:pt>
                <c:pt idx="51">
                  <c:v>78.623750000000129</c:v>
                </c:pt>
                <c:pt idx="52">
                  <c:v>62.438749999998564</c:v>
                </c:pt>
                <c:pt idx="53">
                  <c:v>73.853749999999181</c:v>
                </c:pt>
                <c:pt idx="54">
                  <c:v>70.88500000000154</c:v>
                </c:pt>
                <c:pt idx="55">
                  <c:v>70.752499999998307</c:v>
                </c:pt>
                <c:pt idx="56">
                  <c:v>72.024999999998926</c:v>
                </c:pt>
                <c:pt idx="57">
                  <c:v>79.093750000001251</c:v>
                </c:pt>
                <c:pt idx="58">
                  <c:v>70.752499999998193</c:v>
                </c:pt>
                <c:pt idx="59">
                  <c:v>66.137500000000813</c:v>
                </c:pt>
                <c:pt idx="60">
                  <c:v>67.700000000001182</c:v>
                </c:pt>
                <c:pt idx="61">
                  <c:v>74.196249999999893</c:v>
                </c:pt>
                <c:pt idx="62">
                  <c:v>58.552499999998624</c:v>
                </c:pt>
                <c:pt idx="63">
                  <c:v>59.179999999998593</c:v>
                </c:pt>
                <c:pt idx="64">
                  <c:v>78.987500000000196</c:v>
                </c:pt>
                <c:pt idx="65">
                  <c:v>65.160000000001233</c:v>
                </c:pt>
                <c:pt idx="66">
                  <c:v>59.931250000000766</c:v>
                </c:pt>
                <c:pt idx="67">
                  <c:v>71.181250000001057</c:v>
                </c:pt>
                <c:pt idx="68">
                  <c:v>84.513750000001778</c:v>
                </c:pt>
                <c:pt idx="69">
                  <c:v>68.990000000001473</c:v>
                </c:pt>
                <c:pt idx="70">
                  <c:v>67.206250000000821</c:v>
                </c:pt>
                <c:pt idx="71">
                  <c:v>60.372499999998958</c:v>
                </c:pt>
                <c:pt idx="72">
                  <c:v>78.998750000001351</c:v>
                </c:pt>
                <c:pt idx="73">
                  <c:v>66.671250000000512</c:v>
                </c:pt>
                <c:pt idx="74">
                  <c:v>73.740000000001601</c:v>
                </c:pt>
                <c:pt idx="75">
                  <c:v>77.331250000002427</c:v>
                </c:pt>
                <c:pt idx="76">
                  <c:v>74.200000000000273</c:v>
                </c:pt>
                <c:pt idx="77">
                  <c:v>68.801249999999726</c:v>
                </c:pt>
                <c:pt idx="78">
                  <c:v>68.187500000001478</c:v>
                </c:pt>
                <c:pt idx="79">
                  <c:v>61.256250000000371</c:v>
                </c:pt>
                <c:pt idx="80">
                  <c:v>61.082500000000813</c:v>
                </c:pt>
                <c:pt idx="81">
                  <c:v>62.713750000000353</c:v>
                </c:pt>
                <c:pt idx="82">
                  <c:v>65.866250000000065</c:v>
                </c:pt>
                <c:pt idx="83">
                  <c:v>61.791250000000908</c:v>
                </c:pt>
                <c:pt idx="84">
                  <c:v>73.920000000001153</c:v>
                </c:pt>
                <c:pt idx="85">
                  <c:v>79.09375000000108</c:v>
                </c:pt>
                <c:pt idx="86">
                  <c:v>79.896250000000961</c:v>
                </c:pt>
                <c:pt idx="87">
                  <c:v>75.427499999998147</c:v>
                </c:pt>
                <c:pt idx="88">
                  <c:v>74.409999999999414</c:v>
                </c:pt>
                <c:pt idx="89">
                  <c:v>68.401249999999578</c:v>
                </c:pt>
                <c:pt idx="90">
                  <c:v>61.196250000000362</c:v>
                </c:pt>
                <c:pt idx="91">
                  <c:v>71.441250000000636</c:v>
                </c:pt>
                <c:pt idx="92">
                  <c:v>58.490000000001416</c:v>
                </c:pt>
                <c:pt idx="93">
                  <c:v>70.616250000001799</c:v>
                </c:pt>
                <c:pt idx="94">
                  <c:v>57.416250000000325</c:v>
                </c:pt>
                <c:pt idx="95">
                  <c:v>69.903750000000898</c:v>
                </c:pt>
                <c:pt idx="96">
                  <c:v>64.917500000000118</c:v>
                </c:pt>
                <c:pt idx="97">
                  <c:v>64.012499999999022</c:v>
                </c:pt>
                <c:pt idx="98">
                  <c:v>56.042499999999968</c:v>
                </c:pt>
                <c:pt idx="99">
                  <c:v>54.160000000002</c:v>
                </c:pt>
                <c:pt idx="100">
                  <c:v>71.047499999999701</c:v>
                </c:pt>
                <c:pt idx="101">
                  <c:v>77.836250000001698</c:v>
                </c:pt>
                <c:pt idx="102">
                  <c:v>70.885000000000758</c:v>
                </c:pt>
                <c:pt idx="103">
                  <c:v>71.920000000001679</c:v>
                </c:pt>
                <c:pt idx="104">
                  <c:v>73.740000000001601</c:v>
                </c:pt>
                <c:pt idx="105">
                  <c:v>58.489999999999831</c:v>
                </c:pt>
                <c:pt idx="106">
                  <c:v>79.036249999999214</c:v>
                </c:pt>
                <c:pt idx="107">
                  <c:v>73.853749999999479</c:v>
                </c:pt>
                <c:pt idx="108">
                  <c:v>71.272499999999653</c:v>
                </c:pt>
                <c:pt idx="109">
                  <c:v>55.276249999999436</c:v>
                </c:pt>
                <c:pt idx="110">
                  <c:v>63.390000000000143</c:v>
                </c:pt>
                <c:pt idx="111">
                  <c:v>68.079999999998194</c:v>
                </c:pt>
                <c:pt idx="112">
                  <c:v>64.97500000000035</c:v>
                </c:pt>
                <c:pt idx="113">
                  <c:v>74.409999999999414</c:v>
                </c:pt>
                <c:pt idx="114">
                  <c:v>62.560000000000862</c:v>
                </c:pt>
                <c:pt idx="115">
                  <c:v>74.853749999999849</c:v>
                </c:pt>
                <c:pt idx="116">
                  <c:v>68.940000000000097</c:v>
                </c:pt>
                <c:pt idx="117">
                  <c:v>77.360000000000355</c:v>
                </c:pt>
                <c:pt idx="118">
                  <c:v>44.127499999999522</c:v>
                </c:pt>
                <c:pt idx="119">
                  <c:v>68.30250000000045</c:v>
                </c:pt>
                <c:pt idx="120">
                  <c:v>63.102500000001363</c:v>
                </c:pt>
                <c:pt idx="121">
                  <c:v>80.856250000000173</c:v>
                </c:pt>
                <c:pt idx="122">
                  <c:v>63.146250000000812</c:v>
                </c:pt>
                <c:pt idx="123">
                  <c:v>71.977500000002394</c:v>
                </c:pt>
                <c:pt idx="124">
                  <c:v>66.707500000001204</c:v>
                </c:pt>
                <c:pt idx="125">
                  <c:v>63.711249999999765</c:v>
                </c:pt>
                <c:pt idx="126">
                  <c:v>80.922500000002344</c:v>
                </c:pt>
                <c:pt idx="127">
                  <c:v>67.221250000001575</c:v>
                </c:pt>
                <c:pt idx="128">
                  <c:v>69.350000000000051</c:v>
                </c:pt>
                <c:pt idx="129">
                  <c:v>58.552499999998624</c:v>
                </c:pt>
                <c:pt idx="130">
                  <c:v>71.871250000000586</c:v>
                </c:pt>
                <c:pt idx="131">
                  <c:v>75.003750000001318</c:v>
                </c:pt>
                <c:pt idx="132">
                  <c:v>72.091250000000656</c:v>
                </c:pt>
                <c:pt idx="133">
                  <c:v>71.421250000002487</c:v>
                </c:pt>
                <c:pt idx="134">
                  <c:v>70.177500000001359</c:v>
                </c:pt>
                <c:pt idx="135">
                  <c:v>70.793750000002305</c:v>
                </c:pt>
                <c:pt idx="136">
                  <c:v>69.931249999999679</c:v>
                </c:pt>
                <c:pt idx="137">
                  <c:v>77.388750000001934</c:v>
                </c:pt>
                <c:pt idx="138">
                  <c:v>60.795000000000563</c:v>
                </c:pt>
                <c:pt idx="139">
                  <c:v>67.736250000001192</c:v>
                </c:pt>
                <c:pt idx="140">
                  <c:v>41.346250000000751</c:v>
                </c:pt>
                <c:pt idx="141">
                  <c:v>70.262500000000003</c:v>
                </c:pt>
                <c:pt idx="142">
                  <c:v>77.331250000001091</c:v>
                </c:pt>
                <c:pt idx="143">
                  <c:v>66.577500000000839</c:v>
                </c:pt>
                <c:pt idx="144">
                  <c:v>75.511250000001027</c:v>
                </c:pt>
                <c:pt idx="145">
                  <c:v>73.175000000000765</c:v>
                </c:pt>
                <c:pt idx="146">
                  <c:v>49.027500000000153</c:v>
                </c:pt>
                <c:pt idx="147">
                  <c:v>65.595000000001448</c:v>
                </c:pt>
                <c:pt idx="148">
                  <c:v>76.210000000000406</c:v>
                </c:pt>
                <c:pt idx="149">
                  <c:v>68.342500000000854</c:v>
                </c:pt>
                <c:pt idx="150">
                  <c:v>53.703750000000163</c:v>
                </c:pt>
                <c:pt idx="151">
                  <c:v>67.25000000000081</c:v>
                </c:pt>
                <c:pt idx="152">
                  <c:v>77.322499999999408</c:v>
                </c:pt>
                <c:pt idx="153">
                  <c:v>72.024999999998926</c:v>
                </c:pt>
                <c:pt idx="154">
                  <c:v>77.899999999999324</c:v>
                </c:pt>
                <c:pt idx="155">
                  <c:v>74.271249999998588</c:v>
                </c:pt>
                <c:pt idx="156">
                  <c:v>73.920000000000314</c:v>
                </c:pt>
                <c:pt idx="157">
                  <c:v>69.122500000000755</c:v>
                </c:pt>
                <c:pt idx="158">
                  <c:v>80.237500000000296</c:v>
                </c:pt>
                <c:pt idx="159">
                  <c:v>84.456250000000821</c:v>
                </c:pt>
                <c:pt idx="160">
                  <c:v>74.476250000000846</c:v>
                </c:pt>
                <c:pt idx="161">
                  <c:v>40.790000000000795</c:v>
                </c:pt>
                <c:pt idx="162">
                  <c:v>68.566250000001105</c:v>
                </c:pt>
                <c:pt idx="163">
                  <c:v>66.746250000000543</c:v>
                </c:pt>
                <c:pt idx="164">
                  <c:v>55.415000000002124</c:v>
                </c:pt>
                <c:pt idx="165">
                  <c:v>68.713749999999564</c:v>
                </c:pt>
                <c:pt idx="166">
                  <c:v>68.433749999998525</c:v>
                </c:pt>
                <c:pt idx="167">
                  <c:v>41.902500000000607</c:v>
                </c:pt>
                <c:pt idx="168">
                  <c:v>65.413749999999595</c:v>
                </c:pt>
                <c:pt idx="169">
                  <c:v>69.122500000000585</c:v>
                </c:pt>
                <c:pt idx="170">
                  <c:v>65.238749999999911</c:v>
                </c:pt>
                <c:pt idx="171">
                  <c:v>76.15249999999908</c:v>
                </c:pt>
                <c:pt idx="172">
                  <c:v>63.8774999999995</c:v>
                </c:pt>
                <c:pt idx="173">
                  <c:v>61.59874999999893</c:v>
                </c:pt>
                <c:pt idx="174">
                  <c:v>60.795000000000293</c:v>
                </c:pt>
                <c:pt idx="175">
                  <c:v>73.624999999999034</c:v>
                </c:pt>
                <c:pt idx="176">
                  <c:v>62.560000000001182</c:v>
                </c:pt>
                <c:pt idx="177">
                  <c:v>73.160000000000949</c:v>
                </c:pt>
                <c:pt idx="178">
                  <c:v>76.093750000001748</c:v>
                </c:pt>
                <c:pt idx="179">
                  <c:v>61.633749999999317</c:v>
                </c:pt>
                <c:pt idx="180">
                  <c:v>63.627499999999408</c:v>
                </c:pt>
                <c:pt idx="181">
                  <c:v>84.447500000000247</c:v>
                </c:pt>
                <c:pt idx="182">
                  <c:v>63.766249999999651</c:v>
                </c:pt>
                <c:pt idx="183">
                  <c:v>63.087500000000524</c:v>
                </c:pt>
                <c:pt idx="184">
                  <c:v>62.93125000000007</c:v>
                </c:pt>
                <c:pt idx="185">
                  <c:v>60.174999999999883</c:v>
                </c:pt>
                <c:pt idx="186">
                  <c:v>63.175000000001418</c:v>
                </c:pt>
                <c:pt idx="187">
                  <c:v>62.757500000001009</c:v>
                </c:pt>
                <c:pt idx="188">
                  <c:v>74.731250000000628</c:v>
                </c:pt>
                <c:pt idx="189">
                  <c:v>71.340000000001808</c:v>
                </c:pt>
                <c:pt idx="190">
                  <c:v>65.216250000001537</c:v>
                </c:pt>
                <c:pt idx="191">
                  <c:v>64.293750000000671</c:v>
                </c:pt>
                <c:pt idx="192">
                  <c:v>73.155000000000157</c:v>
                </c:pt>
                <c:pt idx="193">
                  <c:v>73.853749999999479</c:v>
                </c:pt>
                <c:pt idx="194">
                  <c:v>73.154999999999447</c:v>
                </c:pt>
                <c:pt idx="195">
                  <c:v>67.833749999999057</c:v>
                </c:pt>
                <c:pt idx="196">
                  <c:v>68.940000000001461</c:v>
                </c:pt>
                <c:pt idx="197">
                  <c:v>74.902500000001751</c:v>
                </c:pt>
                <c:pt idx="198">
                  <c:v>84.44749999999938</c:v>
                </c:pt>
                <c:pt idx="199">
                  <c:v>63.384999999999245</c:v>
                </c:pt>
                <c:pt idx="200">
                  <c:v>80.218749999999162</c:v>
                </c:pt>
                <c:pt idx="201">
                  <c:v>66.671250000000512</c:v>
                </c:pt>
                <c:pt idx="202">
                  <c:v>71.41250000000116</c:v>
                </c:pt>
                <c:pt idx="203">
                  <c:v>72.552499999999242</c:v>
                </c:pt>
                <c:pt idx="204">
                  <c:v>77.32249999999955</c:v>
                </c:pt>
                <c:pt idx="205">
                  <c:v>65.377500000001518</c:v>
                </c:pt>
                <c:pt idx="206">
                  <c:v>67.777500000001439</c:v>
                </c:pt>
                <c:pt idx="207">
                  <c:v>71.340000000001808</c:v>
                </c:pt>
                <c:pt idx="208">
                  <c:v>78.153750000000684</c:v>
                </c:pt>
                <c:pt idx="209">
                  <c:v>77.227500000002067</c:v>
                </c:pt>
                <c:pt idx="210">
                  <c:v>81.981250000001125</c:v>
                </c:pt>
                <c:pt idx="211">
                  <c:v>81.981249999999775</c:v>
                </c:pt>
                <c:pt idx="212">
                  <c:v>81.641249999999147</c:v>
                </c:pt>
                <c:pt idx="213">
                  <c:v>74.245000000000132</c:v>
                </c:pt>
                <c:pt idx="214">
                  <c:v>69.612500000000978</c:v>
                </c:pt>
                <c:pt idx="215">
                  <c:v>69.084999999998828</c:v>
                </c:pt>
                <c:pt idx="216">
                  <c:v>58.969999999999011</c:v>
                </c:pt>
                <c:pt idx="217">
                  <c:v>70.807499999999607</c:v>
                </c:pt>
                <c:pt idx="218">
                  <c:v>61.940000000000936</c:v>
                </c:pt>
                <c:pt idx="219">
                  <c:v>75.00374999999903</c:v>
                </c:pt>
                <c:pt idx="220">
                  <c:v>63.919999999999952</c:v>
                </c:pt>
                <c:pt idx="221">
                  <c:v>77.388750000000996</c:v>
                </c:pt>
                <c:pt idx="222">
                  <c:v>66.537499999999014</c:v>
                </c:pt>
                <c:pt idx="223">
                  <c:v>69.122500000000926</c:v>
                </c:pt>
                <c:pt idx="224">
                  <c:v>70.206250000002157</c:v>
                </c:pt>
                <c:pt idx="225">
                  <c:v>55.977499999999793</c:v>
                </c:pt>
                <c:pt idx="226">
                  <c:v>65.560000000001011</c:v>
                </c:pt>
                <c:pt idx="227">
                  <c:v>55.745000000000857</c:v>
                </c:pt>
                <c:pt idx="228">
                  <c:v>68.595000000001448</c:v>
                </c:pt>
                <c:pt idx="229">
                  <c:v>66.397500000002722</c:v>
                </c:pt>
                <c:pt idx="230">
                  <c:v>80.714999999997829</c:v>
                </c:pt>
                <c:pt idx="231">
                  <c:v>61.638749999999128</c:v>
                </c:pt>
                <c:pt idx="232">
                  <c:v>55.401250000000175</c:v>
                </c:pt>
                <c:pt idx="233">
                  <c:v>56.641250000000987</c:v>
                </c:pt>
                <c:pt idx="234">
                  <c:v>60.885000000001909</c:v>
                </c:pt>
                <c:pt idx="235">
                  <c:v>64.698750000000203</c:v>
                </c:pt>
                <c:pt idx="236">
                  <c:v>66.902500000001552</c:v>
                </c:pt>
                <c:pt idx="237">
                  <c:v>60.907499999998329</c:v>
                </c:pt>
                <c:pt idx="238">
                  <c:v>71.140000000000242</c:v>
                </c:pt>
                <c:pt idx="239">
                  <c:v>59.343750000000476</c:v>
                </c:pt>
                <c:pt idx="240">
                  <c:v>66.667500000001013</c:v>
                </c:pt>
                <c:pt idx="241">
                  <c:v>61.706249999999365</c:v>
                </c:pt>
                <c:pt idx="242">
                  <c:v>62.401249999998221</c:v>
                </c:pt>
                <c:pt idx="243">
                  <c:v>56.557500000000545</c:v>
                </c:pt>
                <c:pt idx="244">
                  <c:v>55.107499999999888</c:v>
                </c:pt>
                <c:pt idx="245">
                  <c:v>57.265000000000569</c:v>
                </c:pt>
                <c:pt idx="246">
                  <c:v>67.777500000001851</c:v>
                </c:pt>
                <c:pt idx="247">
                  <c:v>68.940000000002144</c:v>
                </c:pt>
                <c:pt idx="248">
                  <c:v>60.856250000001204</c:v>
                </c:pt>
                <c:pt idx="249">
                  <c:v>70.177500000001288</c:v>
                </c:pt>
                <c:pt idx="250">
                  <c:v>66.643750000000551</c:v>
                </c:pt>
                <c:pt idx="251">
                  <c:v>54.896250000001253</c:v>
                </c:pt>
                <c:pt idx="252">
                  <c:v>76.064999999998776</c:v>
                </c:pt>
                <c:pt idx="253">
                  <c:v>69.350000000001714</c:v>
                </c:pt>
                <c:pt idx="254">
                  <c:v>77.331250000001944</c:v>
                </c:pt>
                <c:pt idx="255">
                  <c:v>62.968749999999964</c:v>
                </c:pt>
                <c:pt idx="256">
                  <c:v>55.776249999998534</c:v>
                </c:pt>
                <c:pt idx="257">
                  <c:v>67.078749999999758</c:v>
                </c:pt>
                <c:pt idx="258">
                  <c:v>65.493749999998897</c:v>
                </c:pt>
                <c:pt idx="259">
                  <c:v>71.354999999998697</c:v>
                </c:pt>
                <c:pt idx="260">
                  <c:v>57.743749999998371</c:v>
                </c:pt>
                <c:pt idx="261">
                  <c:v>59.117500000001556</c:v>
                </c:pt>
                <c:pt idx="262">
                  <c:v>50.550000000001326</c:v>
                </c:pt>
                <c:pt idx="263">
                  <c:v>68.499999999998678</c:v>
                </c:pt>
                <c:pt idx="264">
                  <c:v>71.975000000001799</c:v>
                </c:pt>
                <c:pt idx="265">
                  <c:v>62.233749999999489</c:v>
                </c:pt>
                <c:pt idx="266">
                  <c:v>61.566249999999762</c:v>
                </c:pt>
                <c:pt idx="267">
                  <c:v>70.635000000000318</c:v>
                </c:pt>
                <c:pt idx="268">
                  <c:v>63.411250000000997</c:v>
                </c:pt>
                <c:pt idx="269">
                  <c:v>95.536249999998248</c:v>
                </c:pt>
                <c:pt idx="270">
                  <c:v>89.832499999998745</c:v>
                </c:pt>
                <c:pt idx="271">
                  <c:v>65.112500000001489</c:v>
                </c:pt>
                <c:pt idx="272">
                  <c:v>73.082499999998632</c:v>
                </c:pt>
                <c:pt idx="273">
                  <c:v>74.902500000002092</c:v>
                </c:pt>
                <c:pt idx="274">
                  <c:v>78.81125000000192</c:v>
                </c:pt>
                <c:pt idx="275">
                  <c:v>71.797499999998976</c:v>
                </c:pt>
                <c:pt idx="276">
                  <c:v>77.925000000000253</c:v>
                </c:pt>
                <c:pt idx="277">
                  <c:v>68.317500000000535</c:v>
                </c:pt>
                <c:pt idx="278">
                  <c:v>59.612500000000601</c:v>
                </c:pt>
                <c:pt idx="279">
                  <c:v>82.431250000000645</c:v>
                </c:pt>
                <c:pt idx="280">
                  <c:v>66.337499999999096</c:v>
                </c:pt>
                <c:pt idx="281">
                  <c:v>80.714999999998838</c:v>
                </c:pt>
                <c:pt idx="282">
                  <c:v>86.849999999996825</c:v>
                </c:pt>
                <c:pt idx="283">
                  <c:v>80.057499999997788</c:v>
                </c:pt>
                <c:pt idx="284">
                  <c:v>81.41875000000077</c:v>
                </c:pt>
                <c:pt idx="285">
                  <c:v>83.039999999997619</c:v>
                </c:pt>
                <c:pt idx="286">
                  <c:v>74.931250000001413</c:v>
                </c:pt>
                <c:pt idx="287">
                  <c:v>63.664999999999573</c:v>
                </c:pt>
                <c:pt idx="288">
                  <c:v>73.665000000002308</c:v>
                </c:pt>
                <c:pt idx="289">
                  <c:v>66.071249999998443</c:v>
                </c:pt>
                <c:pt idx="290">
                  <c:v>64.381250000000335</c:v>
                </c:pt>
                <c:pt idx="291">
                  <c:v>53.324999999999761</c:v>
                </c:pt>
                <c:pt idx="292">
                  <c:v>45.981249999999747</c:v>
                </c:pt>
                <c:pt idx="293">
                  <c:v>59.492500000000767</c:v>
                </c:pt>
                <c:pt idx="294">
                  <c:v>42.838750000000083</c:v>
                </c:pt>
                <c:pt idx="295">
                  <c:v>46.233750000000313</c:v>
                </c:pt>
                <c:pt idx="296">
                  <c:v>68.197500000000673</c:v>
                </c:pt>
                <c:pt idx="297">
                  <c:v>59.546249999999731</c:v>
                </c:pt>
                <c:pt idx="298">
                  <c:v>58.856249999998475</c:v>
                </c:pt>
                <c:pt idx="299">
                  <c:v>74.883750000001456</c:v>
                </c:pt>
                <c:pt idx="300">
                  <c:v>64.258750000000873</c:v>
                </c:pt>
                <c:pt idx="301">
                  <c:v>68.845000000001178</c:v>
                </c:pt>
                <c:pt idx="302">
                  <c:v>59.381250000000044</c:v>
                </c:pt>
                <c:pt idx="303">
                  <c:v>50.706249999999585</c:v>
                </c:pt>
                <c:pt idx="304">
                  <c:v>57.867500000001129</c:v>
                </c:pt>
                <c:pt idx="305">
                  <c:v>71.920000000000073</c:v>
                </c:pt>
                <c:pt idx="306">
                  <c:v>69.442499999997381</c:v>
                </c:pt>
                <c:pt idx="307">
                  <c:v>61.189999999999671</c:v>
                </c:pt>
                <c:pt idx="308">
                  <c:v>73.671249999998963</c:v>
                </c:pt>
                <c:pt idx="309">
                  <c:v>62.656250000001236</c:v>
                </c:pt>
                <c:pt idx="310">
                  <c:v>66.615000000001018</c:v>
                </c:pt>
                <c:pt idx="311">
                  <c:v>50.379999999998596</c:v>
                </c:pt>
                <c:pt idx="312">
                  <c:v>62.494999999998143</c:v>
                </c:pt>
                <c:pt idx="313">
                  <c:v>58.433749999998298</c:v>
                </c:pt>
                <c:pt idx="314">
                  <c:v>58.433749999998298</c:v>
                </c:pt>
                <c:pt idx="315">
                  <c:v>61.412500000001302</c:v>
                </c:pt>
                <c:pt idx="316">
                  <c:v>66.021250000001302</c:v>
                </c:pt>
                <c:pt idx="317">
                  <c:v>54.216249999998375</c:v>
                </c:pt>
                <c:pt idx="318">
                  <c:v>65.353750000000119</c:v>
                </c:pt>
                <c:pt idx="319">
                  <c:v>62.552499999999753</c:v>
                </c:pt>
                <c:pt idx="320">
                  <c:v>80.818750000002112</c:v>
                </c:pt>
                <c:pt idx="321">
                  <c:v>76.137499999998795</c:v>
                </c:pt>
                <c:pt idx="322">
                  <c:v>55.373750000000371</c:v>
                </c:pt>
                <c:pt idx="323">
                  <c:v>63.653750000000215</c:v>
                </c:pt>
                <c:pt idx="324">
                  <c:v>52.862500000000587</c:v>
                </c:pt>
                <c:pt idx="325">
                  <c:v>57.013749999999348</c:v>
                </c:pt>
                <c:pt idx="326">
                  <c:v>67.940000000001191</c:v>
                </c:pt>
                <c:pt idx="327">
                  <c:v>62.382500000002224</c:v>
                </c:pt>
                <c:pt idx="328">
                  <c:v>67.108750000000057</c:v>
                </c:pt>
                <c:pt idx="329">
                  <c:v>71.346249999999515</c:v>
                </c:pt>
                <c:pt idx="330">
                  <c:v>57.322500000000367</c:v>
                </c:pt>
                <c:pt idx="331">
                  <c:v>58.949999999998475</c:v>
                </c:pt>
                <c:pt idx="332">
                  <c:v>60.817500000000344</c:v>
                </c:pt>
                <c:pt idx="333">
                  <c:v>70.865000000000379</c:v>
                </c:pt>
                <c:pt idx="334">
                  <c:v>58.962500000001533</c:v>
                </c:pt>
                <c:pt idx="335">
                  <c:v>70.885000000000758</c:v>
                </c:pt>
                <c:pt idx="336">
                  <c:v>20.54250000000053</c:v>
                </c:pt>
                <c:pt idx="337">
                  <c:v>69.447500000000957</c:v>
                </c:pt>
                <c:pt idx="338">
                  <c:v>55.316249999999314</c:v>
                </c:pt>
                <c:pt idx="339">
                  <c:v>62.552499999998197</c:v>
                </c:pt>
                <c:pt idx="340">
                  <c:v>66.615000000001018</c:v>
                </c:pt>
                <c:pt idx="341">
                  <c:v>76.137499999999761</c:v>
                </c:pt>
                <c:pt idx="342">
                  <c:v>64.821249999998429</c:v>
                </c:pt>
                <c:pt idx="343">
                  <c:v>68.178750000000619</c:v>
                </c:pt>
                <c:pt idx="344">
                  <c:v>27.392500000000069</c:v>
                </c:pt>
                <c:pt idx="345">
                  <c:v>56.112499999999969</c:v>
                </c:pt>
                <c:pt idx="346">
                  <c:v>58.73875000000109</c:v>
                </c:pt>
                <c:pt idx="347">
                  <c:v>41.235000000001165</c:v>
                </c:pt>
                <c:pt idx="348">
                  <c:v>66.480000000001283</c:v>
                </c:pt>
                <c:pt idx="349">
                  <c:v>73.768750000001049</c:v>
                </c:pt>
                <c:pt idx="350">
                  <c:v>61.355000000001176</c:v>
                </c:pt>
                <c:pt idx="351">
                  <c:v>75.407499999997768</c:v>
                </c:pt>
                <c:pt idx="352">
                  <c:v>75.003750000000849</c:v>
                </c:pt>
                <c:pt idx="353">
                  <c:v>81.877499999998975</c:v>
                </c:pt>
                <c:pt idx="354">
                  <c:v>78.456249999999827</c:v>
                </c:pt>
                <c:pt idx="355">
                  <c:v>72.574999999999903</c:v>
                </c:pt>
                <c:pt idx="356">
                  <c:v>91.520000000001119</c:v>
                </c:pt>
                <c:pt idx="357">
                  <c:v>81.877499999997596</c:v>
                </c:pt>
                <c:pt idx="358">
                  <c:v>83.039999999997619</c:v>
                </c:pt>
                <c:pt idx="359">
                  <c:v>73.464999999998739</c:v>
                </c:pt>
                <c:pt idx="360">
                  <c:v>77.074999999998013</c:v>
                </c:pt>
                <c:pt idx="361">
                  <c:v>92.578749999999019</c:v>
                </c:pt>
                <c:pt idx="362">
                  <c:v>69.442500000000862</c:v>
                </c:pt>
                <c:pt idx="363">
                  <c:v>60.790000000000532</c:v>
                </c:pt>
                <c:pt idx="364">
                  <c:v>70.177500000001189</c:v>
                </c:pt>
              </c:numCache>
            </c:numRef>
          </c:val>
          <c:smooth val="0"/>
          <c:extLst>
            <c:ext xmlns:c16="http://schemas.microsoft.com/office/drawing/2014/chart" uri="{C3380CC4-5D6E-409C-BE32-E72D297353CC}">
              <c16:uniqueId val="{00000003-73E4-4ED4-B5C8-26AF96CC779B}"/>
            </c:ext>
          </c:extLst>
        </c:ser>
        <c:ser>
          <c:idx val="2"/>
          <c:order val="2"/>
          <c:tx>
            <c:strRef>
              <c:f>Sheet1!$D$1</c:f>
              <c:strCache>
                <c:ptCount val="1"/>
                <c:pt idx="0">
                  <c:v>Average of Total Irradiation (W/m^2) Forecast +0Hr</c:v>
                </c:pt>
              </c:strCache>
            </c:strRef>
          </c:tx>
          <c:spPr>
            <a:ln w="19050">
              <a:solidFill>
                <a:srgbClr val="00B050"/>
              </a:solidFill>
            </a:ln>
          </c:spPr>
          <c:marker>
            <c:symbol val="none"/>
          </c:marker>
          <c:cat>
            <c:multiLvlStrRef>
              <c:f>Sheet1!$A$2:$A$735</c:f>
              <c:multiLvlStrCache>
                <c:ptCount val="365"/>
                <c:lvl>
                  <c:pt idx="0">
                    <c:v>Feb</c:v>
                  </c:pt>
                  <c:pt idx="1">
                    <c:v>Feb</c:v>
                  </c:pt>
                  <c:pt idx="3">
                    <c:v>Feb</c:v>
                  </c:pt>
                  <c:pt idx="4">
                    <c:v>Feb</c:v>
                  </c:pt>
                  <c:pt idx="5">
                    <c:v>Feb</c:v>
                  </c:pt>
                  <c:pt idx="6">
                    <c:v>Feb</c:v>
                  </c:pt>
                  <c:pt idx="7">
                    <c:v>Feb</c:v>
                  </c:pt>
                  <c:pt idx="8">
                    <c:v>Feb</c:v>
                  </c:pt>
                  <c:pt idx="9">
                    <c:v>Feb</c:v>
                  </c:pt>
                  <c:pt idx="10">
                    <c:v>Mar</c:v>
                  </c:pt>
                  <c:pt idx="11">
                    <c:v>Mar</c:v>
                  </c:pt>
                  <c:pt idx="12">
                    <c:v>Mar</c:v>
                  </c:pt>
                  <c:pt idx="13">
                    <c:v>Mar</c:v>
                  </c:pt>
                  <c:pt idx="14">
                    <c:v>Mar</c:v>
                  </c:pt>
                  <c:pt idx="15">
                    <c:v>Mar</c:v>
                  </c:pt>
                  <c:pt idx="16">
                    <c:v>Mar</c:v>
                  </c:pt>
                  <c:pt idx="17">
                    <c:v>Mar</c:v>
                  </c:pt>
                  <c:pt idx="18">
                    <c:v>Mar</c:v>
                  </c:pt>
                  <c:pt idx="19">
                    <c:v>Mar</c:v>
                  </c:pt>
                  <c:pt idx="20">
                    <c:v>Mar</c:v>
                  </c:pt>
                  <c:pt idx="21">
                    <c:v>Mar</c:v>
                  </c:pt>
                  <c:pt idx="22">
                    <c:v>Mar</c:v>
                  </c:pt>
                  <c:pt idx="23">
                    <c:v>Mar</c:v>
                  </c:pt>
                  <c:pt idx="24">
                    <c:v>Mar</c:v>
                  </c:pt>
                  <c:pt idx="25">
                    <c:v>Mar</c:v>
                  </c:pt>
                  <c:pt idx="26">
                    <c:v>Mar</c:v>
                  </c:pt>
                  <c:pt idx="27">
                    <c:v>Mar</c:v>
                  </c:pt>
                  <c:pt idx="28">
                    <c:v>Mar</c:v>
                  </c:pt>
                  <c:pt idx="29">
                    <c:v>Mar</c:v>
                  </c:pt>
                  <c:pt idx="31">
                    <c:v>Mar</c:v>
                  </c:pt>
                  <c:pt idx="32">
                    <c:v>Mar</c:v>
                  </c:pt>
                  <c:pt idx="33">
                    <c:v>Mar</c:v>
                  </c:pt>
                  <c:pt idx="34">
                    <c:v>Mar</c:v>
                  </c:pt>
                  <c:pt idx="35">
                    <c:v>Mar</c:v>
                  </c:pt>
                  <c:pt idx="36">
                    <c:v>Mar</c:v>
                  </c:pt>
                  <c:pt idx="37">
                    <c:v>Mar</c:v>
                  </c:pt>
                  <c:pt idx="38">
                    <c:v>Mar</c:v>
                  </c:pt>
                  <c:pt idx="39">
                    <c:v>Mar</c:v>
                  </c:pt>
                  <c:pt idx="40">
                    <c:v>Mar</c:v>
                  </c:pt>
                  <c:pt idx="41">
                    <c:v>Apr</c:v>
                  </c:pt>
                  <c:pt idx="42">
                    <c:v>Apr</c:v>
                  </c:pt>
                  <c:pt idx="43">
                    <c:v>Apr</c:v>
                  </c:pt>
                  <c:pt idx="44">
                    <c:v>Apr</c:v>
                  </c:pt>
                  <c:pt idx="45">
                    <c:v>Apr</c:v>
                  </c:pt>
                  <c:pt idx="46">
                    <c:v>Apr</c:v>
                  </c:pt>
                  <c:pt idx="47">
                    <c:v>Apr</c:v>
                  </c:pt>
                  <c:pt idx="48">
                    <c:v>Apr</c:v>
                  </c:pt>
                  <c:pt idx="49">
                    <c:v>Apr</c:v>
                  </c:pt>
                  <c:pt idx="50">
                    <c:v>Apr</c:v>
                  </c:pt>
                  <c:pt idx="51">
                    <c:v>Apr</c:v>
                  </c:pt>
                  <c:pt idx="52">
                    <c:v>Apr</c:v>
                  </c:pt>
                  <c:pt idx="53">
                    <c:v>Apr</c:v>
                  </c:pt>
                  <c:pt idx="54">
                    <c:v>Apr</c:v>
                  </c:pt>
                  <c:pt idx="55">
                    <c:v>Apr</c:v>
                  </c:pt>
                  <c:pt idx="56">
                    <c:v>Apr</c:v>
                  </c:pt>
                  <c:pt idx="57">
                    <c:v>Apr</c:v>
                  </c:pt>
                  <c:pt idx="58">
                    <c:v>Apr</c:v>
                  </c:pt>
                  <c:pt idx="59">
                    <c:v>Apr</c:v>
                  </c:pt>
                  <c:pt idx="60">
                    <c:v>Apr</c:v>
                  </c:pt>
                  <c:pt idx="62">
                    <c:v>Apr</c:v>
                  </c:pt>
                  <c:pt idx="63">
                    <c:v>Apr</c:v>
                  </c:pt>
                  <c:pt idx="64">
                    <c:v>Apr</c:v>
                  </c:pt>
                  <c:pt idx="65">
                    <c:v>Apr</c:v>
                  </c:pt>
                  <c:pt idx="66">
                    <c:v>Apr</c:v>
                  </c:pt>
                  <c:pt idx="67">
                    <c:v>Apr</c:v>
                  </c:pt>
                  <c:pt idx="68">
                    <c:v>Apr</c:v>
                  </c:pt>
                  <c:pt idx="69">
                    <c:v>Apr</c:v>
                  </c:pt>
                  <c:pt idx="70">
                    <c:v>Apr</c:v>
                  </c:pt>
                  <c:pt idx="71">
                    <c:v>May</c:v>
                  </c:pt>
                  <c:pt idx="72">
                    <c:v>May</c:v>
                  </c:pt>
                  <c:pt idx="73">
                    <c:v>May</c:v>
                  </c:pt>
                  <c:pt idx="74">
                    <c:v>May</c:v>
                  </c:pt>
                  <c:pt idx="75">
                    <c:v>May</c:v>
                  </c:pt>
                  <c:pt idx="76">
                    <c:v>May</c:v>
                  </c:pt>
                  <c:pt idx="77">
                    <c:v>May</c:v>
                  </c:pt>
                  <c:pt idx="78">
                    <c:v>May</c:v>
                  </c:pt>
                  <c:pt idx="79">
                    <c:v>May</c:v>
                  </c:pt>
                  <c:pt idx="80">
                    <c:v>May</c:v>
                  </c:pt>
                  <c:pt idx="81">
                    <c:v>May</c:v>
                  </c:pt>
                  <c:pt idx="82">
                    <c:v>May</c:v>
                  </c:pt>
                  <c:pt idx="83">
                    <c:v>May</c:v>
                  </c:pt>
                  <c:pt idx="84">
                    <c:v>May</c:v>
                  </c:pt>
                  <c:pt idx="85">
                    <c:v>May</c:v>
                  </c:pt>
                  <c:pt idx="86">
                    <c:v>May</c:v>
                  </c:pt>
                  <c:pt idx="87">
                    <c:v>May</c:v>
                  </c:pt>
                  <c:pt idx="88">
                    <c:v>May</c:v>
                  </c:pt>
                  <c:pt idx="89">
                    <c:v>May</c:v>
                  </c:pt>
                  <c:pt idx="90">
                    <c:v>May</c:v>
                  </c:pt>
                  <c:pt idx="92">
                    <c:v>May</c:v>
                  </c:pt>
                  <c:pt idx="93">
                    <c:v>May</c:v>
                  </c:pt>
                  <c:pt idx="94">
                    <c:v>May</c:v>
                  </c:pt>
                  <c:pt idx="95">
                    <c:v>May</c:v>
                  </c:pt>
                  <c:pt idx="96">
                    <c:v>May</c:v>
                  </c:pt>
                  <c:pt idx="97">
                    <c:v>May</c:v>
                  </c:pt>
                  <c:pt idx="98">
                    <c:v>May</c:v>
                  </c:pt>
                  <c:pt idx="99">
                    <c:v>May</c:v>
                  </c:pt>
                  <c:pt idx="100">
                    <c:v>May</c:v>
                  </c:pt>
                  <c:pt idx="101">
                    <c:v>May</c:v>
                  </c:pt>
                  <c:pt idx="102">
                    <c:v>Jun</c:v>
                  </c:pt>
                  <c:pt idx="103">
                    <c:v>Jun</c:v>
                  </c:pt>
                  <c:pt idx="104">
                    <c:v>Jun</c:v>
                  </c:pt>
                  <c:pt idx="105">
                    <c:v>Jun</c:v>
                  </c:pt>
                  <c:pt idx="106">
                    <c:v>Jun</c:v>
                  </c:pt>
                  <c:pt idx="107">
                    <c:v>Jun</c:v>
                  </c:pt>
                  <c:pt idx="108">
                    <c:v>Jun</c:v>
                  </c:pt>
                  <c:pt idx="109">
                    <c:v>Jun</c:v>
                  </c:pt>
                  <c:pt idx="110">
                    <c:v>Jun</c:v>
                  </c:pt>
                  <c:pt idx="111">
                    <c:v>Jun</c:v>
                  </c:pt>
                  <c:pt idx="112">
                    <c:v>Jun</c:v>
                  </c:pt>
                  <c:pt idx="113">
                    <c:v>Jun</c:v>
                  </c:pt>
                  <c:pt idx="114">
                    <c:v>Jun</c:v>
                  </c:pt>
                  <c:pt idx="115">
                    <c:v>Jun</c:v>
                  </c:pt>
                  <c:pt idx="116">
                    <c:v>Jun</c:v>
                  </c:pt>
                  <c:pt idx="117">
                    <c:v>Jun</c:v>
                  </c:pt>
                  <c:pt idx="118">
                    <c:v>Jun</c:v>
                  </c:pt>
                  <c:pt idx="119">
                    <c:v>Jun</c:v>
                  </c:pt>
                  <c:pt idx="120">
                    <c:v>Jun</c:v>
                  </c:pt>
                  <c:pt idx="121">
                    <c:v>Jun</c:v>
                  </c:pt>
                  <c:pt idx="123">
                    <c:v>Jun</c:v>
                  </c:pt>
                  <c:pt idx="124">
                    <c:v>Jun</c:v>
                  </c:pt>
                  <c:pt idx="125">
                    <c:v>Jun</c:v>
                  </c:pt>
                  <c:pt idx="126">
                    <c:v>Jun</c:v>
                  </c:pt>
                  <c:pt idx="127">
                    <c:v>Jun</c:v>
                  </c:pt>
                  <c:pt idx="128">
                    <c:v>Jun</c:v>
                  </c:pt>
                  <c:pt idx="129">
                    <c:v>Jun</c:v>
                  </c:pt>
                  <c:pt idx="130">
                    <c:v>Jun</c:v>
                  </c:pt>
                  <c:pt idx="131">
                    <c:v>Jun</c:v>
                  </c:pt>
                  <c:pt idx="132">
                    <c:v>Jul</c:v>
                  </c:pt>
                  <c:pt idx="133">
                    <c:v>Jul</c:v>
                  </c:pt>
                  <c:pt idx="134">
                    <c:v>Jul</c:v>
                  </c:pt>
                  <c:pt idx="135">
                    <c:v>Jul</c:v>
                  </c:pt>
                  <c:pt idx="136">
                    <c:v>Jul</c:v>
                  </c:pt>
                  <c:pt idx="137">
                    <c:v>Jul</c:v>
                  </c:pt>
                  <c:pt idx="138">
                    <c:v>Jul</c:v>
                  </c:pt>
                  <c:pt idx="139">
                    <c:v>Jul</c:v>
                  </c:pt>
                  <c:pt idx="140">
                    <c:v>Jul</c:v>
                  </c:pt>
                  <c:pt idx="141">
                    <c:v>Jul</c:v>
                  </c:pt>
                  <c:pt idx="142">
                    <c:v>Jul</c:v>
                  </c:pt>
                  <c:pt idx="143">
                    <c:v>Jul</c:v>
                  </c:pt>
                  <c:pt idx="144">
                    <c:v>Jul</c:v>
                  </c:pt>
                  <c:pt idx="145">
                    <c:v>Jul</c:v>
                  </c:pt>
                  <c:pt idx="146">
                    <c:v>Jul</c:v>
                  </c:pt>
                  <c:pt idx="147">
                    <c:v>Jul</c:v>
                  </c:pt>
                  <c:pt idx="148">
                    <c:v>Jul</c:v>
                  </c:pt>
                  <c:pt idx="149">
                    <c:v>Jul</c:v>
                  </c:pt>
                  <c:pt idx="150">
                    <c:v>Jul</c:v>
                  </c:pt>
                  <c:pt idx="151">
                    <c:v>Jul</c:v>
                  </c:pt>
                  <c:pt idx="153">
                    <c:v>Jul</c:v>
                  </c:pt>
                  <c:pt idx="154">
                    <c:v>Jul</c:v>
                  </c:pt>
                  <c:pt idx="155">
                    <c:v>Jul</c:v>
                  </c:pt>
                  <c:pt idx="156">
                    <c:v>Jul</c:v>
                  </c:pt>
                  <c:pt idx="157">
                    <c:v>Jul</c:v>
                  </c:pt>
                  <c:pt idx="158">
                    <c:v>Jul</c:v>
                  </c:pt>
                  <c:pt idx="159">
                    <c:v>Jul</c:v>
                  </c:pt>
                  <c:pt idx="160">
                    <c:v>Jul</c:v>
                  </c:pt>
                  <c:pt idx="161">
                    <c:v>Jul</c:v>
                  </c:pt>
                  <c:pt idx="162">
                    <c:v>Jul</c:v>
                  </c:pt>
                  <c:pt idx="163">
                    <c:v>Aug</c:v>
                  </c:pt>
                  <c:pt idx="164">
                    <c:v>Aug</c:v>
                  </c:pt>
                  <c:pt idx="165">
                    <c:v>Aug</c:v>
                  </c:pt>
                  <c:pt idx="166">
                    <c:v>Aug</c:v>
                  </c:pt>
                  <c:pt idx="167">
                    <c:v>Aug</c:v>
                  </c:pt>
                  <c:pt idx="168">
                    <c:v>Aug</c:v>
                  </c:pt>
                  <c:pt idx="169">
                    <c:v>Aug</c:v>
                  </c:pt>
                  <c:pt idx="170">
                    <c:v>Aug</c:v>
                  </c:pt>
                  <c:pt idx="171">
                    <c:v>Aug</c:v>
                  </c:pt>
                  <c:pt idx="172">
                    <c:v>Aug</c:v>
                  </c:pt>
                  <c:pt idx="173">
                    <c:v>Aug</c:v>
                  </c:pt>
                  <c:pt idx="174">
                    <c:v>Aug</c:v>
                  </c:pt>
                  <c:pt idx="175">
                    <c:v>Aug</c:v>
                  </c:pt>
                  <c:pt idx="176">
                    <c:v>Aug</c:v>
                  </c:pt>
                  <c:pt idx="177">
                    <c:v>Aug</c:v>
                  </c:pt>
                  <c:pt idx="178">
                    <c:v>Aug</c:v>
                  </c:pt>
                  <c:pt idx="179">
                    <c:v>Aug</c:v>
                  </c:pt>
                  <c:pt idx="180">
                    <c:v>Aug</c:v>
                  </c:pt>
                  <c:pt idx="181">
                    <c:v>Aug</c:v>
                  </c:pt>
                  <c:pt idx="182">
                    <c:v>Aug</c:v>
                  </c:pt>
                  <c:pt idx="184">
                    <c:v>Aug</c:v>
                  </c:pt>
                  <c:pt idx="185">
                    <c:v>Aug</c:v>
                  </c:pt>
                  <c:pt idx="186">
                    <c:v>Aug</c:v>
                  </c:pt>
                  <c:pt idx="187">
                    <c:v>Aug</c:v>
                  </c:pt>
                  <c:pt idx="188">
                    <c:v>Aug</c:v>
                  </c:pt>
                  <c:pt idx="189">
                    <c:v>Aug</c:v>
                  </c:pt>
                  <c:pt idx="190">
                    <c:v>Aug</c:v>
                  </c:pt>
                  <c:pt idx="191">
                    <c:v>Aug</c:v>
                  </c:pt>
                  <c:pt idx="192">
                    <c:v>Aug</c:v>
                  </c:pt>
                  <c:pt idx="193">
                    <c:v>Aug</c:v>
                  </c:pt>
                  <c:pt idx="194">
                    <c:v>Sep</c:v>
                  </c:pt>
                  <c:pt idx="195">
                    <c:v>Sep</c:v>
                  </c:pt>
                  <c:pt idx="196">
                    <c:v>Sep</c:v>
                  </c:pt>
                  <c:pt idx="197">
                    <c:v>Sep</c:v>
                  </c:pt>
                  <c:pt idx="198">
                    <c:v>Sep</c:v>
                  </c:pt>
                  <c:pt idx="199">
                    <c:v>Sep</c:v>
                  </c:pt>
                  <c:pt idx="200">
                    <c:v>Sep</c:v>
                  </c:pt>
                  <c:pt idx="201">
                    <c:v>Sep</c:v>
                  </c:pt>
                  <c:pt idx="202">
                    <c:v>Sep</c:v>
                  </c:pt>
                  <c:pt idx="203">
                    <c:v>Sep</c:v>
                  </c:pt>
                  <c:pt idx="204">
                    <c:v>Sep</c:v>
                  </c:pt>
                  <c:pt idx="205">
                    <c:v>Sep</c:v>
                  </c:pt>
                  <c:pt idx="206">
                    <c:v>Sep</c:v>
                  </c:pt>
                  <c:pt idx="207">
                    <c:v>Sep</c:v>
                  </c:pt>
                  <c:pt idx="208">
                    <c:v>Sep</c:v>
                  </c:pt>
                  <c:pt idx="209">
                    <c:v>Sep</c:v>
                  </c:pt>
                  <c:pt idx="210">
                    <c:v>Sep</c:v>
                  </c:pt>
                  <c:pt idx="211">
                    <c:v>Sep</c:v>
                  </c:pt>
                  <c:pt idx="212">
                    <c:v>Sep</c:v>
                  </c:pt>
                  <c:pt idx="213">
                    <c:v>Sep</c:v>
                  </c:pt>
                  <c:pt idx="215">
                    <c:v>Sep</c:v>
                  </c:pt>
                  <c:pt idx="216">
                    <c:v>Sep</c:v>
                  </c:pt>
                  <c:pt idx="217">
                    <c:v>Sep</c:v>
                  </c:pt>
                  <c:pt idx="218">
                    <c:v>Sep</c:v>
                  </c:pt>
                  <c:pt idx="219">
                    <c:v>Sep</c:v>
                  </c:pt>
                  <c:pt idx="220">
                    <c:v>Sep</c:v>
                  </c:pt>
                  <c:pt idx="221">
                    <c:v>Sep</c:v>
                  </c:pt>
                  <c:pt idx="222">
                    <c:v>Sep</c:v>
                  </c:pt>
                  <c:pt idx="223">
                    <c:v>Sep</c:v>
                  </c:pt>
                  <c:pt idx="224">
                    <c:v>Oct</c:v>
                  </c:pt>
                  <c:pt idx="225">
                    <c:v>Oct</c:v>
                  </c:pt>
                  <c:pt idx="226">
                    <c:v>Oct</c:v>
                  </c:pt>
                  <c:pt idx="227">
                    <c:v>Oct</c:v>
                  </c:pt>
                  <c:pt idx="228">
                    <c:v>Oct</c:v>
                  </c:pt>
                  <c:pt idx="229">
                    <c:v>Oct</c:v>
                  </c:pt>
                  <c:pt idx="230">
                    <c:v>Oct</c:v>
                  </c:pt>
                  <c:pt idx="231">
                    <c:v>Oct</c:v>
                  </c:pt>
                  <c:pt idx="232">
                    <c:v>Oct</c:v>
                  </c:pt>
                  <c:pt idx="233">
                    <c:v>Oct</c:v>
                  </c:pt>
                  <c:pt idx="234">
                    <c:v>Oct</c:v>
                  </c:pt>
                  <c:pt idx="235">
                    <c:v>Oct</c:v>
                  </c:pt>
                  <c:pt idx="236">
                    <c:v>Oct</c:v>
                  </c:pt>
                  <c:pt idx="237">
                    <c:v>Oct</c:v>
                  </c:pt>
                  <c:pt idx="238">
                    <c:v>Oct</c:v>
                  </c:pt>
                  <c:pt idx="239">
                    <c:v>Oct</c:v>
                  </c:pt>
                  <c:pt idx="240">
                    <c:v>Oct</c:v>
                  </c:pt>
                  <c:pt idx="241">
                    <c:v>Oct</c:v>
                  </c:pt>
                  <c:pt idx="242">
                    <c:v>Oct</c:v>
                  </c:pt>
                  <c:pt idx="243">
                    <c:v>Oct</c:v>
                  </c:pt>
                  <c:pt idx="245">
                    <c:v>Oct</c:v>
                  </c:pt>
                  <c:pt idx="246">
                    <c:v>Oct</c:v>
                  </c:pt>
                  <c:pt idx="247">
                    <c:v>Oct</c:v>
                  </c:pt>
                  <c:pt idx="248">
                    <c:v>Oct</c:v>
                  </c:pt>
                  <c:pt idx="249">
                    <c:v>Oct</c:v>
                  </c:pt>
                  <c:pt idx="250">
                    <c:v>Oct</c:v>
                  </c:pt>
                  <c:pt idx="251">
                    <c:v>Oct</c:v>
                  </c:pt>
                  <c:pt idx="252">
                    <c:v>Oct</c:v>
                  </c:pt>
                  <c:pt idx="253">
                    <c:v>Oct</c:v>
                  </c:pt>
                  <c:pt idx="254">
                    <c:v>Oct</c:v>
                  </c:pt>
                  <c:pt idx="255">
                    <c:v>Nov</c:v>
                  </c:pt>
                  <c:pt idx="256">
                    <c:v>Nov</c:v>
                  </c:pt>
                  <c:pt idx="257">
                    <c:v>Nov</c:v>
                  </c:pt>
                  <c:pt idx="258">
                    <c:v>Nov</c:v>
                  </c:pt>
                  <c:pt idx="259">
                    <c:v>Nov</c:v>
                  </c:pt>
                  <c:pt idx="260">
                    <c:v>Nov</c:v>
                  </c:pt>
                  <c:pt idx="261">
                    <c:v>Nov</c:v>
                  </c:pt>
                  <c:pt idx="262">
                    <c:v>Nov</c:v>
                  </c:pt>
                  <c:pt idx="263">
                    <c:v>Nov</c:v>
                  </c:pt>
                  <c:pt idx="264">
                    <c:v>Nov</c:v>
                  </c:pt>
                  <c:pt idx="265">
                    <c:v>Nov</c:v>
                  </c:pt>
                  <c:pt idx="266">
                    <c:v>Nov</c:v>
                  </c:pt>
                  <c:pt idx="267">
                    <c:v>Nov</c:v>
                  </c:pt>
                  <c:pt idx="268">
                    <c:v>Nov</c:v>
                  </c:pt>
                  <c:pt idx="269">
                    <c:v>Nov</c:v>
                  </c:pt>
                  <c:pt idx="270">
                    <c:v>Nov</c:v>
                  </c:pt>
                  <c:pt idx="271">
                    <c:v>Nov</c:v>
                  </c:pt>
                  <c:pt idx="272">
                    <c:v>Nov</c:v>
                  </c:pt>
                  <c:pt idx="273">
                    <c:v>Nov</c:v>
                  </c:pt>
                  <c:pt idx="274">
                    <c:v>Nov</c:v>
                  </c:pt>
                  <c:pt idx="276">
                    <c:v>Nov</c:v>
                  </c:pt>
                  <c:pt idx="277">
                    <c:v>Nov</c:v>
                  </c:pt>
                  <c:pt idx="278">
                    <c:v>Nov</c:v>
                  </c:pt>
                  <c:pt idx="279">
                    <c:v>Nov</c:v>
                  </c:pt>
                  <c:pt idx="280">
                    <c:v>Nov</c:v>
                  </c:pt>
                  <c:pt idx="281">
                    <c:v>Nov</c:v>
                  </c:pt>
                  <c:pt idx="282">
                    <c:v>Nov</c:v>
                  </c:pt>
                  <c:pt idx="283">
                    <c:v>Nov</c:v>
                  </c:pt>
                  <c:pt idx="284">
                    <c:v>Nov</c:v>
                  </c:pt>
                  <c:pt idx="285">
                    <c:v>Dec</c:v>
                  </c:pt>
                  <c:pt idx="286">
                    <c:v>Dec</c:v>
                  </c:pt>
                  <c:pt idx="287">
                    <c:v>Dec</c:v>
                  </c:pt>
                  <c:pt idx="288">
                    <c:v>Dec</c:v>
                  </c:pt>
                  <c:pt idx="289">
                    <c:v>Dec</c:v>
                  </c:pt>
                  <c:pt idx="290">
                    <c:v>Dec</c:v>
                  </c:pt>
                  <c:pt idx="291">
                    <c:v>Dec</c:v>
                  </c:pt>
                  <c:pt idx="292">
                    <c:v>Dec</c:v>
                  </c:pt>
                  <c:pt idx="293">
                    <c:v>Dec</c:v>
                  </c:pt>
                  <c:pt idx="294">
                    <c:v>Dec</c:v>
                  </c:pt>
                  <c:pt idx="295">
                    <c:v>Dec</c:v>
                  </c:pt>
                  <c:pt idx="296">
                    <c:v>Dec</c:v>
                  </c:pt>
                  <c:pt idx="297">
                    <c:v>Dec</c:v>
                  </c:pt>
                  <c:pt idx="298">
                    <c:v>Dec</c:v>
                  </c:pt>
                  <c:pt idx="299">
                    <c:v>Dec</c:v>
                  </c:pt>
                  <c:pt idx="300">
                    <c:v>Dec</c:v>
                  </c:pt>
                  <c:pt idx="301">
                    <c:v>Dec</c:v>
                  </c:pt>
                  <c:pt idx="302">
                    <c:v>Dec</c:v>
                  </c:pt>
                  <c:pt idx="303">
                    <c:v>Dec</c:v>
                  </c:pt>
                  <c:pt idx="304">
                    <c:v>Dec</c:v>
                  </c:pt>
                  <c:pt idx="306">
                    <c:v>Dec</c:v>
                  </c:pt>
                  <c:pt idx="307">
                    <c:v>Dec</c:v>
                  </c:pt>
                  <c:pt idx="308">
                    <c:v>Dec</c:v>
                  </c:pt>
                  <c:pt idx="309">
                    <c:v>Dec</c:v>
                  </c:pt>
                  <c:pt idx="310">
                    <c:v>Dec</c:v>
                  </c:pt>
                  <c:pt idx="311">
                    <c:v>Dec</c:v>
                  </c:pt>
                  <c:pt idx="312">
                    <c:v>Dec</c:v>
                  </c:pt>
                  <c:pt idx="313">
                    <c:v>Dec</c:v>
                  </c:pt>
                  <c:pt idx="314">
                    <c:v>Dec</c:v>
                  </c:pt>
                  <c:pt idx="315">
                    <c:v>Dec</c:v>
                  </c:pt>
                  <c:pt idx="316">
                    <c:v>Jan</c:v>
                  </c:pt>
                  <c:pt idx="317">
                    <c:v>Jan</c:v>
                  </c:pt>
                  <c:pt idx="318">
                    <c:v>Jan</c:v>
                  </c:pt>
                  <c:pt idx="319">
                    <c:v>Jan</c:v>
                  </c:pt>
                  <c:pt idx="320">
                    <c:v>Jan</c:v>
                  </c:pt>
                  <c:pt idx="321">
                    <c:v>Jan</c:v>
                  </c:pt>
                  <c:pt idx="322">
                    <c:v>Jan</c:v>
                  </c:pt>
                  <c:pt idx="323">
                    <c:v>Jan</c:v>
                  </c:pt>
                  <c:pt idx="324">
                    <c:v>Jan</c:v>
                  </c:pt>
                  <c:pt idx="325">
                    <c:v>Jan</c:v>
                  </c:pt>
                  <c:pt idx="326">
                    <c:v>Jan</c:v>
                  </c:pt>
                  <c:pt idx="327">
                    <c:v>Jan</c:v>
                  </c:pt>
                  <c:pt idx="328">
                    <c:v>Jan</c:v>
                  </c:pt>
                  <c:pt idx="329">
                    <c:v>Jan</c:v>
                  </c:pt>
                  <c:pt idx="330">
                    <c:v>Jan</c:v>
                  </c:pt>
                  <c:pt idx="331">
                    <c:v>Jan</c:v>
                  </c:pt>
                  <c:pt idx="332">
                    <c:v>Jan</c:v>
                  </c:pt>
                  <c:pt idx="333">
                    <c:v>Jan</c:v>
                  </c:pt>
                  <c:pt idx="334">
                    <c:v>Jan</c:v>
                  </c:pt>
                  <c:pt idx="335">
                    <c:v>Jan</c:v>
                  </c:pt>
                  <c:pt idx="337">
                    <c:v>Jan</c:v>
                  </c:pt>
                  <c:pt idx="338">
                    <c:v>Jan</c:v>
                  </c:pt>
                  <c:pt idx="339">
                    <c:v>Jan</c:v>
                  </c:pt>
                  <c:pt idx="340">
                    <c:v>Jan</c:v>
                  </c:pt>
                  <c:pt idx="341">
                    <c:v>Jan</c:v>
                  </c:pt>
                  <c:pt idx="342">
                    <c:v>Jan</c:v>
                  </c:pt>
                  <c:pt idx="343">
                    <c:v>Jan</c:v>
                  </c:pt>
                  <c:pt idx="344">
                    <c:v>Jan</c:v>
                  </c:pt>
                  <c:pt idx="345">
                    <c:v>Jan</c:v>
                  </c:pt>
                  <c:pt idx="346">
                    <c:v>Jan</c:v>
                  </c:pt>
                  <c:pt idx="347">
                    <c:v>Feb</c:v>
                  </c:pt>
                  <c:pt idx="348">
                    <c:v>Feb</c:v>
                  </c:pt>
                  <c:pt idx="349">
                    <c:v>Feb</c:v>
                  </c:pt>
                  <c:pt idx="350">
                    <c:v>Feb</c:v>
                  </c:pt>
                  <c:pt idx="351">
                    <c:v>Feb</c:v>
                  </c:pt>
                  <c:pt idx="352">
                    <c:v>Feb</c:v>
                  </c:pt>
                  <c:pt idx="353">
                    <c:v>Feb</c:v>
                  </c:pt>
                  <c:pt idx="354">
                    <c:v>Feb</c:v>
                  </c:pt>
                  <c:pt idx="355">
                    <c:v>Feb</c:v>
                  </c:pt>
                  <c:pt idx="356">
                    <c:v>Feb</c:v>
                  </c:pt>
                  <c:pt idx="357">
                    <c:v>Feb</c:v>
                  </c:pt>
                  <c:pt idx="358">
                    <c:v>Feb</c:v>
                  </c:pt>
                  <c:pt idx="359">
                    <c:v>Feb</c:v>
                  </c:pt>
                  <c:pt idx="360">
                    <c:v>Feb</c:v>
                  </c:pt>
                  <c:pt idx="361">
                    <c:v>Feb</c:v>
                  </c:pt>
                  <c:pt idx="362">
                    <c:v>Feb</c:v>
                  </c:pt>
                  <c:pt idx="363">
                    <c:v>Feb</c:v>
                  </c:pt>
                  <c:pt idx="364">
                    <c:v>Feb</c:v>
                  </c:pt>
                </c:lvl>
                <c:lvl>
                  <c:pt idx="0">
                    <c:v>19</c:v>
                  </c:pt>
                  <c:pt idx="1">
                    <c:v>20</c:v>
                  </c:pt>
                  <c:pt idx="2">
                    <c:v>21</c:v>
                  </c:pt>
                  <c:pt idx="3">
                    <c:v>22</c:v>
                  </c:pt>
                  <c:pt idx="4">
                    <c:v>23</c:v>
                  </c:pt>
                  <c:pt idx="5">
                    <c:v>24</c:v>
                  </c:pt>
                  <c:pt idx="6">
                    <c:v>25</c:v>
                  </c:pt>
                  <c:pt idx="7">
                    <c:v>26</c:v>
                  </c:pt>
                  <c:pt idx="8">
                    <c:v>27</c:v>
                  </c:pt>
                  <c:pt idx="9">
                    <c:v>28</c:v>
                  </c:pt>
                  <c:pt idx="10">
                    <c:v>1</c:v>
                  </c:pt>
                  <c:pt idx="11">
                    <c:v>2</c:v>
                  </c:pt>
                  <c:pt idx="12">
                    <c:v>3</c:v>
                  </c:pt>
                  <c:pt idx="13">
                    <c:v>4</c:v>
                  </c:pt>
                  <c:pt idx="14">
                    <c:v>5</c:v>
                  </c:pt>
                  <c:pt idx="15">
                    <c:v>6</c:v>
                  </c:pt>
                  <c:pt idx="16">
                    <c:v>7</c:v>
                  </c:pt>
                  <c:pt idx="17">
                    <c:v>8</c:v>
                  </c:pt>
                  <c:pt idx="18">
                    <c:v>9</c:v>
                  </c:pt>
                  <c:pt idx="19">
                    <c:v>10</c:v>
                  </c:pt>
                  <c:pt idx="20">
                    <c:v>11</c:v>
                  </c:pt>
                  <c:pt idx="21">
                    <c:v>12</c:v>
                  </c:pt>
                  <c:pt idx="22">
                    <c:v>13</c:v>
                  </c:pt>
                  <c:pt idx="23">
                    <c:v>14</c:v>
                  </c:pt>
                  <c:pt idx="24">
                    <c:v>15</c:v>
                  </c:pt>
                  <c:pt idx="25">
                    <c:v>16</c:v>
                  </c:pt>
                  <c:pt idx="26">
                    <c:v>17</c:v>
                  </c:pt>
                  <c:pt idx="27">
                    <c:v>18</c:v>
                  </c:pt>
                  <c:pt idx="28">
                    <c:v>19</c:v>
                  </c:pt>
                  <c:pt idx="29">
                    <c:v>20</c:v>
                  </c:pt>
                  <c:pt idx="30">
                    <c:v>21</c:v>
                  </c:pt>
                  <c:pt idx="31">
                    <c:v>22</c:v>
                  </c:pt>
                  <c:pt idx="32">
                    <c:v>23</c:v>
                  </c:pt>
                  <c:pt idx="33">
                    <c:v>24</c:v>
                  </c:pt>
                  <c:pt idx="34">
                    <c:v>25</c:v>
                  </c:pt>
                  <c:pt idx="35">
                    <c:v>26</c:v>
                  </c:pt>
                  <c:pt idx="36">
                    <c:v>27</c:v>
                  </c:pt>
                  <c:pt idx="37">
                    <c:v>28</c:v>
                  </c:pt>
                  <c:pt idx="38">
                    <c:v>29</c:v>
                  </c:pt>
                  <c:pt idx="39">
                    <c:v>30</c:v>
                  </c:pt>
                  <c:pt idx="40">
                    <c:v>31</c:v>
                  </c:pt>
                  <c:pt idx="41">
                    <c:v>1</c:v>
                  </c:pt>
                  <c:pt idx="42">
                    <c:v>2</c:v>
                  </c:pt>
                  <c:pt idx="43">
                    <c:v>3</c:v>
                  </c:pt>
                  <c:pt idx="44">
                    <c:v>4</c:v>
                  </c:pt>
                  <c:pt idx="45">
                    <c:v>5</c:v>
                  </c:pt>
                  <c:pt idx="46">
                    <c:v>6</c:v>
                  </c:pt>
                  <c:pt idx="47">
                    <c:v>7</c:v>
                  </c:pt>
                  <c:pt idx="48">
                    <c:v>8</c:v>
                  </c:pt>
                  <c:pt idx="49">
                    <c:v>9</c:v>
                  </c:pt>
                  <c:pt idx="50">
                    <c:v>10</c:v>
                  </c:pt>
                  <c:pt idx="51">
                    <c:v>11</c:v>
                  </c:pt>
                  <c:pt idx="52">
                    <c:v>12</c:v>
                  </c:pt>
                  <c:pt idx="53">
                    <c:v>13</c:v>
                  </c:pt>
                  <c:pt idx="54">
                    <c:v>14</c:v>
                  </c:pt>
                  <c:pt idx="55">
                    <c:v>15</c:v>
                  </c:pt>
                  <c:pt idx="56">
                    <c:v>16</c:v>
                  </c:pt>
                  <c:pt idx="57">
                    <c:v>17</c:v>
                  </c:pt>
                  <c:pt idx="58">
                    <c:v>18</c:v>
                  </c:pt>
                  <c:pt idx="59">
                    <c:v>19</c:v>
                  </c:pt>
                  <c:pt idx="60">
                    <c:v>20</c:v>
                  </c:pt>
                  <c:pt idx="61">
                    <c:v>21</c:v>
                  </c:pt>
                  <c:pt idx="62">
                    <c:v>22</c:v>
                  </c:pt>
                  <c:pt idx="63">
                    <c:v>23</c:v>
                  </c:pt>
                  <c:pt idx="64">
                    <c:v>24</c:v>
                  </c:pt>
                  <c:pt idx="65">
                    <c:v>25</c:v>
                  </c:pt>
                  <c:pt idx="66">
                    <c:v>26</c:v>
                  </c:pt>
                  <c:pt idx="67">
                    <c:v>27</c:v>
                  </c:pt>
                  <c:pt idx="68">
                    <c:v>28</c:v>
                  </c:pt>
                  <c:pt idx="69">
                    <c:v>29</c:v>
                  </c:pt>
                  <c:pt idx="70">
                    <c:v>30</c:v>
                  </c:pt>
                  <c:pt idx="71">
                    <c:v>1</c:v>
                  </c:pt>
                  <c:pt idx="72">
                    <c:v>2</c:v>
                  </c:pt>
                  <c:pt idx="73">
                    <c:v>3</c:v>
                  </c:pt>
                  <c:pt idx="74">
                    <c:v>4</c:v>
                  </c:pt>
                  <c:pt idx="75">
                    <c:v>5</c:v>
                  </c:pt>
                  <c:pt idx="76">
                    <c:v>6</c:v>
                  </c:pt>
                  <c:pt idx="77">
                    <c:v>7</c:v>
                  </c:pt>
                  <c:pt idx="78">
                    <c:v>8</c:v>
                  </c:pt>
                  <c:pt idx="79">
                    <c:v>9</c:v>
                  </c:pt>
                  <c:pt idx="80">
                    <c:v>10</c:v>
                  </c:pt>
                  <c:pt idx="81">
                    <c:v>11</c:v>
                  </c:pt>
                  <c:pt idx="82">
                    <c:v>12</c:v>
                  </c:pt>
                  <c:pt idx="83">
                    <c:v>13</c:v>
                  </c:pt>
                  <c:pt idx="84">
                    <c:v>14</c:v>
                  </c:pt>
                  <c:pt idx="85">
                    <c:v>15</c:v>
                  </c:pt>
                  <c:pt idx="86">
                    <c:v>16</c:v>
                  </c:pt>
                  <c:pt idx="87">
                    <c:v>17</c:v>
                  </c:pt>
                  <c:pt idx="88">
                    <c:v>18</c:v>
                  </c:pt>
                  <c:pt idx="89">
                    <c:v>19</c:v>
                  </c:pt>
                  <c:pt idx="90">
                    <c:v>20</c:v>
                  </c:pt>
                  <c:pt idx="91">
                    <c:v>21</c:v>
                  </c:pt>
                  <c:pt idx="92">
                    <c:v>22</c:v>
                  </c:pt>
                  <c:pt idx="93">
                    <c:v>23</c:v>
                  </c:pt>
                  <c:pt idx="94">
                    <c:v>24</c:v>
                  </c:pt>
                  <c:pt idx="95">
                    <c:v>25</c:v>
                  </c:pt>
                  <c:pt idx="96">
                    <c:v>26</c:v>
                  </c:pt>
                  <c:pt idx="97">
                    <c:v>27</c:v>
                  </c:pt>
                  <c:pt idx="98">
                    <c:v>28</c:v>
                  </c:pt>
                  <c:pt idx="99">
                    <c:v>29</c:v>
                  </c:pt>
                  <c:pt idx="100">
                    <c:v>30</c:v>
                  </c:pt>
                  <c:pt idx="101">
                    <c:v>31</c:v>
                  </c:pt>
                  <c:pt idx="102">
                    <c:v>1</c:v>
                  </c:pt>
                  <c:pt idx="103">
                    <c:v>2</c:v>
                  </c:pt>
                  <c:pt idx="104">
                    <c:v>3</c:v>
                  </c:pt>
                  <c:pt idx="105">
                    <c:v>4</c:v>
                  </c:pt>
                  <c:pt idx="106">
                    <c:v>5</c:v>
                  </c:pt>
                  <c:pt idx="107">
                    <c:v>6</c:v>
                  </c:pt>
                  <c:pt idx="108">
                    <c:v>7</c:v>
                  </c:pt>
                  <c:pt idx="109">
                    <c:v>8</c:v>
                  </c:pt>
                  <c:pt idx="110">
                    <c:v>9</c:v>
                  </c:pt>
                  <c:pt idx="111">
                    <c:v>10</c:v>
                  </c:pt>
                  <c:pt idx="112">
                    <c:v>11</c:v>
                  </c:pt>
                  <c:pt idx="113">
                    <c:v>12</c:v>
                  </c:pt>
                  <c:pt idx="114">
                    <c:v>13</c:v>
                  </c:pt>
                  <c:pt idx="115">
                    <c:v>14</c:v>
                  </c:pt>
                  <c:pt idx="116">
                    <c:v>15</c:v>
                  </c:pt>
                  <c:pt idx="117">
                    <c:v>16</c:v>
                  </c:pt>
                  <c:pt idx="118">
                    <c:v>17</c:v>
                  </c:pt>
                  <c:pt idx="119">
                    <c:v>18</c:v>
                  </c:pt>
                  <c:pt idx="120">
                    <c:v>19</c:v>
                  </c:pt>
                  <c:pt idx="121">
                    <c:v>20</c:v>
                  </c:pt>
                  <c:pt idx="122">
                    <c:v>21</c:v>
                  </c:pt>
                  <c:pt idx="123">
                    <c:v>22</c:v>
                  </c:pt>
                  <c:pt idx="124">
                    <c:v>23</c:v>
                  </c:pt>
                  <c:pt idx="125">
                    <c:v>24</c:v>
                  </c:pt>
                  <c:pt idx="126">
                    <c:v>25</c:v>
                  </c:pt>
                  <c:pt idx="127">
                    <c:v>26</c:v>
                  </c:pt>
                  <c:pt idx="128">
                    <c:v>27</c:v>
                  </c:pt>
                  <c:pt idx="129">
                    <c:v>28</c:v>
                  </c:pt>
                  <c:pt idx="130">
                    <c:v>29</c:v>
                  </c:pt>
                  <c:pt idx="131">
                    <c:v>30</c:v>
                  </c:pt>
                  <c:pt idx="132">
                    <c:v>1</c:v>
                  </c:pt>
                  <c:pt idx="133">
                    <c:v>2</c:v>
                  </c:pt>
                  <c:pt idx="134">
                    <c:v>3</c:v>
                  </c:pt>
                  <c:pt idx="135">
                    <c:v>4</c:v>
                  </c:pt>
                  <c:pt idx="136">
                    <c:v>5</c:v>
                  </c:pt>
                  <c:pt idx="137">
                    <c:v>6</c:v>
                  </c:pt>
                  <c:pt idx="138">
                    <c:v>7</c:v>
                  </c:pt>
                  <c:pt idx="139">
                    <c:v>8</c:v>
                  </c:pt>
                  <c:pt idx="140">
                    <c:v>9</c:v>
                  </c:pt>
                  <c:pt idx="141">
                    <c:v>10</c:v>
                  </c:pt>
                  <c:pt idx="142">
                    <c:v>11</c:v>
                  </c:pt>
                  <c:pt idx="143">
                    <c:v>12</c:v>
                  </c:pt>
                  <c:pt idx="144">
                    <c:v>13</c:v>
                  </c:pt>
                  <c:pt idx="145">
                    <c:v>14</c:v>
                  </c:pt>
                  <c:pt idx="146">
                    <c:v>15</c:v>
                  </c:pt>
                  <c:pt idx="147">
                    <c:v>16</c:v>
                  </c:pt>
                  <c:pt idx="148">
                    <c:v>17</c:v>
                  </c:pt>
                  <c:pt idx="149">
                    <c:v>18</c:v>
                  </c:pt>
                  <c:pt idx="150">
                    <c:v>19</c:v>
                  </c:pt>
                  <c:pt idx="151">
                    <c:v>20</c:v>
                  </c:pt>
                  <c:pt idx="152">
                    <c:v>21</c:v>
                  </c:pt>
                  <c:pt idx="153">
                    <c:v>22</c:v>
                  </c:pt>
                  <c:pt idx="154">
                    <c:v>23</c:v>
                  </c:pt>
                  <c:pt idx="155">
                    <c:v>24</c:v>
                  </c:pt>
                  <c:pt idx="156">
                    <c:v>25</c:v>
                  </c:pt>
                  <c:pt idx="157">
                    <c:v>26</c:v>
                  </c:pt>
                  <c:pt idx="158">
                    <c:v>27</c:v>
                  </c:pt>
                  <c:pt idx="159">
                    <c:v>28</c:v>
                  </c:pt>
                  <c:pt idx="160">
                    <c:v>29</c:v>
                  </c:pt>
                  <c:pt idx="161">
                    <c:v>30</c:v>
                  </c:pt>
                  <c:pt idx="162">
                    <c:v>31</c:v>
                  </c:pt>
                  <c:pt idx="163">
                    <c:v>1</c:v>
                  </c:pt>
                  <c:pt idx="164">
                    <c:v>2</c:v>
                  </c:pt>
                  <c:pt idx="165">
                    <c:v>3</c:v>
                  </c:pt>
                  <c:pt idx="166">
                    <c:v>4</c:v>
                  </c:pt>
                  <c:pt idx="167">
                    <c:v>5</c:v>
                  </c:pt>
                  <c:pt idx="168">
                    <c:v>6</c:v>
                  </c:pt>
                  <c:pt idx="169">
                    <c:v>7</c:v>
                  </c:pt>
                  <c:pt idx="170">
                    <c:v>8</c:v>
                  </c:pt>
                  <c:pt idx="171">
                    <c:v>9</c:v>
                  </c:pt>
                  <c:pt idx="172">
                    <c:v>10</c:v>
                  </c:pt>
                  <c:pt idx="173">
                    <c:v>11</c:v>
                  </c:pt>
                  <c:pt idx="174">
                    <c:v>12</c:v>
                  </c:pt>
                  <c:pt idx="175">
                    <c:v>13</c:v>
                  </c:pt>
                  <c:pt idx="176">
                    <c:v>14</c:v>
                  </c:pt>
                  <c:pt idx="177">
                    <c:v>15</c:v>
                  </c:pt>
                  <c:pt idx="178">
                    <c:v>16</c:v>
                  </c:pt>
                  <c:pt idx="179">
                    <c:v>17</c:v>
                  </c:pt>
                  <c:pt idx="180">
                    <c:v>18</c:v>
                  </c:pt>
                  <c:pt idx="181">
                    <c:v>19</c:v>
                  </c:pt>
                  <c:pt idx="182">
                    <c:v>20</c:v>
                  </c:pt>
                  <c:pt idx="183">
                    <c:v>21</c:v>
                  </c:pt>
                  <c:pt idx="184">
                    <c:v>22</c:v>
                  </c:pt>
                  <c:pt idx="185">
                    <c:v>23</c:v>
                  </c:pt>
                  <c:pt idx="186">
                    <c:v>24</c:v>
                  </c:pt>
                  <c:pt idx="187">
                    <c:v>25</c:v>
                  </c:pt>
                  <c:pt idx="188">
                    <c:v>26</c:v>
                  </c:pt>
                  <c:pt idx="189">
                    <c:v>27</c:v>
                  </c:pt>
                  <c:pt idx="190">
                    <c:v>28</c:v>
                  </c:pt>
                  <c:pt idx="191">
                    <c:v>29</c:v>
                  </c:pt>
                  <c:pt idx="192">
                    <c:v>30</c:v>
                  </c:pt>
                  <c:pt idx="193">
                    <c:v>31</c:v>
                  </c:pt>
                  <c:pt idx="194">
                    <c:v>1</c:v>
                  </c:pt>
                  <c:pt idx="195">
                    <c:v>2</c:v>
                  </c:pt>
                  <c:pt idx="196">
                    <c:v>3</c:v>
                  </c:pt>
                  <c:pt idx="197">
                    <c:v>4</c:v>
                  </c:pt>
                  <c:pt idx="198">
                    <c:v>5</c:v>
                  </c:pt>
                  <c:pt idx="199">
                    <c:v>6</c:v>
                  </c:pt>
                  <c:pt idx="200">
                    <c:v>7</c:v>
                  </c:pt>
                  <c:pt idx="201">
                    <c:v>8</c:v>
                  </c:pt>
                  <c:pt idx="202">
                    <c:v>9</c:v>
                  </c:pt>
                  <c:pt idx="203">
                    <c:v>10</c:v>
                  </c:pt>
                  <c:pt idx="204">
                    <c:v>11</c:v>
                  </c:pt>
                  <c:pt idx="205">
                    <c:v>12</c:v>
                  </c:pt>
                  <c:pt idx="206">
                    <c:v>13</c:v>
                  </c:pt>
                  <c:pt idx="207">
                    <c:v>14</c:v>
                  </c:pt>
                  <c:pt idx="208">
                    <c:v>15</c:v>
                  </c:pt>
                  <c:pt idx="209">
                    <c:v>16</c:v>
                  </c:pt>
                  <c:pt idx="210">
                    <c:v>17</c:v>
                  </c:pt>
                  <c:pt idx="211">
                    <c:v>18</c:v>
                  </c:pt>
                  <c:pt idx="212">
                    <c:v>19</c:v>
                  </c:pt>
                  <c:pt idx="213">
                    <c:v>20</c:v>
                  </c:pt>
                  <c:pt idx="214">
                    <c:v>21</c:v>
                  </c:pt>
                  <c:pt idx="215">
                    <c:v>22</c:v>
                  </c:pt>
                  <c:pt idx="216">
                    <c:v>23</c:v>
                  </c:pt>
                  <c:pt idx="217">
                    <c:v>24</c:v>
                  </c:pt>
                  <c:pt idx="218">
                    <c:v>25</c:v>
                  </c:pt>
                  <c:pt idx="219">
                    <c:v>26</c:v>
                  </c:pt>
                  <c:pt idx="220">
                    <c:v>27</c:v>
                  </c:pt>
                  <c:pt idx="221">
                    <c:v>28</c:v>
                  </c:pt>
                  <c:pt idx="222">
                    <c:v>29</c:v>
                  </c:pt>
                  <c:pt idx="223">
                    <c:v>30</c:v>
                  </c:pt>
                  <c:pt idx="224">
                    <c:v>1</c:v>
                  </c:pt>
                  <c:pt idx="225">
                    <c:v>2</c:v>
                  </c:pt>
                  <c:pt idx="226">
                    <c:v>3</c:v>
                  </c:pt>
                  <c:pt idx="227">
                    <c:v>4</c:v>
                  </c:pt>
                  <c:pt idx="228">
                    <c:v>5</c:v>
                  </c:pt>
                  <c:pt idx="229">
                    <c:v>6</c:v>
                  </c:pt>
                  <c:pt idx="230">
                    <c:v>7</c:v>
                  </c:pt>
                  <c:pt idx="231">
                    <c:v>8</c:v>
                  </c:pt>
                  <c:pt idx="232">
                    <c:v>9</c:v>
                  </c:pt>
                  <c:pt idx="233">
                    <c:v>10</c:v>
                  </c:pt>
                  <c:pt idx="234">
                    <c:v>11</c:v>
                  </c:pt>
                  <c:pt idx="235">
                    <c:v>12</c:v>
                  </c:pt>
                  <c:pt idx="236">
                    <c:v>13</c:v>
                  </c:pt>
                  <c:pt idx="237">
                    <c:v>14</c:v>
                  </c:pt>
                  <c:pt idx="238">
                    <c:v>15</c:v>
                  </c:pt>
                  <c:pt idx="239">
                    <c:v>16</c:v>
                  </c:pt>
                  <c:pt idx="240">
                    <c:v>17</c:v>
                  </c:pt>
                  <c:pt idx="241">
                    <c:v>18</c:v>
                  </c:pt>
                  <c:pt idx="242">
                    <c:v>19</c:v>
                  </c:pt>
                  <c:pt idx="243">
                    <c:v>20</c:v>
                  </c:pt>
                  <c:pt idx="244">
                    <c:v>21</c:v>
                  </c:pt>
                  <c:pt idx="245">
                    <c:v>22</c:v>
                  </c:pt>
                  <c:pt idx="246">
                    <c:v>23</c:v>
                  </c:pt>
                  <c:pt idx="247">
                    <c:v>24</c:v>
                  </c:pt>
                  <c:pt idx="248">
                    <c:v>25</c:v>
                  </c:pt>
                  <c:pt idx="249">
                    <c:v>26</c:v>
                  </c:pt>
                  <c:pt idx="250">
                    <c:v>27</c:v>
                  </c:pt>
                  <c:pt idx="251">
                    <c:v>28</c:v>
                  </c:pt>
                  <c:pt idx="252">
                    <c:v>29</c:v>
                  </c:pt>
                  <c:pt idx="253">
                    <c:v>30</c:v>
                  </c:pt>
                  <c:pt idx="254">
                    <c:v>31</c:v>
                  </c:pt>
                  <c:pt idx="255">
                    <c:v>1</c:v>
                  </c:pt>
                  <c:pt idx="256">
                    <c:v>2</c:v>
                  </c:pt>
                  <c:pt idx="257">
                    <c:v>3</c:v>
                  </c:pt>
                  <c:pt idx="258">
                    <c:v>4</c:v>
                  </c:pt>
                  <c:pt idx="259">
                    <c:v>5</c:v>
                  </c:pt>
                  <c:pt idx="260">
                    <c:v>6</c:v>
                  </c:pt>
                  <c:pt idx="261">
                    <c:v>7</c:v>
                  </c:pt>
                  <c:pt idx="262">
                    <c:v>8</c:v>
                  </c:pt>
                  <c:pt idx="263">
                    <c:v>9</c:v>
                  </c:pt>
                  <c:pt idx="264">
                    <c:v>10</c:v>
                  </c:pt>
                  <c:pt idx="265">
                    <c:v>11</c:v>
                  </c:pt>
                  <c:pt idx="266">
                    <c:v>12</c:v>
                  </c:pt>
                  <c:pt idx="267">
                    <c:v>13</c:v>
                  </c:pt>
                  <c:pt idx="268">
                    <c:v>14</c:v>
                  </c:pt>
                  <c:pt idx="269">
                    <c:v>15</c:v>
                  </c:pt>
                  <c:pt idx="270">
                    <c:v>16</c:v>
                  </c:pt>
                  <c:pt idx="271">
                    <c:v>17</c:v>
                  </c:pt>
                  <c:pt idx="272">
                    <c:v>18</c:v>
                  </c:pt>
                  <c:pt idx="273">
                    <c:v>19</c:v>
                  </c:pt>
                  <c:pt idx="274">
                    <c:v>20</c:v>
                  </c:pt>
                  <c:pt idx="275">
                    <c:v>21</c:v>
                  </c:pt>
                  <c:pt idx="276">
                    <c:v>22</c:v>
                  </c:pt>
                  <c:pt idx="277">
                    <c:v>23</c:v>
                  </c:pt>
                  <c:pt idx="278">
                    <c:v>24</c:v>
                  </c:pt>
                  <c:pt idx="279">
                    <c:v>25</c:v>
                  </c:pt>
                  <c:pt idx="280">
                    <c:v>26</c:v>
                  </c:pt>
                  <c:pt idx="281">
                    <c:v>27</c:v>
                  </c:pt>
                  <c:pt idx="282">
                    <c:v>28</c:v>
                  </c:pt>
                  <c:pt idx="283">
                    <c:v>29</c:v>
                  </c:pt>
                  <c:pt idx="284">
                    <c:v>30</c:v>
                  </c:pt>
                  <c:pt idx="285">
                    <c:v>1</c:v>
                  </c:pt>
                  <c:pt idx="286">
                    <c:v>2</c:v>
                  </c:pt>
                  <c:pt idx="287">
                    <c:v>3</c:v>
                  </c:pt>
                  <c:pt idx="288">
                    <c:v>4</c:v>
                  </c:pt>
                  <c:pt idx="289">
                    <c:v>5</c:v>
                  </c:pt>
                  <c:pt idx="290">
                    <c:v>6</c:v>
                  </c:pt>
                  <c:pt idx="291">
                    <c:v>7</c:v>
                  </c:pt>
                  <c:pt idx="292">
                    <c:v>8</c:v>
                  </c:pt>
                  <c:pt idx="293">
                    <c:v>9</c:v>
                  </c:pt>
                  <c:pt idx="294">
                    <c:v>10</c:v>
                  </c:pt>
                  <c:pt idx="295">
                    <c:v>11</c:v>
                  </c:pt>
                  <c:pt idx="296">
                    <c:v>12</c:v>
                  </c:pt>
                  <c:pt idx="297">
                    <c:v>13</c:v>
                  </c:pt>
                  <c:pt idx="298">
                    <c:v>14</c:v>
                  </c:pt>
                  <c:pt idx="299">
                    <c:v>15</c:v>
                  </c:pt>
                  <c:pt idx="300">
                    <c:v>16</c:v>
                  </c:pt>
                  <c:pt idx="301">
                    <c:v>17</c:v>
                  </c:pt>
                  <c:pt idx="302">
                    <c:v>18</c:v>
                  </c:pt>
                  <c:pt idx="303">
                    <c:v>19</c:v>
                  </c:pt>
                  <c:pt idx="304">
                    <c:v>20</c:v>
                  </c:pt>
                  <c:pt idx="305">
                    <c:v>21</c:v>
                  </c:pt>
                  <c:pt idx="306">
                    <c:v>22</c:v>
                  </c:pt>
                  <c:pt idx="307">
                    <c:v>23</c:v>
                  </c:pt>
                  <c:pt idx="308">
                    <c:v>24</c:v>
                  </c:pt>
                  <c:pt idx="309">
                    <c:v>25</c:v>
                  </c:pt>
                  <c:pt idx="310">
                    <c:v>26</c:v>
                  </c:pt>
                  <c:pt idx="311">
                    <c:v>27</c:v>
                  </c:pt>
                  <c:pt idx="312">
                    <c:v>28</c:v>
                  </c:pt>
                  <c:pt idx="313">
                    <c:v>29</c:v>
                  </c:pt>
                  <c:pt idx="314">
                    <c:v>30</c:v>
                  </c:pt>
                  <c:pt idx="315">
                    <c:v>31</c:v>
                  </c:pt>
                  <c:pt idx="316">
                    <c:v>1</c:v>
                  </c:pt>
                  <c:pt idx="317">
                    <c:v>2</c:v>
                  </c:pt>
                  <c:pt idx="318">
                    <c:v>3</c:v>
                  </c:pt>
                  <c:pt idx="319">
                    <c:v>4</c:v>
                  </c:pt>
                  <c:pt idx="320">
                    <c:v>5</c:v>
                  </c:pt>
                  <c:pt idx="321">
                    <c:v>6</c:v>
                  </c:pt>
                  <c:pt idx="322">
                    <c:v>7</c:v>
                  </c:pt>
                  <c:pt idx="323">
                    <c:v>8</c:v>
                  </c:pt>
                  <c:pt idx="324">
                    <c:v>9</c:v>
                  </c:pt>
                  <c:pt idx="325">
                    <c:v>10</c:v>
                  </c:pt>
                  <c:pt idx="326">
                    <c:v>11</c:v>
                  </c:pt>
                  <c:pt idx="327">
                    <c:v>12</c:v>
                  </c:pt>
                  <c:pt idx="328">
                    <c:v>13</c:v>
                  </c:pt>
                  <c:pt idx="329">
                    <c:v>14</c:v>
                  </c:pt>
                  <c:pt idx="330">
                    <c:v>15</c:v>
                  </c:pt>
                  <c:pt idx="331">
                    <c:v>16</c:v>
                  </c:pt>
                  <c:pt idx="332">
                    <c:v>17</c:v>
                  </c:pt>
                  <c:pt idx="333">
                    <c:v>18</c:v>
                  </c:pt>
                  <c:pt idx="334">
                    <c:v>19</c:v>
                  </c:pt>
                  <c:pt idx="335">
                    <c:v>20</c:v>
                  </c:pt>
                  <c:pt idx="336">
                    <c:v>21</c:v>
                  </c:pt>
                  <c:pt idx="337">
                    <c:v>22</c:v>
                  </c:pt>
                  <c:pt idx="338">
                    <c:v>23</c:v>
                  </c:pt>
                  <c:pt idx="339">
                    <c:v>24</c:v>
                  </c:pt>
                  <c:pt idx="340">
                    <c:v>25</c:v>
                  </c:pt>
                  <c:pt idx="341">
                    <c:v>26</c:v>
                  </c:pt>
                  <c:pt idx="342">
                    <c:v>27</c:v>
                  </c:pt>
                  <c:pt idx="343">
                    <c:v>28</c:v>
                  </c:pt>
                  <c:pt idx="344">
                    <c:v>29</c:v>
                  </c:pt>
                  <c:pt idx="345">
                    <c:v>30</c:v>
                  </c:pt>
                  <c:pt idx="346">
                    <c:v>31</c:v>
                  </c:pt>
                  <c:pt idx="347">
                    <c:v>1</c:v>
                  </c:pt>
                  <c:pt idx="348">
                    <c:v>2</c:v>
                  </c:pt>
                  <c:pt idx="349">
                    <c:v>3</c:v>
                  </c:pt>
                  <c:pt idx="350">
                    <c:v>4</c:v>
                  </c:pt>
                  <c:pt idx="351">
                    <c:v>5</c:v>
                  </c:pt>
                  <c:pt idx="352">
                    <c:v>6</c:v>
                  </c:pt>
                  <c:pt idx="353">
                    <c:v>7</c:v>
                  </c:pt>
                  <c:pt idx="354">
                    <c:v>8</c:v>
                  </c:pt>
                  <c:pt idx="355">
                    <c:v>9</c:v>
                  </c:pt>
                  <c:pt idx="356">
                    <c:v>10</c:v>
                  </c:pt>
                  <c:pt idx="357">
                    <c:v>11</c:v>
                  </c:pt>
                  <c:pt idx="358">
                    <c:v>12</c:v>
                  </c:pt>
                  <c:pt idx="359">
                    <c:v>13</c:v>
                  </c:pt>
                  <c:pt idx="360">
                    <c:v>14</c:v>
                  </c:pt>
                  <c:pt idx="361">
                    <c:v>15</c:v>
                  </c:pt>
                  <c:pt idx="362">
                    <c:v>16</c:v>
                  </c:pt>
                  <c:pt idx="363">
                    <c:v>17</c:v>
                  </c:pt>
                  <c:pt idx="364">
                    <c:v>18</c:v>
                  </c:pt>
                </c:lvl>
                <c:lvl>
                  <c:pt idx="0">
                    <c:v>2</c:v>
                  </c:pt>
                  <c:pt idx="10">
                    <c:v>3</c:v>
                  </c:pt>
                  <c:pt idx="41">
                    <c:v>4</c:v>
                  </c:pt>
                  <c:pt idx="71">
                    <c:v>5</c:v>
                  </c:pt>
                  <c:pt idx="102">
                    <c:v>6</c:v>
                  </c:pt>
                  <c:pt idx="132">
                    <c:v>7</c:v>
                  </c:pt>
                  <c:pt idx="163">
                    <c:v>8</c:v>
                  </c:pt>
                  <c:pt idx="194">
                    <c:v>9</c:v>
                  </c:pt>
                  <c:pt idx="224">
                    <c:v>10</c:v>
                  </c:pt>
                  <c:pt idx="255">
                    <c:v>11</c:v>
                  </c:pt>
                  <c:pt idx="285">
                    <c:v>12</c:v>
                  </c:pt>
                  <c:pt idx="316">
                    <c:v>1</c:v>
                  </c:pt>
                  <c:pt idx="347">
                    <c:v>2</c:v>
                  </c:pt>
                </c:lvl>
                <c:lvl>
                  <c:pt idx="0">
                    <c:v>2014</c:v>
                  </c:pt>
                  <c:pt idx="316">
                    <c:v>2015</c:v>
                  </c:pt>
                </c:lvl>
              </c:multiLvlStrCache>
            </c:multiLvlStrRef>
          </c:cat>
          <c:val>
            <c:numRef>
              <c:f>Sheet1!$D$2:$D$735</c:f>
              <c:numCache>
                <c:formatCode>General</c:formatCode>
                <c:ptCount val="365"/>
                <c:pt idx="0">
                  <c:v>109.51250000000125</c:v>
                </c:pt>
                <c:pt idx="1">
                  <c:v>135.78250000000131</c:v>
                </c:pt>
                <c:pt idx="2">
                  <c:v>127.90000000000174</c:v>
                </c:pt>
                <c:pt idx="3">
                  <c:v>130.07249999999684</c:v>
                </c:pt>
                <c:pt idx="4">
                  <c:v>112.67374999999858</c:v>
                </c:pt>
                <c:pt idx="5">
                  <c:v>123.98749999999916</c:v>
                </c:pt>
                <c:pt idx="6">
                  <c:v>126.53250000000185</c:v>
                </c:pt>
                <c:pt idx="7">
                  <c:v>85.923750000000581</c:v>
                </c:pt>
                <c:pt idx="8">
                  <c:v>158.70624999999924</c:v>
                </c:pt>
                <c:pt idx="9">
                  <c:v>118.21874999999739</c:v>
                </c:pt>
                <c:pt idx="10">
                  <c:v>121.74624999999762</c:v>
                </c:pt>
                <c:pt idx="11">
                  <c:v>95.572500000002478</c:v>
                </c:pt>
                <c:pt idx="12">
                  <c:v>146.09374999999818</c:v>
                </c:pt>
                <c:pt idx="13">
                  <c:v>125.47375000000015</c:v>
                </c:pt>
                <c:pt idx="14">
                  <c:v>103.54249999999986</c:v>
                </c:pt>
                <c:pt idx="15">
                  <c:v>116.07999999999846</c:v>
                </c:pt>
                <c:pt idx="16">
                  <c:v>140.33749999999824</c:v>
                </c:pt>
                <c:pt idx="17">
                  <c:v>107.9474999999992</c:v>
                </c:pt>
                <c:pt idx="18">
                  <c:v>152.94874999999641</c:v>
                </c:pt>
                <c:pt idx="19">
                  <c:v>130.86374999999941</c:v>
                </c:pt>
                <c:pt idx="20">
                  <c:v>131.40249999999673</c:v>
                </c:pt>
                <c:pt idx="21">
                  <c:v>146.36499999999506</c:v>
                </c:pt>
                <c:pt idx="22">
                  <c:v>150.0999999999967</c:v>
                </c:pt>
                <c:pt idx="23">
                  <c:v>112.81374999999839</c:v>
                </c:pt>
                <c:pt idx="24">
                  <c:v>149.48500000000223</c:v>
                </c:pt>
                <c:pt idx="25">
                  <c:v>144.50875000000002</c:v>
                </c:pt>
                <c:pt idx="26">
                  <c:v>121.1125</c:v>
                </c:pt>
                <c:pt idx="27">
                  <c:v>109.71875000000081</c:v>
                </c:pt>
                <c:pt idx="28">
                  <c:v>139.64249999999842</c:v>
                </c:pt>
                <c:pt idx="29">
                  <c:v>94.852500000002678</c:v>
                </c:pt>
                <c:pt idx="30">
                  <c:v>134.24124999999907</c:v>
                </c:pt>
                <c:pt idx="31">
                  <c:v>103.15000000000164</c:v>
                </c:pt>
                <c:pt idx="32">
                  <c:v>85.413750000002096</c:v>
                </c:pt>
                <c:pt idx="33">
                  <c:v>160.35624999999823</c:v>
                </c:pt>
                <c:pt idx="34">
                  <c:v>106.60000000000041</c:v>
                </c:pt>
                <c:pt idx="35">
                  <c:v>110.29875000000314</c:v>
                </c:pt>
                <c:pt idx="36">
                  <c:v>87.891250000001477</c:v>
                </c:pt>
                <c:pt idx="37">
                  <c:v>98.205000000001348</c:v>
                </c:pt>
                <c:pt idx="38">
                  <c:v>157.95499999999549</c:v>
                </c:pt>
                <c:pt idx="39">
                  <c:v>165.13249999999726</c:v>
                </c:pt>
                <c:pt idx="40">
                  <c:v>130.67749999999623</c:v>
                </c:pt>
                <c:pt idx="41">
                  <c:v>142.37249999999707</c:v>
                </c:pt>
                <c:pt idx="42">
                  <c:v>117.96124999999691</c:v>
                </c:pt>
                <c:pt idx="43">
                  <c:v>109.21624999999712</c:v>
                </c:pt>
                <c:pt idx="44">
                  <c:v>116.02874999999634</c:v>
                </c:pt>
                <c:pt idx="45">
                  <c:v>98.932500000000033</c:v>
                </c:pt>
                <c:pt idx="46">
                  <c:v>105.11750000000016</c:v>
                </c:pt>
                <c:pt idx="47">
                  <c:v>103.04500000000054</c:v>
                </c:pt>
                <c:pt idx="48">
                  <c:v>138.9812499999997</c:v>
                </c:pt>
                <c:pt idx="49">
                  <c:v>163.28375000000216</c:v>
                </c:pt>
                <c:pt idx="50">
                  <c:v>130.21750000000179</c:v>
                </c:pt>
                <c:pt idx="51">
                  <c:v>166.13249999999991</c:v>
                </c:pt>
                <c:pt idx="52">
                  <c:v>118.18624999999952</c:v>
                </c:pt>
                <c:pt idx="53">
                  <c:v>179.28499999999553</c:v>
                </c:pt>
                <c:pt idx="54">
                  <c:v>145.72624999999749</c:v>
                </c:pt>
                <c:pt idx="55">
                  <c:v>186.84624999999451</c:v>
                </c:pt>
                <c:pt idx="56">
                  <c:v>183.99749999999628</c:v>
                </c:pt>
                <c:pt idx="57">
                  <c:v>143.06249999999721</c:v>
                </c:pt>
                <c:pt idx="58">
                  <c:v>186.84624999999451</c:v>
                </c:pt>
                <c:pt idx="59">
                  <c:v>121.44624999999954</c:v>
                </c:pt>
                <c:pt idx="60">
                  <c:v>106.039999999999</c:v>
                </c:pt>
                <c:pt idx="61">
                  <c:v>118.67374999999878</c:v>
                </c:pt>
                <c:pt idx="62">
                  <c:v>87.891250000001477</c:v>
                </c:pt>
                <c:pt idx="63">
                  <c:v>88.830000000001519</c:v>
                </c:pt>
                <c:pt idx="64">
                  <c:v>159.8262499999999</c:v>
                </c:pt>
                <c:pt idx="65">
                  <c:v>100.6562500000023</c:v>
                </c:pt>
                <c:pt idx="66">
                  <c:v>94.940000000002726</c:v>
                </c:pt>
                <c:pt idx="67">
                  <c:v>110.09124999999806</c:v>
                </c:pt>
                <c:pt idx="68">
                  <c:v>149.48499999999859</c:v>
                </c:pt>
                <c:pt idx="69">
                  <c:v>114.19124999999568</c:v>
                </c:pt>
                <c:pt idx="70">
                  <c:v>107.86375000000098</c:v>
                </c:pt>
                <c:pt idx="71">
                  <c:v>91.297500000002216</c:v>
                </c:pt>
                <c:pt idx="72">
                  <c:v>126.32499999999929</c:v>
                </c:pt>
                <c:pt idx="73">
                  <c:v>157.01499999999453</c:v>
                </c:pt>
                <c:pt idx="74">
                  <c:v>116.07999999999846</c:v>
                </c:pt>
                <c:pt idx="75">
                  <c:v>127.21499999999742</c:v>
                </c:pt>
                <c:pt idx="76">
                  <c:v>132.300000000002</c:v>
                </c:pt>
                <c:pt idx="77">
                  <c:v>114.27125000000106</c:v>
                </c:pt>
                <c:pt idx="78">
                  <c:v>104.82250000000096</c:v>
                </c:pt>
                <c:pt idx="79">
                  <c:v>117.04624999999864</c:v>
                </c:pt>
                <c:pt idx="80">
                  <c:v>95.683750000002689</c:v>
                </c:pt>
                <c:pt idx="81">
                  <c:v>102.18500000000218</c:v>
                </c:pt>
                <c:pt idx="82">
                  <c:v>110.21500000000336</c:v>
                </c:pt>
                <c:pt idx="83">
                  <c:v>102.06000000000044</c:v>
                </c:pt>
                <c:pt idx="84">
                  <c:v>158.72499999999948</c:v>
                </c:pt>
                <c:pt idx="85">
                  <c:v>143.06249999999841</c:v>
                </c:pt>
                <c:pt idx="86">
                  <c:v>163.28375000000216</c:v>
                </c:pt>
                <c:pt idx="87">
                  <c:v>187.18499999999469</c:v>
                </c:pt>
                <c:pt idx="88">
                  <c:v>177.42124999999888</c:v>
                </c:pt>
                <c:pt idx="89">
                  <c:v>141.28750000000178</c:v>
                </c:pt>
                <c:pt idx="90">
                  <c:v>99.452500000002203</c:v>
                </c:pt>
                <c:pt idx="91">
                  <c:v>143.86249999999927</c:v>
                </c:pt>
                <c:pt idx="92">
                  <c:v>88.48125000000249</c:v>
                </c:pt>
                <c:pt idx="93">
                  <c:v>107.63374999999839</c:v>
                </c:pt>
                <c:pt idx="94">
                  <c:v>91.412500000003135</c:v>
                </c:pt>
                <c:pt idx="95">
                  <c:v>118.408750000003</c:v>
                </c:pt>
                <c:pt idx="96">
                  <c:v>133.04874999999541</c:v>
                </c:pt>
                <c:pt idx="97">
                  <c:v>98.110000000002216</c:v>
                </c:pt>
                <c:pt idx="98">
                  <c:v>84.136250000001908</c:v>
                </c:pt>
                <c:pt idx="99">
                  <c:v>81.320000000002878</c:v>
                </c:pt>
                <c:pt idx="100">
                  <c:v>106.39999999999617</c:v>
                </c:pt>
                <c:pt idx="101">
                  <c:v>125.4862499999997</c:v>
                </c:pt>
                <c:pt idx="102">
                  <c:v>145.72624999999749</c:v>
                </c:pt>
                <c:pt idx="103">
                  <c:v>112.67374999999885</c:v>
                </c:pt>
                <c:pt idx="104">
                  <c:v>116.07999999999846</c:v>
                </c:pt>
                <c:pt idx="105">
                  <c:v>88.48125000000249</c:v>
                </c:pt>
                <c:pt idx="106">
                  <c:v>155.50374999999778</c:v>
                </c:pt>
                <c:pt idx="107">
                  <c:v>179.28499999999858</c:v>
                </c:pt>
                <c:pt idx="108">
                  <c:v>123.12625000000151</c:v>
                </c:pt>
                <c:pt idx="109">
                  <c:v>110.71750000000218</c:v>
                </c:pt>
                <c:pt idx="110">
                  <c:v>99.730000000001553</c:v>
                </c:pt>
                <c:pt idx="111">
                  <c:v>125.68000000000367</c:v>
                </c:pt>
                <c:pt idx="112">
                  <c:v>120.60750000000054</c:v>
                </c:pt>
                <c:pt idx="113">
                  <c:v>177.42124999999734</c:v>
                </c:pt>
                <c:pt idx="114">
                  <c:v>114.59375000000023</c:v>
                </c:pt>
                <c:pt idx="115">
                  <c:v>121.24125000000026</c:v>
                </c:pt>
                <c:pt idx="116">
                  <c:v>109.62500000000047</c:v>
                </c:pt>
                <c:pt idx="117">
                  <c:v>134.28375000000199</c:v>
                </c:pt>
                <c:pt idx="118">
                  <c:v>87.277500000002021</c:v>
                </c:pt>
                <c:pt idx="119">
                  <c:v>122.24499999999712</c:v>
                </c:pt>
                <c:pt idx="120">
                  <c:v>108.44749999999779</c:v>
                </c:pt>
                <c:pt idx="121">
                  <c:v>158.90999999999696</c:v>
                </c:pt>
                <c:pt idx="122">
                  <c:v>125.31999999999644</c:v>
                </c:pt>
                <c:pt idx="123">
                  <c:v>126.8112499999974</c:v>
                </c:pt>
                <c:pt idx="124">
                  <c:v>123.86499999999991</c:v>
                </c:pt>
                <c:pt idx="125">
                  <c:v>115.33749999999773</c:v>
                </c:pt>
                <c:pt idx="126">
                  <c:v>138.34999999999656</c:v>
                </c:pt>
                <c:pt idx="127">
                  <c:v>110.64999999999765</c:v>
                </c:pt>
                <c:pt idx="128">
                  <c:v>105.66125000000096</c:v>
                </c:pt>
                <c:pt idx="129">
                  <c:v>87.891250000001477</c:v>
                </c:pt>
                <c:pt idx="130">
                  <c:v>116.99624999999999</c:v>
                </c:pt>
                <c:pt idx="131">
                  <c:v>147.92874999999771</c:v>
                </c:pt>
                <c:pt idx="132">
                  <c:v>163.43749999999741</c:v>
                </c:pt>
                <c:pt idx="133">
                  <c:v>128.67499999999691</c:v>
                </c:pt>
                <c:pt idx="134">
                  <c:v>112.01374999999909</c:v>
                </c:pt>
                <c:pt idx="135">
                  <c:v>127.73624999999902</c:v>
                </c:pt>
                <c:pt idx="136">
                  <c:v>126.62125000000023</c:v>
                </c:pt>
                <c:pt idx="137">
                  <c:v>141.35249999999934</c:v>
                </c:pt>
                <c:pt idx="138">
                  <c:v>128.15499999999977</c:v>
                </c:pt>
                <c:pt idx="139">
                  <c:v>127.20000000000073</c:v>
                </c:pt>
                <c:pt idx="140">
                  <c:v>96.596250000002243</c:v>
                </c:pt>
                <c:pt idx="141">
                  <c:v>168.14999999999642</c:v>
                </c:pt>
                <c:pt idx="142">
                  <c:v>127.21500000000047</c:v>
                </c:pt>
                <c:pt idx="143">
                  <c:v>135.57624999999541</c:v>
                </c:pt>
                <c:pt idx="144">
                  <c:v>123.80875000000076</c:v>
                </c:pt>
                <c:pt idx="145">
                  <c:v>152.64124999999694</c:v>
                </c:pt>
                <c:pt idx="146">
                  <c:v>102.86500000000208</c:v>
                </c:pt>
                <c:pt idx="147">
                  <c:v>127.59249999999832</c:v>
                </c:pt>
                <c:pt idx="148">
                  <c:v>165.63999999999857</c:v>
                </c:pt>
                <c:pt idx="149">
                  <c:v>121.62875000000298</c:v>
                </c:pt>
                <c:pt idx="150">
                  <c:v>83.483750000002644</c:v>
                </c:pt>
                <c:pt idx="151">
                  <c:v>117.71875000000037</c:v>
                </c:pt>
                <c:pt idx="152">
                  <c:v>161.9124999999986</c:v>
                </c:pt>
                <c:pt idx="153">
                  <c:v>183.99749999999656</c:v>
                </c:pt>
                <c:pt idx="154">
                  <c:v>157.546249999997</c:v>
                </c:pt>
                <c:pt idx="155">
                  <c:v>174.03999999999508</c:v>
                </c:pt>
                <c:pt idx="156">
                  <c:v>158.72499999999948</c:v>
                </c:pt>
                <c:pt idx="157">
                  <c:v>129.87875</c:v>
                </c:pt>
                <c:pt idx="158">
                  <c:v>149.85250000000067</c:v>
                </c:pt>
                <c:pt idx="159">
                  <c:v>161.92625000000001</c:v>
                </c:pt>
                <c:pt idx="160">
                  <c:v>156.86124999999976</c:v>
                </c:pt>
                <c:pt idx="161">
                  <c:v>98.460000000001983</c:v>
                </c:pt>
                <c:pt idx="162">
                  <c:v>131.74249999999941</c:v>
                </c:pt>
                <c:pt idx="163">
                  <c:v>128.33624999999628</c:v>
                </c:pt>
                <c:pt idx="164">
                  <c:v>83.197500000003373</c:v>
                </c:pt>
                <c:pt idx="165">
                  <c:v>146.43749999999727</c:v>
                </c:pt>
                <c:pt idx="166">
                  <c:v>172.86249999999552</c:v>
                </c:pt>
                <c:pt idx="167">
                  <c:v>94.732500000002332</c:v>
                </c:pt>
                <c:pt idx="168">
                  <c:v>139.43874999999625</c:v>
                </c:pt>
                <c:pt idx="169">
                  <c:v>129.87874999999974</c:v>
                </c:pt>
                <c:pt idx="170">
                  <c:v>108.89625000000076</c:v>
                </c:pt>
                <c:pt idx="171">
                  <c:v>176.32249999999772</c:v>
                </c:pt>
                <c:pt idx="172">
                  <c:v>98.512500000004181</c:v>
                </c:pt>
                <c:pt idx="173">
                  <c:v>113.21625000000101</c:v>
                </c:pt>
                <c:pt idx="174">
                  <c:v>128.15500000000159</c:v>
                </c:pt>
                <c:pt idx="175">
                  <c:v>140.96249999999827</c:v>
                </c:pt>
                <c:pt idx="176">
                  <c:v>114.59375000000004</c:v>
                </c:pt>
                <c:pt idx="177">
                  <c:v>126.64375000000044</c:v>
                </c:pt>
                <c:pt idx="178">
                  <c:v>124.82624999999827</c:v>
                </c:pt>
                <c:pt idx="179">
                  <c:v>103.41375000000316</c:v>
                </c:pt>
                <c:pt idx="180">
                  <c:v>127.25375000000014</c:v>
                </c:pt>
                <c:pt idx="181">
                  <c:v>170.04499999999911</c:v>
                </c:pt>
                <c:pt idx="182">
                  <c:v>132.30499999999941</c:v>
                </c:pt>
                <c:pt idx="183">
                  <c:v>105.66124999999978</c:v>
                </c:pt>
                <c:pt idx="184">
                  <c:v>107.08750000000273</c:v>
                </c:pt>
                <c:pt idx="185">
                  <c:v>121.16999999999922</c:v>
                </c:pt>
                <c:pt idx="186">
                  <c:v>132.38874999999751</c:v>
                </c:pt>
                <c:pt idx="187">
                  <c:v>96.232500000003512</c:v>
                </c:pt>
                <c:pt idx="188">
                  <c:v>118.57374999999918</c:v>
                </c:pt>
                <c:pt idx="189">
                  <c:v>112.85249999999772</c:v>
                </c:pt>
                <c:pt idx="190">
                  <c:v>100.67250000000037</c:v>
                </c:pt>
                <c:pt idx="191">
                  <c:v>123.37249999999921</c:v>
                </c:pt>
                <c:pt idx="192">
                  <c:v>137.45374999999763</c:v>
                </c:pt>
                <c:pt idx="193">
                  <c:v>179.28499999999858</c:v>
                </c:pt>
                <c:pt idx="194">
                  <c:v>135.69499999999954</c:v>
                </c:pt>
                <c:pt idx="195">
                  <c:v>157.85374999999721</c:v>
                </c:pt>
                <c:pt idx="196">
                  <c:v>109.62499999999829</c:v>
                </c:pt>
                <c:pt idx="197">
                  <c:v>116.91874999999737</c:v>
                </c:pt>
                <c:pt idx="198">
                  <c:v>170.04499999999837</c:v>
                </c:pt>
                <c:pt idx="199">
                  <c:v>97.171250000001848</c:v>
                </c:pt>
                <c:pt idx="200">
                  <c:v>171.52999999999719</c:v>
                </c:pt>
                <c:pt idx="201">
                  <c:v>157.01499999999453</c:v>
                </c:pt>
                <c:pt idx="202">
                  <c:v>136.79374999999769</c:v>
                </c:pt>
                <c:pt idx="203">
                  <c:v>175.06499999999434</c:v>
                </c:pt>
                <c:pt idx="204">
                  <c:v>161.91250000000048</c:v>
                </c:pt>
                <c:pt idx="205">
                  <c:v>105.55874999999823</c:v>
                </c:pt>
                <c:pt idx="206">
                  <c:v>108.78624999999862</c:v>
                </c:pt>
                <c:pt idx="207">
                  <c:v>112.85249999999809</c:v>
                </c:pt>
                <c:pt idx="208">
                  <c:v>122.01499999999628</c:v>
                </c:pt>
                <c:pt idx="209">
                  <c:v>118.59624999999612</c:v>
                </c:pt>
                <c:pt idx="210">
                  <c:v>130.56999999999866</c:v>
                </c:pt>
                <c:pt idx="211">
                  <c:v>130.56999999999772</c:v>
                </c:pt>
                <c:pt idx="212">
                  <c:v>124.53124999999868</c:v>
                </c:pt>
                <c:pt idx="213">
                  <c:v>114.35125000000127</c:v>
                </c:pt>
                <c:pt idx="214">
                  <c:v>148.57499999999735</c:v>
                </c:pt>
                <c:pt idx="215">
                  <c:v>157.50749999999701</c:v>
                </c:pt>
                <c:pt idx="216">
                  <c:v>135.55874999999585</c:v>
                </c:pt>
                <c:pt idx="217">
                  <c:v>141.22125000000034</c:v>
                </c:pt>
                <c:pt idx="218">
                  <c:v>107.60874999999918</c:v>
                </c:pt>
                <c:pt idx="219">
                  <c:v>147.92874999999864</c:v>
                </c:pt>
                <c:pt idx="220">
                  <c:v>138.47250000000017</c:v>
                </c:pt>
                <c:pt idx="221">
                  <c:v>141.35250000000016</c:v>
                </c:pt>
                <c:pt idx="222">
                  <c:v>105.20124999999979</c:v>
                </c:pt>
                <c:pt idx="223">
                  <c:v>129.87875000000028</c:v>
                </c:pt>
                <c:pt idx="224">
                  <c:v>119.08249999999769</c:v>
                </c:pt>
                <c:pt idx="225">
                  <c:v>100.31499999999983</c:v>
                </c:pt>
                <c:pt idx="226">
                  <c:v>125.81250000000004</c:v>
                </c:pt>
                <c:pt idx="227">
                  <c:v>92.626250000003608</c:v>
                </c:pt>
                <c:pt idx="228">
                  <c:v>138.81124999999992</c:v>
                </c:pt>
                <c:pt idx="229">
                  <c:v>103.04500000000185</c:v>
                </c:pt>
                <c:pt idx="230">
                  <c:v>121.1125</c:v>
                </c:pt>
                <c:pt idx="231">
                  <c:v>96.005000000003108</c:v>
                </c:pt>
                <c:pt idx="232">
                  <c:v>109.81625000000126</c:v>
                </c:pt>
                <c:pt idx="233">
                  <c:v>124.17249999999964</c:v>
                </c:pt>
                <c:pt idx="234">
                  <c:v>125.47374999999772</c:v>
                </c:pt>
                <c:pt idx="235">
                  <c:v>146.62874999999605</c:v>
                </c:pt>
                <c:pt idx="236">
                  <c:v>101.31625000000253</c:v>
                </c:pt>
                <c:pt idx="237">
                  <c:v>91.197500000000375</c:v>
                </c:pt>
                <c:pt idx="238">
                  <c:v>107.43875000000077</c:v>
                </c:pt>
                <c:pt idx="239">
                  <c:v>95.956250000000495</c:v>
                </c:pt>
                <c:pt idx="240">
                  <c:v>105.00874999999984</c:v>
                </c:pt>
                <c:pt idx="241">
                  <c:v>103.60125000000336</c:v>
                </c:pt>
                <c:pt idx="242">
                  <c:v>144.05624999999986</c:v>
                </c:pt>
                <c:pt idx="243">
                  <c:v>98.37750000000041</c:v>
                </c:pt>
                <c:pt idx="244">
                  <c:v>89.981250000003342</c:v>
                </c:pt>
                <c:pt idx="245">
                  <c:v>107.26999999999883</c:v>
                </c:pt>
                <c:pt idx="246">
                  <c:v>108.78624999999788</c:v>
                </c:pt>
                <c:pt idx="247">
                  <c:v>109.62499999999781</c:v>
                </c:pt>
                <c:pt idx="248">
                  <c:v>118.4049999999977</c:v>
                </c:pt>
                <c:pt idx="249">
                  <c:v>112.01374999999886</c:v>
                </c:pt>
                <c:pt idx="250">
                  <c:v>115.01624999999979</c:v>
                </c:pt>
                <c:pt idx="251">
                  <c:v>103.60625000000101</c:v>
                </c:pt>
                <c:pt idx="252">
                  <c:v>117.75750000000269</c:v>
                </c:pt>
                <c:pt idx="253">
                  <c:v>105.66124999999811</c:v>
                </c:pt>
                <c:pt idx="254">
                  <c:v>127.21499999999742</c:v>
                </c:pt>
                <c:pt idx="255">
                  <c:v>135.76374999999837</c:v>
                </c:pt>
                <c:pt idx="256">
                  <c:v>101.39250000000214</c:v>
                </c:pt>
                <c:pt idx="257">
                  <c:v>149.60249999999644</c:v>
                </c:pt>
                <c:pt idx="258">
                  <c:v>146.37249999999912</c:v>
                </c:pt>
                <c:pt idx="259">
                  <c:v>149.23499999999879</c:v>
                </c:pt>
                <c:pt idx="260">
                  <c:v>102.6599999999989</c:v>
                </c:pt>
                <c:pt idx="261">
                  <c:v>89.42000000000165</c:v>
                </c:pt>
                <c:pt idx="262">
                  <c:v>93.415000000001555</c:v>
                </c:pt>
                <c:pt idx="263">
                  <c:v>152.3024999999968</c:v>
                </c:pt>
                <c:pt idx="264">
                  <c:v>122.62374999999641</c:v>
                </c:pt>
                <c:pt idx="265">
                  <c:v>96.427500000000492</c:v>
                </c:pt>
                <c:pt idx="266">
                  <c:v>104.13250000000058</c:v>
                </c:pt>
                <c:pt idx="267">
                  <c:v>109.16749999999952</c:v>
                </c:pt>
                <c:pt idx="268">
                  <c:v>100.05250000000177</c:v>
                </c:pt>
                <c:pt idx="269">
                  <c:v>167.44125000000582</c:v>
                </c:pt>
                <c:pt idx="270">
                  <c:v>143.1825000000002</c:v>
                </c:pt>
                <c:pt idx="271">
                  <c:v>99.538749999998942</c:v>
                </c:pt>
                <c:pt idx="272">
                  <c:v>113.51249999999969</c:v>
                </c:pt>
                <c:pt idx="273">
                  <c:v>116.91874999999749</c:v>
                </c:pt>
                <c:pt idx="274">
                  <c:v>124.58249999999606</c:v>
                </c:pt>
                <c:pt idx="275">
                  <c:v>110.00624999999894</c:v>
                </c:pt>
                <c:pt idx="276">
                  <c:v>133.42749999999944</c:v>
                </c:pt>
                <c:pt idx="277">
                  <c:v>116.3225000000016</c:v>
                </c:pt>
                <c:pt idx="278">
                  <c:v>128.32249999999956</c:v>
                </c:pt>
                <c:pt idx="279">
                  <c:v>142.78625000000059</c:v>
                </c:pt>
                <c:pt idx="280">
                  <c:v>99.787500000002296</c:v>
                </c:pt>
                <c:pt idx="281">
                  <c:v>121.11249999999832</c:v>
                </c:pt>
                <c:pt idx="282">
                  <c:v>138.93750000000054</c:v>
                </c:pt>
                <c:pt idx="283">
                  <c:v>118.54500000000051</c:v>
                </c:pt>
                <c:pt idx="284">
                  <c:v>144.73999999999776</c:v>
                </c:pt>
                <c:pt idx="285">
                  <c:v>122.79</c:v>
                </c:pt>
                <c:pt idx="286">
                  <c:v>123.98750000000007</c:v>
                </c:pt>
                <c:pt idx="287">
                  <c:v>151.08499999999557</c:v>
                </c:pt>
                <c:pt idx="288">
                  <c:v>114.52999999999659</c:v>
                </c:pt>
                <c:pt idx="289">
                  <c:v>142.00624999999641</c:v>
                </c:pt>
                <c:pt idx="290">
                  <c:v>150.09999999999775</c:v>
                </c:pt>
                <c:pt idx="291">
                  <c:v>97.043750000002802</c:v>
                </c:pt>
                <c:pt idx="292">
                  <c:v>99.83250000000028</c:v>
                </c:pt>
                <c:pt idx="293">
                  <c:v>103.26375000000168</c:v>
                </c:pt>
                <c:pt idx="294">
                  <c:v>85.696250000001569</c:v>
                </c:pt>
                <c:pt idx="295">
                  <c:v>76.798750000000851</c:v>
                </c:pt>
                <c:pt idx="296">
                  <c:v>117.84249999999976</c:v>
                </c:pt>
                <c:pt idx="297">
                  <c:v>148.88249999999596</c:v>
                </c:pt>
                <c:pt idx="298">
                  <c:v>97.173750000002698</c:v>
                </c:pt>
                <c:pt idx="299">
                  <c:v>122.87000000000036</c:v>
                </c:pt>
                <c:pt idx="300">
                  <c:v>121.59249999999749</c:v>
                </c:pt>
                <c:pt idx="301">
                  <c:v>107.38999999999919</c:v>
                </c:pt>
                <c:pt idx="302">
                  <c:v>94.438750000002173</c:v>
                </c:pt>
                <c:pt idx="303">
                  <c:v>129.70749999999904</c:v>
                </c:pt>
                <c:pt idx="304">
                  <c:v>104.68999999999909</c:v>
                </c:pt>
                <c:pt idx="305">
                  <c:v>112.67374999999858</c:v>
                </c:pt>
                <c:pt idx="306">
                  <c:v>106.69999999999889</c:v>
                </c:pt>
                <c:pt idx="307">
                  <c:v>97.750000000003283</c:v>
                </c:pt>
                <c:pt idx="308">
                  <c:v>143.30499999999842</c:v>
                </c:pt>
                <c:pt idx="309">
                  <c:v>131.44374999999948</c:v>
                </c:pt>
                <c:pt idx="310">
                  <c:v>107.9474999999992</c:v>
                </c:pt>
                <c:pt idx="311">
                  <c:v>116.12749999999772</c:v>
                </c:pt>
                <c:pt idx="312">
                  <c:v>146.33999999999679</c:v>
                </c:pt>
                <c:pt idx="313">
                  <c:v>152.60999999999615</c:v>
                </c:pt>
                <c:pt idx="314">
                  <c:v>152.60999999999615</c:v>
                </c:pt>
                <c:pt idx="315">
                  <c:v>116.54124999999826</c:v>
                </c:pt>
                <c:pt idx="316">
                  <c:v>102.53625000000096</c:v>
                </c:pt>
                <c:pt idx="317">
                  <c:v>136.71249999999742</c:v>
                </c:pt>
                <c:pt idx="318">
                  <c:v>106.12625000000064</c:v>
                </c:pt>
                <c:pt idx="319">
                  <c:v>154.81249999999571</c:v>
                </c:pt>
                <c:pt idx="320">
                  <c:v>129.73124999999669</c:v>
                </c:pt>
                <c:pt idx="321">
                  <c:v>141.69874999999848</c:v>
                </c:pt>
                <c:pt idx="322">
                  <c:v>101.06125000000132</c:v>
                </c:pt>
                <c:pt idx="323">
                  <c:v>124.26124999999841</c:v>
                </c:pt>
                <c:pt idx="324">
                  <c:v>84.801250000001161</c:v>
                </c:pt>
                <c:pt idx="325">
                  <c:v>106.23000000000253</c:v>
                </c:pt>
                <c:pt idx="326">
                  <c:v>126.97999999999982</c:v>
                </c:pt>
                <c:pt idx="327">
                  <c:v>100.21750000000119</c:v>
                </c:pt>
                <c:pt idx="328">
                  <c:v>127.19000000000031</c:v>
                </c:pt>
                <c:pt idx="329">
                  <c:v>157.35374999999567</c:v>
                </c:pt>
                <c:pt idx="330">
                  <c:v>102.83125000000292</c:v>
                </c:pt>
                <c:pt idx="331">
                  <c:v>131.73999999999774</c:v>
                </c:pt>
                <c:pt idx="332">
                  <c:v>135.41250000000321</c:v>
                </c:pt>
                <c:pt idx="333">
                  <c:v>130.53874999999834</c:v>
                </c:pt>
                <c:pt idx="334">
                  <c:v>108.74749999999921</c:v>
                </c:pt>
                <c:pt idx="335">
                  <c:v>145.72624999999843</c:v>
                </c:pt>
                <c:pt idx="336">
                  <c:v>37.476250000000014</c:v>
                </c:pt>
                <c:pt idx="337">
                  <c:v>111.70999999999744</c:v>
                </c:pt>
                <c:pt idx="338">
                  <c:v>113.5024999999995</c:v>
                </c:pt>
                <c:pt idx="339">
                  <c:v>154.81249999999639</c:v>
                </c:pt>
                <c:pt idx="340">
                  <c:v>107.9474999999992</c:v>
                </c:pt>
                <c:pt idx="341">
                  <c:v>141.69874999999624</c:v>
                </c:pt>
                <c:pt idx="342">
                  <c:v>107.42250000000121</c:v>
                </c:pt>
                <c:pt idx="343">
                  <c:v>121.46250000000219</c:v>
                </c:pt>
                <c:pt idx="344">
                  <c:v>40.346249999999543</c:v>
                </c:pt>
                <c:pt idx="345">
                  <c:v>118.733749999998</c:v>
                </c:pt>
                <c:pt idx="346">
                  <c:v>104.63124999999982</c:v>
                </c:pt>
                <c:pt idx="347">
                  <c:v>78.878749999997879</c:v>
                </c:pt>
                <c:pt idx="348">
                  <c:v>128.85125000000048</c:v>
                </c:pt>
                <c:pt idx="349">
                  <c:v>123.14874999999829</c:v>
                </c:pt>
                <c:pt idx="350">
                  <c:v>108.06874999999964</c:v>
                </c:pt>
                <c:pt idx="351">
                  <c:v>115.19000000000148</c:v>
                </c:pt>
                <c:pt idx="352">
                  <c:v>147.92874999999827</c:v>
                </c:pt>
                <c:pt idx="353">
                  <c:v>121.95124999999753</c:v>
                </c:pt>
                <c:pt idx="354">
                  <c:v>155.68249999999699</c:v>
                </c:pt>
                <c:pt idx="355">
                  <c:v>137.6325000000009</c:v>
                </c:pt>
                <c:pt idx="356">
                  <c:v>157.78749999999806</c:v>
                </c:pt>
                <c:pt idx="357">
                  <c:v>121.95125</c:v>
                </c:pt>
                <c:pt idx="358">
                  <c:v>122.79</c:v>
                </c:pt>
                <c:pt idx="359">
                  <c:v>109.11624999999822</c:v>
                </c:pt>
                <c:pt idx="360">
                  <c:v>114.2999999999996</c:v>
                </c:pt>
                <c:pt idx="361">
                  <c:v>150.00750000000122</c:v>
                </c:pt>
                <c:pt idx="362">
                  <c:v>106.69999999999962</c:v>
                </c:pt>
                <c:pt idx="363">
                  <c:v>138.96499999999571</c:v>
                </c:pt>
                <c:pt idx="364">
                  <c:v>112.01374999999909</c:v>
                </c:pt>
              </c:numCache>
            </c:numRef>
          </c:val>
          <c:smooth val="0"/>
          <c:extLst>
            <c:ext xmlns:c16="http://schemas.microsoft.com/office/drawing/2014/chart" uri="{C3380CC4-5D6E-409C-BE32-E72D297353CC}">
              <c16:uniqueId val="{00000004-73E4-4ED4-B5C8-26AF96CC779B}"/>
            </c:ext>
          </c:extLst>
        </c:ser>
        <c:dLbls>
          <c:showLegendKey val="0"/>
          <c:showVal val="0"/>
          <c:showCatName val="0"/>
          <c:showSerName val="0"/>
          <c:showPercent val="0"/>
          <c:showBubbleSize val="0"/>
        </c:dLbls>
        <c:smooth val="0"/>
        <c:axId val="84798848"/>
        <c:axId val="84801024"/>
      </c:lineChart>
      <c:catAx>
        <c:axId val="84798848"/>
        <c:scaling>
          <c:orientation val="minMax"/>
        </c:scaling>
        <c:delete val="0"/>
        <c:axPos val="b"/>
        <c:title>
          <c:tx>
            <c:rich>
              <a:bodyPr/>
              <a:lstStyle/>
              <a:p>
                <a:pPr>
                  <a:defRPr sz="1200">
                    <a:latin typeface="TUOS Blake" panose="020B0503040000020004" pitchFamily="34" charset="0"/>
                  </a:defRPr>
                </a:pPr>
                <a:r>
                  <a:rPr lang="en-US" sz="1200">
                    <a:latin typeface="TUOS Blake" panose="020B0503040000020004" pitchFamily="34" charset="0"/>
                  </a:rPr>
                  <a:t>Date</a:t>
                </a:r>
              </a:p>
            </c:rich>
          </c:tx>
          <c:layout>
            <c:manualLayout>
              <c:xMode val="edge"/>
              <c:yMode val="edge"/>
              <c:x val="0.50930496283384419"/>
              <c:y val="0.93426022796101538"/>
            </c:manualLayout>
          </c:layout>
          <c:overlay val="0"/>
        </c:title>
        <c:numFmt formatCode="[$-F400]h:mm:ss\ AM/PM" sourceLinked="0"/>
        <c:majorTickMark val="out"/>
        <c:minorTickMark val="none"/>
        <c:tickLblPos val="nextTo"/>
        <c:spPr>
          <a:ln w="19050"/>
        </c:spPr>
        <c:txPr>
          <a:bodyPr/>
          <a:lstStyle/>
          <a:p>
            <a:pPr>
              <a:defRPr sz="1100">
                <a:latin typeface="TUOS Blake" panose="020B0503040000020004" pitchFamily="34" charset="0"/>
              </a:defRPr>
            </a:pPr>
            <a:endParaRPr lang="en-US"/>
          </a:p>
        </c:txPr>
        <c:crossAx val="84801024"/>
        <c:crosses val="autoZero"/>
        <c:auto val="1"/>
        <c:lblAlgn val="ctr"/>
        <c:lblOffset val="100"/>
        <c:tickLblSkip val="30"/>
        <c:tickMarkSkip val="30"/>
        <c:noMultiLvlLbl val="1"/>
      </c:catAx>
      <c:valAx>
        <c:axId val="84801024"/>
        <c:scaling>
          <c:orientation val="minMax"/>
          <c:max val="400"/>
        </c:scaling>
        <c:delete val="0"/>
        <c:axPos val="l"/>
        <c:majorGridlines/>
        <c:title>
          <c:tx>
            <c:rich>
              <a:bodyPr rot="-5400000" vert="horz"/>
              <a:lstStyle/>
              <a:p>
                <a:pPr>
                  <a:defRPr sz="1200">
                    <a:latin typeface="TUOS Blake" panose="020B0503040000020004" pitchFamily="34" charset="0"/>
                  </a:defRPr>
                </a:pPr>
                <a:r>
                  <a:rPr lang="en-US" sz="1200">
                    <a:latin typeface="TUOS Blake" panose="020B0503040000020004" pitchFamily="34" charset="0"/>
                  </a:rPr>
                  <a:t>Irradiance (W/m</a:t>
                </a:r>
                <a:r>
                  <a:rPr lang="en-US" sz="1200" baseline="30000">
                    <a:latin typeface="TUOS Blake" panose="020B0503040000020004" pitchFamily="34" charset="0"/>
                  </a:rPr>
                  <a:t>2</a:t>
                </a:r>
                <a:r>
                  <a:rPr lang="en-US" sz="1200">
                    <a:latin typeface="TUOS Blake" panose="020B0503040000020004" pitchFamily="34" charset="0"/>
                  </a:rPr>
                  <a:t>)</a:t>
                </a:r>
              </a:p>
            </c:rich>
          </c:tx>
          <c:overlay val="0"/>
        </c:title>
        <c:numFmt formatCode="General" sourceLinked="1"/>
        <c:majorTickMark val="out"/>
        <c:minorTickMark val="none"/>
        <c:tickLblPos val="nextTo"/>
        <c:spPr>
          <a:ln w="19050"/>
        </c:spPr>
        <c:txPr>
          <a:bodyPr/>
          <a:lstStyle/>
          <a:p>
            <a:pPr>
              <a:defRPr sz="1100">
                <a:latin typeface="TUOS Blake" panose="020B0503040000020004" pitchFamily="34" charset="0"/>
              </a:defRPr>
            </a:pPr>
            <a:endParaRPr lang="en-US"/>
          </a:p>
        </c:txPr>
        <c:crossAx val="84798848"/>
        <c:crosses val="autoZero"/>
        <c:crossBetween val="between"/>
      </c:valAx>
    </c:plotArea>
    <c:legend>
      <c:legendPos val="r"/>
      <c:layout>
        <c:manualLayout>
          <c:xMode val="edge"/>
          <c:yMode val="edge"/>
          <c:x val="0.60478091001983614"/>
          <c:y val="8.0245581190463156E-2"/>
          <c:w val="0.36468473883512681"/>
          <c:h val="9.7049028871391094E-2"/>
        </c:manualLayout>
      </c:layout>
      <c:overlay val="0"/>
      <c:spPr>
        <a:solidFill>
          <a:schemeClr val="bg1"/>
        </a:solidFill>
        <a:ln>
          <a:solidFill>
            <a:schemeClr val="tx1"/>
          </a:solidFill>
        </a:ln>
      </c:spPr>
      <c:txPr>
        <a:bodyPr/>
        <a:lstStyle/>
        <a:p>
          <a:pPr>
            <a:defRPr>
              <a:latin typeface="TUOS Blake" panose="020B0503040000020004" pitchFamily="34" charset="0"/>
            </a:defRPr>
          </a:pPr>
          <a:endParaRPr lang="en-US"/>
        </a:p>
      </c:txPr>
    </c:legend>
    <c:plotVisOnly val="1"/>
    <c:dispBlanksAs val="zero"/>
    <c:showDLblsOverMax val="0"/>
  </c:chart>
  <c:externalData r:id="rId2">
    <c:autoUpdate val="0"/>
  </c:externalData>
  <c:extLst>
    <c:ext xmlns:c14="http://schemas.microsoft.com/office/drawing/2007/8/2/chart" uri="{781A3756-C4B2-4CAC-9D66-4F8BD8637D16}">
      <c14:pivotOptions>
        <c14:dropZoneFilter val="1"/>
        <c14:dropZoneCategories val="1"/>
        <c14:dropZoneData val="1"/>
        <c14:dropZoneSeries val="1"/>
      </c14:pivotOptions>
    </c:ext>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442074435531245E-2"/>
          <c:y val="4.8182220465685023E-2"/>
          <c:w val="0.87151988630529165"/>
          <c:h val="0.85438930092244691"/>
        </c:manualLayout>
      </c:layout>
      <c:scatterChart>
        <c:scatterStyle val="smoothMarker"/>
        <c:varyColors val="0"/>
        <c:ser>
          <c:idx val="0"/>
          <c:order val="0"/>
          <c:tx>
            <c:strRef>
              <c:f>Sheet1!$B$1</c:f>
              <c:strCache>
                <c:ptCount val="1"/>
                <c:pt idx="0">
                  <c:v>Direct Irradiance (W/m^2)</c:v>
                </c:pt>
              </c:strCache>
            </c:strRef>
          </c:tx>
          <c:spPr>
            <a:ln w="9525" cap="rnd">
              <a:solidFill>
                <a:srgbClr val="00B050">
                  <a:alpha val="99000"/>
                </a:srgbClr>
              </a:solidFill>
              <a:round/>
            </a:ln>
            <a:effectLst/>
          </c:spPr>
          <c:marker>
            <c:symbol val="none"/>
          </c:marker>
          <c:xVal>
            <c:numRef>
              <c:f>Sheet1!$A$2:$A$1441</c:f>
              <c:numCache>
                <c:formatCode>h:mm</c:formatCode>
                <c:ptCount val="1440"/>
                <c:pt idx="0">
                  <c:v>42005</c:v>
                </c:pt>
                <c:pt idx="1">
                  <c:v>42005.000694444447</c:v>
                </c:pt>
                <c:pt idx="2">
                  <c:v>42005.001388888886</c:v>
                </c:pt>
                <c:pt idx="3">
                  <c:v>42005.002083333333</c:v>
                </c:pt>
                <c:pt idx="4">
                  <c:v>42005.00277777778</c:v>
                </c:pt>
                <c:pt idx="5">
                  <c:v>42005.003472222219</c:v>
                </c:pt>
                <c:pt idx="6">
                  <c:v>42005.004166666666</c:v>
                </c:pt>
                <c:pt idx="7">
                  <c:v>42005.004861111112</c:v>
                </c:pt>
                <c:pt idx="8">
                  <c:v>42005.005555555559</c:v>
                </c:pt>
                <c:pt idx="9">
                  <c:v>42005.006249999999</c:v>
                </c:pt>
                <c:pt idx="10">
                  <c:v>42005.006944444445</c:v>
                </c:pt>
                <c:pt idx="11">
                  <c:v>42005.007638888892</c:v>
                </c:pt>
                <c:pt idx="12">
                  <c:v>42005.008333333331</c:v>
                </c:pt>
                <c:pt idx="13">
                  <c:v>42005.009027777778</c:v>
                </c:pt>
                <c:pt idx="14">
                  <c:v>42005.009722222225</c:v>
                </c:pt>
                <c:pt idx="15">
                  <c:v>42005.010416666664</c:v>
                </c:pt>
                <c:pt idx="16">
                  <c:v>42005.011111111111</c:v>
                </c:pt>
                <c:pt idx="17">
                  <c:v>42005.011805555558</c:v>
                </c:pt>
                <c:pt idx="18">
                  <c:v>42005.012499999997</c:v>
                </c:pt>
                <c:pt idx="19">
                  <c:v>42005.013194444444</c:v>
                </c:pt>
                <c:pt idx="20">
                  <c:v>42005.013888888891</c:v>
                </c:pt>
                <c:pt idx="21">
                  <c:v>42005.01458333333</c:v>
                </c:pt>
                <c:pt idx="22">
                  <c:v>42005.015277777777</c:v>
                </c:pt>
                <c:pt idx="23">
                  <c:v>42005.015972222223</c:v>
                </c:pt>
                <c:pt idx="24">
                  <c:v>42005.01666666667</c:v>
                </c:pt>
                <c:pt idx="25">
                  <c:v>42005.017361111109</c:v>
                </c:pt>
                <c:pt idx="26">
                  <c:v>42005.018055555556</c:v>
                </c:pt>
                <c:pt idx="27">
                  <c:v>42005.018750000003</c:v>
                </c:pt>
                <c:pt idx="28">
                  <c:v>42005.019444444442</c:v>
                </c:pt>
                <c:pt idx="29">
                  <c:v>42005.020138888889</c:v>
                </c:pt>
                <c:pt idx="30">
                  <c:v>42005.020833333336</c:v>
                </c:pt>
                <c:pt idx="31">
                  <c:v>42005.021527777775</c:v>
                </c:pt>
                <c:pt idx="32">
                  <c:v>42005.022222222222</c:v>
                </c:pt>
                <c:pt idx="33">
                  <c:v>42005.022916666669</c:v>
                </c:pt>
                <c:pt idx="34">
                  <c:v>42005.023611111108</c:v>
                </c:pt>
                <c:pt idx="35">
                  <c:v>42005.024305555555</c:v>
                </c:pt>
                <c:pt idx="36">
                  <c:v>42005.025000000001</c:v>
                </c:pt>
                <c:pt idx="37">
                  <c:v>42005.025694444441</c:v>
                </c:pt>
                <c:pt idx="38">
                  <c:v>42005.026388888888</c:v>
                </c:pt>
                <c:pt idx="39">
                  <c:v>42005.027083333334</c:v>
                </c:pt>
                <c:pt idx="40">
                  <c:v>42005.027777777781</c:v>
                </c:pt>
                <c:pt idx="41">
                  <c:v>42005.02847222222</c:v>
                </c:pt>
                <c:pt idx="42">
                  <c:v>42005.029166666667</c:v>
                </c:pt>
                <c:pt idx="43">
                  <c:v>42005.029861111114</c:v>
                </c:pt>
                <c:pt idx="44">
                  <c:v>42005.030555555553</c:v>
                </c:pt>
                <c:pt idx="45">
                  <c:v>42005.03125</c:v>
                </c:pt>
                <c:pt idx="46">
                  <c:v>42005.031944444447</c:v>
                </c:pt>
                <c:pt idx="47">
                  <c:v>42005.032638888886</c:v>
                </c:pt>
                <c:pt idx="48">
                  <c:v>42005.033333333333</c:v>
                </c:pt>
                <c:pt idx="49">
                  <c:v>42005.03402777778</c:v>
                </c:pt>
                <c:pt idx="50">
                  <c:v>42005.034722222219</c:v>
                </c:pt>
                <c:pt idx="51">
                  <c:v>42005.035416666666</c:v>
                </c:pt>
                <c:pt idx="52">
                  <c:v>42005.036111111112</c:v>
                </c:pt>
                <c:pt idx="53">
                  <c:v>42005.036805555559</c:v>
                </c:pt>
                <c:pt idx="54">
                  <c:v>42005.037499999999</c:v>
                </c:pt>
                <c:pt idx="55">
                  <c:v>42005.038194444445</c:v>
                </c:pt>
                <c:pt idx="56">
                  <c:v>42005.038888888892</c:v>
                </c:pt>
                <c:pt idx="57">
                  <c:v>42005.039583333331</c:v>
                </c:pt>
                <c:pt idx="58">
                  <c:v>42005.040277777778</c:v>
                </c:pt>
                <c:pt idx="59">
                  <c:v>42005.040972222225</c:v>
                </c:pt>
                <c:pt idx="60">
                  <c:v>42005.041666666664</c:v>
                </c:pt>
                <c:pt idx="61">
                  <c:v>42005.042361111111</c:v>
                </c:pt>
                <c:pt idx="62">
                  <c:v>42005.043055555558</c:v>
                </c:pt>
                <c:pt idx="63">
                  <c:v>42005.043749999997</c:v>
                </c:pt>
                <c:pt idx="64">
                  <c:v>42005.044444444444</c:v>
                </c:pt>
                <c:pt idx="65">
                  <c:v>42005.045138888891</c:v>
                </c:pt>
                <c:pt idx="66">
                  <c:v>42005.04583333333</c:v>
                </c:pt>
                <c:pt idx="67">
                  <c:v>42005.046527777777</c:v>
                </c:pt>
                <c:pt idx="68">
                  <c:v>42005.047222222223</c:v>
                </c:pt>
                <c:pt idx="69">
                  <c:v>42005.04791666667</c:v>
                </c:pt>
                <c:pt idx="70">
                  <c:v>42005.048611111109</c:v>
                </c:pt>
                <c:pt idx="71">
                  <c:v>42005.049305555556</c:v>
                </c:pt>
                <c:pt idx="72">
                  <c:v>42005.05</c:v>
                </c:pt>
                <c:pt idx="73">
                  <c:v>42005.050694444442</c:v>
                </c:pt>
                <c:pt idx="74">
                  <c:v>42005.051388888889</c:v>
                </c:pt>
                <c:pt idx="75">
                  <c:v>42005.052083333336</c:v>
                </c:pt>
                <c:pt idx="76">
                  <c:v>42005.052777777775</c:v>
                </c:pt>
                <c:pt idx="77">
                  <c:v>42005.053472222222</c:v>
                </c:pt>
                <c:pt idx="78">
                  <c:v>42005.054166666669</c:v>
                </c:pt>
                <c:pt idx="79">
                  <c:v>42005.054861111108</c:v>
                </c:pt>
                <c:pt idx="80">
                  <c:v>42005.055555555555</c:v>
                </c:pt>
                <c:pt idx="81">
                  <c:v>42005.056250000001</c:v>
                </c:pt>
                <c:pt idx="82">
                  <c:v>42005.056944444441</c:v>
                </c:pt>
                <c:pt idx="83">
                  <c:v>42005.057638888888</c:v>
                </c:pt>
                <c:pt idx="84">
                  <c:v>42005.058333333334</c:v>
                </c:pt>
                <c:pt idx="85">
                  <c:v>42005.059027777781</c:v>
                </c:pt>
                <c:pt idx="86">
                  <c:v>42005.05972222222</c:v>
                </c:pt>
                <c:pt idx="87">
                  <c:v>42005.060416666667</c:v>
                </c:pt>
                <c:pt idx="88">
                  <c:v>42005.061111111114</c:v>
                </c:pt>
                <c:pt idx="89">
                  <c:v>42005.061805555553</c:v>
                </c:pt>
                <c:pt idx="90">
                  <c:v>42005.0625</c:v>
                </c:pt>
                <c:pt idx="91">
                  <c:v>42005.063194444447</c:v>
                </c:pt>
                <c:pt idx="92">
                  <c:v>42005.063888888886</c:v>
                </c:pt>
                <c:pt idx="93">
                  <c:v>42005.064583333333</c:v>
                </c:pt>
                <c:pt idx="94">
                  <c:v>42005.06527777778</c:v>
                </c:pt>
                <c:pt idx="95">
                  <c:v>42005.065972222219</c:v>
                </c:pt>
                <c:pt idx="96">
                  <c:v>42005.066666666666</c:v>
                </c:pt>
                <c:pt idx="97">
                  <c:v>42005.067361111112</c:v>
                </c:pt>
                <c:pt idx="98">
                  <c:v>42005.068055555559</c:v>
                </c:pt>
                <c:pt idx="99">
                  <c:v>42005.068749999999</c:v>
                </c:pt>
                <c:pt idx="100">
                  <c:v>42005.069444444445</c:v>
                </c:pt>
                <c:pt idx="101">
                  <c:v>42005.070138888892</c:v>
                </c:pt>
                <c:pt idx="102">
                  <c:v>42005.070833333331</c:v>
                </c:pt>
                <c:pt idx="103">
                  <c:v>42005.071527777778</c:v>
                </c:pt>
                <c:pt idx="104">
                  <c:v>42005.072222222225</c:v>
                </c:pt>
                <c:pt idx="105">
                  <c:v>42005.072916666664</c:v>
                </c:pt>
                <c:pt idx="106">
                  <c:v>42005.073611111111</c:v>
                </c:pt>
                <c:pt idx="107">
                  <c:v>42005.074305555558</c:v>
                </c:pt>
                <c:pt idx="108">
                  <c:v>42005.074999999997</c:v>
                </c:pt>
                <c:pt idx="109">
                  <c:v>42005.075694444444</c:v>
                </c:pt>
                <c:pt idx="110">
                  <c:v>42005.076388888891</c:v>
                </c:pt>
                <c:pt idx="111">
                  <c:v>42005.07708333333</c:v>
                </c:pt>
                <c:pt idx="112">
                  <c:v>42005.077777777777</c:v>
                </c:pt>
                <c:pt idx="113">
                  <c:v>42005.078472222223</c:v>
                </c:pt>
                <c:pt idx="114">
                  <c:v>42005.07916666667</c:v>
                </c:pt>
                <c:pt idx="115">
                  <c:v>42005.079861111109</c:v>
                </c:pt>
                <c:pt idx="116">
                  <c:v>42005.080555555556</c:v>
                </c:pt>
                <c:pt idx="117">
                  <c:v>42005.081250000003</c:v>
                </c:pt>
                <c:pt idx="118">
                  <c:v>42005.081944444442</c:v>
                </c:pt>
                <c:pt idx="119">
                  <c:v>42005.082638888889</c:v>
                </c:pt>
                <c:pt idx="120">
                  <c:v>42005.083333333336</c:v>
                </c:pt>
                <c:pt idx="121">
                  <c:v>42005.084027777775</c:v>
                </c:pt>
                <c:pt idx="122">
                  <c:v>42005.084722222222</c:v>
                </c:pt>
                <c:pt idx="123">
                  <c:v>42005.085416666669</c:v>
                </c:pt>
                <c:pt idx="124">
                  <c:v>42005.086111111108</c:v>
                </c:pt>
                <c:pt idx="125">
                  <c:v>42005.086805555555</c:v>
                </c:pt>
                <c:pt idx="126">
                  <c:v>42005.087500000001</c:v>
                </c:pt>
                <c:pt idx="127">
                  <c:v>42005.088194444441</c:v>
                </c:pt>
                <c:pt idx="128">
                  <c:v>42005.088888888888</c:v>
                </c:pt>
                <c:pt idx="129">
                  <c:v>42005.089583333334</c:v>
                </c:pt>
                <c:pt idx="130">
                  <c:v>42005.090277777781</c:v>
                </c:pt>
                <c:pt idx="131">
                  <c:v>42005.09097222222</c:v>
                </c:pt>
                <c:pt idx="132">
                  <c:v>42005.091666666667</c:v>
                </c:pt>
                <c:pt idx="133">
                  <c:v>42005.092361111114</c:v>
                </c:pt>
                <c:pt idx="134">
                  <c:v>42005.093055555553</c:v>
                </c:pt>
                <c:pt idx="135">
                  <c:v>42005.09375</c:v>
                </c:pt>
                <c:pt idx="136">
                  <c:v>42005.094444444447</c:v>
                </c:pt>
                <c:pt idx="137">
                  <c:v>42005.095138888886</c:v>
                </c:pt>
                <c:pt idx="138">
                  <c:v>42005.095833333333</c:v>
                </c:pt>
                <c:pt idx="139">
                  <c:v>42005.09652777778</c:v>
                </c:pt>
                <c:pt idx="140">
                  <c:v>42005.097222222219</c:v>
                </c:pt>
                <c:pt idx="141">
                  <c:v>42005.097916666666</c:v>
                </c:pt>
                <c:pt idx="142">
                  <c:v>42005.098611111112</c:v>
                </c:pt>
                <c:pt idx="143">
                  <c:v>42005.099305555559</c:v>
                </c:pt>
                <c:pt idx="144">
                  <c:v>42005.1</c:v>
                </c:pt>
                <c:pt idx="145">
                  <c:v>42005.100694444445</c:v>
                </c:pt>
                <c:pt idx="146">
                  <c:v>42005.101388888892</c:v>
                </c:pt>
                <c:pt idx="147">
                  <c:v>42005.102083333331</c:v>
                </c:pt>
                <c:pt idx="148">
                  <c:v>42005.102777777778</c:v>
                </c:pt>
                <c:pt idx="149">
                  <c:v>42005.103472222225</c:v>
                </c:pt>
                <c:pt idx="150">
                  <c:v>42005.104166666664</c:v>
                </c:pt>
                <c:pt idx="151">
                  <c:v>42005.104861111111</c:v>
                </c:pt>
                <c:pt idx="152">
                  <c:v>42005.105555555558</c:v>
                </c:pt>
                <c:pt idx="153">
                  <c:v>42005.106249999997</c:v>
                </c:pt>
                <c:pt idx="154">
                  <c:v>42005.106944444444</c:v>
                </c:pt>
                <c:pt idx="155">
                  <c:v>42005.107638888891</c:v>
                </c:pt>
                <c:pt idx="156">
                  <c:v>42005.10833333333</c:v>
                </c:pt>
                <c:pt idx="157">
                  <c:v>42005.109027777777</c:v>
                </c:pt>
                <c:pt idx="158">
                  <c:v>42005.109722222223</c:v>
                </c:pt>
                <c:pt idx="159">
                  <c:v>42005.11041666667</c:v>
                </c:pt>
                <c:pt idx="160">
                  <c:v>42005.111111111109</c:v>
                </c:pt>
                <c:pt idx="161">
                  <c:v>42005.111805555556</c:v>
                </c:pt>
                <c:pt idx="162">
                  <c:v>42005.112500000003</c:v>
                </c:pt>
                <c:pt idx="163">
                  <c:v>42005.113194444442</c:v>
                </c:pt>
                <c:pt idx="164">
                  <c:v>42005.113888888889</c:v>
                </c:pt>
                <c:pt idx="165">
                  <c:v>42005.114583333336</c:v>
                </c:pt>
                <c:pt idx="166">
                  <c:v>42005.115277777775</c:v>
                </c:pt>
                <c:pt idx="167">
                  <c:v>42005.115972222222</c:v>
                </c:pt>
                <c:pt idx="168">
                  <c:v>42005.116666666669</c:v>
                </c:pt>
                <c:pt idx="169">
                  <c:v>42005.117361111108</c:v>
                </c:pt>
                <c:pt idx="170">
                  <c:v>42005.118055555555</c:v>
                </c:pt>
                <c:pt idx="171">
                  <c:v>42005.118750000001</c:v>
                </c:pt>
                <c:pt idx="172">
                  <c:v>42005.119444444441</c:v>
                </c:pt>
                <c:pt idx="173">
                  <c:v>42005.120138888888</c:v>
                </c:pt>
                <c:pt idx="174">
                  <c:v>42005.120833333334</c:v>
                </c:pt>
                <c:pt idx="175">
                  <c:v>42005.121527777781</c:v>
                </c:pt>
                <c:pt idx="176">
                  <c:v>42005.12222222222</c:v>
                </c:pt>
                <c:pt idx="177">
                  <c:v>42005.122916666667</c:v>
                </c:pt>
                <c:pt idx="178">
                  <c:v>42005.123611111114</c:v>
                </c:pt>
                <c:pt idx="179">
                  <c:v>42005.124305555553</c:v>
                </c:pt>
                <c:pt idx="180">
                  <c:v>42005.125</c:v>
                </c:pt>
                <c:pt idx="181">
                  <c:v>42005.125694444447</c:v>
                </c:pt>
                <c:pt idx="182">
                  <c:v>42005.126388888886</c:v>
                </c:pt>
                <c:pt idx="183">
                  <c:v>42005.127083333333</c:v>
                </c:pt>
                <c:pt idx="184">
                  <c:v>42005.12777777778</c:v>
                </c:pt>
                <c:pt idx="185">
                  <c:v>42005.128472222219</c:v>
                </c:pt>
                <c:pt idx="186">
                  <c:v>42005.129166666666</c:v>
                </c:pt>
                <c:pt idx="187">
                  <c:v>42005.129861111112</c:v>
                </c:pt>
                <c:pt idx="188">
                  <c:v>42005.130555555559</c:v>
                </c:pt>
                <c:pt idx="189">
                  <c:v>42005.131249999999</c:v>
                </c:pt>
                <c:pt idx="190">
                  <c:v>42005.131944444445</c:v>
                </c:pt>
                <c:pt idx="191">
                  <c:v>42005.132638888892</c:v>
                </c:pt>
                <c:pt idx="192">
                  <c:v>42005.133333333331</c:v>
                </c:pt>
                <c:pt idx="193">
                  <c:v>42005.134027777778</c:v>
                </c:pt>
                <c:pt idx="194">
                  <c:v>42005.134722222225</c:v>
                </c:pt>
                <c:pt idx="195">
                  <c:v>42005.135416666664</c:v>
                </c:pt>
                <c:pt idx="196">
                  <c:v>42005.136111111111</c:v>
                </c:pt>
                <c:pt idx="197">
                  <c:v>42005.136805555558</c:v>
                </c:pt>
                <c:pt idx="198">
                  <c:v>42005.137499999997</c:v>
                </c:pt>
                <c:pt idx="199">
                  <c:v>42005.138194444444</c:v>
                </c:pt>
                <c:pt idx="200">
                  <c:v>42005.138888888891</c:v>
                </c:pt>
                <c:pt idx="201">
                  <c:v>42005.13958333333</c:v>
                </c:pt>
                <c:pt idx="202">
                  <c:v>42005.140277777777</c:v>
                </c:pt>
                <c:pt idx="203">
                  <c:v>42005.140972222223</c:v>
                </c:pt>
                <c:pt idx="204">
                  <c:v>42005.14166666667</c:v>
                </c:pt>
                <c:pt idx="205">
                  <c:v>42005.142361111109</c:v>
                </c:pt>
                <c:pt idx="206">
                  <c:v>42005.143055555556</c:v>
                </c:pt>
                <c:pt idx="207">
                  <c:v>42005.143750000003</c:v>
                </c:pt>
                <c:pt idx="208">
                  <c:v>42005.144444444442</c:v>
                </c:pt>
                <c:pt idx="209">
                  <c:v>42005.145138888889</c:v>
                </c:pt>
                <c:pt idx="210">
                  <c:v>42005.145833333336</c:v>
                </c:pt>
                <c:pt idx="211">
                  <c:v>42005.146527777775</c:v>
                </c:pt>
                <c:pt idx="212">
                  <c:v>42005.147222222222</c:v>
                </c:pt>
                <c:pt idx="213">
                  <c:v>42005.147916666669</c:v>
                </c:pt>
                <c:pt idx="214">
                  <c:v>42005.148611111108</c:v>
                </c:pt>
                <c:pt idx="215">
                  <c:v>42005.149305555555</c:v>
                </c:pt>
                <c:pt idx="216">
                  <c:v>42005.15</c:v>
                </c:pt>
                <c:pt idx="217">
                  <c:v>42005.150694444441</c:v>
                </c:pt>
                <c:pt idx="218">
                  <c:v>42005.151388888888</c:v>
                </c:pt>
                <c:pt idx="219">
                  <c:v>42005.152083333334</c:v>
                </c:pt>
                <c:pt idx="220">
                  <c:v>42005.152777777781</c:v>
                </c:pt>
                <c:pt idx="221">
                  <c:v>42005.15347222222</c:v>
                </c:pt>
                <c:pt idx="222">
                  <c:v>42005.154166666667</c:v>
                </c:pt>
                <c:pt idx="223">
                  <c:v>42005.154861111114</c:v>
                </c:pt>
                <c:pt idx="224">
                  <c:v>42005.155555555553</c:v>
                </c:pt>
                <c:pt idx="225">
                  <c:v>42005.15625</c:v>
                </c:pt>
                <c:pt idx="226">
                  <c:v>42005.156944444447</c:v>
                </c:pt>
                <c:pt idx="227">
                  <c:v>42005.157638888886</c:v>
                </c:pt>
                <c:pt idx="228">
                  <c:v>42005.158333333333</c:v>
                </c:pt>
                <c:pt idx="229">
                  <c:v>42005.15902777778</c:v>
                </c:pt>
                <c:pt idx="230">
                  <c:v>42005.159722222219</c:v>
                </c:pt>
                <c:pt idx="231">
                  <c:v>42005.160416666666</c:v>
                </c:pt>
                <c:pt idx="232">
                  <c:v>42005.161111111112</c:v>
                </c:pt>
                <c:pt idx="233">
                  <c:v>42005.161805555559</c:v>
                </c:pt>
                <c:pt idx="234">
                  <c:v>42005.162499999999</c:v>
                </c:pt>
                <c:pt idx="235">
                  <c:v>42005.163194444445</c:v>
                </c:pt>
                <c:pt idx="236">
                  <c:v>42005.163888888892</c:v>
                </c:pt>
                <c:pt idx="237">
                  <c:v>42005.164583333331</c:v>
                </c:pt>
                <c:pt idx="238">
                  <c:v>42005.165277777778</c:v>
                </c:pt>
                <c:pt idx="239">
                  <c:v>42005.165972222225</c:v>
                </c:pt>
                <c:pt idx="240">
                  <c:v>42005.166666666664</c:v>
                </c:pt>
                <c:pt idx="241">
                  <c:v>42005.167361111111</c:v>
                </c:pt>
                <c:pt idx="242">
                  <c:v>42005.168055555558</c:v>
                </c:pt>
                <c:pt idx="243">
                  <c:v>42005.168749999997</c:v>
                </c:pt>
                <c:pt idx="244">
                  <c:v>42005.169444444444</c:v>
                </c:pt>
                <c:pt idx="245">
                  <c:v>42005.170138888891</c:v>
                </c:pt>
                <c:pt idx="246">
                  <c:v>42005.17083333333</c:v>
                </c:pt>
                <c:pt idx="247">
                  <c:v>42005.171527777777</c:v>
                </c:pt>
                <c:pt idx="248">
                  <c:v>42005.172222222223</c:v>
                </c:pt>
                <c:pt idx="249">
                  <c:v>42005.17291666667</c:v>
                </c:pt>
                <c:pt idx="250">
                  <c:v>42005.173611111109</c:v>
                </c:pt>
                <c:pt idx="251">
                  <c:v>42005.174305555556</c:v>
                </c:pt>
                <c:pt idx="252">
                  <c:v>42005.175000000003</c:v>
                </c:pt>
                <c:pt idx="253">
                  <c:v>42005.175694444442</c:v>
                </c:pt>
                <c:pt idx="254">
                  <c:v>42005.176388888889</c:v>
                </c:pt>
                <c:pt idx="255">
                  <c:v>42005.177083333336</c:v>
                </c:pt>
                <c:pt idx="256">
                  <c:v>42005.177777777775</c:v>
                </c:pt>
                <c:pt idx="257">
                  <c:v>42005.178472222222</c:v>
                </c:pt>
                <c:pt idx="258">
                  <c:v>42005.179166666669</c:v>
                </c:pt>
                <c:pt idx="259">
                  <c:v>42005.179861111108</c:v>
                </c:pt>
                <c:pt idx="260">
                  <c:v>42005.180555555555</c:v>
                </c:pt>
                <c:pt idx="261">
                  <c:v>42005.181250000001</c:v>
                </c:pt>
                <c:pt idx="262">
                  <c:v>42005.181944444441</c:v>
                </c:pt>
                <c:pt idx="263">
                  <c:v>42005.182638888888</c:v>
                </c:pt>
                <c:pt idx="264">
                  <c:v>42005.183333333334</c:v>
                </c:pt>
                <c:pt idx="265">
                  <c:v>42005.184027777781</c:v>
                </c:pt>
                <c:pt idx="266">
                  <c:v>42005.18472222222</c:v>
                </c:pt>
                <c:pt idx="267">
                  <c:v>42005.185416666667</c:v>
                </c:pt>
                <c:pt idx="268">
                  <c:v>42005.186111111114</c:v>
                </c:pt>
                <c:pt idx="269">
                  <c:v>42005.186805555553</c:v>
                </c:pt>
                <c:pt idx="270">
                  <c:v>42005.1875</c:v>
                </c:pt>
                <c:pt idx="271">
                  <c:v>42005.188194444447</c:v>
                </c:pt>
                <c:pt idx="272">
                  <c:v>42005.188888888886</c:v>
                </c:pt>
                <c:pt idx="273">
                  <c:v>42005.189583333333</c:v>
                </c:pt>
                <c:pt idx="274">
                  <c:v>42005.19027777778</c:v>
                </c:pt>
                <c:pt idx="275">
                  <c:v>42005.190972222219</c:v>
                </c:pt>
                <c:pt idx="276">
                  <c:v>42005.191666666666</c:v>
                </c:pt>
                <c:pt idx="277">
                  <c:v>42005.192361111112</c:v>
                </c:pt>
                <c:pt idx="278">
                  <c:v>42005.193055555559</c:v>
                </c:pt>
                <c:pt idx="279">
                  <c:v>42005.193749999999</c:v>
                </c:pt>
                <c:pt idx="280">
                  <c:v>42005.194444444445</c:v>
                </c:pt>
                <c:pt idx="281">
                  <c:v>42005.195138888892</c:v>
                </c:pt>
                <c:pt idx="282">
                  <c:v>42005.195833333331</c:v>
                </c:pt>
                <c:pt idx="283">
                  <c:v>42005.196527777778</c:v>
                </c:pt>
                <c:pt idx="284">
                  <c:v>42005.197222222225</c:v>
                </c:pt>
                <c:pt idx="285">
                  <c:v>42005.197916666664</c:v>
                </c:pt>
                <c:pt idx="286">
                  <c:v>42005.198611111111</c:v>
                </c:pt>
                <c:pt idx="287">
                  <c:v>42005.199305555558</c:v>
                </c:pt>
                <c:pt idx="288">
                  <c:v>42005.2</c:v>
                </c:pt>
                <c:pt idx="289">
                  <c:v>42005.200694444444</c:v>
                </c:pt>
                <c:pt idx="290">
                  <c:v>42005.201388888891</c:v>
                </c:pt>
                <c:pt idx="291">
                  <c:v>42005.20208333333</c:v>
                </c:pt>
                <c:pt idx="292">
                  <c:v>42005.202777777777</c:v>
                </c:pt>
                <c:pt idx="293">
                  <c:v>42005.203472222223</c:v>
                </c:pt>
                <c:pt idx="294">
                  <c:v>42005.20416666667</c:v>
                </c:pt>
                <c:pt idx="295">
                  <c:v>42005.204861111109</c:v>
                </c:pt>
                <c:pt idx="296">
                  <c:v>42005.205555555556</c:v>
                </c:pt>
                <c:pt idx="297">
                  <c:v>42005.206250000003</c:v>
                </c:pt>
                <c:pt idx="298">
                  <c:v>42005.206944444442</c:v>
                </c:pt>
                <c:pt idx="299">
                  <c:v>42005.207638888889</c:v>
                </c:pt>
                <c:pt idx="300">
                  <c:v>42005.208333333336</c:v>
                </c:pt>
                <c:pt idx="301">
                  <c:v>42005.209027777775</c:v>
                </c:pt>
                <c:pt idx="302">
                  <c:v>42005.209722222222</c:v>
                </c:pt>
                <c:pt idx="303">
                  <c:v>42005.210416666669</c:v>
                </c:pt>
                <c:pt idx="304">
                  <c:v>42005.211111111108</c:v>
                </c:pt>
                <c:pt idx="305">
                  <c:v>42005.211805555555</c:v>
                </c:pt>
                <c:pt idx="306">
                  <c:v>42005.212500000001</c:v>
                </c:pt>
                <c:pt idx="307">
                  <c:v>42005.213194444441</c:v>
                </c:pt>
                <c:pt idx="308">
                  <c:v>42005.213888888888</c:v>
                </c:pt>
                <c:pt idx="309">
                  <c:v>42005.214583333334</c:v>
                </c:pt>
                <c:pt idx="310">
                  <c:v>42005.215277777781</c:v>
                </c:pt>
                <c:pt idx="311">
                  <c:v>42005.21597222222</c:v>
                </c:pt>
                <c:pt idx="312">
                  <c:v>42005.216666666667</c:v>
                </c:pt>
                <c:pt idx="313">
                  <c:v>42005.217361111114</c:v>
                </c:pt>
                <c:pt idx="314">
                  <c:v>42005.218055555553</c:v>
                </c:pt>
                <c:pt idx="315">
                  <c:v>42005.21875</c:v>
                </c:pt>
                <c:pt idx="316">
                  <c:v>42005.219444444447</c:v>
                </c:pt>
                <c:pt idx="317">
                  <c:v>42005.220138888886</c:v>
                </c:pt>
                <c:pt idx="318">
                  <c:v>42005.220833333333</c:v>
                </c:pt>
                <c:pt idx="319">
                  <c:v>42005.22152777778</c:v>
                </c:pt>
                <c:pt idx="320">
                  <c:v>42005.222222222219</c:v>
                </c:pt>
                <c:pt idx="321">
                  <c:v>42005.222916666666</c:v>
                </c:pt>
                <c:pt idx="322">
                  <c:v>42005.223611111112</c:v>
                </c:pt>
                <c:pt idx="323">
                  <c:v>42005.224305555559</c:v>
                </c:pt>
                <c:pt idx="324">
                  <c:v>42005.224999999999</c:v>
                </c:pt>
                <c:pt idx="325">
                  <c:v>42005.225694444445</c:v>
                </c:pt>
                <c:pt idx="326">
                  <c:v>42005.226388888892</c:v>
                </c:pt>
                <c:pt idx="327">
                  <c:v>42005.227083333331</c:v>
                </c:pt>
                <c:pt idx="328">
                  <c:v>42005.227777777778</c:v>
                </c:pt>
                <c:pt idx="329">
                  <c:v>42005.228472222225</c:v>
                </c:pt>
                <c:pt idx="330">
                  <c:v>42005.229166666664</c:v>
                </c:pt>
                <c:pt idx="331">
                  <c:v>42005.229861111111</c:v>
                </c:pt>
                <c:pt idx="332">
                  <c:v>42005.230555555558</c:v>
                </c:pt>
                <c:pt idx="333">
                  <c:v>42005.231249999997</c:v>
                </c:pt>
                <c:pt idx="334">
                  <c:v>42005.231944444444</c:v>
                </c:pt>
                <c:pt idx="335">
                  <c:v>42005.232638888891</c:v>
                </c:pt>
                <c:pt idx="336">
                  <c:v>42005.23333333333</c:v>
                </c:pt>
                <c:pt idx="337">
                  <c:v>42005.234027777777</c:v>
                </c:pt>
                <c:pt idx="338">
                  <c:v>42005.234722222223</c:v>
                </c:pt>
                <c:pt idx="339">
                  <c:v>42005.23541666667</c:v>
                </c:pt>
                <c:pt idx="340">
                  <c:v>42005.236111111109</c:v>
                </c:pt>
                <c:pt idx="341">
                  <c:v>42005.236805555556</c:v>
                </c:pt>
                <c:pt idx="342">
                  <c:v>42005.237500000003</c:v>
                </c:pt>
                <c:pt idx="343">
                  <c:v>42005.238194444442</c:v>
                </c:pt>
                <c:pt idx="344">
                  <c:v>42005.238888888889</c:v>
                </c:pt>
                <c:pt idx="345">
                  <c:v>42005.239583333336</c:v>
                </c:pt>
                <c:pt idx="346">
                  <c:v>42005.240277777775</c:v>
                </c:pt>
                <c:pt idx="347">
                  <c:v>42005.240972222222</c:v>
                </c:pt>
                <c:pt idx="348">
                  <c:v>42005.241666666669</c:v>
                </c:pt>
                <c:pt idx="349">
                  <c:v>42005.242361111108</c:v>
                </c:pt>
                <c:pt idx="350">
                  <c:v>42005.243055555555</c:v>
                </c:pt>
                <c:pt idx="351">
                  <c:v>42005.243750000001</c:v>
                </c:pt>
                <c:pt idx="352">
                  <c:v>42005.244444444441</c:v>
                </c:pt>
                <c:pt idx="353">
                  <c:v>42005.245138888888</c:v>
                </c:pt>
                <c:pt idx="354">
                  <c:v>42005.245833333334</c:v>
                </c:pt>
                <c:pt idx="355">
                  <c:v>42005.246527777781</c:v>
                </c:pt>
                <c:pt idx="356">
                  <c:v>42005.24722222222</c:v>
                </c:pt>
                <c:pt idx="357">
                  <c:v>42005.247916666667</c:v>
                </c:pt>
                <c:pt idx="358">
                  <c:v>42005.248611111114</c:v>
                </c:pt>
                <c:pt idx="359">
                  <c:v>42005.249305555553</c:v>
                </c:pt>
                <c:pt idx="360">
                  <c:v>42005.25</c:v>
                </c:pt>
                <c:pt idx="361">
                  <c:v>42005.250694444447</c:v>
                </c:pt>
                <c:pt idx="362">
                  <c:v>42005.251388888886</c:v>
                </c:pt>
                <c:pt idx="363">
                  <c:v>42005.252083333333</c:v>
                </c:pt>
                <c:pt idx="364">
                  <c:v>42005.25277777778</c:v>
                </c:pt>
                <c:pt idx="365">
                  <c:v>42005.253472222219</c:v>
                </c:pt>
                <c:pt idx="366">
                  <c:v>42005.254166666666</c:v>
                </c:pt>
                <c:pt idx="367">
                  <c:v>42005.254861111112</c:v>
                </c:pt>
                <c:pt idx="368">
                  <c:v>42005.255555555559</c:v>
                </c:pt>
                <c:pt idx="369">
                  <c:v>42005.256249999999</c:v>
                </c:pt>
                <c:pt idx="370">
                  <c:v>42005.256944444445</c:v>
                </c:pt>
                <c:pt idx="371">
                  <c:v>42005.257638888892</c:v>
                </c:pt>
                <c:pt idx="372">
                  <c:v>42005.258333333331</c:v>
                </c:pt>
                <c:pt idx="373">
                  <c:v>42005.259027777778</c:v>
                </c:pt>
                <c:pt idx="374">
                  <c:v>42005.259722222225</c:v>
                </c:pt>
                <c:pt idx="375">
                  <c:v>42005.260416666664</c:v>
                </c:pt>
                <c:pt idx="376">
                  <c:v>42005.261111111111</c:v>
                </c:pt>
                <c:pt idx="377">
                  <c:v>42005.261805555558</c:v>
                </c:pt>
                <c:pt idx="378">
                  <c:v>42005.262499999997</c:v>
                </c:pt>
                <c:pt idx="379">
                  <c:v>42005.263194444444</c:v>
                </c:pt>
                <c:pt idx="380">
                  <c:v>42005.263888888891</c:v>
                </c:pt>
                <c:pt idx="381">
                  <c:v>42005.26458333333</c:v>
                </c:pt>
                <c:pt idx="382">
                  <c:v>42005.265277777777</c:v>
                </c:pt>
                <c:pt idx="383">
                  <c:v>42005.265972222223</c:v>
                </c:pt>
                <c:pt idx="384">
                  <c:v>42005.26666666667</c:v>
                </c:pt>
                <c:pt idx="385">
                  <c:v>42005.267361111109</c:v>
                </c:pt>
                <c:pt idx="386">
                  <c:v>42005.268055555556</c:v>
                </c:pt>
                <c:pt idx="387">
                  <c:v>42005.268750000003</c:v>
                </c:pt>
                <c:pt idx="388">
                  <c:v>42005.269444444442</c:v>
                </c:pt>
                <c:pt idx="389">
                  <c:v>42005.270138888889</c:v>
                </c:pt>
                <c:pt idx="390">
                  <c:v>42005.270833333336</c:v>
                </c:pt>
                <c:pt idx="391">
                  <c:v>42005.271527777775</c:v>
                </c:pt>
                <c:pt idx="392">
                  <c:v>42005.272222222222</c:v>
                </c:pt>
                <c:pt idx="393">
                  <c:v>42005.272916666669</c:v>
                </c:pt>
                <c:pt idx="394">
                  <c:v>42005.273611111108</c:v>
                </c:pt>
                <c:pt idx="395">
                  <c:v>42005.274305555555</c:v>
                </c:pt>
                <c:pt idx="396">
                  <c:v>42005.275000000001</c:v>
                </c:pt>
                <c:pt idx="397">
                  <c:v>42005.275694444441</c:v>
                </c:pt>
                <c:pt idx="398">
                  <c:v>42005.276388888888</c:v>
                </c:pt>
                <c:pt idx="399">
                  <c:v>42005.277083333334</c:v>
                </c:pt>
                <c:pt idx="400">
                  <c:v>42005.277777777781</c:v>
                </c:pt>
                <c:pt idx="401">
                  <c:v>42005.27847222222</c:v>
                </c:pt>
                <c:pt idx="402">
                  <c:v>42005.279166666667</c:v>
                </c:pt>
                <c:pt idx="403">
                  <c:v>42005.279861111114</c:v>
                </c:pt>
                <c:pt idx="404">
                  <c:v>42005.280555555553</c:v>
                </c:pt>
                <c:pt idx="405">
                  <c:v>42005.28125</c:v>
                </c:pt>
                <c:pt idx="406">
                  <c:v>42005.281944444447</c:v>
                </c:pt>
                <c:pt idx="407">
                  <c:v>42005.282638888886</c:v>
                </c:pt>
                <c:pt idx="408">
                  <c:v>42005.283333333333</c:v>
                </c:pt>
                <c:pt idx="409">
                  <c:v>42005.28402777778</c:v>
                </c:pt>
                <c:pt idx="410">
                  <c:v>42005.284722222219</c:v>
                </c:pt>
                <c:pt idx="411">
                  <c:v>42005.285416666666</c:v>
                </c:pt>
                <c:pt idx="412">
                  <c:v>42005.286111111112</c:v>
                </c:pt>
                <c:pt idx="413">
                  <c:v>42005.286805555559</c:v>
                </c:pt>
                <c:pt idx="414">
                  <c:v>42005.287499999999</c:v>
                </c:pt>
                <c:pt idx="415">
                  <c:v>42005.288194444445</c:v>
                </c:pt>
                <c:pt idx="416">
                  <c:v>42005.288888888892</c:v>
                </c:pt>
                <c:pt idx="417">
                  <c:v>42005.289583333331</c:v>
                </c:pt>
                <c:pt idx="418">
                  <c:v>42005.290277777778</c:v>
                </c:pt>
                <c:pt idx="419">
                  <c:v>42005.290972222225</c:v>
                </c:pt>
                <c:pt idx="420">
                  <c:v>42005.291666666664</c:v>
                </c:pt>
                <c:pt idx="421">
                  <c:v>42005.292361111111</c:v>
                </c:pt>
                <c:pt idx="422">
                  <c:v>42005.293055555558</c:v>
                </c:pt>
                <c:pt idx="423">
                  <c:v>42005.293749999997</c:v>
                </c:pt>
                <c:pt idx="424">
                  <c:v>42005.294444444444</c:v>
                </c:pt>
                <c:pt idx="425">
                  <c:v>42005.295138888891</c:v>
                </c:pt>
                <c:pt idx="426">
                  <c:v>42005.29583333333</c:v>
                </c:pt>
                <c:pt idx="427">
                  <c:v>42005.296527777777</c:v>
                </c:pt>
                <c:pt idx="428">
                  <c:v>42005.297222222223</c:v>
                </c:pt>
                <c:pt idx="429">
                  <c:v>42005.29791666667</c:v>
                </c:pt>
                <c:pt idx="430">
                  <c:v>42005.298611111109</c:v>
                </c:pt>
                <c:pt idx="431">
                  <c:v>42005.299305555556</c:v>
                </c:pt>
                <c:pt idx="432">
                  <c:v>42005.3</c:v>
                </c:pt>
                <c:pt idx="433">
                  <c:v>42005.300694444442</c:v>
                </c:pt>
                <c:pt idx="434">
                  <c:v>42005.301388888889</c:v>
                </c:pt>
                <c:pt idx="435">
                  <c:v>42005.302083333336</c:v>
                </c:pt>
                <c:pt idx="436">
                  <c:v>42005.302777777775</c:v>
                </c:pt>
                <c:pt idx="437">
                  <c:v>42005.303472222222</c:v>
                </c:pt>
                <c:pt idx="438">
                  <c:v>42005.304166666669</c:v>
                </c:pt>
                <c:pt idx="439">
                  <c:v>42005.304861111108</c:v>
                </c:pt>
                <c:pt idx="440">
                  <c:v>42005.305555555555</c:v>
                </c:pt>
                <c:pt idx="441">
                  <c:v>42005.306250000001</c:v>
                </c:pt>
                <c:pt idx="442">
                  <c:v>42005.306944444441</c:v>
                </c:pt>
                <c:pt idx="443">
                  <c:v>42005.307638888888</c:v>
                </c:pt>
                <c:pt idx="444">
                  <c:v>42005.308333333334</c:v>
                </c:pt>
                <c:pt idx="445">
                  <c:v>42005.309027777781</c:v>
                </c:pt>
                <c:pt idx="446">
                  <c:v>42005.30972222222</c:v>
                </c:pt>
                <c:pt idx="447">
                  <c:v>42005.310416666667</c:v>
                </c:pt>
                <c:pt idx="448">
                  <c:v>42005.311111111114</c:v>
                </c:pt>
                <c:pt idx="449">
                  <c:v>42005.311805555553</c:v>
                </c:pt>
                <c:pt idx="450">
                  <c:v>42005.3125</c:v>
                </c:pt>
                <c:pt idx="451">
                  <c:v>42005.313194444447</c:v>
                </c:pt>
                <c:pt idx="452">
                  <c:v>42005.313888888886</c:v>
                </c:pt>
                <c:pt idx="453">
                  <c:v>42005.314583333333</c:v>
                </c:pt>
                <c:pt idx="454">
                  <c:v>42005.31527777778</c:v>
                </c:pt>
                <c:pt idx="455">
                  <c:v>42005.315972222219</c:v>
                </c:pt>
                <c:pt idx="456">
                  <c:v>42005.316666666666</c:v>
                </c:pt>
                <c:pt idx="457">
                  <c:v>42005.317361111112</c:v>
                </c:pt>
                <c:pt idx="458">
                  <c:v>42005.318055555559</c:v>
                </c:pt>
                <c:pt idx="459">
                  <c:v>42005.318749999999</c:v>
                </c:pt>
                <c:pt idx="460">
                  <c:v>42005.319444444445</c:v>
                </c:pt>
                <c:pt idx="461">
                  <c:v>42005.320138888892</c:v>
                </c:pt>
                <c:pt idx="462">
                  <c:v>42005.320833333331</c:v>
                </c:pt>
                <c:pt idx="463">
                  <c:v>42005.321527777778</c:v>
                </c:pt>
                <c:pt idx="464">
                  <c:v>42005.322222222225</c:v>
                </c:pt>
                <c:pt idx="465">
                  <c:v>42005.322916666664</c:v>
                </c:pt>
                <c:pt idx="466">
                  <c:v>42005.323611111111</c:v>
                </c:pt>
                <c:pt idx="467">
                  <c:v>42005.324305555558</c:v>
                </c:pt>
                <c:pt idx="468">
                  <c:v>42005.324999999997</c:v>
                </c:pt>
                <c:pt idx="469">
                  <c:v>42005.325694444444</c:v>
                </c:pt>
                <c:pt idx="470">
                  <c:v>42005.326388888891</c:v>
                </c:pt>
                <c:pt idx="471">
                  <c:v>42005.32708333333</c:v>
                </c:pt>
                <c:pt idx="472">
                  <c:v>42005.327777777777</c:v>
                </c:pt>
                <c:pt idx="473">
                  <c:v>42005.328472222223</c:v>
                </c:pt>
                <c:pt idx="474">
                  <c:v>42005.32916666667</c:v>
                </c:pt>
                <c:pt idx="475">
                  <c:v>42005.329861111109</c:v>
                </c:pt>
                <c:pt idx="476">
                  <c:v>42005.330555555556</c:v>
                </c:pt>
                <c:pt idx="477">
                  <c:v>42005.331250000003</c:v>
                </c:pt>
                <c:pt idx="478">
                  <c:v>42005.331944444442</c:v>
                </c:pt>
                <c:pt idx="479">
                  <c:v>42005.332638888889</c:v>
                </c:pt>
                <c:pt idx="480">
                  <c:v>42005.333333333336</c:v>
                </c:pt>
                <c:pt idx="481">
                  <c:v>42005.334027777775</c:v>
                </c:pt>
                <c:pt idx="482">
                  <c:v>42005.334722222222</c:v>
                </c:pt>
                <c:pt idx="483">
                  <c:v>42005.335416666669</c:v>
                </c:pt>
                <c:pt idx="484">
                  <c:v>42005.336111111108</c:v>
                </c:pt>
                <c:pt idx="485">
                  <c:v>42005.336805555555</c:v>
                </c:pt>
                <c:pt idx="486">
                  <c:v>42005.337500000001</c:v>
                </c:pt>
                <c:pt idx="487">
                  <c:v>42005.338194444441</c:v>
                </c:pt>
                <c:pt idx="488">
                  <c:v>42005.338888888888</c:v>
                </c:pt>
                <c:pt idx="489">
                  <c:v>42005.339583333334</c:v>
                </c:pt>
                <c:pt idx="490">
                  <c:v>42005.340277777781</c:v>
                </c:pt>
                <c:pt idx="491">
                  <c:v>42005.34097222222</c:v>
                </c:pt>
                <c:pt idx="492">
                  <c:v>42005.341666666667</c:v>
                </c:pt>
                <c:pt idx="493">
                  <c:v>42005.342361111114</c:v>
                </c:pt>
                <c:pt idx="494">
                  <c:v>42005.343055555553</c:v>
                </c:pt>
                <c:pt idx="495">
                  <c:v>42005.34375</c:v>
                </c:pt>
                <c:pt idx="496">
                  <c:v>42005.344444444447</c:v>
                </c:pt>
                <c:pt idx="497">
                  <c:v>42005.345138888886</c:v>
                </c:pt>
                <c:pt idx="498">
                  <c:v>42005.345833333333</c:v>
                </c:pt>
                <c:pt idx="499">
                  <c:v>42005.34652777778</c:v>
                </c:pt>
                <c:pt idx="500">
                  <c:v>42005.347222222219</c:v>
                </c:pt>
                <c:pt idx="501">
                  <c:v>42005.347916666666</c:v>
                </c:pt>
                <c:pt idx="502">
                  <c:v>42005.348611111112</c:v>
                </c:pt>
                <c:pt idx="503">
                  <c:v>42005.349305555559</c:v>
                </c:pt>
                <c:pt idx="504">
                  <c:v>42005.35</c:v>
                </c:pt>
                <c:pt idx="505">
                  <c:v>42005.350694444445</c:v>
                </c:pt>
                <c:pt idx="506">
                  <c:v>42005.351388888892</c:v>
                </c:pt>
                <c:pt idx="507">
                  <c:v>42005.352083333331</c:v>
                </c:pt>
                <c:pt idx="508">
                  <c:v>42005.352777777778</c:v>
                </c:pt>
                <c:pt idx="509">
                  <c:v>42005.353472222225</c:v>
                </c:pt>
                <c:pt idx="510">
                  <c:v>42005.354166666664</c:v>
                </c:pt>
                <c:pt idx="511">
                  <c:v>42005.354861111111</c:v>
                </c:pt>
                <c:pt idx="512">
                  <c:v>42005.355555555558</c:v>
                </c:pt>
                <c:pt idx="513">
                  <c:v>42005.356249999997</c:v>
                </c:pt>
                <c:pt idx="514">
                  <c:v>42005.356944444444</c:v>
                </c:pt>
                <c:pt idx="515">
                  <c:v>42005.357638888891</c:v>
                </c:pt>
                <c:pt idx="516">
                  <c:v>42005.35833333333</c:v>
                </c:pt>
                <c:pt idx="517">
                  <c:v>42005.359027777777</c:v>
                </c:pt>
                <c:pt idx="518">
                  <c:v>42005.359722222223</c:v>
                </c:pt>
                <c:pt idx="519">
                  <c:v>42005.36041666667</c:v>
                </c:pt>
                <c:pt idx="520">
                  <c:v>42005.361111111109</c:v>
                </c:pt>
                <c:pt idx="521">
                  <c:v>42005.361805555556</c:v>
                </c:pt>
                <c:pt idx="522">
                  <c:v>42005.362500000003</c:v>
                </c:pt>
                <c:pt idx="523">
                  <c:v>42005.363194444442</c:v>
                </c:pt>
                <c:pt idx="524">
                  <c:v>42005.363888888889</c:v>
                </c:pt>
                <c:pt idx="525">
                  <c:v>42005.364583333336</c:v>
                </c:pt>
                <c:pt idx="526">
                  <c:v>42005.365277777775</c:v>
                </c:pt>
                <c:pt idx="527">
                  <c:v>42005.365972222222</c:v>
                </c:pt>
                <c:pt idx="528">
                  <c:v>42005.366666666669</c:v>
                </c:pt>
                <c:pt idx="529">
                  <c:v>42005.367361111108</c:v>
                </c:pt>
                <c:pt idx="530">
                  <c:v>42005.368055555555</c:v>
                </c:pt>
                <c:pt idx="531">
                  <c:v>42005.368750000001</c:v>
                </c:pt>
                <c:pt idx="532">
                  <c:v>42005.369444444441</c:v>
                </c:pt>
                <c:pt idx="533">
                  <c:v>42005.370138888888</c:v>
                </c:pt>
                <c:pt idx="534">
                  <c:v>42005.370833333334</c:v>
                </c:pt>
                <c:pt idx="535">
                  <c:v>42005.371527777781</c:v>
                </c:pt>
                <c:pt idx="536">
                  <c:v>42005.37222222222</c:v>
                </c:pt>
                <c:pt idx="537">
                  <c:v>42005.372916666667</c:v>
                </c:pt>
                <c:pt idx="538">
                  <c:v>42005.373611111114</c:v>
                </c:pt>
                <c:pt idx="539">
                  <c:v>42005.374305555553</c:v>
                </c:pt>
                <c:pt idx="540">
                  <c:v>42005.375</c:v>
                </c:pt>
                <c:pt idx="541">
                  <c:v>42005.375694444447</c:v>
                </c:pt>
                <c:pt idx="542">
                  <c:v>42005.376388888886</c:v>
                </c:pt>
                <c:pt idx="543">
                  <c:v>42005.377083333333</c:v>
                </c:pt>
                <c:pt idx="544">
                  <c:v>42005.37777777778</c:v>
                </c:pt>
                <c:pt idx="545">
                  <c:v>42005.378472222219</c:v>
                </c:pt>
                <c:pt idx="546">
                  <c:v>42005.379166666666</c:v>
                </c:pt>
                <c:pt idx="547">
                  <c:v>42005.379861111112</c:v>
                </c:pt>
                <c:pt idx="548">
                  <c:v>42005.380555555559</c:v>
                </c:pt>
                <c:pt idx="549">
                  <c:v>42005.381249999999</c:v>
                </c:pt>
                <c:pt idx="550">
                  <c:v>42005.381944444445</c:v>
                </c:pt>
                <c:pt idx="551">
                  <c:v>42005.382638888892</c:v>
                </c:pt>
                <c:pt idx="552">
                  <c:v>42005.383333333331</c:v>
                </c:pt>
                <c:pt idx="553">
                  <c:v>42005.384027777778</c:v>
                </c:pt>
                <c:pt idx="554">
                  <c:v>42005.384722222225</c:v>
                </c:pt>
                <c:pt idx="555">
                  <c:v>42005.385416666664</c:v>
                </c:pt>
                <c:pt idx="556">
                  <c:v>42005.386111111111</c:v>
                </c:pt>
                <c:pt idx="557">
                  <c:v>42005.386805555558</c:v>
                </c:pt>
                <c:pt idx="558">
                  <c:v>42005.387499999997</c:v>
                </c:pt>
                <c:pt idx="559">
                  <c:v>42005.388194444444</c:v>
                </c:pt>
                <c:pt idx="560">
                  <c:v>42005.388888888891</c:v>
                </c:pt>
                <c:pt idx="561">
                  <c:v>42005.38958333333</c:v>
                </c:pt>
                <c:pt idx="562">
                  <c:v>42005.390277777777</c:v>
                </c:pt>
                <c:pt idx="563">
                  <c:v>42005.390972222223</c:v>
                </c:pt>
                <c:pt idx="564">
                  <c:v>42005.39166666667</c:v>
                </c:pt>
                <c:pt idx="565">
                  <c:v>42005.392361111109</c:v>
                </c:pt>
                <c:pt idx="566">
                  <c:v>42005.393055555556</c:v>
                </c:pt>
                <c:pt idx="567">
                  <c:v>42005.393750000003</c:v>
                </c:pt>
                <c:pt idx="568">
                  <c:v>42005.394444444442</c:v>
                </c:pt>
                <c:pt idx="569">
                  <c:v>42005.395138888889</c:v>
                </c:pt>
                <c:pt idx="570">
                  <c:v>42005.395833333336</c:v>
                </c:pt>
                <c:pt idx="571">
                  <c:v>42005.396527777775</c:v>
                </c:pt>
                <c:pt idx="572">
                  <c:v>42005.397222222222</c:v>
                </c:pt>
                <c:pt idx="573">
                  <c:v>42005.397916666669</c:v>
                </c:pt>
                <c:pt idx="574">
                  <c:v>42005.398611111108</c:v>
                </c:pt>
                <c:pt idx="575">
                  <c:v>42005.399305555555</c:v>
                </c:pt>
                <c:pt idx="576">
                  <c:v>42005.4</c:v>
                </c:pt>
                <c:pt idx="577">
                  <c:v>42005.400694444441</c:v>
                </c:pt>
                <c:pt idx="578">
                  <c:v>42005.401388888888</c:v>
                </c:pt>
                <c:pt idx="579">
                  <c:v>42005.402083333334</c:v>
                </c:pt>
                <c:pt idx="580">
                  <c:v>42005.402777777781</c:v>
                </c:pt>
                <c:pt idx="581">
                  <c:v>42005.40347222222</c:v>
                </c:pt>
                <c:pt idx="582">
                  <c:v>42005.404166666667</c:v>
                </c:pt>
                <c:pt idx="583">
                  <c:v>42005.404861111114</c:v>
                </c:pt>
                <c:pt idx="584">
                  <c:v>42005.405555555553</c:v>
                </c:pt>
                <c:pt idx="585">
                  <c:v>42005.40625</c:v>
                </c:pt>
                <c:pt idx="586">
                  <c:v>42005.406944444447</c:v>
                </c:pt>
                <c:pt idx="587">
                  <c:v>42005.407638888886</c:v>
                </c:pt>
                <c:pt idx="588">
                  <c:v>42005.408333333333</c:v>
                </c:pt>
                <c:pt idx="589">
                  <c:v>42005.40902777778</c:v>
                </c:pt>
                <c:pt idx="590">
                  <c:v>42005.409722222219</c:v>
                </c:pt>
                <c:pt idx="591">
                  <c:v>42005.410416666666</c:v>
                </c:pt>
                <c:pt idx="592">
                  <c:v>42005.411111111112</c:v>
                </c:pt>
                <c:pt idx="593">
                  <c:v>42005.411805555559</c:v>
                </c:pt>
                <c:pt idx="594">
                  <c:v>42005.412499999999</c:v>
                </c:pt>
                <c:pt idx="595">
                  <c:v>42005.413194444445</c:v>
                </c:pt>
                <c:pt idx="596">
                  <c:v>42005.413888888892</c:v>
                </c:pt>
                <c:pt idx="597">
                  <c:v>42005.414583333331</c:v>
                </c:pt>
                <c:pt idx="598">
                  <c:v>42005.415277777778</c:v>
                </c:pt>
                <c:pt idx="599">
                  <c:v>42005.415972222225</c:v>
                </c:pt>
                <c:pt idx="600">
                  <c:v>42005.416666666664</c:v>
                </c:pt>
                <c:pt idx="601">
                  <c:v>42005.417361111111</c:v>
                </c:pt>
                <c:pt idx="602">
                  <c:v>42005.418055555558</c:v>
                </c:pt>
                <c:pt idx="603">
                  <c:v>42005.418749999997</c:v>
                </c:pt>
                <c:pt idx="604">
                  <c:v>42005.419444444444</c:v>
                </c:pt>
                <c:pt idx="605">
                  <c:v>42005.420138888891</c:v>
                </c:pt>
                <c:pt idx="606">
                  <c:v>42005.42083333333</c:v>
                </c:pt>
                <c:pt idx="607">
                  <c:v>42005.421527777777</c:v>
                </c:pt>
                <c:pt idx="608">
                  <c:v>42005.422222222223</c:v>
                </c:pt>
                <c:pt idx="609">
                  <c:v>42005.42291666667</c:v>
                </c:pt>
                <c:pt idx="610">
                  <c:v>42005.423611111109</c:v>
                </c:pt>
                <c:pt idx="611">
                  <c:v>42005.424305555556</c:v>
                </c:pt>
                <c:pt idx="612">
                  <c:v>42005.425000000003</c:v>
                </c:pt>
                <c:pt idx="613">
                  <c:v>42005.425694444442</c:v>
                </c:pt>
                <c:pt idx="614">
                  <c:v>42005.426388888889</c:v>
                </c:pt>
                <c:pt idx="615">
                  <c:v>42005.427083333336</c:v>
                </c:pt>
                <c:pt idx="616">
                  <c:v>42005.427777777775</c:v>
                </c:pt>
                <c:pt idx="617">
                  <c:v>42005.428472222222</c:v>
                </c:pt>
                <c:pt idx="618">
                  <c:v>42005.429166666669</c:v>
                </c:pt>
                <c:pt idx="619">
                  <c:v>42005.429861111108</c:v>
                </c:pt>
                <c:pt idx="620">
                  <c:v>42005.430555555555</c:v>
                </c:pt>
                <c:pt idx="621">
                  <c:v>42005.431250000001</c:v>
                </c:pt>
                <c:pt idx="622">
                  <c:v>42005.431944444441</c:v>
                </c:pt>
                <c:pt idx="623">
                  <c:v>42005.432638888888</c:v>
                </c:pt>
                <c:pt idx="624">
                  <c:v>42005.433333333334</c:v>
                </c:pt>
                <c:pt idx="625">
                  <c:v>42005.434027777781</c:v>
                </c:pt>
                <c:pt idx="626">
                  <c:v>42005.43472222222</c:v>
                </c:pt>
                <c:pt idx="627">
                  <c:v>42005.435416666667</c:v>
                </c:pt>
                <c:pt idx="628">
                  <c:v>42005.436111111114</c:v>
                </c:pt>
                <c:pt idx="629">
                  <c:v>42005.436805555553</c:v>
                </c:pt>
                <c:pt idx="630">
                  <c:v>42005.4375</c:v>
                </c:pt>
                <c:pt idx="631">
                  <c:v>42005.438194444447</c:v>
                </c:pt>
                <c:pt idx="632">
                  <c:v>42005.438888888886</c:v>
                </c:pt>
                <c:pt idx="633">
                  <c:v>42005.439583333333</c:v>
                </c:pt>
                <c:pt idx="634">
                  <c:v>42005.44027777778</c:v>
                </c:pt>
                <c:pt idx="635">
                  <c:v>42005.440972222219</c:v>
                </c:pt>
                <c:pt idx="636">
                  <c:v>42005.441666666666</c:v>
                </c:pt>
                <c:pt idx="637">
                  <c:v>42005.442361111112</c:v>
                </c:pt>
                <c:pt idx="638">
                  <c:v>42005.443055555559</c:v>
                </c:pt>
                <c:pt idx="639">
                  <c:v>42005.443749999999</c:v>
                </c:pt>
                <c:pt idx="640">
                  <c:v>42005.444444444445</c:v>
                </c:pt>
                <c:pt idx="641">
                  <c:v>42005.445138888892</c:v>
                </c:pt>
                <c:pt idx="642">
                  <c:v>42005.445833333331</c:v>
                </c:pt>
                <c:pt idx="643">
                  <c:v>42005.446527777778</c:v>
                </c:pt>
                <c:pt idx="644">
                  <c:v>42005.447222222225</c:v>
                </c:pt>
                <c:pt idx="645">
                  <c:v>42005.447916666664</c:v>
                </c:pt>
                <c:pt idx="646">
                  <c:v>42005.448611111111</c:v>
                </c:pt>
                <c:pt idx="647">
                  <c:v>42005.449305555558</c:v>
                </c:pt>
                <c:pt idx="648">
                  <c:v>42005.45</c:v>
                </c:pt>
                <c:pt idx="649">
                  <c:v>42005.450694444444</c:v>
                </c:pt>
                <c:pt idx="650">
                  <c:v>42005.451388888891</c:v>
                </c:pt>
                <c:pt idx="651">
                  <c:v>42005.45208333333</c:v>
                </c:pt>
                <c:pt idx="652">
                  <c:v>42005.452777777777</c:v>
                </c:pt>
                <c:pt idx="653">
                  <c:v>42005.453472222223</c:v>
                </c:pt>
                <c:pt idx="654">
                  <c:v>42005.45416666667</c:v>
                </c:pt>
                <c:pt idx="655">
                  <c:v>42005.454861111109</c:v>
                </c:pt>
                <c:pt idx="656">
                  <c:v>42005.455555555556</c:v>
                </c:pt>
                <c:pt idx="657">
                  <c:v>42005.456250000003</c:v>
                </c:pt>
                <c:pt idx="658">
                  <c:v>42005.456944444442</c:v>
                </c:pt>
                <c:pt idx="659">
                  <c:v>42005.457638888889</c:v>
                </c:pt>
                <c:pt idx="660">
                  <c:v>42005.458333333336</c:v>
                </c:pt>
                <c:pt idx="661">
                  <c:v>42005.459027777775</c:v>
                </c:pt>
                <c:pt idx="662">
                  <c:v>42005.459722222222</c:v>
                </c:pt>
                <c:pt idx="663">
                  <c:v>42005.460416666669</c:v>
                </c:pt>
                <c:pt idx="664">
                  <c:v>42005.461111111108</c:v>
                </c:pt>
                <c:pt idx="665">
                  <c:v>42005.461805555555</c:v>
                </c:pt>
                <c:pt idx="666">
                  <c:v>42005.462500000001</c:v>
                </c:pt>
                <c:pt idx="667">
                  <c:v>42005.463194444441</c:v>
                </c:pt>
                <c:pt idx="668">
                  <c:v>42005.463888888888</c:v>
                </c:pt>
                <c:pt idx="669">
                  <c:v>42005.464583333334</c:v>
                </c:pt>
                <c:pt idx="670">
                  <c:v>42005.465277777781</c:v>
                </c:pt>
                <c:pt idx="671">
                  <c:v>42005.46597222222</c:v>
                </c:pt>
                <c:pt idx="672">
                  <c:v>42005.466666666667</c:v>
                </c:pt>
                <c:pt idx="673">
                  <c:v>42005.467361111114</c:v>
                </c:pt>
                <c:pt idx="674">
                  <c:v>42005.468055555553</c:v>
                </c:pt>
                <c:pt idx="675">
                  <c:v>42005.46875</c:v>
                </c:pt>
                <c:pt idx="676">
                  <c:v>42005.469444444447</c:v>
                </c:pt>
                <c:pt idx="677">
                  <c:v>42005.470138888886</c:v>
                </c:pt>
                <c:pt idx="678">
                  <c:v>42005.470833333333</c:v>
                </c:pt>
                <c:pt idx="679">
                  <c:v>42005.47152777778</c:v>
                </c:pt>
                <c:pt idx="680">
                  <c:v>42005.472222222219</c:v>
                </c:pt>
                <c:pt idx="681">
                  <c:v>42005.472916666666</c:v>
                </c:pt>
                <c:pt idx="682">
                  <c:v>42005.473611111112</c:v>
                </c:pt>
                <c:pt idx="683">
                  <c:v>42005.474305555559</c:v>
                </c:pt>
                <c:pt idx="684">
                  <c:v>42005.474999999999</c:v>
                </c:pt>
                <c:pt idx="685">
                  <c:v>42005.475694444445</c:v>
                </c:pt>
                <c:pt idx="686">
                  <c:v>42005.476388888892</c:v>
                </c:pt>
                <c:pt idx="687">
                  <c:v>42005.477083333331</c:v>
                </c:pt>
                <c:pt idx="688">
                  <c:v>42005.477777777778</c:v>
                </c:pt>
                <c:pt idx="689">
                  <c:v>42005.478472222225</c:v>
                </c:pt>
                <c:pt idx="690">
                  <c:v>42005.479166666664</c:v>
                </c:pt>
                <c:pt idx="691">
                  <c:v>42005.479861111111</c:v>
                </c:pt>
                <c:pt idx="692">
                  <c:v>42005.480555555558</c:v>
                </c:pt>
                <c:pt idx="693">
                  <c:v>42005.481249999997</c:v>
                </c:pt>
                <c:pt idx="694">
                  <c:v>42005.481944444444</c:v>
                </c:pt>
                <c:pt idx="695">
                  <c:v>42005.482638888891</c:v>
                </c:pt>
                <c:pt idx="696">
                  <c:v>42005.48333333333</c:v>
                </c:pt>
                <c:pt idx="697">
                  <c:v>42005.484027777777</c:v>
                </c:pt>
                <c:pt idx="698">
                  <c:v>42005.484722222223</c:v>
                </c:pt>
                <c:pt idx="699">
                  <c:v>42005.48541666667</c:v>
                </c:pt>
                <c:pt idx="700">
                  <c:v>42005.486111111109</c:v>
                </c:pt>
                <c:pt idx="701">
                  <c:v>42005.486805555556</c:v>
                </c:pt>
                <c:pt idx="702">
                  <c:v>42005.487500000003</c:v>
                </c:pt>
                <c:pt idx="703">
                  <c:v>42005.488194444442</c:v>
                </c:pt>
                <c:pt idx="704">
                  <c:v>42005.488888888889</c:v>
                </c:pt>
                <c:pt idx="705">
                  <c:v>42005.489583333336</c:v>
                </c:pt>
                <c:pt idx="706">
                  <c:v>42005.490277777775</c:v>
                </c:pt>
                <c:pt idx="707">
                  <c:v>42005.490972222222</c:v>
                </c:pt>
                <c:pt idx="708">
                  <c:v>42005.491666666669</c:v>
                </c:pt>
                <c:pt idx="709">
                  <c:v>42005.492361111108</c:v>
                </c:pt>
                <c:pt idx="710">
                  <c:v>42005.493055555555</c:v>
                </c:pt>
                <c:pt idx="711">
                  <c:v>42005.493750000001</c:v>
                </c:pt>
                <c:pt idx="712">
                  <c:v>42005.494444444441</c:v>
                </c:pt>
                <c:pt idx="713">
                  <c:v>42005.495138888888</c:v>
                </c:pt>
                <c:pt idx="714">
                  <c:v>42005.495833333334</c:v>
                </c:pt>
                <c:pt idx="715">
                  <c:v>42005.496527777781</c:v>
                </c:pt>
                <c:pt idx="716">
                  <c:v>42005.49722222222</c:v>
                </c:pt>
                <c:pt idx="717">
                  <c:v>42005.497916666667</c:v>
                </c:pt>
                <c:pt idx="718">
                  <c:v>42005.498611111114</c:v>
                </c:pt>
                <c:pt idx="719">
                  <c:v>42005.499305555553</c:v>
                </c:pt>
                <c:pt idx="720">
                  <c:v>42005.5</c:v>
                </c:pt>
                <c:pt idx="721">
                  <c:v>42005.500694444447</c:v>
                </c:pt>
                <c:pt idx="722">
                  <c:v>42005.501388888886</c:v>
                </c:pt>
                <c:pt idx="723">
                  <c:v>42005.502083333333</c:v>
                </c:pt>
                <c:pt idx="724">
                  <c:v>42005.50277777778</c:v>
                </c:pt>
                <c:pt idx="725">
                  <c:v>42005.503472222219</c:v>
                </c:pt>
                <c:pt idx="726">
                  <c:v>42005.504166666666</c:v>
                </c:pt>
                <c:pt idx="727">
                  <c:v>42005.504861111112</c:v>
                </c:pt>
                <c:pt idx="728">
                  <c:v>42005.505555555559</c:v>
                </c:pt>
                <c:pt idx="729">
                  <c:v>42005.506249999999</c:v>
                </c:pt>
                <c:pt idx="730">
                  <c:v>42005.506944444445</c:v>
                </c:pt>
                <c:pt idx="731">
                  <c:v>42005.507638888892</c:v>
                </c:pt>
                <c:pt idx="732">
                  <c:v>42005.508333333331</c:v>
                </c:pt>
                <c:pt idx="733">
                  <c:v>42005.509027777778</c:v>
                </c:pt>
                <c:pt idx="734">
                  <c:v>42005.509722222225</c:v>
                </c:pt>
                <c:pt idx="735">
                  <c:v>42005.510416666664</c:v>
                </c:pt>
                <c:pt idx="736">
                  <c:v>42005.511111111111</c:v>
                </c:pt>
                <c:pt idx="737">
                  <c:v>42005.511805555558</c:v>
                </c:pt>
                <c:pt idx="738">
                  <c:v>42005.512499999997</c:v>
                </c:pt>
                <c:pt idx="739">
                  <c:v>42005.513194444444</c:v>
                </c:pt>
                <c:pt idx="740">
                  <c:v>42005.513888888891</c:v>
                </c:pt>
                <c:pt idx="741">
                  <c:v>42005.51458333333</c:v>
                </c:pt>
                <c:pt idx="742">
                  <c:v>42005.515277777777</c:v>
                </c:pt>
                <c:pt idx="743">
                  <c:v>42005.515972222223</c:v>
                </c:pt>
                <c:pt idx="744">
                  <c:v>42005.51666666667</c:v>
                </c:pt>
                <c:pt idx="745">
                  <c:v>42005.517361111109</c:v>
                </c:pt>
                <c:pt idx="746">
                  <c:v>42005.518055555556</c:v>
                </c:pt>
                <c:pt idx="747">
                  <c:v>42005.518750000003</c:v>
                </c:pt>
                <c:pt idx="748">
                  <c:v>42005.519444444442</c:v>
                </c:pt>
                <c:pt idx="749">
                  <c:v>42005.520138888889</c:v>
                </c:pt>
                <c:pt idx="750">
                  <c:v>42005.520833333336</c:v>
                </c:pt>
                <c:pt idx="751">
                  <c:v>42005.521527777775</c:v>
                </c:pt>
                <c:pt idx="752">
                  <c:v>42005.522222222222</c:v>
                </c:pt>
                <c:pt idx="753">
                  <c:v>42005.522916666669</c:v>
                </c:pt>
                <c:pt idx="754">
                  <c:v>42005.523611111108</c:v>
                </c:pt>
                <c:pt idx="755">
                  <c:v>42005.524305555555</c:v>
                </c:pt>
                <c:pt idx="756">
                  <c:v>42005.525000000001</c:v>
                </c:pt>
                <c:pt idx="757">
                  <c:v>42005.525694444441</c:v>
                </c:pt>
                <c:pt idx="758">
                  <c:v>42005.526388888888</c:v>
                </c:pt>
                <c:pt idx="759">
                  <c:v>42005.527083333334</c:v>
                </c:pt>
                <c:pt idx="760">
                  <c:v>42005.527777777781</c:v>
                </c:pt>
                <c:pt idx="761">
                  <c:v>42005.52847222222</c:v>
                </c:pt>
                <c:pt idx="762">
                  <c:v>42005.529166666667</c:v>
                </c:pt>
                <c:pt idx="763">
                  <c:v>42005.529861111114</c:v>
                </c:pt>
                <c:pt idx="764">
                  <c:v>42005.530555555553</c:v>
                </c:pt>
                <c:pt idx="765">
                  <c:v>42005.53125</c:v>
                </c:pt>
                <c:pt idx="766">
                  <c:v>42005.531944444447</c:v>
                </c:pt>
                <c:pt idx="767">
                  <c:v>42005.532638888886</c:v>
                </c:pt>
                <c:pt idx="768">
                  <c:v>42005.533333333333</c:v>
                </c:pt>
                <c:pt idx="769">
                  <c:v>42005.53402777778</c:v>
                </c:pt>
                <c:pt idx="770">
                  <c:v>42005.534722222219</c:v>
                </c:pt>
                <c:pt idx="771">
                  <c:v>42005.535416666666</c:v>
                </c:pt>
                <c:pt idx="772">
                  <c:v>42005.536111111112</c:v>
                </c:pt>
                <c:pt idx="773">
                  <c:v>42005.536805555559</c:v>
                </c:pt>
                <c:pt idx="774">
                  <c:v>42005.537499999999</c:v>
                </c:pt>
                <c:pt idx="775">
                  <c:v>42005.538194444445</c:v>
                </c:pt>
                <c:pt idx="776">
                  <c:v>42005.538888888892</c:v>
                </c:pt>
                <c:pt idx="777">
                  <c:v>42005.539583333331</c:v>
                </c:pt>
                <c:pt idx="778">
                  <c:v>42005.540277777778</c:v>
                </c:pt>
                <c:pt idx="779">
                  <c:v>42005.540972222225</c:v>
                </c:pt>
                <c:pt idx="780">
                  <c:v>42005.541666666664</c:v>
                </c:pt>
                <c:pt idx="781">
                  <c:v>42005.542361111111</c:v>
                </c:pt>
                <c:pt idx="782">
                  <c:v>42005.543055555558</c:v>
                </c:pt>
                <c:pt idx="783">
                  <c:v>42005.543749999997</c:v>
                </c:pt>
                <c:pt idx="784">
                  <c:v>42005.544444444444</c:v>
                </c:pt>
                <c:pt idx="785">
                  <c:v>42005.545138888891</c:v>
                </c:pt>
                <c:pt idx="786">
                  <c:v>42005.54583333333</c:v>
                </c:pt>
                <c:pt idx="787">
                  <c:v>42005.546527777777</c:v>
                </c:pt>
                <c:pt idx="788">
                  <c:v>42005.547222222223</c:v>
                </c:pt>
                <c:pt idx="789">
                  <c:v>42005.54791666667</c:v>
                </c:pt>
                <c:pt idx="790">
                  <c:v>42005.548611111109</c:v>
                </c:pt>
                <c:pt idx="791">
                  <c:v>42005.549305555556</c:v>
                </c:pt>
                <c:pt idx="792">
                  <c:v>42005.55</c:v>
                </c:pt>
                <c:pt idx="793">
                  <c:v>42005.550694444442</c:v>
                </c:pt>
                <c:pt idx="794">
                  <c:v>42005.551388888889</c:v>
                </c:pt>
                <c:pt idx="795">
                  <c:v>42005.552083333336</c:v>
                </c:pt>
                <c:pt idx="796">
                  <c:v>42005.552777777775</c:v>
                </c:pt>
                <c:pt idx="797">
                  <c:v>42005.553472222222</c:v>
                </c:pt>
                <c:pt idx="798">
                  <c:v>42005.554166666669</c:v>
                </c:pt>
                <c:pt idx="799">
                  <c:v>42005.554861111108</c:v>
                </c:pt>
                <c:pt idx="800">
                  <c:v>42005.555555555555</c:v>
                </c:pt>
                <c:pt idx="801">
                  <c:v>42005.556250000001</c:v>
                </c:pt>
                <c:pt idx="802">
                  <c:v>42005.556944444441</c:v>
                </c:pt>
                <c:pt idx="803">
                  <c:v>42005.557638888888</c:v>
                </c:pt>
                <c:pt idx="804">
                  <c:v>42005.558333333334</c:v>
                </c:pt>
                <c:pt idx="805">
                  <c:v>42005.559027777781</c:v>
                </c:pt>
                <c:pt idx="806">
                  <c:v>42005.55972222222</c:v>
                </c:pt>
                <c:pt idx="807">
                  <c:v>42005.560416666667</c:v>
                </c:pt>
                <c:pt idx="808">
                  <c:v>42005.561111111114</c:v>
                </c:pt>
                <c:pt idx="809">
                  <c:v>42005.561805555553</c:v>
                </c:pt>
                <c:pt idx="810">
                  <c:v>42005.5625</c:v>
                </c:pt>
                <c:pt idx="811">
                  <c:v>42005.563194444447</c:v>
                </c:pt>
                <c:pt idx="812">
                  <c:v>42005.563888888886</c:v>
                </c:pt>
                <c:pt idx="813">
                  <c:v>42005.564583333333</c:v>
                </c:pt>
                <c:pt idx="814">
                  <c:v>42005.56527777778</c:v>
                </c:pt>
                <c:pt idx="815">
                  <c:v>42005.565972222219</c:v>
                </c:pt>
                <c:pt idx="816">
                  <c:v>42005.566666666666</c:v>
                </c:pt>
                <c:pt idx="817">
                  <c:v>42005.567361111112</c:v>
                </c:pt>
                <c:pt idx="818">
                  <c:v>42005.568055555559</c:v>
                </c:pt>
                <c:pt idx="819">
                  <c:v>42005.568749999999</c:v>
                </c:pt>
                <c:pt idx="820">
                  <c:v>42005.569444444445</c:v>
                </c:pt>
                <c:pt idx="821">
                  <c:v>42005.570138888892</c:v>
                </c:pt>
                <c:pt idx="822">
                  <c:v>42005.570833333331</c:v>
                </c:pt>
                <c:pt idx="823">
                  <c:v>42005.571527777778</c:v>
                </c:pt>
                <c:pt idx="824">
                  <c:v>42005.572222222225</c:v>
                </c:pt>
                <c:pt idx="825">
                  <c:v>42005.572916666664</c:v>
                </c:pt>
                <c:pt idx="826">
                  <c:v>42005.573611111111</c:v>
                </c:pt>
                <c:pt idx="827">
                  <c:v>42005.574305555558</c:v>
                </c:pt>
                <c:pt idx="828">
                  <c:v>42005.574999999997</c:v>
                </c:pt>
                <c:pt idx="829">
                  <c:v>42005.575694444444</c:v>
                </c:pt>
                <c:pt idx="830">
                  <c:v>42005.576388888891</c:v>
                </c:pt>
                <c:pt idx="831">
                  <c:v>42005.57708333333</c:v>
                </c:pt>
                <c:pt idx="832">
                  <c:v>42005.577777777777</c:v>
                </c:pt>
                <c:pt idx="833">
                  <c:v>42005.578472222223</c:v>
                </c:pt>
                <c:pt idx="834">
                  <c:v>42005.57916666667</c:v>
                </c:pt>
                <c:pt idx="835">
                  <c:v>42005.579861111109</c:v>
                </c:pt>
                <c:pt idx="836">
                  <c:v>42005.580555555556</c:v>
                </c:pt>
                <c:pt idx="837">
                  <c:v>42005.581250000003</c:v>
                </c:pt>
                <c:pt idx="838">
                  <c:v>42005.581944444442</c:v>
                </c:pt>
                <c:pt idx="839">
                  <c:v>42005.582638888889</c:v>
                </c:pt>
                <c:pt idx="840">
                  <c:v>42005.583333333336</c:v>
                </c:pt>
                <c:pt idx="841">
                  <c:v>42005.584027777775</c:v>
                </c:pt>
                <c:pt idx="842">
                  <c:v>42005.584722222222</c:v>
                </c:pt>
                <c:pt idx="843">
                  <c:v>42005.585416666669</c:v>
                </c:pt>
                <c:pt idx="844">
                  <c:v>42005.586111111108</c:v>
                </c:pt>
                <c:pt idx="845">
                  <c:v>42005.586805555555</c:v>
                </c:pt>
                <c:pt idx="846">
                  <c:v>42005.587500000001</c:v>
                </c:pt>
                <c:pt idx="847">
                  <c:v>42005.588194444441</c:v>
                </c:pt>
                <c:pt idx="848">
                  <c:v>42005.588888888888</c:v>
                </c:pt>
                <c:pt idx="849">
                  <c:v>42005.589583333334</c:v>
                </c:pt>
                <c:pt idx="850">
                  <c:v>42005.590277777781</c:v>
                </c:pt>
                <c:pt idx="851">
                  <c:v>42005.59097222222</c:v>
                </c:pt>
                <c:pt idx="852">
                  <c:v>42005.591666666667</c:v>
                </c:pt>
                <c:pt idx="853">
                  <c:v>42005.592361111114</c:v>
                </c:pt>
                <c:pt idx="854">
                  <c:v>42005.593055555553</c:v>
                </c:pt>
                <c:pt idx="855">
                  <c:v>42005.59375</c:v>
                </c:pt>
                <c:pt idx="856">
                  <c:v>42005.594444444447</c:v>
                </c:pt>
                <c:pt idx="857">
                  <c:v>42005.595138888886</c:v>
                </c:pt>
                <c:pt idx="858">
                  <c:v>42005.595833333333</c:v>
                </c:pt>
                <c:pt idx="859">
                  <c:v>42005.59652777778</c:v>
                </c:pt>
                <c:pt idx="860">
                  <c:v>42005.597222222219</c:v>
                </c:pt>
                <c:pt idx="861">
                  <c:v>42005.597916666666</c:v>
                </c:pt>
                <c:pt idx="862">
                  <c:v>42005.598611111112</c:v>
                </c:pt>
                <c:pt idx="863">
                  <c:v>42005.599305555559</c:v>
                </c:pt>
                <c:pt idx="864">
                  <c:v>42005.599999999999</c:v>
                </c:pt>
                <c:pt idx="865">
                  <c:v>42005.600694444445</c:v>
                </c:pt>
                <c:pt idx="866">
                  <c:v>42005.601388888892</c:v>
                </c:pt>
                <c:pt idx="867">
                  <c:v>42005.602083333331</c:v>
                </c:pt>
                <c:pt idx="868">
                  <c:v>42005.602777777778</c:v>
                </c:pt>
                <c:pt idx="869">
                  <c:v>42005.603472222225</c:v>
                </c:pt>
                <c:pt idx="870">
                  <c:v>42005.604166666664</c:v>
                </c:pt>
                <c:pt idx="871">
                  <c:v>42005.604861111111</c:v>
                </c:pt>
                <c:pt idx="872">
                  <c:v>42005.605555555558</c:v>
                </c:pt>
                <c:pt idx="873">
                  <c:v>42005.606249999997</c:v>
                </c:pt>
                <c:pt idx="874">
                  <c:v>42005.606944444444</c:v>
                </c:pt>
                <c:pt idx="875">
                  <c:v>42005.607638888891</c:v>
                </c:pt>
                <c:pt idx="876">
                  <c:v>42005.60833333333</c:v>
                </c:pt>
                <c:pt idx="877">
                  <c:v>42005.609027777777</c:v>
                </c:pt>
                <c:pt idx="878">
                  <c:v>42005.609722222223</c:v>
                </c:pt>
                <c:pt idx="879">
                  <c:v>42005.61041666667</c:v>
                </c:pt>
                <c:pt idx="880">
                  <c:v>42005.611111111109</c:v>
                </c:pt>
                <c:pt idx="881">
                  <c:v>42005.611805555556</c:v>
                </c:pt>
                <c:pt idx="882">
                  <c:v>42005.612500000003</c:v>
                </c:pt>
                <c:pt idx="883">
                  <c:v>42005.613194444442</c:v>
                </c:pt>
                <c:pt idx="884">
                  <c:v>42005.613888888889</c:v>
                </c:pt>
                <c:pt idx="885">
                  <c:v>42005.614583333336</c:v>
                </c:pt>
                <c:pt idx="886">
                  <c:v>42005.615277777775</c:v>
                </c:pt>
                <c:pt idx="887">
                  <c:v>42005.615972222222</c:v>
                </c:pt>
                <c:pt idx="888">
                  <c:v>42005.616666666669</c:v>
                </c:pt>
                <c:pt idx="889">
                  <c:v>42005.617361111108</c:v>
                </c:pt>
                <c:pt idx="890">
                  <c:v>42005.618055555555</c:v>
                </c:pt>
                <c:pt idx="891">
                  <c:v>42005.618750000001</c:v>
                </c:pt>
                <c:pt idx="892">
                  <c:v>42005.619444444441</c:v>
                </c:pt>
                <c:pt idx="893">
                  <c:v>42005.620138888888</c:v>
                </c:pt>
                <c:pt idx="894">
                  <c:v>42005.620833333334</c:v>
                </c:pt>
                <c:pt idx="895">
                  <c:v>42005.621527777781</c:v>
                </c:pt>
                <c:pt idx="896">
                  <c:v>42005.62222222222</c:v>
                </c:pt>
                <c:pt idx="897">
                  <c:v>42005.622916666667</c:v>
                </c:pt>
                <c:pt idx="898">
                  <c:v>42005.623611111114</c:v>
                </c:pt>
                <c:pt idx="899">
                  <c:v>42005.624305555553</c:v>
                </c:pt>
                <c:pt idx="900">
                  <c:v>42005.625</c:v>
                </c:pt>
                <c:pt idx="901">
                  <c:v>42005.625694444447</c:v>
                </c:pt>
                <c:pt idx="902">
                  <c:v>42005.626388888886</c:v>
                </c:pt>
                <c:pt idx="903">
                  <c:v>42005.627083333333</c:v>
                </c:pt>
                <c:pt idx="904">
                  <c:v>42005.62777777778</c:v>
                </c:pt>
                <c:pt idx="905">
                  <c:v>42005.628472222219</c:v>
                </c:pt>
                <c:pt idx="906">
                  <c:v>42005.629166666666</c:v>
                </c:pt>
                <c:pt idx="907">
                  <c:v>42005.629861111112</c:v>
                </c:pt>
                <c:pt idx="908">
                  <c:v>42005.630555555559</c:v>
                </c:pt>
                <c:pt idx="909">
                  <c:v>42005.631249999999</c:v>
                </c:pt>
                <c:pt idx="910">
                  <c:v>42005.631944444445</c:v>
                </c:pt>
                <c:pt idx="911">
                  <c:v>42005.632638888892</c:v>
                </c:pt>
                <c:pt idx="912">
                  <c:v>42005.633333333331</c:v>
                </c:pt>
                <c:pt idx="913">
                  <c:v>42005.634027777778</c:v>
                </c:pt>
                <c:pt idx="914">
                  <c:v>42005.634722222225</c:v>
                </c:pt>
                <c:pt idx="915">
                  <c:v>42005.635416666664</c:v>
                </c:pt>
                <c:pt idx="916">
                  <c:v>42005.636111111111</c:v>
                </c:pt>
                <c:pt idx="917">
                  <c:v>42005.636805555558</c:v>
                </c:pt>
                <c:pt idx="918">
                  <c:v>42005.637499999997</c:v>
                </c:pt>
                <c:pt idx="919">
                  <c:v>42005.638194444444</c:v>
                </c:pt>
                <c:pt idx="920">
                  <c:v>42005.638888888891</c:v>
                </c:pt>
                <c:pt idx="921">
                  <c:v>42005.63958333333</c:v>
                </c:pt>
                <c:pt idx="922">
                  <c:v>42005.640277777777</c:v>
                </c:pt>
                <c:pt idx="923">
                  <c:v>42005.640972222223</c:v>
                </c:pt>
                <c:pt idx="924">
                  <c:v>42005.64166666667</c:v>
                </c:pt>
                <c:pt idx="925">
                  <c:v>42005.642361111109</c:v>
                </c:pt>
                <c:pt idx="926">
                  <c:v>42005.643055555556</c:v>
                </c:pt>
                <c:pt idx="927">
                  <c:v>42005.643750000003</c:v>
                </c:pt>
                <c:pt idx="928">
                  <c:v>42005.644444444442</c:v>
                </c:pt>
                <c:pt idx="929">
                  <c:v>42005.645138888889</c:v>
                </c:pt>
                <c:pt idx="930">
                  <c:v>42005.645833333336</c:v>
                </c:pt>
                <c:pt idx="931">
                  <c:v>42005.646527777775</c:v>
                </c:pt>
                <c:pt idx="932">
                  <c:v>42005.647222222222</c:v>
                </c:pt>
                <c:pt idx="933">
                  <c:v>42005.647916666669</c:v>
                </c:pt>
                <c:pt idx="934">
                  <c:v>42005.648611111108</c:v>
                </c:pt>
                <c:pt idx="935">
                  <c:v>42005.649305555555</c:v>
                </c:pt>
                <c:pt idx="936">
                  <c:v>42005.65</c:v>
                </c:pt>
                <c:pt idx="937">
                  <c:v>42005.650694444441</c:v>
                </c:pt>
                <c:pt idx="938">
                  <c:v>42005.651388888888</c:v>
                </c:pt>
                <c:pt idx="939">
                  <c:v>42005.652083333334</c:v>
                </c:pt>
                <c:pt idx="940">
                  <c:v>42005.652777777781</c:v>
                </c:pt>
                <c:pt idx="941">
                  <c:v>42005.65347222222</c:v>
                </c:pt>
                <c:pt idx="942">
                  <c:v>42005.654166666667</c:v>
                </c:pt>
                <c:pt idx="943">
                  <c:v>42005.654861111114</c:v>
                </c:pt>
                <c:pt idx="944">
                  <c:v>42005.655555555553</c:v>
                </c:pt>
                <c:pt idx="945">
                  <c:v>42005.65625</c:v>
                </c:pt>
                <c:pt idx="946">
                  <c:v>42005.656944444447</c:v>
                </c:pt>
                <c:pt idx="947">
                  <c:v>42005.657638888886</c:v>
                </c:pt>
                <c:pt idx="948">
                  <c:v>42005.658333333333</c:v>
                </c:pt>
                <c:pt idx="949">
                  <c:v>42005.65902777778</c:v>
                </c:pt>
                <c:pt idx="950">
                  <c:v>42005.659722222219</c:v>
                </c:pt>
                <c:pt idx="951">
                  <c:v>42005.660416666666</c:v>
                </c:pt>
                <c:pt idx="952">
                  <c:v>42005.661111111112</c:v>
                </c:pt>
                <c:pt idx="953">
                  <c:v>42005.661805555559</c:v>
                </c:pt>
                <c:pt idx="954">
                  <c:v>42005.662499999999</c:v>
                </c:pt>
                <c:pt idx="955">
                  <c:v>42005.663194444445</c:v>
                </c:pt>
                <c:pt idx="956">
                  <c:v>42005.663888888892</c:v>
                </c:pt>
                <c:pt idx="957">
                  <c:v>42005.664583333331</c:v>
                </c:pt>
                <c:pt idx="958">
                  <c:v>42005.665277777778</c:v>
                </c:pt>
                <c:pt idx="959">
                  <c:v>42005.665972222225</c:v>
                </c:pt>
                <c:pt idx="960">
                  <c:v>42005.666666666664</c:v>
                </c:pt>
                <c:pt idx="961">
                  <c:v>42005.667361111111</c:v>
                </c:pt>
                <c:pt idx="962">
                  <c:v>42005.668055555558</c:v>
                </c:pt>
                <c:pt idx="963">
                  <c:v>42005.668749999997</c:v>
                </c:pt>
                <c:pt idx="964">
                  <c:v>42005.669444444444</c:v>
                </c:pt>
                <c:pt idx="965">
                  <c:v>42005.670138888891</c:v>
                </c:pt>
                <c:pt idx="966">
                  <c:v>42005.67083333333</c:v>
                </c:pt>
                <c:pt idx="967">
                  <c:v>42005.671527777777</c:v>
                </c:pt>
                <c:pt idx="968">
                  <c:v>42005.672222222223</c:v>
                </c:pt>
                <c:pt idx="969">
                  <c:v>42005.67291666667</c:v>
                </c:pt>
                <c:pt idx="970">
                  <c:v>42005.673611111109</c:v>
                </c:pt>
                <c:pt idx="971">
                  <c:v>42005.674305555556</c:v>
                </c:pt>
                <c:pt idx="972">
                  <c:v>42005.675000000003</c:v>
                </c:pt>
                <c:pt idx="973">
                  <c:v>42005.675694444442</c:v>
                </c:pt>
                <c:pt idx="974">
                  <c:v>42005.676388888889</c:v>
                </c:pt>
                <c:pt idx="975">
                  <c:v>42005.677083333336</c:v>
                </c:pt>
                <c:pt idx="976">
                  <c:v>42005.677777777775</c:v>
                </c:pt>
                <c:pt idx="977">
                  <c:v>42005.678472222222</c:v>
                </c:pt>
                <c:pt idx="978">
                  <c:v>42005.679166666669</c:v>
                </c:pt>
                <c:pt idx="979">
                  <c:v>42005.679861111108</c:v>
                </c:pt>
                <c:pt idx="980">
                  <c:v>42005.680555555555</c:v>
                </c:pt>
                <c:pt idx="981">
                  <c:v>42005.681250000001</c:v>
                </c:pt>
                <c:pt idx="982">
                  <c:v>42005.681944444441</c:v>
                </c:pt>
                <c:pt idx="983">
                  <c:v>42005.682638888888</c:v>
                </c:pt>
                <c:pt idx="984">
                  <c:v>42005.683333333334</c:v>
                </c:pt>
                <c:pt idx="985">
                  <c:v>42005.684027777781</c:v>
                </c:pt>
                <c:pt idx="986">
                  <c:v>42005.68472222222</c:v>
                </c:pt>
                <c:pt idx="987">
                  <c:v>42005.685416666667</c:v>
                </c:pt>
                <c:pt idx="988">
                  <c:v>42005.686111111114</c:v>
                </c:pt>
                <c:pt idx="989">
                  <c:v>42005.686805555553</c:v>
                </c:pt>
                <c:pt idx="990">
                  <c:v>42005.6875</c:v>
                </c:pt>
                <c:pt idx="991">
                  <c:v>42005.688194444447</c:v>
                </c:pt>
                <c:pt idx="992">
                  <c:v>42005.688888888886</c:v>
                </c:pt>
                <c:pt idx="993">
                  <c:v>42005.689583333333</c:v>
                </c:pt>
                <c:pt idx="994">
                  <c:v>42005.69027777778</c:v>
                </c:pt>
                <c:pt idx="995">
                  <c:v>42005.690972222219</c:v>
                </c:pt>
                <c:pt idx="996">
                  <c:v>42005.691666666666</c:v>
                </c:pt>
                <c:pt idx="997">
                  <c:v>42005.692361111112</c:v>
                </c:pt>
                <c:pt idx="998">
                  <c:v>42005.693055555559</c:v>
                </c:pt>
                <c:pt idx="999">
                  <c:v>42005.693749999999</c:v>
                </c:pt>
                <c:pt idx="1000">
                  <c:v>42005.694444444445</c:v>
                </c:pt>
                <c:pt idx="1001">
                  <c:v>42005.695138888892</c:v>
                </c:pt>
                <c:pt idx="1002">
                  <c:v>42005.695833333331</c:v>
                </c:pt>
                <c:pt idx="1003">
                  <c:v>42005.696527777778</c:v>
                </c:pt>
                <c:pt idx="1004">
                  <c:v>42005.697222222225</c:v>
                </c:pt>
                <c:pt idx="1005">
                  <c:v>42005.697916666664</c:v>
                </c:pt>
                <c:pt idx="1006">
                  <c:v>42005.698611111111</c:v>
                </c:pt>
                <c:pt idx="1007">
                  <c:v>42005.699305555558</c:v>
                </c:pt>
                <c:pt idx="1008">
                  <c:v>42005.7</c:v>
                </c:pt>
                <c:pt idx="1009">
                  <c:v>42005.700694444444</c:v>
                </c:pt>
                <c:pt idx="1010">
                  <c:v>42005.701388888891</c:v>
                </c:pt>
                <c:pt idx="1011">
                  <c:v>42005.70208333333</c:v>
                </c:pt>
                <c:pt idx="1012">
                  <c:v>42005.702777777777</c:v>
                </c:pt>
                <c:pt idx="1013">
                  <c:v>42005.703472222223</c:v>
                </c:pt>
                <c:pt idx="1014">
                  <c:v>42005.70416666667</c:v>
                </c:pt>
                <c:pt idx="1015">
                  <c:v>42005.704861111109</c:v>
                </c:pt>
                <c:pt idx="1016">
                  <c:v>42005.705555555556</c:v>
                </c:pt>
                <c:pt idx="1017">
                  <c:v>42005.706250000003</c:v>
                </c:pt>
                <c:pt idx="1018">
                  <c:v>42005.706944444442</c:v>
                </c:pt>
                <c:pt idx="1019">
                  <c:v>42005.707638888889</c:v>
                </c:pt>
                <c:pt idx="1020">
                  <c:v>42005.708333333336</c:v>
                </c:pt>
                <c:pt idx="1021">
                  <c:v>42005.709027777775</c:v>
                </c:pt>
                <c:pt idx="1022">
                  <c:v>42005.709722222222</c:v>
                </c:pt>
                <c:pt idx="1023">
                  <c:v>42005.710416666669</c:v>
                </c:pt>
                <c:pt idx="1024">
                  <c:v>42005.711111111108</c:v>
                </c:pt>
                <c:pt idx="1025">
                  <c:v>42005.711805555555</c:v>
                </c:pt>
                <c:pt idx="1026">
                  <c:v>42005.712500000001</c:v>
                </c:pt>
                <c:pt idx="1027">
                  <c:v>42005.713194444441</c:v>
                </c:pt>
                <c:pt idx="1028">
                  <c:v>42005.713888888888</c:v>
                </c:pt>
                <c:pt idx="1029">
                  <c:v>42005.714583333334</c:v>
                </c:pt>
                <c:pt idx="1030">
                  <c:v>42005.715277777781</c:v>
                </c:pt>
                <c:pt idx="1031">
                  <c:v>42005.71597222222</c:v>
                </c:pt>
                <c:pt idx="1032">
                  <c:v>42005.716666666667</c:v>
                </c:pt>
                <c:pt idx="1033">
                  <c:v>42005.717361111114</c:v>
                </c:pt>
                <c:pt idx="1034">
                  <c:v>42005.718055555553</c:v>
                </c:pt>
                <c:pt idx="1035">
                  <c:v>42005.71875</c:v>
                </c:pt>
                <c:pt idx="1036">
                  <c:v>42005.719444444447</c:v>
                </c:pt>
                <c:pt idx="1037">
                  <c:v>42005.720138888886</c:v>
                </c:pt>
                <c:pt idx="1038">
                  <c:v>42005.720833333333</c:v>
                </c:pt>
                <c:pt idx="1039">
                  <c:v>42005.72152777778</c:v>
                </c:pt>
                <c:pt idx="1040">
                  <c:v>42005.722222222219</c:v>
                </c:pt>
                <c:pt idx="1041">
                  <c:v>42005.722916666666</c:v>
                </c:pt>
                <c:pt idx="1042">
                  <c:v>42005.723611111112</c:v>
                </c:pt>
                <c:pt idx="1043">
                  <c:v>42005.724305555559</c:v>
                </c:pt>
                <c:pt idx="1044">
                  <c:v>42005.724999999999</c:v>
                </c:pt>
                <c:pt idx="1045">
                  <c:v>42005.725694444445</c:v>
                </c:pt>
                <c:pt idx="1046">
                  <c:v>42005.726388888892</c:v>
                </c:pt>
                <c:pt idx="1047">
                  <c:v>42005.727083333331</c:v>
                </c:pt>
                <c:pt idx="1048">
                  <c:v>42005.727777777778</c:v>
                </c:pt>
                <c:pt idx="1049">
                  <c:v>42005.728472222225</c:v>
                </c:pt>
                <c:pt idx="1050">
                  <c:v>42005.729166666664</c:v>
                </c:pt>
                <c:pt idx="1051">
                  <c:v>42005.729861111111</c:v>
                </c:pt>
                <c:pt idx="1052">
                  <c:v>42005.730555555558</c:v>
                </c:pt>
                <c:pt idx="1053">
                  <c:v>42005.731249999997</c:v>
                </c:pt>
                <c:pt idx="1054">
                  <c:v>42005.731944444444</c:v>
                </c:pt>
                <c:pt idx="1055">
                  <c:v>42005.732638888891</c:v>
                </c:pt>
                <c:pt idx="1056">
                  <c:v>42005.73333333333</c:v>
                </c:pt>
                <c:pt idx="1057">
                  <c:v>42005.734027777777</c:v>
                </c:pt>
                <c:pt idx="1058">
                  <c:v>42005.734722222223</c:v>
                </c:pt>
                <c:pt idx="1059">
                  <c:v>42005.73541666667</c:v>
                </c:pt>
                <c:pt idx="1060">
                  <c:v>42005.736111111109</c:v>
                </c:pt>
                <c:pt idx="1061">
                  <c:v>42005.736805555556</c:v>
                </c:pt>
                <c:pt idx="1062">
                  <c:v>42005.737500000003</c:v>
                </c:pt>
                <c:pt idx="1063">
                  <c:v>42005.738194444442</c:v>
                </c:pt>
                <c:pt idx="1064">
                  <c:v>42005.738888888889</c:v>
                </c:pt>
                <c:pt idx="1065">
                  <c:v>42005.739583333336</c:v>
                </c:pt>
                <c:pt idx="1066">
                  <c:v>42005.740277777775</c:v>
                </c:pt>
                <c:pt idx="1067">
                  <c:v>42005.740972222222</c:v>
                </c:pt>
                <c:pt idx="1068">
                  <c:v>42005.741666666669</c:v>
                </c:pt>
                <c:pt idx="1069">
                  <c:v>42005.742361111108</c:v>
                </c:pt>
                <c:pt idx="1070">
                  <c:v>42005.743055555555</c:v>
                </c:pt>
                <c:pt idx="1071">
                  <c:v>42005.743750000001</c:v>
                </c:pt>
                <c:pt idx="1072">
                  <c:v>42005.744444444441</c:v>
                </c:pt>
                <c:pt idx="1073">
                  <c:v>42005.745138888888</c:v>
                </c:pt>
                <c:pt idx="1074">
                  <c:v>42005.745833333334</c:v>
                </c:pt>
                <c:pt idx="1075">
                  <c:v>42005.746527777781</c:v>
                </c:pt>
                <c:pt idx="1076">
                  <c:v>42005.74722222222</c:v>
                </c:pt>
                <c:pt idx="1077">
                  <c:v>42005.747916666667</c:v>
                </c:pt>
                <c:pt idx="1078">
                  <c:v>42005.748611111114</c:v>
                </c:pt>
                <c:pt idx="1079">
                  <c:v>42005.749305555553</c:v>
                </c:pt>
                <c:pt idx="1080">
                  <c:v>42005.75</c:v>
                </c:pt>
                <c:pt idx="1081">
                  <c:v>42005.750694444447</c:v>
                </c:pt>
                <c:pt idx="1082">
                  <c:v>42005.751388888886</c:v>
                </c:pt>
                <c:pt idx="1083">
                  <c:v>42005.752083333333</c:v>
                </c:pt>
                <c:pt idx="1084">
                  <c:v>42005.75277777778</c:v>
                </c:pt>
                <c:pt idx="1085">
                  <c:v>42005.753472222219</c:v>
                </c:pt>
                <c:pt idx="1086">
                  <c:v>42005.754166666666</c:v>
                </c:pt>
                <c:pt idx="1087">
                  <c:v>42005.754861111112</c:v>
                </c:pt>
                <c:pt idx="1088">
                  <c:v>42005.755555555559</c:v>
                </c:pt>
                <c:pt idx="1089">
                  <c:v>42005.756249999999</c:v>
                </c:pt>
                <c:pt idx="1090">
                  <c:v>42005.756944444445</c:v>
                </c:pt>
                <c:pt idx="1091">
                  <c:v>42005.757638888892</c:v>
                </c:pt>
                <c:pt idx="1092">
                  <c:v>42005.758333333331</c:v>
                </c:pt>
                <c:pt idx="1093">
                  <c:v>42005.759027777778</c:v>
                </c:pt>
                <c:pt idx="1094">
                  <c:v>42005.759722222225</c:v>
                </c:pt>
                <c:pt idx="1095">
                  <c:v>42005.760416666664</c:v>
                </c:pt>
                <c:pt idx="1096">
                  <c:v>42005.761111111111</c:v>
                </c:pt>
                <c:pt idx="1097">
                  <c:v>42005.761805555558</c:v>
                </c:pt>
                <c:pt idx="1098">
                  <c:v>42005.762499999997</c:v>
                </c:pt>
                <c:pt idx="1099">
                  <c:v>42005.763194444444</c:v>
                </c:pt>
                <c:pt idx="1100">
                  <c:v>42005.763888888891</c:v>
                </c:pt>
                <c:pt idx="1101">
                  <c:v>42005.76458333333</c:v>
                </c:pt>
                <c:pt idx="1102">
                  <c:v>42005.765277777777</c:v>
                </c:pt>
                <c:pt idx="1103">
                  <c:v>42005.765972222223</c:v>
                </c:pt>
                <c:pt idx="1104">
                  <c:v>42005.76666666667</c:v>
                </c:pt>
                <c:pt idx="1105">
                  <c:v>42005.767361111109</c:v>
                </c:pt>
                <c:pt idx="1106">
                  <c:v>42005.768055555556</c:v>
                </c:pt>
                <c:pt idx="1107">
                  <c:v>42005.768750000003</c:v>
                </c:pt>
                <c:pt idx="1108">
                  <c:v>42005.769444444442</c:v>
                </c:pt>
                <c:pt idx="1109">
                  <c:v>42005.770138888889</c:v>
                </c:pt>
                <c:pt idx="1110">
                  <c:v>42005.770833333336</c:v>
                </c:pt>
                <c:pt idx="1111">
                  <c:v>42005.771527777775</c:v>
                </c:pt>
                <c:pt idx="1112">
                  <c:v>42005.772222222222</c:v>
                </c:pt>
                <c:pt idx="1113">
                  <c:v>42005.772916666669</c:v>
                </c:pt>
                <c:pt idx="1114">
                  <c:v>42005.773611111108</c:v>
                </c:pt>
                <c:pt idx="1115">
                  <c:v>42005.774305555555</c:v>
                </c:pt>
                <c:pt idx="1116">
                  <c:v>42005.775000000001</c:v>
                </c:pt>
                <c:pt idx="1117">
                  <c:v>42005.775694444441</c:v>
                </c:pt>
                <c:pt idx="1118">
                  <c:v>42005.776388888888</c:v>
                </c:pt>
                <c:pt idx="1119">
                  <c:v>42005.777083333334</c:v>
                </c:pt>
                <c:pt idx="1120">
                  <c:v>42005.777777777781</c:v>
                </c:pt>
                <c:pt idx="1121">
                  <c:v>42005.77847222222</c:v>
                </c:pt>
                <c:pt idx="1122">
                  <c:v>42005.779166666667</c:v>
                </c:pt>
                <c:pt idx="1123">
                  <c:v>42005.779861111114</c:v>
                </c:pt>
                <c:pt idx="1124">
                  <c:v>42005.780555555553</c:v>
                </c:pt>
                <c:pt idx="1125">
                  <c:v>42005.78125</c:v>
                </c:pt>
                <c:pt idx="1126">
                  <c:v>42005.781944444447</c:v>
                </c:pt>
                <c:pt idx="1127">
                  <c:v>42005.782638888886</c:v>
                </c:pt>
                <c:pt idx="1128">
                  <c:v>42005.783333333333</c:v>
                </c:pt>
                <c:pt idx="1129">
                  <c:v>42005.78402777778</c:v>
                </c:pt>
                <c:pt idx="1130">
                  <c:v>42005.784722222219</c:v>
                </c:pt>
                <c:pt idx="1131">
                  <c:v>42005.785416666666</c:v>
                </c:pt>
                <c:pt idx="1132">
                  <c:v>42005.786111111112</c:v>
                </c:pt>
                <c:pt idx="1133">
                  <c:v>42005.786805555559</c:v>
                </c:pt>
                <c:pt idx="1134">
                  <c:v>42005.787499999999</c:v>
                </c:pt>
                <c:pt idx="1135">
                  <c:v>42005.788194444445</c:v>
                </c:pt>
                <c:pt idx="1136">
                  <c:v>42005.788888888892</c:v>
                </c:pt>
                <c:pt idx="1137">
                  <c:v>42005.789583333331</c:v>
                </c:pt>
                <c:pt idx="1138">
                  <c:v>42005.790277777778</c:v>
                </c:pt>
                <c:pt idx="1139">
                  <c:v>42005.790972222225</c:v>
                </c:pt>
                <c:pt idx="1140">
                  <c:v>42005.791666666664</c:v>
                </c:pt>
                <c:pt idx="1141">
                  <c:v>42005.792361111111</c:v>
                </c:pt>
                <c:pt idx="1142">
                  <c:v>42005.793055555558</c:v>
                </c:pt>
                <c:pt idx="1143">
                  <c:v>42005.793749999997</c:v>
                </c:pt>
                <c:pt idx="1144">
                  <c:v>42005.794444444444</c:v>
                </c:pt>
                <c:pt idx="1145">
                  <c:v>42005.795138888891</c:v>
                </c:pt>
                <c:pt idx="1146">
                  <c:v>42005.79583333333</c:v>
                </c:pt>
                <c:pt idx="1147">
                  <c:v>42005.796527777777</c:v>
                </c:pt>
                <c:pt idx="1148">
                  <c:v>42005.797222222223</c:v>
                </c:pt>
                <c:pt idx="1149">
                  <c:v>42005.79791666667</c:v>
                </c:pt>
                <c:pt idx="1150">
                  <c:v>42005.798611111109</c:v>
                </c:pt>
                <c:pt idx="1151">
                  <c:v>42005.799305555556</c:v>
                </c:pt>
                <c:pt idx="1152">
                  <c:v>42005.8</c:v>
                </c:pt>
                <c:pt idx="1153">
                  <c:v>42005.800694444442</c:v>
                </c:pt>
                <c:pt idx="1154">
                  <c:v>42005.801388888889</c:v>
                </c:pt>
                <c:pt idx="1155">
                  <c:v>42005.802083333336</c:v>
                </c:pt>
                <c:pt idx="1156">
                  <c:v>42005.802777777775</c:v>
                </c:pt>
                <c:pt idx="1157">
                  <c:v>42005.803472222222</c:v>
                </c:pt>
                <c:pt idx="1158">
                  <c:v>42005.804166666669</c:v>
                </c:pt>
                <c:pt idx="1159">
                  <c:v>42005.804861111108</c:v>
                </c:pt>
                <c:pt idx="1160">
                  <c:v>42005.805555555555</c:v>
                </c:pt>
                <c:pt idx="1161">
                  <c:v>42005.806250000001</c:v>
                </c:pt>
                <c:pt idx="1162">
                  <c:v>42005.806944444441</c:v>
                </c:pt>
                <c:pt idx="1163">
                  <c:v>42005.807638888888</c:v>
                </c:pt>
                <c:pt idx="1164">
                  <c:v>42005.808333333334</c:v>
                </c:pt>
                <c:pt idx="1165">
                  <c:v>42005.809027777781</c:v>
                </c:pt>
                <c:pt idx="1166">
                  <c:v>42005.80972222222</c:v>
                </c:pt>
                <c:pt idx="1167">
                  <c:v>42005.810416666667</c:v>
                </c:pt>
                <c:pt idx="1168">
                  <c:v>42005.811111111114</c:v>
                </c:pt>
                <c:pt idx="1169">
                  <c:v>42005.811805555553</c:v>
                </c:pt>
                <c:pt idx="1170">
                  <c:v>42005.8125</c:v>
                </c:pt>
                <c:pt idx="1171">
                  <c:v>42005.813194444447</c:v>
                </c:pt>
                <c:pt idx="1172">
                  <c:v>42005.813888888886</c:v>
                </c:pt>
                <c:pt idx="1173">
                  <c:v>42005.814583333333</c:v>
                </c:pt>
                <c:pt idx="1174">
                  <c:v>42005.81527777778</c:v>
                </c:pt>
                <c:pt idx="1175">
                  <c:v>42005.815972222219</c:v>
                </c:pt>
                <c:pt idx="1176">
                  <c:v>42005.816666666666</c:v>
                </c:pt>
                <c:pt idx="1177">
                  <c:v>42005.817361111112</c:v>
                </c:pt>
                <c:pt idx="1178">
                  <c:v>42005.818055555559</c:v>
                </c:pt>
                <c:pt idx="1179">
                  <c:v>42005.818749999999</c:v>
                </c:pt>
                <c:pt idx="1180">
                  <c:v>42005.819444444445</c:v>
                </c:pt>
                <c:pt idx="1181">
                  <c:v>42005.820138888892</c:v>
                </c:pt>
                <c:pt idx="1182">
                  <c:v>42005.820833333331</c:v>
                </c:pt>
                <c:pt idx="1183">
                  <c:v>42005.821527777778</c:v>
                </c:pt>
                <c:pt idx="1184">
                  <c:v>42005.822222222225</c:v>
                </c:pt>
                <c:pt idx="1185">
                  <c:v>42005.822916666664</c:v>
                </c:pt>
                <c:pt idx="1186">
                  <c:v>42005.823611111111</c:v>
                </c:pt>
                <c:pt idx="1187">
                  <c:v>42005.824305555558</c:v>
                </c:pt>
                <c:pt idx="1188">
                  <c:v>42005.824999999997</c:v>
                </c:pt>
                <c:pt idx="1189">
                  <c:v>42005.825694444444</c:v>
                </c:pt>
                <c:pt idx="1190">
                  <c:v>42005.826388888891</c:v>
                </c:pt>
                <c:pt idx="1191">
                  <c:v>42005.82708333333</c:v>
                </c:pt>
                <c:pt idx="1192">
                  <c:v>42005.827777777777</c:v>
                </c:pt>
                <c:pt idx="1193">
                  <c:v>42005.828472222223</c:v>
                </c:pt>
                <c:pt idx="1194">
                  <c:v>42005.82916666667</c:v>
                </c:pt>
                <c:pt idx="1195">
                  <c:v>42005.829861111109</c:v>
                </c:pt>
                <c:pt idx="1196">
                  <c:v>42005.830555555556</c:v>
                </c:pt>
                <c:pt idx="1197">
                  <c:v>42005.831250000003</c:v>
                </c:pt>
                <c:pt idx="1198">
                  <c:v>42005.831944444442</c:v>
                </c:pt>
                <c:pt idx="1199">
                  <c:v>42005.832638888889</c:v>
                </c:pt>
                <c:pt idx="1200">
                  <c:v>42005.833333333336</c:v>
                </c:pt>
                <c:pt idx="1201">
                  <c:v>42005.834027777775</c:v>
                </c:pt>
                <c:pt idx="1202">
                  <c:v>42005.834722222222</c:v>
                </c:pt>
                <c:pt idx="1203">
                  <c:v>42005.835416666669</c:v>
                </c:pt>
                <c:pt idx="1204">
                  <c:v>42005.836111111108</c:v>
                </c:pt>
                <c:pt idx="1205">
                  <c:v>42005.836805555555</c:v>
                </c:pt>
                <c:pt idx="1206">
                  <c:v>42005.837500000001</c:v>
                </c:pt>
                <c:pt idx="1207">
                  <c:v>42005.838194444441</c:v>
                </c:pt>
                <c:pt idx="1208">
                  <c:v>42005.838888888888</c:v>
                </c:pt>
                <c:pt idx="1209">
                  <c:v>42005.839583333334</c:v>
                </c:pt>
                <c:pt idx="1210">
                  <c:v>42005.840277777781</c:v>
                </c:pt>
                <c:pt idx="1211">
                  <c:v>42005.84097222222</c:v>
                </c:pt>
                <c:pt idx="1212">
                  <c:v>42005.841666666667</c:v>
                </c:pt>
                <c:pt idx="1213">
                  <c:v>42005.842361111114</c:v>
                </c:pt>
                <c:pt idx="1214">
                  <c:v>42005.843055555553</c:v>
                </c:pt>
                <c:pt idx="1215">
                  <c:v>42005.84375</c:v>
                </c:pt>
                <c:pt idx="1216">
                  <c:v>42005.844444444447</c:v>
                </c:pt>
                <c:pt idx="1217">
                  <c:v>42005.845138888886</c:v>
                </c:pt>
                <c:pt idx="1218">
                  <c:v>42005.845833333333</c:v>
                </c:pt>
                <c:pt idx="1219">
                  <c:v>42005.84652777778</c:v>
                </c:pt>
                <c:pt idx="1220">
                  <c:v>42005.847222222219</c:v>
                </c:pt>
                <c:pt idx="1221">
                  <c:v>42005.847916666666</c:v>
                </c:pt>
                <c:pt idx="1222">
                  <c:v>42005.848611111112</c:v>
                </c:pt>
                <c:pt idx="1223">
                  <c:v>42005.849305555559</c:v>
                </c:pt>
                <c:pt idx="1224">
                  <c:v>42005.85</c:v>
                </c:pt>
                <c:pt idx="1225">
                  <c:v>42005.850694444445</c:v>
                </c:pt>
                <c:pt idx="1226">
                  <c:v>42005.851388888892</c:v>
                </c:pt>
                <c:pt idx="1227">
                  <c:v>42005.852083333331</c:v>
                </c:pt>
                <c:pt idx="1228">
                  <c:v>42005.852777777778</c:v>
                </c:pt>
                <c:pt idx="1229">
                  <c:v>42005.853472222225</c:v>
                </c:pt>
                <c:pt idx="1230">
                  <c:v>42005.854166666664</c:v>
                </c:pt>
                <c:pt idx="1231">
                  <c:v>42005.854861111111</c:v>
                </c:pt>
                <c:pt idx="1232">
                  <c:v>42005.855555555558</c:v>
                </c:pt>
                <c:pt idx="1233">
                  <c:v>42005.856249999997</c:v>
                </c:pt>
                <c:pt idx="1234">
                  <c:v>42005.856944444444</c:v>
                </c:pt>
                <c:pt idx="1235">
                  <c:v>42005.857638888891</c:v>
                </c:pt>
                <c:pt idx="1236">
                  <c:v>42005.85833333333</c:v>
                </c:pt>
                <c:pt idx="1237">
                  <c:v>42005.859027777777</c:v>
                </c:pt>
                <c:pt idx="1238">
                  <c:v>42005.859722222223</c:v>
                </c:pt>
                <c:pt idx="1239">
                  <c:v>42005.86041666667</c:v>
                </c:pt>
                <c:pt idx="1240">
                  <c:v>42005.861111111109</c:v>
                </c:pt>
                <c:pt idx="1241">
                  <c:v>42005.861805555556</c:v>
                </c:pt>
                <c:pt idx="1242">
                  <c:v>42005.862500000003</c:v>
                </c:pt>
                <c:pt idx="1243">
                  <c:v>42005.863194444442</c:v>
                </c:pt>
                <c:pt idx="1244">
                  <c:v>42005.863888888889</c:v>
                </c:pt>
                <c:pt idx="1245">
                  <c:v>42005.864583333336</c:v>
                </c:pt>
                <c:pt idx="1246">
                  <c:v>42005.865277777775</c:v>
                </c:pt>
                <c:pt idx="1247">
                  <c:v>42005.865972222222</c:v>
                </c:pt>
                <c:pt idx="1248">
                  <c:v>42005.866666666669</c:v>
                </c:pt>
                <c:pt idx="1249">
                  <c:v>42005.867361111108</c:v>
                </c:pt>
                <c:pt idx="1250">
                  <c:v>42005.868055555555</c:v>
                </c:pt>
                <c:pt idx="1251">
                  <c:v>42005.868750000001</c:v>
                </c:pt>
                <c:pt idx="1252">
                  <c:v>42005.869444444441</c:v>
                </c:pt>
                <c:pt idx="1253">
                  <c:v>42005.870138888888</c:v>
                </c:pt>
                <c:pt idx="1254">
                  <c:v>42005.870833333334</c:v>
                </c:pt>
                <c:pt idx="1255">
                  <c:v>42005.871527777781</c:v>
                </c:pt>
                <c:pt idx="1256">
                  <c:v>42005.87222222222</c:v>
                </c:pt>
                <c:pt idx="1257">
                  <c:v>42005.872916666667</c:v>
                </c:pt>
                <c:pt idx="1258">
                  <c:v>42005.873611111114</c:v>
                </c:pt>
                <c:pt idx="1259">
                  <c:v>42005.874305555553</c:v>
                </c:pt>
                <c:pt idx="1260">
                  <c:v>42005.875</c:v>
                </c:pt>
                <c:pt idx="1261">
                  <c:v>42005.875694444447</c:v>
                </c:pt>
                <c:pt idx="1262">
                  <c:v>42005.876388888886</c:v>
                </c:pt>
                <c:pt idx="1263">
                  <c:v>42005.877083333333</c:v>
                </c:pt>
                <c:pt idx="1264">
                  <c:v>42005.87777777778</c:v>
                </c:pt>
                <c:pt idx="1265">
                  <c:v>42005.878472222219</c:v>
                </c:pt>
                <c:pt idx="1266">
                  <c:v>42005.879166666666</c:v>
                </c:pt>
                <c:pt idx="1267">
                  <c:v>42005.879861111112</c:v>
                </c:pt>
                <c:pt idx="1268">
                  <c:v>42005.880555555559</c:v>
                </c:pt>
                <c:pt idx="1269">
                  <c:v>42005.881249999999</c:v>
                </c:pt>
                <c:pt idx="1270">
                  <c:v>42005.881944444445</c:v>
                </c:pt>
                <c:pt idx="1271">
                  <c:v>42005.882638888892</c:v>
                </c:pt>
                <c:pt idx="1272">
                  <c:v>42005.883333333331</c:v>
                </c:pt>
                <c:pt idx="1273">
                  <c:v>42005.884027777778</c:v>
                </c:pt>
                <c:pt idx="1274">
                  <c:v>42005.884722222225</c:v>
                </c:pt>
                <c:pt idx="1275">
                  <c:v>42005.885416666664</c:v>
                </c:pt>
                <c:pt idx="1276">
                  <c:v>42005.886111111111</c:v>
                </c:pt>
                <c:pt idx="1277">
                  <c:v>42005.886805555558</c:v>
                </c:pt>
                <c:pt idx="1278">
                  <c:v>42005.887499999997</c:v>
                </c:pt>
                <c:pt idx="1279">
                  <c:v>42005.888194444444</c:v>
                </c:pt>
                <c:pt idx="1280">
                  <c:v>42005.888888888891</c:v>
                </c:pt>
                <c:pt idx="1281">
                  <c:v>42005.88958333333</c:v>
                </c:pt>
                <c:pt idx="1282">
                  <c:v>42005.890277777777</c:v>
                </c:pt>
                <c:pt idx="1283">
                  <c:v>42005.890972222223</c:v>
                </c:pt>
                <c:pt idx="1284">
                  <c:v>42005.89166666667</c:v>
                </c:pt>
                <c:pt idx="1285">
                  <c:v>42005.892361111109</c:v>
                </c:pt>
                <c:pt idx="1286">
                  <c:v>42005.893055555556</c:v>
                </c:pt>
                <c:pt idx="1287">
                  <c:v>42005.893750000003</c:v>
                </c:pt>
                <c:pt idx="1288">
                  <c:v>42005.894444444442</c:v>
                </c:pt>
                <c:pt idx="1289">
                  <c:v>42005.895138888889</c:v>
                </c:pt>
                <c:pt idx="1290">
                  <c:v>42005.895833333336</c:v>
                </c:pt>
                <c:pt idx="1291">
                  <c:v>42005.896527777775</c:v>
                </c:pt>
                <c:pt idx="1292">
                  <c:v>42005.897222222222</c:v>
                </c:pt>
                <c:pt idx="1293">
                  <c:v>42005.897916666669</c:v>
                </c:pt>
                <c:pt idx="1294">
                  <c:v>42005.898611111108</c:v>
                </c:pt>
                <c:pt idx="1295">
                  <c:v>42005.899305555555</c:v>
                </c:pt>
                <c:pt idx="1296">
                  <c:v>42005.9</c:v>
                </c:pt>
                <c:pt idx="1297">
                  <c:v>42005.900694444441</c:v>
                </c:pt>
                <c:pt idx="1298">
                  <c:v>42005.901388888888</c:v>
                </c:pt>
                <c:pt idx="1299">
                  <c:v>42005.902083333334</c:v>
                </c:pt>
                <c:pt idx="1300">
                  <c:v>42005.902777777781</c:v>
                </c:pt>
                <c:pt idx="1301">
                  <c:v>42005.90347222222</c:v>
                </c:pt>
                <c:pt idx="1302">
                  <c:v>42005.904166666667</c:v>
                </c:pt>
                <c:pt idx="1303">
                  <c:v>42005.904861111114</c:v>
                </c:pt>
                <c:pt idx="1304">
                  <c:v>42005.905555555553</c:v>
                </c:pt>
                <c:pt idx="1305">
                  <c:v>42005.90625</c:v>
                </c:pt>
                <c:pt idx="1306">
                  <c:v>42005.906944444447</c:v>
                </c:pt>
                <c:pt idx="1307">
                  <c:v>42005.907638888886</c:v>
                </c:pt>
                <c:pt idx="1308">
                  <c:v>42005.908333333333</c:v>
                </c:pt>
                <c:pt idx="1309">
                  <c:v>42005.90902777778</c:v>
                </c:pt>
                <c:pt idx="1310">
                  <c:v>42005.909722222219</c:v>
                </c:pt>
                <c:pt idx="1311">
                  <c:v>42005.910416666666</c:v>
                </c:pt>
                <c:pt idx="1312">
                  <c:v>42005.911111111112</c:v>
                </c:pt>
                <c:pt idx="1313">
                  <c:v>42005.911805555559</c:v>
                </c:pt>
                <c:pt idx="1314">
                  <c:v>42005.912499999999</c:v>
                </c:pt>
                <c:pt idx="1315">
                  <c:v>42005.913194444445</c:v>
                </c:pt>
                <c:pt idx="1316">
                  <c:v>42005.913888888892</c:v>
                </c:pt>
                <c:pt idx="1317">
                  <c:v>42005.914583333331</c:v>
                </c:pt>
                <c:pt idx="1318">
                  <c:v>42005.915277777778</c:v>
                </c:pt>
                <c:pt idx="1319">
                  <c:v>42005.915972222225</c:v>
                </c:pt>
                <c:pt idx="1320">
                  <c:v>42005.916666666664</c:v>
                </c:pt>
                <c:pt idx="1321">
                  <c:v>42005.917361111111</c:v>
                </c:pt>
                <c:pt idx="1322">
                  <c:v>42005.918055555558</c:v>
                </c:pt>
                <c:pt idx="1323">
                  <c:v>42005.918749999997</c:v>
                </c:pt>
                <c:pt idx="1324">
                  <c:v>42005.919444444444</c:v>
                </c:pt>
                <c:pt idx="1325">
                  <c:v>42005.920138888891</c:v>
                </c:pt>
                <c:pt idx="1326">
                  <c:v>42005.92083333333</c:v>
                </c:pt>
                <c:pt idx="1327">
                  <c:v>42005.921527777777</c:v>
                </c:pt>
                <c:pt idx="1328">
                  <c:v>42005.922222222223</c:v>
                </c:pt>
                <c:pt idx="1329">
                  <c:v>42005.92291666667</c:v>
                </c:pt>
                <c:pt idx="1330">
                  <c:v>42005.923611111109</c:v>
                </c:pt>
                <c:pt idx="1331">
                  <c:v>42005.924305555556</c:v>
                </c:pt>
                <c:pt idx="1332">
                  <c:v>42005.925000000003</c:v>
                </c:pt>
                <c:pt idx="1333">
                  <c:v>42005.925694444442</c:v>
                </c:pt>
                <c:pt idx="1334">
                  <c:v>42005.926388888889</c:v>
                </c:pt>
                <c:pt idx="1335">
                  <c:v>42005.927083333336</c:v>
                </c:pt>
                <c:pt idx="1336">
                  <c:v>42005.927777777775</c:v>
                </c:pt>
                <c:pt idx="1337">
                  <c:v>42005.928472222222</c:v>
                </c:pt>
                <c:pt idx="1338">
                  <c:v>42005.929166666669</c:v>
                </c:pt>
                <c:pt idx="1339">
                  <c:v>42005.929861111108</c:v>
                </c:pt>
                <c:pt idx="1340">
                  <c:v>42005.930555555555</c:v>
                </c:pt>
                <c:pt idx="1341">
                  <c:v>42005.931250000001</c:v>
                </c:pt>
                <c:pt idx="1342">
                  <c:v>42005.931944444441</c:v>
                </c:pt>
                <c:pt idx="1343">
                  <c:v>42005.932638888888</c:v>
                </c:pt>
                <c:pt idx="1344">
                  <c:v>42005.933333333334</c:v>
                </c:pt>
                <c:pt idx="1345">
                  <c:v>42005.934027777781</c:v>
                </c:pt>
                <c:pt idx="1346">
                  <c:v>42005.93472222222</c:v>
                </c:pt>
                <c:pt idx="1347">
                  <c:v>42005.935416666667</c:v>
                </c:pt>
                <c:pt idx="1348">
                  <c:v>42005.936111111114</c:v>
                </c:pt>
                <c:pt idx="1349">
                  <c:v>42005.936805555553</c:v>
                </c:pt>
                <c:pt idx="1350">
                  <c:v>42005.9375</c:v>
                </c:pt>
                <c:pt idx="1351">
                  <c:v>42005.938194444447</c:v>
                </c:pt>
                <c:pt idx="1352">
                  <c:v>42005.938888888886</c:v>
                </c:pt>
                <c:pt idx="1353">
                  <c:v>42005.939583333333</c:v>
                </c:pt>
                <c:pt idx="1354">
                  <c:v>42005.94027777778</c:v>
                </c:pt>
                <c:pt idx="1355">
                  <c:v>42005.940972222219</c:v>
                </c:pt>
                <c:pt idx="1356">
                  <c:v>42005.941666666666</c:v>
                </c:pt>
                <c:pt idx="1357">
                  <c:v>42005.942361111112</c:v>
                </c:pt>
                <c:pt idx="1358">
                  <c:v>42005.943055555559</c:v>
                </c:pt>
                <c:pt idx="1359">
                  <c:v>42005.943749999999</c:v>
                </c:pt>
                <c:pt idx="1360">
                  <c:v>42005.944444444445</c:v>
                </c:pt>
                <c:pt idx="1361">
                  <c:v>42005.945138888892</c:v>
                </c:pt>
                <c:pt idx="1362">
                  <c:v>42005.945833333331</c:v>
                </c:pt>
                <c:pt idx="1363">
                  <c:v>42005.946527777778</c:v>
                </c:pt>
                <c:pt idx="1364">
                  <c:v>42005.947222222225</c:v>
                </c:pt>
                <c:pt idx="1365">
                  <c:v>42005.947916666664</c:v>
                </c:pt>
                <c:pt idx="1366">
                  <c:v>42005.948611111111</c:v>
                </c:pt>
                <c:pt idx="1367">
                  <c:v>42005.949305555558</c:v>
                </c:pt>
                <c:pt idx="1368">
                  <c:v>42005.95</c:v>
                </c:pt>
                <c:pt idx="1369">
                  <c:v>42005.950694444444</c:v>
                </c:pt>
                <c:pt idx="1370">
                  <c:v>42005.951388888891</c:v>
                </c:pt>
                <c:pt idx="1371">
                  <c:v>42005.95208333333</c:v>
                </c:pt>
                <c:pt idx="1372">
                  <c:v>42005.952777777777</c:v>
                </c:pt>
                <c:pt idx="1373">
                  <c:v>42005.953472222223</c:v>
                </c:pt>
                <c:pt idx="1374">
                  <c:v>42005.95416666667</c:v>
                </c:pt>
                <c:pt idx="1375">
                  <c:v>42005.954861111109</c:v>
                </c:pt>
                <c:pt idx="1376">
                  <c:v>42005.955555555556</c:v>
                </c:pt>
                <c:pt idx="1377">
                  <c:v>42005.956250000003</c:v>
                </c:pt>
                <c:pt idx="1378">
                  <c:v>42005.956944444442</c:v>
                </c:pt>
                <c:pt idx="1379">
                  <c:v>42005.957638888889</c:v>
                </c:pt>
                <c:pt idx="1380">
                  <c:v>42005.958333333336</c:v>
                </c:pt>
                <c:pt idx="1381">
                  <c:v>42005.959027777775</c:v>
                </c:pt>
                <c:pt idx="1382">
                  <c:v>42005.959722222222</c:v>
                </c:pt>
                <c:pt idx="1383">
                  <c:v>42005.960416666669</c:v>
                </c:pt>
                <c:pt idx="1384">
                  <c:v>42005.961111111108</c:v>
                </c:pt>
                <c:pt idx="1385">
                  <c:v>42005.961805555555</c:v>
                </c:pt>
                <c:pt idx="1386">
                  <c:v>42005.962500000001</c:v>
                </c:pt>
                <c:pt idx="1387">
                  <c:v>42005.963194444441</c:v>
                </c:pt>
                <c:pt idx="1388">
                  <c:v>42005.963888888888</c:v>
                </c:pt>
                <c:pt idx="1389">
                  <c:v>42005.964583333334</c:v>
                </c:pt>
                <c:pt idx="1390">
                  <c:v>42005.965277777781</c:v>
                </c:pt>
                <c:pt idx="1391">
                  <c:v>42005.96597222222</c:v>
                </c:pt>
                <c:pt idx="1392">
                  <c:v>42005.966666666667</c:v>
                </c:pt>
                <c:pt idx="1393">
                  <c:v>42005.967361111114</c:v>
                </c:pt>
                <c:pt idx="1394">
                  <c:v>42005.968055555553</c:v>
                </c:pt>
                <c:pt idx="1395">
                  <c:v>42005.96875</c:v>
                </c:pt>
                <c:pt idx="1396">
                  <c:v>42005.969444444447</c:v>
                </c:pt>
                <c:pt idx="1397">
                  <c:v>42005.970138888886</c:v>
                </c:pt>
                <c:pt idx="1398">
                  <c:v>42005.970833333333</c:v>
                </c:pt>
                <c:pt idx="1399">
                  <c:v>42005.97152777778</c:v>
                </c:pt>
                <c:pt idx="1400">
                  <c:v>42005.972222222219</c:v>
                </c:pt>
                <c:pt idx="1401">
                  <c:v>42005.972916666666</c:v>
                </c:pt>
                <c:pt idx="1402">
                  <c:v>42005.973611111112</c:v>
                </c:pt>
                <c:pt idx="1403">
                  <c:v>42005.974305555559</c:v>
                </c:pt>
                <c:pt idx="1404">
                  <c:v>42005.974999999999</c:v>
                </c:pt>
                <c:pt idx="1405">
                  <c:v>42005.975694444445</c:v>
                </c:pt>
                <c:pt idx="1406">
                  <c:v>42005.976388888892</c:v>
                </c:pt>
                <c:pt idx="1407">
                  <c:v>42005.977083333331</c:v>
                </c:pt>
                <c:pt idx="1408">
                  <c:v>42005.977777777778</c:v>
                </c:pt>
                <c:pt idx="1409">
                  <c:v>42005.978472222225</c:v>
                </c:pt>
                <c:pt idx="1410">
                  <c:v>42005.979166666664</c:v>
                </c:pt>
                <c:pt idx="1411">
                  <c:v>42005.979861111111</c:v>
                </c:pt>
                <c:pt idx="1412">
                  <c:v>42005.980555555558</c:v>
                </c:pt>
                <c:pt idx="1413">
                  <c:v>42005.981249999997</c:v>
                </c:pt>
                <c:pt idx="1414">
                  <c:v>42005.981944444444</c:v>
                </c:pt>
                <c:pt idx="1415">
                  <c:v>42005.982638888891</c:v>
                </c:pt>
                <c:pt idx="1416">
                  <c:v>42005.98333333333</c:v>
                </c:pt>
                <c:pt idx="1417">
                  <c:v>42005.984027777777</c:v>
                </c:pt>
                <c:pt idx="1418">
                  <c:v>42005.984722222223</c:v>
                </c:pt>
                <c:pt idx="1419">
                  <c:v>42005.98541666667</c:v>
                </c:pt>
                <c:pt idx="1420">
                  <c:v>42005.986111111109</c:v>
                </c:pt>
                <c:pt idx="1421">
                  <c:v>42005.986805555556</c:v>
                </c:pt>
                <c:pt idx="1422">
                  <c:v>42005.987500000003</c:v>
                </c:pt>
                <c:pt idx="1423">
                  <c:v>42005.988194444442</c:v>
                </c:pt>
                <c:pt idx="1424">
                  <c:v>42005.988888888889</c:v>
                </c:pt>
                <c:pt idx="1425">
                  <c:v>42005.989583333336</c:v>
                </c:pt>
                <c:pt idx="1426">
                  <c:v>42005.990277777775</c:v>
                </c:pt>
                <c:pt idx="1427">
                  <c:v>42005.990972222222</c:v>
                </c:pt>
                <c:pt idx="1428">
                  <c:v>42005.991666666669</c:v>
                </c:pt>
                <c:pt idx="1429">
                  <c:v>42005.992361111108</c:v>
                </c:pt>
                <c:pt idx="1430">
                  <c:v>42005.993055555555</c:v>
                </c:pt>
                <c:pt idx="1431">
                  <c:v>42005.993750000001</c:v>
                </c:pt>
                <c:pt idx="1432">
                  <c:v>42005.994444444441</c:v>
                </c:pt>
                <c:pt idx="1433">
                  <c:v>42005.995138888888</c:v>
                </c:pt>
                <c:pt idx="1434">
                  <c:v>42005.995833333334</c:v>
                </c:pt>
                <c:pt idx="1435">
                  <c:v>42005.996527777781</c:v>
                </c:pt>
                <c:pt idx="1436">
                  <c:v>42005.99722222222</c:v>
                </c:pt>
                <c:pt idx="1437">
                  <c:v>42005.997916666667</c:v>
                </c:pt>
                <c:pt idx="1438">
                  <c:v>42005.998611111114</c:v>
                </c:pt>
                <c:pt idx="1439">
                  <c:v>42005.999305555553</c:v>
                </c:pt>
              </c:numCache>
            </c:numRef>
          </c:xVal>
          <c:yVal>
            <c:numRef>
              <c:f>Sheet1!$B$2:$B$1441</c:f>
              <c:numCache>
                <c:formatCode>General</c:formatCode>
                <c:ptCount val="1440"/>
                <c:pt idx="0">
                  <c:v>0</c:v>
                </c:pt>
                <c:pt idx="1">
                  <c:v>0</c:v>
                </c:pt>
                <c:pt idx="2">
                  <c:v>0.33</c:v>
                </c:pt>
                <c:pt idx="3">
                  <c:v>0.66</c:v>
                </c:pt>
                <c:pt idx="4">
                  <c:v>2.13</c:v>
                </c:pt>
                <c:pt idx="5">
                  <c:v>3.61</c:v>
                </c:pt>
                <c:pt idx="6">
                  <c:v>2.46</c:v>
                </c:pt>
                <c:pt idx="7">
                  <c:v>1.31</c:v>
                </c:pt>
                <c:pt idx="8">
                  <c:v>0.66</c:v>
                </c:pt>
                <c:pt idx="9">
                  <c:v>0</c:v>
                </c:pt>
                <c:pt idx="10">
                  <c:v>0</c:v>
                </c:pt>
                <c:pt idx="11">
                  <c:v>0</c:v>
                </c:pt>
                <c:pt idx="12">
                  <c:v>0</c:v>
                </c:pt>
                <c:pt idx="13">
                  <c:v>0</c:v>
                </c:pt>
                <c:pt idx="14">
                  <c:v>0</c:v>
                </c:pt>
                <c:pt idx="15">
                  <c:v>0</c:v>
                </c:pt>
                <c:pt idx="16">
                  <c:v>0.98</c:v>
                </c:pt>
                <c:pt idx="17">
                  <c:v>1.97</c:v>
                </c:pt>
                <c:pt idx="18">
                  <c:v>1.31</c:v>
                </c:pt>
                <c:pt idx="19">
                  <c:v>0.66</c:v>
                </c:pt>
                <c:pt idx="20">
                  <c:v>0.33</c:v>
                </c:pt>
                <c:pt idx="21">
                  <c:v>0</c:v>
                </c:pt>
                <c:pt idx="22">
                  <c:v>0.33</c:v>
                </c:pt>
                <c:pt idx="23">
                  <c:v>0.66</c:v>
                </c:pt>
                <c:pt idx="24">
                  <c:v>0.49</c:v>
                </c:pt>
                <c:pt idx="25">
                  <c:v>0.33</c:v>
                </c:pt>
                <c:pt idx="26">
                  <c:v>0.16</c:v>
                </c:pt>
                <c:pt idx="27">
                  <c:v>0</c:v>
                </c:pt>
                <c:pt idx="28">
                  <c:v>0</c:v>
                </c:pt>
                <c:pt idx="29">
                  <c:v>0</c:v>
                </c:pt>
                <c:pt idx="30">
                  <c:v>1.31</c:v>
                </c:pt>
                <c:pt idx="31">
                  <c:v>2.63</c:v>
                </c:pt>
                <c:pt idx="32">
                  <c:v>1.31</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0.98</c:v>
                </c:pt>
                <c:pt idx="55">
                  <c:v>1.97</c:v>
                </c:pt>
                <c:pt idx="56">
                  <c:v>1.48</c:v>
                </c:pt>
                <c:pt idx="57">
                  <c:v>0.98</c:v>
                </c:pt>
                <c:pt idx="58">
                  <c:v>1.1499999999999999</c:v>
                </c:pt>
                <c:pt idx="59">
                  <c:v>1.31</c:v>
                </c:pt>
                <c:pt idx="60">
                  <c:v>0.66</c:v>
                </c:pt>
                <c:pt idx="61">
                  <c:v>0</c:v>
                </c:pt>
                <c:pt idx="62">
                  <c:v>0</c:v>
                </c:pt>
                <c:pt idx="63">
                  <c:v>0</c:v>
                </c:pt>
                <c:pt idx="64">
                  <c:v>0.33</c:v>
                </c:pt>
                <c:pt idx="65">
                  <c:v>0.66</c:v>
                </c:pt>
                <c:pt idx="66">
                  <c:v>0.33</c:v>
                </c:pt>
                <c:pt idx="67">
                  <c:v>0</c:v>
                </c:pt>
                <c:pt idx="68">
                  <c:v>0.16</c:v>
                </c:pt>
                <c:pt idx="69">
                  <c:v>0.33</c:v>
                </c:pt>
                <c:pt idx="70">
                  <c:v>0.16</c:v>
                </c:pt>
                <c:pt idx="71">
                  <c:v>0</c:v>
                </c:pt>
                <c:pt idx="72">
                  <c:v>0.16</c:v>
                </c:pt>
                <c:pt idx="73">
                  <c:v>0.33</c:v>
                </c:pt>
                <c:pt idx="74">
                  <c:v>0.16</c:v>
                </c:pt>
                <c:pt idx="75">
                  <c:v>0</c:v>
                </c:pt>
                <c:pt idx="76">
                  <c:v>0</c:v>
                </c:pt>
                <c:pt idx="77">
                  <c:v>0</c:v>
                </c:pt>
                <c:pt idx="78">
                  <c:v>0</c:v>
                </c:pt>
                <c:pt idx="79">
                  <c:v>0</c:v>
                </c:pt>
                <c:pt idx="80">
                  <c:v>0.16</c:v>
                </c:pt>
                <c:pt idx="81">
                  <c:v>0.33</c:v>
                </c:pt>
                <c:pt idx="82">
                  <c:v>0.16</c:v>
                </c:pt>
                <c:pt idx="83">
                  <c:v>0</c:v>
                </c:pt>
                <c:pt idx="84">
                  <c:v>0</c:v>
                </c:pt>
                <c:pt idx="85">
                  <c:v>0</c:v>
                </c:pt>
                <c:pt idx="86">
                  <c:v>0</c:v>
                </c:pt>
                <c:pt idx="87">
                  <c:v>0</c:v>
                </c:pt>
                <c:pt idx="88">
                  <c:v>0</c:v>
                </c:pt>
                <c:pt idx="89">
                  <c:v>0</c:v>
                </c:pt>
                <c:pt idx="90">
                  <c:v>0</c:v>
                </c:pt>
                <c:pt idx="91">
                  <c:v>0</c:v>
                </c:pt>
                <c:pt idx="92">
                  <c:v>1.1499999999999999</c:v>
                </c:pt>
                <c:pt idx="93">
                  <c:v>2.2999999999999998</c:v>
                </c:pt>
                <c:pt idx="94">
                  <c:v>2.79</c:v>
                </c:pt>
                <c:pt idx="95">
                  <c:v>3.28</c:v>
                </c:pt>
                <c:pt idx="96">
                  <c:v>1.81</c:v>
                </c:pt>
                <c:pt idx="97">
                  <c:v>0.33</c:v>
                </c:pt>
                <c:pt idx="98">
                  <c:v>0.98</c:v>
                </c:pt>
                <c:pt idx="99">
                  <c:v>1.64</c:v>
                </c:pt>
                <c:pt idx="100">
                  <c:v>0.82</c:v>
                </c:pt>
                <c:pt idx="101">
                  <c:v>0</c:v>
                </c:pt>
                <c:pt idx="102">
                  <c:v>0</c:v>
                </c:pt>
                <c:pt idx="103">
                  <c:v>0</c:v>
                </c:pt>
                <c:pt idx="104">
                  <c:v>0</c:v>
                </c:pt>
                <c:pt idx="105">
                  <c:v>0</c:v>
                </c:pt>
                <c:pt idx="106">
                  <c:v>0</c:v>
                </c:pt>
                <c:pt idx="107">
                  <c:v>0</c:v>
                </c:pt>
                <c:pt idx="108">
                  <c:v>0.16</c:v>
                </c:pt>
                <c:pt idx="109">
                  <c:v>0.33</c:v>
                </c:pt>
                <c:pt idx="110">
                  <c:v>0.66</c:v>
                </c:pt>
                <c:pt idx="111">
                  <c:v>0.98</c:v>
                </c:pt>
                <c:pt idx="112">
                  <c:v>0.82</c:v>
                </c:pt>
                <c:pt idx="113">
                  <c:v>0.66</c:v>
                </c:pt>
                <c:pt idx="114">
                  <c:v>0.33</c:v>
                </c:pt>
                <c:pt idx="115">
                  <c:v>0</c:v>
                </c:pt>
                <c:pt idx="116">
                  <c:v>0</c:v>
                </c:pt>
                <c:pt idx="117">
                  <c:v>0</c:v>
                </c:pt>
                <c:pt idx="118">
                  <c:v>0</c:v>
                </c:pt>
                <c:pt idx="119">
                  <c:v>0</c:v>
                </c:pt>
                <c:pt idx="120">
                  <c:v>0.33</c:v>
                </c:pt>
                <c:pt idx="121">
                  <c:v>0.66</c:v>
                </c:pt>
                <c:pt idx="122">
                  <c:v>1.81</c:v>
                </c:pt>
                <c:pt idx="123">
                  <c:v>2.95</c:v>
                </c:pt>
                <c:pt idx="124">
                  <c:v>1.81</c:v>
                </c:pt>
                <c:pt idx="125">
                  <c:v>0.66</c:v>
                </c:pt>
                <c:pt idx="126">
                  <c:v>0.33</c:v>
                </c:pt>
                <c:pt idx="127">
                  <c:v>0</c:v>
                </c:pt>
                <c:pt idx="128">
                  <c:v>0</c:v>
                </c:pt>
                <c:pt idx="129">
                  <c:v>0</c:v>
                </c:pt>
                <c:pt idx="130">
                  <c:v>0</c:v>
                </c:pt>
                <c:pt idx="131">
                  <c:v>0</c:v>
                </c:pt>
                <c:pt idx="132">
                  <c:v>0</c:v>
                </c:pt>
                <c:pt idx="133">
                  <c:v>0</c:v>
                </c:pt>
                <c:pt idx="134">
                  <c:v>0</c:v>
                </c:pt>
                <c:pt idx="135">
                  <c:v>0</c:v>
                </c:pt>
                <c:pt idx="136">
                  <c:v>0</c:v>
                </c:pt>
                <c:pt idx="137">
                  <c:v>0</c:v>
                </c:pt>
                <c:pt idx="138">
                  <c:v>0.66</c:v>
                </c:pt>
                <c:pt idx="139">
                  <c:v>1.31</c:v>
                </c:pt>
                <c:pt idx="140">
                  <c:v>1.1499999999999999</c:v>
                </c:pt>
                <c:pt idx="141">
                  <c:v>0.98</c:v>
                </c:pt>
                <c:pt idx="142">
                  <c:v>0.98</c:v>
                </c:pt>
                <c:pt idx="143">
                  <c:v>0.98</c:v>
                </c:pt>
                <c:pt idx="144">
                  <c:v>0.49</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0.33</c:v>
                </c:pt>
                <c:pt idx="159">
                  <c:v>0.66</c:v>
                </c:pt>
                <c:pt idx="160">
                  <c:v>0.33</c:v>
                </c:pt>
                <c:pt idx="161">
                  <c:v>0</c:v>
                </c:pt>
                <c:pt idx="162">
                  <c:v>0</c:v>
                </c:pt>
                <c:pt idx="163">
                  <c:v>0</c:v>
                </c:pt>
                <c:pt idx="164">
                  <c:v>0.98</c:v>
                </c:pt>
                <c:pt idx="165">
                  <c:v>1.97</c:v>
                </c:pt>
                <c:pt idx="166">
                  <c:v>0.98</c:v>
                </c:pt>
                <c:pt idx="167">
                  <c:v>0</c:v>
                </c:pt>
                <c:pt idx="168">
                  <c:v>0</c:v>
                </c:pt>
                <c:pt idx="169">
                  <c:v>0</c:v>
                </c:pt>
                <c:pt idx="170">
                  <c:v>0.33</c:v>
                </c:pt>
                <c:pt idx="171">
                  <c:v>0.66</c:v>
                </c:pt>
                <c:pt idx="172">
                  <c:v>0.33</c:v>
                </c:pt>
                <c:pt idx="173">
                  <c:v>0</c:v>
                </c:pt>
                <c:pt idx="174">
                  <c:v>0.49</c:v>
                </c:pt>
                <c:pt idx="175">
                  <c:v>0.98</c:v>
                </c:pt>
                <c:pt idx="176">
                  <c:v>0.82</c:v>
                </c:pt>
                <c:pt idx="177">
                  <c:v>0.66</c:v>
                </c:pt>
                <c:pt idx="178">
                  <c:v>0.33</c:v>
                </c:pt>
                <c:pt idx="179">
                  <c:v>0</c:v>
                </c:pt>
                <c:pt idx="180">
                  <c:v>0.16</c:v>
                </c:pt>
                <c:pt idx="181">
                  <c:v>0.33</c:v>
                </c:pt>
                <c:pt idx="182">
                  <c:v>0.33</c:v>
                </c:pt>
                <c:pt idx="183">
                  <c:v>0.33</c:v>
                </c:pt>
                <c:pt idx="184">
                  <c:v>0.16</c:v>
                </c:pt>
                <c:pt idx="185">
                  <c:v>0</c:v>
                </c:pt>
                <c:pt idx="186">
                  <c:v>0.49</c:v>
                </c:pt>
                <c:pt idx="187">
                  <c:v>0.98</c:v>
                </c:pt>
                <c:pt idx="188">
                  <c:v>0.49</c:v>
                </c:pt>
                <c:pt idx="189">
                  <c:v>0</c:v>
                </c:pt>
                <c:pt idx="190">
                  <c:v>0.33</c:v>
                </c:pt>
                <c:pt idx="191">
                  <c:v>0.66</c:v>
                </c:pt>
                <c:pt idx="192">
                  <c:v>0.33</c:v>
                </c:pt>
                <c:pt idx="193">
                  <c:v>0</c:v>
                </c:pt>
                <c:pt idx="194">
                  <c:v>0</c:v>
                </c:pt>
                <c:pt idx="195">
                  <c:v>0</c:v>
                </c:pt>
                <c:pt idx="196">
                  <c:v>0.16</c:v>
                </c:pt>
                <c:pt idx="197">
                  <c:v>0.33</c:v>
                </c:pt>
                <c:pt idx="198">
                  <c:v>1.1499999999999999</c:v>
                </c:pt>
                <c:pt idx="199">
                  <c:v>1.97</c:v>
                </c:pt>
                <c:pt idx="200">
                  <c:v>1.31</c:v>
                </c:pt>
                <c:pt idx="201">
                  <c:v>0.66</c:v>
                </c:pt>
                <c:pt idx="202">
                  <c:v>0.33</c:v>
                </c:pt>
                <c:pt idx="203">
                  <c:v>0</c:v>
                </c:pt>
                <c:pt idx="204">
                  <c:v>1.31</c:v>
                </c:pt>
                <c:pt idx="205">
                  <c:v>2.63</c:v>
                </c:pt>
                <c:pt idx="206">
                  <c:v>1.31</c:v>
                </c:pt>
                <c:pt idx="207">
                  <c:v>0</c:v>
                </c:pt>
                <c:pt idx="208">
                  <c:v>0</c:v>
                </c:pt>
                <c:pt idx="209">
                  <c:v>0</c:v>
                </c:pt>
                <c:pt idx="210">
                  <c:v>0</c:v>
                </c:pt>
                <c:pt idx="211">
                  <c:v>0</c:v>
                </c:pt>
                <c:pt idx="212">
                  <c:v>0</c:v>
                </c:pt>
                <c:pt idx="213">
                  <c:v>0</c:v>
                </c:pt>
                <c:pt idx="214">
                  <c:v>0.82</c:v>
                </c:pt>
                <c:pt idx="215">
                  <c:v>1.64</c:v>
                </c:pt>
                <c:pt idx="216">
                  <c:v>1.31</c:v>
                </c:pt>
                <c:pt idx="217">
                  <c:v>0.98</c:v>
                </c:pt>
                <c:pt idx="218">
                  <c:v>0.98</c:v>
                </c:pt>
                <c:pt idx="219">
                  <c:v>0.98</c:v>
                </c:pt>
                <c:pt idx="220">
                  <c:v>0.49</c:v>
                </c:pt>
                <c:pt idx="221">
                  <c:v>0</c:v>
                </c:pt>
                <c:pt idx="222">
                  <c:v>0</c:v>
                </c:pt>
                <c:pt idx="223">
                  <c:v>0</c:v>
                </c:pt>
                <c:pt idx="224">
                  <c:v>0.16</c:v>
                </c:pt>
                <c:pt idx="225">
                  <c:v>0.33</c:v>
                </c:pt>
                <c:pt idx="226">
                  <c:v>0.16</c:v>
                </c:pt>
                <c:pt idx="227">
                  <c:v>0</c:v>
                </c:pt>
                <c:pt idx="228">
                  <c:v>0</c:v>
                </c:pt>
                <c:pt idx="229">
                  <c:v>0</c:v>
                </c:pt>
                <c:pt idx="230">
                  <c:v>0</c:v>
                </c:pt>
                <c:pt idx="231">
                  <c:v>0</c:v>
                </c:pt>
                <c:pt idx="232">
                  <c:v>0</c:v>
                </c:pt>
                <c:pt idx="233">
                  <c:v>0</c:v>
                </c:pt>
                <c:pt idx="234">
                  <c:v>0.33</c:v>
                </c:pt>
                <c:pt idx="235">
                  <c:v>0.66</c:v>
                </c:pt>
                <c:pt idx="236">
                  <c:v>0.33</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0.66</c:v>
                </c:pt>
                <c:pt idx="251">
                  <c:v>1.31</c:v>
                </c:pt>
                <c:pt idx="252">
                  <c:v>0.66</c:v>
                </c:pt>
                <c:pt idx="253">
                  <c:v>0</c:v>
                </c:pt>
                <c:pt idx="254">
                  <c:v>1.48</c:v>
                </c:pt>
                <c:pt idx="255">
                  <c:v>2.95</c:v>
                </c:pt>
                <c:pt idx="256">
                  <c:v>2.2999999999999998</c:v>
                </c:pt>
                <c:pt idx="257">
                  <c:v>1.64</c:v>
                </c:pt>
                <c:pt idx="258">
                  <c:v>0.82</c:v>
                </c:pt>
                <c:pt idx="259">
                  <c:v>0</c:v>
                </c:pt>
                <c:pt idx="260">
                  <c:v>0</c:v>
                </c:pt>
                <c:pt idx="261">
                  <c:v>0</c:v>
                </c:pt>
                <c:pt idx="262">
                  <c:v>0.16</c:v>
                </c:pt>
                <c:pt idx="263">
                  <c:v>0.33</c:v>
                </c:pt>
                <c:pt idx="264">
                  <c:v>0.16</c:v>
                </c:pt>
                <c:pt idx="265">
                  <c:v>0</c:v>
                </c:pt>
                <c:pt idx="266">
                  <c:v>0.16</c:v>
                </c:pt>
                <c:pt idx="267">
                  <c:v>0.33</c:v>
                </c:pt>
                <c:pt idx="268">
                  <c:v>0.16</c:v>
                </c:pt>
                <c:pt idx="269">
                  <c:v>0</c:v>
                </c:pt>
                <c:pt idx="270">
                  <c:v>0</c:v>
                </c:pt>
                <c:pt idx="271">
                  <c:v>0</c:v>
                </c:pt>
                <c:pt idx="272">
                  <c:v>0</c:v>
                </c:pt>
                <c:pt idx="273">
                  <c:v>0</c:v>
                </c:pt>
                <c:pt idx="274">
                  <c:v>0</c:v>
                </c:pt>
                <c:pt idx="275">
                  <c:v>0</c:v>
                </c:pt>
                <c:pt idx="276">
                  <c:v>0</c:v>
                </c:pt>
                <c:pt idx="277">
                  <c:v>0</c:v>
                </c:pt>
                <c:pt idx="278">
                  <c:v>0.16</c:v>
                </c:pt>
                <c:pt idx="279">
                  <c:v>0.33</c:v>
                </c:pt>
                <c:pt idx="280">
                  <c:v>0.66</c:v>
                </c:pt>
                <c:pt idx="281">
                  <c:v>0.98</c:v>
                </c:pt>
                <c:pt idx="282">
                  <c:v>0.49</c:v>
                </c:pt>
                <c:pt idx="283">
                  <c:v>0</c:v>
                </c:pt>
                <c:pt idx="284">
                  <c:v>0</c:v>
                </c:pt>
                <c:pt idx="285">
                  <c:v>0</c:v>
                </c:pt>
                <c:pt idx="286">
                  <c:v>0.16</c:v>
                </c:pt>
                <c:pt idx="287">
                  <c:v>0.33</c:v>
                </c:pt>
                <c:pt idx="288">
                  <c:v>0.16</c:v>
                </c:pt>
                <c:pt idx="289">
                  <c:v>0</c:v>
                </c:pt>
                <c:pt idx="290">
                  <c:v>1.64</c:v>
                </c:pt>
                <c:pt idx="291">
                  <c:v>3.28</c:v>
                </c:pt>
                <c:pt idx="292">
                  <c:v>1.64</c:v>
                </c:pt>
                <c:pt idx="293">
                  <c:v>0</c:v>
                </c:pt>
                <c:pt idx="294">
                  <c:v>0</c:v>
                </c:pt>
                <c:pt idx="295">
                  <c:v>0</c:v>
                </c:pt>
                <c:pt idx="296">
                  <c:v>0.16</c:v>
                </c:pt>
                <c:pt idx="297">
                  <c:v>0.33</c:v>
                </c:pt>
                <c:pt idx="298">
                  <c:v>0.66</c:v>
                </c:pt>
                <c:pt idx="299">
                  <c:v>0.98</c:v>
                </c:pt>
                <c:pt idx="300">
                  <c:v>0.49</c:v>
                </c:pt>
                <c:pt idx="301">
                  <c:v>0</c:v>
                </c:pt>
                <c:pt idx="302">
                  <c:v>0.33</c:v>
                </c:pt>
                <c:pt idx="303">
                  <c:v>0.66</c:v>
                </c:pt>
                <c:pt idx="304">
                  <c:v>0.33</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0.16</c:v>
                </c:pt>
                <c:pt idx="321">
                  <c:v>0.33</c:v>
                </c:pt>
                <c:pt idx="322">
                  <c:v>0.16</c:v>
                </c:pt>
                <c:pt idx="323">
                  <c:v>0</c:v>
                </c:pt>
                <c:pt idx="324">
                  <c:v>0</c:v>
                </c:pt>
                <c:pt idx="325">
                  <c:v>0</c:v>
                </c:pt>
                <c:pt idx="326">
                  <c:v>0.98</c:v>
                </c:pt>
                <c:pt idx="327">
                  <c:v>1.97</c:v>
                </c:pt>
                <c:pt idx="328">
                  <c:v>0.98</c:v>
                </c:pt>
                <c:pt idx="329">
                  <c:v>0</c:v>
                </c:pt>
                <c:pt idx="330">
                  <c:v>0</c:v>
                </c:pt>
                <c:pt idx="331">
                  <c:v>0</c:v>
                </c:pt>
                <c:pt idx="332">
                  <c:v>0.33</c:v>
                </c:pt>
                <c:pt idx="333">
                  <c:v>0.66</c:v>
                </c:pt>
                <c:pt idx="334">
                  <c:v>0.49</c:v>
                </c:pt>
                <c:pt idx="335">
                  <c:v>0.33</c:v>
                </c:pt>
                <c:pt idx="336">
                  <c:v>0.16</c:v>
                </c:pt>
                <c:pt idx="337">
                  <c:v>0</c:v>
                </c:pt>
                <c:pt idx="338">
                  <c:v>0.98</c:v>
                </c:pt>
                <c:pt idx="339">
                  <c:v>1.97</c:v>
                </c:pt>
                <c:pt idx="340">
                  <c:v>1.1499999999999999</c:v>
                </c:pt>
                <c:pt idx="341">
                  <c:v>0.33</c:v>
                </c:pt>
                <c:pt idx="342">
                  <c:v>0.82</c:v>
                </c:pt>
                <c:pt idx="343">
                  <c:v>1.31</c:v>
                </c:pt>
                <c:pt idx="344">
                  <c:v>0.66</c:v>
                </c:pt>
                <c:pt idx="345">
                  <c:v>0</c:v>
                </c:pt>
                <c:pt idx="346">
                  <c:v>0</c:v>
                </c:pt>
                <c:pt idx="347">
                  <c:v>0</c:v>
                </c:pt>
                <c:pt idx="348">
                  <c:v>0.66</c:v>
                </c:pt>
                <c:pt idx="349">
                  <c:v>1.31</c:v>
                </c:pt>
                <c:pt idx="350">
                  <c:v>0.82</c:v>
                </c:pt>
                <c:pt idx="351">
                  <c:v>0.33</c:v>
                </c:pt>
                <c:pt idx="352">
                  <c:v>0.16</c:v>
                </c:pt>
                <c:pt idx="353">
                  <c:v>0</c:v>
                </c:pt>
                <c:pt idx="354">
                  <c:v>0</c:v>
                </c:pt>
                <c:pt idx="355">
                  <c:v>0</c:v>
                </c:pt>
                <c:pt idx="356">
                  <c:v>0.16</c:v>
                </c:pt>
                <c:pt idx="357">
                  <c:v>0.33</c:v>
                </c:pt>
                <c:pt idx="358">
                  <c:v>0.98</c:v>
                </c:pt>
                <c:pt idx="359">
                  <c:v>1.64</c:v>
                </c:pt>
                <c:pt idx="360">
                  <c:v>0.82</c:v>
                </c:pt>
                <c:pt idx="361">
                  <c:v>0</c:v>
                </c:pt>
                <c:pt idx="362">
                  <c:v>0.49</c:v>
                </c:pt>
                <c:pt idx="363">
                  <c:v>0.98</c:v>
                </c:pt>
                <c:pt idx="364">
                  <c:v>1.81</c:v>
                </c:pt>
                <c:pt idx="365">
                  <c:v>2.63</c:v>
                </c:pt>
                <c:pt idx="366">
                  <c:v>1.31</c:v>
                </c:pt>
                <c:pt idx="367">
                  <c:v>0</c:v>
                </c:pt>
                <c:pt idx="368">
                  <c:v>0</c:v>
                </c:pt>
                <c:pt idx="369">
                  <c:v>0</c:v>
                </c:pt>
                <c:pt idx="370">
                  <c:v>0.16</c:v>
                </c:pt>
                <c:pt idx="371">
                  <c:v>0.33</c:v>
                </c:pt>
                <c:pt idx="372">
                  <c:v>0.16</c:v>
                </c:pt>
                <c:pt idx="373">
                  <c:v>0</c:v>
                </c:pt>
                <c:pt idx="374">
                  <c:v>0.66</c:v>
                </c:pt>
                <c:pt idx="375">
                  <c:v>1.31</c:v>
                </c:pt>
                <c:pt idx="376">
                  <c:v>1.1499999999999999</c:v>
                </c:pt>
                <c:pt idx="377">
                  <c:v>0.98</c:v>
                </c:pt>
                <c:pt idx="378">
                  <c:v>0.98</c:v>
                </c:pt>
                <c:pt idx="379">
                  <c:v>0.98</c:v>
                </c:pt>
                <c:pt idx="380">
                  <c:v>0.49</c:v>
                </c:pt>
                <c:pt idx="381">
                  <c:v>0</c:v>
                </c:pt>
                <c:pt idx="382">
                  <c:v>0.49</c:v>
                </c:pt>
                <c:pt idx="383">
                  <c:v>0.98</c:v>
                </c:pt>
                <c:pt idx="384">
                  <c:v>0.98</c:v>
                </c:pt>
                <c:pt idx="385">
                  <c:v>0.98</c:v>
                </c:pt>
                <c:pt idx="386">
                  <c:v>0.49</c:v>
                </c:pt>
                <c:pt idx="387">
                  <c:v>0</c:v>
                </c:pt>
                <c:pt idx="388">
                  <c:v>0.98</c:v>
                </c:pt>
                <c:pt idx="389">
                  <c:v>1.97</c:v>
                </c:pt>
                <c:pt idx="390">
                  <c:v>1.81</c:v>
                </c:pt>
                <c:pt idx="391">
                  <c:v>1.64</c:v>
                </c:pt>
                <c:pt idx="392">
                  <c:v>0.82</c:v>
                </c:pt>
                <c:pt idx="393">
                  <c:v>0</c:v>
                </c:pt>
                <c:pt idx="394">
                  <c:v>0</c:v>
                </c:pt>
                <c:pt idx="395">
                  <c:v>0</c:v>
                </c:pt>
                <c:pt idx="396">
                  <c:v>1.81</c:v>
                </c:pt>
                <c:pt idx="397">
                  <c:v>3.61</c:v>
                </c:pt>
                <c:pt idx="398">
                  <c:v>1.97</c:v>
                </c:pt>
                <c:pt idx="399">
                  <c:v>0.33</c:v>
                </c:pt>
                <c:pt idx="400">
                  <c:v>0.16</c:v>
                </c:pt>
                <c:pt idx="401">
                  <c:v>0</c:v>
                </c:pt>
                <c:pt idx="402">
                  <c:v>0</c:v>
                </c:pt>
                <c:pt idx="403">
                  <c:v>0</c:v>
                </c:pt>
                <c:pt idx="404">
                  <c:v>0</c:v>
                </c:pt>
                <c:pt idx="405">
                  <c:v>0</c:v>
                </c:pt>
                <c:pt idx="406">
                  <c:v>1.64</c:v>
                </c:pt>
                <c:pt idx="407">
                  <c:v>3.28</c:v>
                </c:pt>
                <c:pt idx="408">
                  <c:v>1.64</c:v>
                </c:pt>
                <c:pt idx="409">
                  <c:v>0</c:v>
                </c:pt>
                <c:pt idx="410">
                  <c:v>0</c:v>
                </c:pt>
                <c:pt idx="411">
                  <c:v>0</c:v>
                </c:pt>
                <c:pt idx="412">
                  <c:v>0.82</c:v>
                </c:pt>
                <c:pt idx="413">
                  <c:v>1.64</c:v>
                </c:pt>
                <c:pt idx="414">
                  <c:v>0.82</c:v>
                </c:pt>
                <c:pt idx="415">
                  <c:v>0</c:v>
                </c:pt>
                <c:pt idx="416">
                  <c:v>1.81</c:v>
                </c:pt>
                <c:pt idx="417">
                  <c:v>3.61</c:v>
                </c:pt>
                <c:pt idx="418">
                  <c:v>3.78</c:v>
                </c:pt>
                <c:pt idx="419">
                  <c:v>3.94</c:v>
                </c:pt>
                <c:pt idx="420">
                  <c:v>2.13</c:v>
                </c:pt>
                <c:pt idx="421">
                  <c:v>0.33</c:v>
                </c:pt>
                <c:pt idx="422">
                  <c:v>0.16</c:v>
                </c:pt>
                <c:pt idx="423">
                  <c:v>0</c:v>
                </c:pt>
                <c:pt idx="424">
                  <c:v>0</c:v>
                </c:pt>
                <c:pt idx="425">
                  <c:v>0</c:v>
                </c:pt>
                <c:pt idx="426">
                  <c:v>1.1499999999999999</c:v>
                </c:pt>
                <c:pt idx="427">
                  <c:v>2.2999999999999998</c:v>
                </c:pt>
                <c:pt idx="428">
                  <c:v>1.64</c:v>
                </c:pt>
                <c:pt idx="429">
                  <c:v>0.98</c:v>
                </c:pt>
                <c:pt idx="430">
                  <c:v>0.49</c:v>
                </c:pt>
                <c:pt idx="431">
                  <c:v>0</c:v>
                </c:pt>
                <c:pt idx="432">
                  <c:v>0.16</c:v>
                </c:pt>
                <c:pt idx="433">
                  <c:v>0.33</c:v>
                </c:pt>
                <c:pt idx="434">
                  <c:v>0.33</c:v>
                </c:pt>
                <c:pt idx="435">
                  <c:v>0.33</c:v>
                </c:pt>
                <c:pt idx="436">
                  <c:v>0.49</c:v>
                </c:pt>
                <c:pt idx="437">
                  <c:v>0.66</c:v>
                </c:pt>
                <c:pt idx="438">
                  <c:v>0.98</c:v>
                </c:pt>
                <c:pt idx="439">
                  <c:v>1.31</c:v>
                </c:pt>
                <c:pt idx="440">
                  <c:v>1.1499999999999999</c:v>
                </c:pt>
                <c:pt idx="441">
                  <c:v>0.98</c:v>
                </c:pt>
                <c:pt idx="442">
                  <c:v>0.49</c:v>
                </c:pt>
                <c:pt idx="443">
                  <c:v>0</c:v>
                </c:pt>
                <c:pt idx="444">
                  <c:v>0</c:v>
                </c:pt>
                <c:pt idx="445">
                  <c:v>0</c:v>
                </c:pt>
                <c:pt idx="446">
                  <c:v>0</c:v>
                </c:pt>
                <c:pt idx="447">
                  <c:v>0</c:v>
                </c:pt>
                <c:pt idx="448">
                  <c:v>0</c:v>
                </c:pt>
                <c:pt idx="449">
                  <c:v>0</c:v>
                </c:pt>
                <c:pt idx="450">
                  <c:v>0</c:v>
                </c:pt>
                <c:pt idx="451">
                  <c:v>0</c:v>
                </c:pt>
                <c:pt idx="452">
                  <c:v>0.16</c:v>
                </c:pt>
                <c:pt idx="453">
                  <c:v>0.33</c:v>
                </c:pt>
                <c:pt idx="454">
                  <c:v>0.66</c:v>
                </c:pt>
                <c:pt idx="455">
                  <c:v>0.98</c:v>
                </c:pt>
                <c:pt idx="456">
                  <c:v>0.49</c:v>
                </c:pt>
                <c:pt idx="457">
                  <c:v>0</c:v>
                </c:pt>
                <c:pt idx="458">
                  <c:v>0.66</c:v>
                </c:pt>
                <c:pt idx="459">
                  <c:v>1.31</c:v>
                </c:pt>
                <c:pt idx="460">
                  <c:v>0.66</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0.49</c:v>
                </c:pt>
                <c:pt idx="475">
                  <c:v>0.98</c:v>
                </c:pt>
                <c:pt idx="476">
                  <c:v>0.49</c:v>
                </c:pt>
                <c:pt idx="477">
                  <c:v>0</c:v>
                </c:pt>
                <c:pt idx="478">
                  <c:v>0.16</c:v>
                </c:pt>
                <c:pt idx="479">
                  <c:v>0.33</c:v>
                </c:pt>
                <c:pt idx="480">
                  <c:v>0.16</c:v>
                </c:pt>
                <c:pt idx="481">
                  <c:v>0</c:v>
                </c:pt>
                <c:pt idx="482">
                  <c:v>0</c:v>
                </c:pt>
                <c:pt idx="483">
                  <c:v>0</c:v>
                </c:pt>
                <c:pt idx="484">
                  <c:v>0</c:v>
                </c:pt>
                <c:pt idx="485">
                  <c:v>0</c:v>
                </c:pt>
                <c:pt idx="486">
                  <c:v>0.66</c:v>
                </c:pt>
                <c:pt idx="487">
                  <c:v>1.31</c:v>
                </c:pt>
                <c:pt idx="488">
                  <c:v>0.66</c:v>
                </c:pt>
                <c:pt idx="489">
                  <c:v>0</c:v>
                </c:pt>
                <c:pt idx="490">
                  <c:v>0.49</c:v>
                </c:pt>
                <c:pt idx="491">
                  <c:v>0.98</c:v>
                </c:pt>
                <c:pt idx="492">
                  <c:v>0.98</c:v>
                </c:pt>
                <c:pt idx="493">
                  <c:v>0.98</c:v>
                </c:pt>
                <c:pt idx="494">
                  <c:v>0.49</c:v>
                </c:pt>
                <c:pt idx="495">
                  <c:v>0</c:v>
                </c:pt>
                <c:pt idx="496">
                  <c:v>0.33</c:v>
                </c:pt>
                <c:pt idx="497">
                  <c:v>0.66</c:v>
                </c:pt>
                <c:pt idx="498">
                  <c:v>0.33</c:v>
                </c:pt>
                <c:pt idx="499">
                  <c:v>0</c:v>
                </c:pt>
                <c:pt idx="500">
                  <c:v>0</c:v>
                </c:pt>
                <c:pt idx="501">
                  <c:v>0</c:v>
                </c:pt>
                <c:pt idx="502">
                  <c:v>0.49</c:v>
                </c:pt>
                <c:pt idx="503">
                  <c:v>0.98</c:v>
                </c:pt>
                <c:pt idx="504">
                  <c:v>0.49</c:v>
                </c:pt>
                <c:pt idx="505">
                  <c:v>0</c:v>
                </c:pt>
                <c:pt idx="506">
                  <c:v>0.66</c:v>
                </c:pt>
                <c:pt idx="507">
                  <c:v>1.31</c:v>
                </c:pt>
                <c:pt idx="508">
                  <c:v>0.66</c:v>
                </c:pt>
                <c:pt idx="509">
                  <c:v>0</c:v>
                </c:pt>
                <c:pt idx="510">
                  <c:v>0.16</c:v>
                </c:pt>
                <c:pt idx="511">
                  <c:v>0.33</c:v>
                </c:pt>
                <c:pt idx="512">
                  <c:v>0.82</c:v>
                </c:pt>
                <c:pt idx="513">
                  <c:v>1.31</c:v>
                </c:pt>
                <c:pt idx="514">
                  <c:v>2.46</c:v>
                </c:pt>
                <c:pt idx="515">
                  <c:v>3.61</c:v>
                </c:pt>
                <c:pt idx="516">
                  <c:v>2.95</c:v>
                </c:pt>
                <c:pt idx="517">
                  <c:v>2.2999999999999998</c:v>
                </c:pt>
                <c:pt idx="518">
                  <c:v>2.79</c:v>
                </c:pt>
                <c:pt idx="519">
                  <c:v>3.28</c:v>
                </c:pt>
                <c:pt idx="520">
                  <c:v>1.64</c:v>
                </c:pt>
                <c:pt idx="521">
                  <c:v>0</c:v>
                </c:pt>
                <c:pt idx="522">
                  <c:v>0</c:v>
                </c:pt>
                <c:pt idx="523">
                  <c:v>0</c:v>
                </c:pt>
                <c:pt idx="524">
                  <c:v>0</c:v>
                </c:pt>
                <c:pt idx="525">
                  <c:v>0</c:v>
                </c:pt>
                <c:pt idx="526">
                  <c:v>0</c:v>
                </c:pt>
                <c:pt idx="527">
                  <c:v>0</c:v>
                </c:pt>
                <c:pt idx="528">
                  <c:v>0</c:v>
                </c:pt>
                <c:pt idx="529">
                  <c:v>0</c:v>
                </c:pt>
                <c:pt idx="530">
                  <c:v>0</c:v>
                </c:pt>
                <c:pt idx="531">
                  <c:v>0</c:v>
                </c:pt>
                <c:pt idx="532">
                  <c:v>0.98</c:v>
                </c:pt>
                <c:pt idx="533">
                  <c:v>1.97</c:v>
                </c:pt>
                <c:pt idx="534">
                  <c:v>1.97</c:v>
                </c:pt>
                <c:pt idx="535">
                  <c:v>1.97</c:v>
                </c:pt>
                <c:pt idx="536">
                  <c:v>1.64</c:v>
                </c:pt>
                <c:pt idx="537">
                  <c:v>1.31</c:v>
                </c:pt>
                <c:pt idx="538">
                  <c:v>2.13</c:v>
                </c:pt>
                <c:pt idx="539">
                  <c:v>2.95</c:v>
                </c:pt>
                <c:pt idx="540">
                  <c:v>1.48</c:v>
                </c:pt>
                <c:pt idx="541">
                  <c:v>0</c:v>
                </c:pt>
                <c:pt idx="542">
                  <c:v>0.98</c:v>
                </c:pt>
                <c:pt idx="543">
                  <c:v>1.97</c:v>
                </c:pt>
                <c:pt idx="544">
                  <c:v>0.98</c:v>
                </c:pt>
                <c:pt idx="545">
                  <c:v>0</c:v>
                </c:pt>
                <c:pt idx="546">
                  <c:v>0</c:v>
                </c:pt>
                <c:pt idx="547">
                  <c:v>0</c:v>
                </c:pt>
                <c:pt idx="548">
                  <c:v>0.82</c:v>
                </c:pt>
                <c:pt idx="549">
                  <c:v>1.64</c:v>
                </c:pt>
                <c:pt idx="550">
                  <c:v>2.2999999999999998</c:v>
                </c:pt>
                <c:pt idx="551">
                  <c:v>2.95</c:v>
                </c:pt>
                <c:pt idx="552">
                  <c:v>1.48</c:v>
                </c:pt>
                <c:pt idx="553">
                  <c:v>0</c:v>
                </c:pt>
                <c:pt idx="554">
                  <c:v>2.2999999999999998</c:v>
                </c:pt>
                <c:pt idx="555">
                  <c:v>4.5999999999999996</c:v>
                </c:pt>
                <c:pt idx="556">
                  <c:v>2.2999999999999998</c:v>
                </c:pt>
                <c:pt idx="557">
                  <c:v>0</c:v>
                </c:pt>
                <c:pt idx="558">
                  <c:v>0.16</c:v>
                </c:pt>
                <c:pt idx="559">
                  <c:v>0.33</c:v>
                </c:pt>
                <c:pt idx="560">
                  <c:v>1.97</c:v>
                </c:pt>
                <c:pt idx="561">
                  <c:v>3.61</c:v>
                </c:pt>
                <c:pt idx="562">
                  <c:v>1.81</c:v>
                </c:pt>
                <c:pt idx="563">
                  <c:v>0</c:v>
                </c:pt>
                <c:pt idx="564">
                  <c:v>0.98</c:v>
                </c:pt>
                <c:pt idx="565">
                  <c:v>1.97</c:v>
                </c:pt>
                <c:pt idx="566">
                  <c:v>1.1499999999999999</c:v>
                </c:pt>
                <c:pt idx="567">
                  <c:v>0.33</c:v>
                </c:pt>
                <c:pt idx="568">
                  <c:v>0.66</c:v>
                </c:pt>
                <c:pt idx="569">
                  <c:v>0.98</c:v>
                </c:pt>
                <c:pt idx="570">
                  <c:v>0.66</c:v>
                </c:pt>
                <c:pt idx="571">
                  <c:v>0.33</c:v>
                </c:pt>
                <c:pt idx="572">
                  <c:v>0.16</c:v>
                </c:pt>
                <c:pt idx="573">
                  <c:v>0</c:v>
                </c:pt>
                <c:pt idx="574">
                  <c:v>0.33</c:v>
                </c:pt>
                <c:pt idx="575">
                  <c:v>0.66</c:v>
                </c:pt>
                <c:pt idx="576">
                  <c:v>0.82</c:v>
                </c:pt>
                <c:pt idx="577">
                  <c:v>0.98</c:v>
                </c:pt>
                <c:pt idx="578">
                  <c:v>1.1499999999999999</c:v>
                </c:pt>
                <c:pt idx="579">
                  <c:v>1.31</c:v>
                </c:pt>
                <c:pt idx="580">
                  <c:v>0.98</c:v>
                </c:pt>
                <c:pt idx="581">
                  <c:v>0.66</c:v>
                </c:pt>
                <c:pt idx="582">
                  <c:v>0.33</c:v>
                </c:pt>
                <c:pt idx="583">
                  <c:v>0</c:v>
                </c:pt>
                <c:pt idx="584">
                  <c:v>0.49</c:v>
                </c:pt>
                <c:pt idx="585">
                  <c:v>0.98</c:v>
                </c:pt>
                <c:pt idx="586">
                  <c:v>0.49</c:v>
                </c:pt>
                <c:pt idx="587">
                  <c:v>0</c:v>
                </c:pt>
                <c:pt idx="588">
                  <c:v>0</c:v>
                </c:pt>
                <c:pt idx="589">
                  <c:v>0</c:v>
                </c:pt>
                <c:pt idx="590">
                  <c:v>0</c:v>
                </c:pt>
                <c:pt idx="591">
                  <c:v>0</c:v>
                </c:pt>
                <c:pt idx="592">
                  <c:v>0.33</c:v>
                </c:pt>
                <c:pt idx="593">
                  <c:v>0.66</c:v>
                </c:pt>
                <c:pt idx="594">
                  <c:v>0.33</c:v>
                </c:pt>
                <c:pt idx="595">
                  <c:v>0</c:v>
                </c:pt>
                <c:pt idx="596">
                  <c:v>1.1499999999999999</c:v>
                </c:pt>
                <c:pt idx="597">
                  <c:v>2.2999999999999998</c:v>
                </c:pt>
                <c:pt idx="598">
                  <c:v>1.1499999999999999</c:v>
                </c:pt>
                <c:pt idx="599">
                  <c:v>0</c:v>
                </c:pt>
                <c:pt idx="600">
                  <c:v>0.98</c:v>
                </c:pt>
                <c:pt idx="601">
                  <c:v>1.97</c:v>
                </c:pt>
                <c:pt idx="602">
                  <c:v>0.98</c:v>
                </c:pt>
                <c:pt idx="603">
                  <c:v>0</c:v>
                </c:pt>
                <c:pt idx="604">
                  <c:v>0.49</c:v>
                </c:pt>
                <c:pt idx="605">
                  <c:v>0.98</c:v>
                </c:pt>
                <c:pt idx="606">
                  <c:v>1.1499999999999999</c:v>
                </c:pt>
                <c:pt idx="607">
                  <c:v>1.31</c:v>
                </c:pt>
                <c:pt idx="608">
                  <c:v>0.66</c:v>
                </c:pt>
                <c:pt idx="609">
                  <c:v>0</c:v>
                </c:pt>
                <c:pt idx="610">
                  <c:v>0.16</c:v>
                </c:pt>
                <c:pt idx="611">
                  <c:v>0.33</c:v>
                </c:pt>
                <c:pt idx="612">
                  <c:v>0.16</c:v>
                </c:pt>
                <c:pt idx="613">
                  <c:v>0</c:v>
                </c:pt>
                <c:pt idx="614">
                  <c:v>0.16</c:v>
                </c:pt>
                <c:pt idx="615">
                  <c:v>0.33</c:v>
                </c:pt>
                <c:pt idx="616">
                  <c:v>0.16</c:v>
                </c:pt>
                <c:pt idx="617">
                  <c:v>0</c:v>
                </c:pt>
                <c:pt idx="618">
                  <c:v>0.33</c:v>
                </c:pt>
                <c:pt idx="619">
                  <c:v>0.66</c:v>
                </c:pt>
                <c:pt idx="620">
                  <c:v>0.49</c:v>
                </c:pt>
                <c:pt idx="621">
                  <c:v>0.33</c:v>
                </c:pt>
                <c:pt idx="622">
                  <c:v>0.33</c:v>
                </c:pt>
                <c:pt idx="623">
                  <c:v>0.33</c:v>
                </c:pt>
                <c:pt idx="624">
                  <c:v>0.16</c:v>
                </c:pt>
                <c:pt idx="625">
                  <c:v>0</c:v>
                </c:pt>
                <c:pt idx="626">
                  <c:v>0</c:v>
                </c:pt>
                <c:pt idx="627">
                  <c:v>0</c:v>
                </c:pt>
                <c:pt idx="628">
                  <c:v>0</c:v>
                </c:pt>
                <c:pt idx="629">
                  <c:v>0</c:v>
                </c:pt>
                <c:pt idx="630">
                  <c:v>0</c:v>
                </c:pt>
                <c:pt idx="631">
                  <c:v>0</c:v>
                </c:pt>
                <c:pt idx="632">
                  <c:v>0</c:v>
                </c:pt>
                <c:pt idx="633">
                  <c:v>0</c:v>
                </c:pt>
                <c:pt idx="634">
                  <c:v>0.16</c:v>
                </c:pt>
                <c:pt idx="635">
                  <c:v>0.33</c:v>
                </c:pt>
                <c:pt idx="636">
                  <c:v>0.82</c:v>
                </c:pt>
                <c:pt idx="637">
                  <c:v>1.31</c:v>
                </c:pt>
                <c:pt idx="638">
                  <c:v>0.98</c:v>
                </c:pt>
                <c:pt idx="639">
                  <c:v>0.66</c:v>
                </c:pt>
                <c:pt idx="640">
                  <c:v>0.33</c:v>
                </c:pt>
                <c:pt idx="641">
                  <c:v>0</c:v>
                </c:pt>
                <c:pt idx="642">
                  <c:v>0</c:v>
                </c:pt>
                <c:pt idx="643">
                  <c:v>0</c:v>
                </c:pt>
                <c:pt idx="644">
                  <c:v>0</c:v>
                </c:pt>
                <c:pt idx="645">
                  <c:v>0</c:v>
                </c:pt>
                <c:pt idx="646">
                  <c:v>0</c:v>
                </c:pt>
                <c:pt idx="647">
                  <c:v>0</c:v>
                </c:pt>
                <c:pt idx="648">
                  <c:v>0.33</c:v>
                </c:pt>
                <c:pt idx="649">
                  <c:v>0.66</c:v>
                </c:pt>
                <c:pt idx="650">
                  <c:v>0.66</c:v>
                </c:pt>
                <c:pt idx="651">
                  <c:v>0.66</c:v>
                </c:pt>
                <c:pt idx="652">
                  <c:v>1.1499999999999999</c:v>
                </c:pt>
                <c:pt idx="653">
                  <c:v>1.64</c:v>
                </c:pt>
                <c:pt idx="654">
                  <c:v>1.1499999999999999</c:v>
                </c:pt>
                <c:pt idx="655">
                  <c:v>0.66</c:v>
                </c:pt>
                <c:pt idx="656">
                  <c:v>0.49</c:v>
                </c:pt>
                <c:pt idx="657">
                  <c:v>0.33</c:v>
                </c:pt>
                <c:pt idx="658">
                  <c:v>0.16</c:v>
                </c:pt>
                <c:pt idx="659">
                  <c:v>0</c:v>
                </c:pt>
                <c:pt idx="660">
                  <c:v>0</c:v>
                </c:pt>
                <c:pt idx="661">
                  <c:v>0</c:v>
                </c:pt>
                <c:pt idx="662">
                  <c:v>0.66</c:v>
                </c:pt>
                <c:pt idx="663">
                  <c:v>1.31</c:v>
                </c:pt>
                <c:pt idx="664">
                  <c:v>0.66</c:v>
                </c:pt>
                <c:pt idx="665">
                  <c:v>0</c:v>
                </c:pt>
                <c:pt idx="666">
                  <c:v>0.49</c:v>
                </c:pt>
                <c:pt idx="667">
                  <c:v>0.98</c:v>
                </c:pt>
                <c:pt idx="668">
                  <c:v>0.66</c:v>
                </c:pt>
                <c:pt idx="669">
                  <c:v>0.33</c:v>
                </c:pt>
                <c:pt idx="670">
                  <c:v>0.16</c:v>
                </c:pt>
                <c:pt idx="671">
                  <c:v>0</c:v>
                </c:pt>
                <c:pt idx="672">
                  <c:v>0</c:v>
                </c:pt>
                <c:pt idx="673">
                  <c:v>0</c:v>
                </c:pt>
                <c:pt idx="674">
                  <c:v>0</c:v>
                </c:pt>
                <c:pt idx="675">
                  <c:v>0</c:v>
                </c:pt>
                <c:pt idx="676">
                  <c:v>0</c:v>
                </c:pt>
                <c:pt idx="677">
                  <c:v>0</c:v>
                </c:pt>
                <c:pt idx="678">
                  <c:v>0.33</c:v>
                </c:pt>
                <c:pt idx="679">
                  <c:v>0.66</c:v>
                </c:pt>
                <c:pt idx="680">
                  <c:v>0.49</c:v>
                </c:pt>
                <c:pt idx="681">
                  <c:v>0.33</c:v>
                </c:pt>
                <c:pt idx="682">
                  <c:v>0.66</c:v>
                </c:pt>
                <c:pt idx="683">
                  <c:v>0.98</c:v>
                </c:pt>
                <c:pt idx="684">
                  <c:v>0.49</c:v>
                </c:pt>
                <c:pt idx="685">
                  <c:v>0</c:v>
                </c:pt>
                <c:pt idx="686">
                  <c:v>0</c:v>
                </c:pt>
                <c:pt idx="687">
                  <c:v>0</c:v>
                </c:pt>
                <c:pt idx="688">
                  <c:v>0</c:v>
                </c:pt>
                <c:pt idx="689">
                  <c:v>0</c:v>
                </c:pt>
                <c:pt idx="690">
                  <c:v>0</c:v>
                </c:pt>
                <c:pt idx="691">
                  <c:v>0</c:v>
                </c:pt>
                <c:pt idx="692">
                  <c:v>0.16</c:v>
                </c:pt>
                <c:pt idx="693">
                  <c:v>0.33</c:v>
                </c:pt>
                <c:pt idx="694">
                  <c:v>0.33</c:v>
                </c:pt>
                <c:pt idx="695">
                  <c:v>0.33</c:v>
                </c:pt>
                <c:pt idx="696">
                  <c:v>1.97</c:v>
                </c:pt>
                <c:pt idx="697">
                  <c:v>3.61</c:v>
                </c:pt>
                <c:pt idx="698">
                  <c:v>3.28</c:v>
                </c:pt>
                <c:pt idx="699">
                  <c:v>2.95</c:v>
                </c:pt>
                <c:pt idx="700">
                  <c:v>2.2999999999999998</c:v>
                </c:pt>
                <c:pt idx="701">
                  <c:v>1.64</c:v>
                </c:pt>
                <c:pt idx="702">
                  <c:v>1.1499999999999999</c:v>
                </c:pt>
                <c:pt idx="703">
                  <c:v>0.66</c:v>
                </c:pt>
                <c:pt idx="704">
                  <c:v>0.33</c:v>
                </c:pt>
                <c:pt idx="705">
                  <c:v>0</c:v>
                </c:pt>
                <c:pt idx="706">
                  <c:v>0</c:v>
                </c:pt>
                <c:pt idx="707">
                  <c:v>0</c:v>
                </c:pt>
                <c:pt idx="708">
                  <c:v>0.49</c:v>
                </c:pt>
                <c:pt idx="709">
                  <c:v>0.98</c:v>
                </c:pt>
                <c:pt idx="710">
                  <c:v>0.66</c:v>
                </c:pt>
                <c:pt idx="711">
                  <c:v>0.33</c:v>
                </c:pt>
                <c:pt idx="712">
                  <c:v>0.49</c:v>
                </c:pt>
                <c:pt idx="713">
                  <c:v>0.66</c:v>
                </c:pt>
                <c:pt idx="714">
                  <c:v>0.66</c:v>
                </c:pt>
                <c:pt idx="715">
                  <c:v>0.66</c:v>
                </c:pt>
                <c:pt idx="716">
                  <c:v>0.33</c:v>
                </c:pt>
                <c:pt idx="717">
                  <c:v>0</c:v>
                </c:pt>
                <c:pt idx="718">
                  <c:v>0</c:v>
                </c:pt>
                <c:pt idx="719">
                  <c:v>0</c:v>
                </c:pt>
                <c:pt idx="720">
                  <c:v>0.66</c:v>
                </c:pt>
                <c:pt idx="721">
                  <c:v>1.31</c:v>
                </c:pt>
                <c:pt idx="722">
                  <c:v>0.66</c:v>
                </c:pt>
                <c:pt idx="723">
                  <c:v>0</c:v>
                </c:pt>
                <c:pt idx="724">
                  <c:v>0</c:v>
                </c:pt>
                <c:pt idx="725">
                  <c:v>0</c:v>
                </c:pt>
                <c:pt idx="726">
                  <c:v>0</c:v>
                </c:pt>
                <c:pt idx="727">
                  <c:v>0</c:v>
                </c:pt>
                <c:pt idx="728">
                  <c:v>0</c:v>
                </c:pt>
                <c:pt idx="729">
                  <c:v>0</c:v>
                </c:pt>
                <c:pt idx="730">
                  <c:v>1.1499999999999999</c:v>
                </c:pt>
                <c:pt idx="731">
                  <c:v>2.2999999999999998</c:v>
                </c:pt>
                <c:pt idx="732">
                  <c:v>1.1499999999999999</c:v>
                </c:pt>
                <c:pt idx="733">
                  <c:v>0</c:v>
                </c:pt>
                <c:pt idx="734">
                  <c:v>0.16</c:v>
                </c:pt>
                <c:pt idx="735">
                  <c:v>0.33</c:v>
                </c:pt>
                <c:pt idx="736">
                  <c:v>0.16</c:v>
                </c:pt>
                <c:pt idx="737">
                  <c:v>0</c:v>
                </c:pt>
                <c:pt idx="738">
                  <c:v>0</c:v>
                </c:pt>
                <c:pt idx="739">
                  <c:v>0</c:v>
                </c:pt>
                <c:pt idx="740">
                  <c:v>0</c:v>
                </c:pt>
                <c:pt idx="741">
                  <c:v>0</c:v>
                </c:pt>
                <c:pt idx="742">
                  <c:v>0.16</c:v>
                </c:pt>
                <c:pt idx="743">
                  <c:v>0.33</c:v>
                </c:pt>
                <c:pt idx="744">
                  <c:v>0.16</c:v>
                </c:pt>
                <c:pt idx="745">
                  <c:v>0</c:v>
                </c:pt>
                <c:pt idx="746">
                  <c:v>0.16</c:v>
                </c:pt>
                <c:pt idx="747">
                  <c:v>0.33</c:v>
                </c:pt>
                <c:pt idx="748">
                  <c:v>0.98</c:v>
                </c:pt>
                <c:pt idx="749">
                  <c:v>1.64</c:v>
                </c:pt>
                <c:pt idx="750">
                  <c:v>0.82</c:v>
                </c:pt>
                <c:pt idx="751">
                  <c:v>0</c:v>
                </c:pt>
                <c:pt idx="752">
                  <c:v>1.1499999999999999</c:v>
                </c:pt>
                <c:pt idx="753">
                  <c:v>2.2999999999999998</c:v>
                </c:pt>
                <c:pt idx="754">
                  <c:v>4.0999999999999996</c:v>
                </c:pt>
                <c:pt idx="755">
                  <c:v>5.91</c:v>
                </c:pt>
                <c:pt idx="756">
                  <c:v>2.95</c:v>
                </c:pt>
                <c:pt idx="757">
                  <c:v>0</c:v>
                </c:pt>
                <c:pt idx="758">
                  <c:v>1.64</c:v>
                </c:pt>
                <c:pt idx="759">
                  <c:v>3.28</c:v>
                </c:pt>
                <c:pt idx="760">
                  <c:v>3.45</c:v>
                </c:pt>
                <c:pt idx="761">
                  <c:v>3.61</c:v>
                </c:pt>
                <c:pt idx="762">
                  <c:v>1.81</c:v>
                </c:pt>
                <c:pt idx="763">
                  <c:v>0</c:v>
                </c:pt>
                <c:pt idx="764">
                  <c:v>0</c:v>
                </c:pt>
                <c:pt idx="765">
                  <c:v>0</c:v>
                </c:pt>
                <c:pt idx="766">
                  <c:v>0.33</c:v>
                </c:pt>
                <c:pt idx="767">
                  <c:v>0.66</c:v>
                </c:pt>
                <c:pt idx="768">
                  <c:v>0.33</c:v>
                </c:pt>
                <c:pt idx="769">
                  <c:v>0</c:v>
                </c:pt>
                <c:pt idx="770">
                  <c:v>0.82</c:v>
                </c:pt>
                <c:pt idx="771">
                  <c:v>1.64</c:v>
                </c:pt>
                <c:pt idx="772">
                  <c:v>2.13</c:v>
                </c:pt>
                <c:pt idx="773">
                  <c:v>2.63</c:v>
                </c:pt>
                <c:pt idx="774">
                  <c:v>1.64</c:v>
                </c:pt>
                <c:pt idx="775">
                  <c:v>0.66</c:v>
                </c:pt>
                <c:pt idx="776">
                  <c:v>0.33</c:v>
                </c:pt>
                <c:pt idx="777">
                  <c:v>0</c:v>
                </c:pt>
                <c:pt idx="778">
                  <c:v>1.31</c:v>
                </c:pt>
                <c:pt idx="779">
                  <c:v>2.63</c:v>
                </c:pt>
                <c:pt idx="780">
                  <c:v>1.31</c:v>
                </c:pt>
                <c:pt idx="781">
                  <c:v>0</c:v>
                </c:pt>
                <c:pt idx="782">
                  <c:v>0</c:v>
                </c:pt>
                <c:pt idx="783">
                  <c:v>0</c:v>
                </c:pt>
                <c:pt idx="784">
                  <c:v>0.16</c:v>
                </c:pt>
                <c:pt idx="785">
                  <c:v>0.33</c:v>
                </c:pt>
                <c:pt idx="786">
                  <c:v>0.16</c:v>
                </c:pt>
                <c:pt idx="787">
                  <c:v>0</c:v>
                </c:pt>
                <c:pt idx="788">
                  <c:v>0.49</c:v>
                </c:pt>
                <c:pt idx="789">
                  <c:v>0.98</c:v>
                </c:pt>
                <c:pt idx="790">
                  <c:v>0.49</c:v>
                </c:pt>
                <c:pt idx="791">
                  <c:v>0</c:v>
                </c:pt>
                <c:pt idx="792">
                  <c:v>0.33</c:v>
                </c:pt>
                <c:pt idx="793">
                  <c:v>0.66</c:v>
                </c:pt>
                <c:pt idx="794">
                  <c:v>0.49</c:v>
                </c:pt>
                <c:pt idx="795">
                  <c:v>0.33</c:v>
                </c:pt>
                <c:pt idx="796">
                  <c:v>0.66</c:v>
                </c:pt>
                <c:pt idx="797">
                  <c:v>0.98</c:v>
                </c:pt>
                <c:pt idx="798">
                  <c:v>0.82</c:v>
                </c:pt>
                <c:pt idx="799">
                  <c:v>0.66</c:v>
                </c:pt>
                <c:pt idx="800">
                  <c:v>0.49</c:v>
                </c:pt>
                <c:pt idx="801">
                  <c:v>0.33</c:v>
                </c:pt>
                <c:pt idx="802">
                  <c:v>0.16</c:v>
                </c:pt>
                <c:pt idx="803">
                  <c:v>0</c:v>
                </c:pt>
                <c:pt idx="804">
                  <c:v>0</c:v>
                </c:pt>
                <c:pt idx="805">
                  <c:v>0</c:v>
                </c:pt>
                <c:pt idx="806">
                  <c:v>0</c:v>
                </c:pt>
                <c:pt idx="807">
                  <c:v>0</c:v>
                </c:pt>
                <c:pt idx="808">
                  <c:v>0.82</c:v>
                </c:pt>
                <c:pt idx="809">
                  <c:v>1.64</c:v>
                </c:pt>
                <c:pt idx="810">
                  <c:v>0.82</c:v>
                </c:pt>
                <c:pt idx="811">
                  <c:v>0</c:v>
                </c:pt>
                <c:pt idx="812">
                  <c:v>0.16</c:v>
                </c:pt>
                <c:pt idx="813">
                  <c:v>0.33</c:v>
                </c:pt>
                <c:pt idx="814">
                  <c:v>0.66</c:v>
                </c:pt>
                <c:pt idx="815">
                  <c:v>0.98</c:v>
                </c:pt>
                <c:pt idx="816">
                  <c:v>1.1499999999999999</c:v>
                </c:pt>
                <c:pt idx="817">
                  <c:v>1.31</c:v>
                </c:pt>
                <c:pt idx="818">
                  <c:v>0.66</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0.49</c:v>
                </c:pt>
                <c:pt idx="835">
                  <c:v>0.98</c:v>
                </c:pt>
                <c:pt idx="836">
                  <c:v>0.66</c:v>
                </c:pt>
                <c:pt idx="837">
                  <c:v>0.33</c:v>
                </c:pt>
                <c:pt idx="838">
                  <c:v>0.66</c:v>
                </c:pt>
                <c:pt idx="839">
                  <c:v>0.98</c:v>
                </c:pt>
                <c:pt idx="840">
                  <c:v>0.49</c:v>
                </c:pt>
                <c:pt idx="841">
                  <c:v>0</c:v>
                </c:pt>
                <c:pt idx="842">
                  <c:v>0.16</c:v>
                </c:pt>
                <c:pt idx="843">
                  <c:v>0.33</c:v>
                </c:pt>
                <c:pt idx="844">
                  <c:v>1.1499999999999999</c:v>
                </c:pt>
                <c:pt idx="845">
                  <c:v>1.97</c:v>
                </c:pt>
                <c:pt idx="846">
                  <c:v>0.98</c:v>
                </c:pt>
                <c:pt idx="847">
                  <c:v>0</c:v>
                </c:pt>
                <c:pt idx="848">
                  <c:v>0</c:v>
                </c:pt>
                <c:pt idx="849">
                  <c:v>0</c:v>
                </c:pt>
                <c:pt idx="850">
                  <c:v>0.16</c:v>
                </c:pt>
                <c:pt idx="851">
                  <c:v>0.33</c:v>
                </c:pt>
                <c:pt idx="852">
                  <c:v>0.82</c:v>
                </c:pt>
                <c:pt idx="853">
                  <c:v>1.31</c:v>
                </c:pt>
                <c:pt idx="854">
                  <c:v>1.1499999999999999</c:v>
                </c:pt>
                <c:pt idx="855">
                  <c:v>0.98</c:v>
                </c:pt>
                <c:pt idx="856">
                  <c:v>0.49</c:v>
                </c:pt>
                <c:pt idx="857">
                  <c:v>0</c:v>
                </c:pt>
                <c:pt idx="858">
                  <c:v>0</c:v>
                </c:pt>
                <c:pt idx="859">
                  <c:v>0</c:v>
                </c:pt>
                <c:pt idx="860">
                  <c:v>0.16</c:v>
                </c:pt>
                <c:pt idx="861">
                  <c:v>0.33</c:v>
                </c:pt>
                <c:pt idx="862">
                  <c:v>0.16</c:v>
                </c:pt>
                <c:pt idx="863">
                  <c:v>0</c:v>
                </c:pt>
                <c:pt idx="864">
                  <c:v>0.49</c:v>
                </c:pt>
                <c:pt idx="865">
                  <c:v>0.98</c:v>
                </c:pt>
                <c:pt idx="866">
                  <c:v>0.49</c:v>
                </c:pt>
                <c:pt idx="867">
                  <c:v>0</c:v>
                </c:pt>
                <c:pt idx="868">
                  <c:v>0.49</c:v>
                </c:pt>
                <c:pt idx="869">
                  <c:v>0.98</c:v>
                </c:pt>
                <c:pt idx="870">
                  <c:v>0.49</c:v>
                </c:pt>
                <c:pt idx="871">
                  <c:v>0</c:v>
                </c:pt>
                <c:pt idx="872">
                  <c:v>0</c:v>
                </c:pt>
                <c:pt idx="873">
                  <c:v>0</c:v>
                </c:pt>
                <c:pt idx="874">
                  <c:v>0</c:v>
                </c:pt>
                <c:pt idx="875">
                  <c:v>0</c:v>
                </c:pt>
                <c:pt idx="876">
                  <c:v>0</c:v>
                </c:pt>
                <c:pt idx="877">
                  <c:v>0</c:v>
                </c:pt>
                <c:pt idx="878">
                  <c:v>0</c:v>
                </c:pt>
                <c:pt idx="879">
                  <c:v>0</c:v>
                </c:pt>
                <c:pt idx="880">
                  <c:v>1.1499999999999999</c:v>
                </c:pt>
                <c:pt idx="881">
                  <c:v>2.2999999999999998</c:v>
                </c:pt>
                <c:pt idx="882">
                  <c:v>1.81</c:v>
                </c:pt>
                <c:pt idx="883">
                  <c:v>1.31</c:v>
                </c:pt>
                <c:pt idx="884">
                  <c:v>2.13</c:v>
                </c:pt>
                <c:pt idx="885">
                  <c:v>2.95</c:v>
                </c:pt>
                <c:pt idx="886">
                  <c:v>1.48</c:v>
                </c:pt>
                <c:pt idx="887">
                  <c:v>0</c:v>
                </c:pt>
                <c:pt idx="888">
                  <c:v>0.66</c:v>
                </c:pt>
                <c:pt idx="889">
                  <c:v>1.31</c:v>
                </c:pt>
                <c:pt idx="890">
                  <c:v>0.66</c:v>
                </c:pt>
                <c:pt idx="891">
                  <c:v>0</c:v>
                </c:pt>
                <c:pt idx="892">
                  <c:v>0</c:v>
                </c:pt>
                <c:pt idx="893">
                  <c:v>0</c:v>
                </c:pt>
                <c:pt idx="894">
                  <c:v>0</c:v>
                </c:pt>
                <c:pt idx="895">
                  <c:v>0</c:v>
                </c:pt>
                <c:pt idx="896">
                  <c:v>0.66</c:v>
                </c:pt>
                <c:pt idx="897">
                  <c:v>1.31</c:v>
                </c:pt>
                <c:pt idx="898">
                  <c:v>1.1499999999999999</c:v>
                </c:pt>
                <c:pt idx="899">
                  <c:v>0.98</c:v>
                </c:pt>
                <c:pt idx="900">
                  <c:v>0.49</c:v>
                </c:pt>
                <c:pt idx="901">
                  <c:v>0</c:v>
                </c:pt>
                <c:pt idx="902">
                  <c:v>0</c:v>
                </c:pt>
                <c:pt idx="903">
                  <c:v>0</c:v>
                </c:pt>
                <c:pt idx="904">
                  <c:v>0</c:v>
                </c:pt>
                <c:pt idx="905">
                  <c:v>0</c:v>
                </c:pt>
                <c:pt idx="906">
                  <c:v>0</c:v>
                </c:pt>
                <c:pt idx="907">
                  <c:v>0</c:v>
                </c:pt>
                <c:pt idx="908">
                  <c:v>1.31</c:v>
                </c:pt>
                <c:pt idx="909">
                  <c:v>2.63</c:v>
                </c:pt>
                <c:pt idx="910">
                  <c:v>1.31</c:v>
                </c:pt>
                <c:pt idx="911">
                  <c:v>0</c:v>
                </c:pt>
                <c:pt idx="912">
                  <c:v>0</c:v>
                </c:pt>
                <c:pt idx="913">
                  <c:v>0</c:v>
                </c:pt>
                <c:pt idx="914">
                  <c:v>0</c:v>
                </c:pt>
                <c:pt idx="915">
                  <c:v>0</c:v>
                </c:pt>
                <c:pt idx="916">
                  <c:v>2.2999999999999998</c:v>
                </c:pt>
                <c:pt idx="917">
                  <c:v>4.5999999999999996</c:v>
                </c:pt>
                <c:pt idx="918">
                  <c:v>4.5999999999999996</c:v>
                </c:pt>
                <c:pt idx="919">
                  <c:v>4.5999999999999996</c:v>
                </c:pt>
                <c:pt idx="920">
                  <c:v>2.46</c:v>
                </c:pt>
                <c:pt idx="921">
                  <c:v>0.33</c:v>
                </c:pt>
                <c:pt idx="922">
                  <c:v>0.16</c:v>
                </c:pt>
                <c:pt idx="923">
                  <c:v>0</c:v>
                </c:pt>
                <c:pt idx="924">
                  <c:v>0.66</c:v>
                </c:pt>
                <c:pt idx="925">
                  <c:v>1.31</c:v>
                </c:pt>
                <c:pt idx="926">
                  <c:v>0.66</c:v>
                </c:pt>
                <c:pt idx="927">
                  <c:v>0</c:v>
                </c:pt>
                <c:pt idx="928">
                  <c:v>0</c:v>
                </c:pt>
                <c:pt idx="929">
                  <c:v>0</c:v>
                </c:pt>
                <c:pt idx="930">
                  <c:v>0.66</c:v>
                </c:pt>
                <c:pt idx="931">
                  <c:v>1.31</c:v>
                </c:pt>
                <c:pt idx="932">
                  <c:v>1.97</c:v>
                </c:pt>
                <c:pt idx="933">
                  <c:v>2.63</c:v>
                </c:pt>
                <c:pt idx="934">
                  <c:v>1.31</c:v>
                </c:pt>
                <c:pt idx="935">
                  <c:v>0</c:v>
                </c:pt>
                <c:pt idx="936">
                  <c:v>0</c:v>
                </c:pt>
                <c:pt idx="937">
                  <c:v>0</c:v>
                </c:pt>
                <c:pt idx="938">
                  <c:v>0</c:v>
                </c:pt>
                <c:pt idx="939">
                  <c:v>0</c:v>
                </c:pt>
                <c:pt idx="940">
                  <c:v>0</c:v>
                </c:pt>
                <c:pt idx="941">
                  <c:v>0</c:v>
                </c:pt>
                <c:pt idx="942">
                  <c:v>0</c:v>
                </c:pt>
                <c:pt idx="943">
                  <c:v>0</c:v>
                </c:pt>
                <c:pt idx="944">
                  <c:v>0</c:v>
                </c:pt>
                <c:pt idx="945">
                  <c:v>0</c:v>
                </c:pt>
                <c:pt idx="946">
                  <c:v>1.48</c:v>
                </c:pt>
                <c:pt idx="947">
                  <c:v>2.95</c:v>
                </c:pt>
                <c:pt idx="948">
                  <c:v>1.97</c:v>
                </c:pt>
                <c:pt idx="949">
                  <c:v>0.98</c:v>
                </c:pt>
                <c:pt idx="950">
                  <c:v>1.48</c:v>
                </c:pt>
                <c:pt idx="951">
                  <c:v>1.97</c:v>
                </c:pt>
                <c:pt idx="952">
                  <c:v>0.98</c:v>
                </c:pt>
                <c:pt idx="953">
                  <c:v>0</c:v>
                </c:pt>
                <c:pt idx="954">
                  <c:v>0</c:v>
                </c:pt>
                <c:pt idx="955">
                  <c:v>0</c:v>
                </c:pt>
                <c:pt idx="956">
                  <c:v>1.1499999999999999</c:v>
                </c:pt>
                <c:pt idx="957">
                  <c:v>2.2999999999999998</c:v>
                </c:pt>
                <c:pt idx="958">
                  <c:v>1.97</c:v>
                </c:pt>
                <c:pt idx="959">
                  <c:v>1.64</c:v>
                </c:pt>
                <c:pt idx="960">
                  <c:v>2.13</c:v>
                </c:pt>
                <c:pt idx="961">
                  <c:v>2.63</c:v>
                </c:pt>
                <c:pt idx="962">
                  <c:v>1.64</c:v>
                </c:pt>
                <c:pt idx="963">
                  <c:v>0.66</c:v>
                </c:pt>
                <c:pt idx="964">
                  <c:v>0.49</c:v>
                </c:pt>
                <c:pt idx="965">
                  <c:v>0.33</c:v>
                </c:pt>
                <c:pt idx="966">
                  <c:v>0.16</c:v>
                </c:pt>
                <c:pt idx="967">
                  <c:v>0</c:v>
                </c:pt>
                <c:pt idx="968">
                  <c:v>0</c:v>
                </c:pt>
                <c:pt idx="969">
                  <c:v>0</c:v>
                </c:pt>
                <c:pt idx="970">
                  <c:v>0</c:v>
                </c:pt>
                <c:pt idx="971">
                  <c:v>0</c:v>
                </c:pt>
                <c:pt idx="972">
                  <c:v>0</c:v>
                </c:pt>
                <c:pt idx="973">
                  <c:v>0</c:v>
                </c:pt>
                <c:pt idx="974">
                  <c:v>0</c:v>
                </c:pt>
                <c:pt idx="975">
                  <c:v>0</c:v>
                </c:pt>
                <c:pt idx="976">
                  <c:v>0.49</c:v>
                </c:pt>
                <c:pt idx="977">
                  <c:v>0.98</c:v>
                </c:pt>
                <c:pt idx="978">
                  <c:v>0.49</c:v>
                </c:pt>
                <c:pt idx="979">
                  <c:v>0</c:v>
                </c:pt>
                <c:pt idx="980">
                  <c:v>0.33</c:v>
                </c:pt>
                <c:pt idx="981">
                  <c:v>0.66</c:v>
                </c:pt>
                <c:pt idx="982">
                  <c:v>0.33</c:v>
                </c:pt>
                <c:pt idx="983">
                  <c:v>0</c:v>
                </c:pt>
                <c:pt idx="984">
                  <c:v>0.82</c:v>
                </c:pt>
                <c:pt idx="985">
                  <c:v>1.64</c:v>
                </c:pt>
                <c:pt idx="986">
                  <c:v>2.2999999999999998</c:v>
                </c:pt>
                <c:pt idx="987">
                  <c:v>2.95</c:v>
                </c:pt>
                <c:pt idx="988">
                  <c:v>2.13</c:v>
                </c:pt>
                <c:pt idx="989">
                  <c:v>1.31</c:v>
                </c:pt>
                <c:pt idx="990">
                  <c:v>0.98</c:v>
                </c:pt>
                <c:pt idx="991">
                  <c:v>0.66</c:v>
                </c:pt>
                <c:pt idx="992">
                  <c:v>0.66</c:v>
                </c:pt>
                <c:pt idx="993">
                  <c:v>0.66</c:v>
                </c:pt>
                <c:pt idx="994">
                  <c:v>0.33</c:v>
                </c:pt>
                <c:pt idx="995">
                  <c:v>0</c:v>
                </c:pt>
                <c:pt idx="996">
                  <c:v>0.82</c:v>
                </c:pt>
                <c:pt idx="997">
                  <c:v>1.64</c:v>
                </c:pt>
                <c:pt idx="998">
                  <c:v>0.82</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0.16</c:v>
                </c:pt>
                <c:pt idx="1015">
                  <c:v>0.33</c:v>
                </c:pt>
                <c:pt idx="1016">
                  <c:v>0.16</c:v>
                </c:pt>
                <c:pt idx="1017">
                  <c:v>0</c:v>
                </c:pt>
                <c:pt idx="1018">
                  <c:v>0</c:v>
                </c:pt>
                <c:pt idx="1019">
                  <c:v>0</c:v>
                </c:pt>
                <c:pt idx="1020">
                  <c:v>0</c:v>
                </c:pt>
                <c:pt idx="1021">
                  <c:v>0</c:v>
                </c:pt>
                <c:pt idx="1022">
                  <c:v>0.16</c:v>
                </c:pt>
                <c:pt idx="1023">
                  <c:v>0.33</c:v>
                </c:pt>
                <c:pt idx="1024">
                  <c:v>0.16</c:v>
                </c:pt>
                <c:pt idx="1025">
                  <c:v>0</c:v>
                </c:pt>
                <c:pt idx="1026">
                  <c:v>0</c:v>
                </c:pt>
                <c:pt idx="1027">
                  <c:v>0</c:v>
                </c:pt>
                <c:pt idx="1028">
                  <c:v>0</c:v>
                </c:pt>
                <c:pt idx="1029">
                  <c:v>0</c:v>
                </c:pt>
                <c:pt idx="1030">
                  <c:v>0</c:v>
                </c:pt>
                <c:pt idx="1031">
                  <c:v>0</c:v>
                </c:pt>
                <c:pt idx="1032">
                  <c:v>0</c:v>
                </c:pt>
                <c:pt idx="1033">
                  <c:v>0</c:v>
                </c:pt>
                <c:pt idx="1034">
                  <c:v>0.16</c:v>
                </c:pt>
                <c:pt idx="1035">
                  <c:v>0.33</c:v>
                </c:pt>
                <c:pt idx="1036">
                  <c:v>0.16</c:v>
                </c:pt>
                <c:pt idx="1037">
                  <c:v>0</c:v>
                </c:pt>
                <c:pt idx="1038">
                  <c:v>0</c:v>
                </c:pt>
                <c:pt idx="1039">
                  <c:v>0</c:v>
                </c:pt>
                <c:pt idx="1040">
                  <c:v>0</c:v>
                </c:pt>
                <c:pt idx="1041">
                  <c:v>0</c:v>
                </c:pt>
                <c:pt idx="1042">
                  <c:v>0</c:v>
                </c:pt>
                <c:pt idx="1043">
                  <c:v>0</c:v>
                </c:pt>
                <c:pt idx="1044">
                  <c:v>0.49</c:v>
                </c:pt>
                <c:pt idx="1045">
                  <c:v>0.98</c:v>
                </c:pt>
                <c:pt idx="1046">
                  <c:v>0.49</c:v>
                </c:pt>
                <c:pt idx="1047">
                  <c:v>0</c:v>
                </c:pt>
                <c:pt idx="1048">
                  <c:v>0</c:v>
                </c:pt>
                <c:pt idx="1049">
                  <c:v>0</c:v>
                </c:pt>
                <c:pt idx="1050">
                  <c:v>0</c:v>
                </c:pt>
                <c:pt idx="1051">
                  <c:v>0</c:v>
                </c:pt>
                <c:pt idx="1052">
                  <c:v>0</c:v>
                </c:pt>
                <c:pt idx="1053">
                  <c:v>0</c:v>
                </c:pt>
                <c:pt idx="1054">
                  <c:v>0.16</c:v>
                </c:pt>
                <c:pt idx="1055">
                  <c:v>0.33</c:v>
                </c:pt>
                <c:pt idx="1056">
                  <c:v>0.16</c:v>
                </c:pt>
                <c:pt idx="1057">
                  <c:v>0</c:v>
                </c:pt>
                <c:pt idx="1058">
                  <c:v>0</c:v>
                </c:pt>
                <c:pt idx="1059">
                  <c:v>0</c:v>
                </c:pt>
                <c:pt idx="1060">
                  <c:v>0</c:v>
                </c:pt>
                <c:pt idx="1061">
                  <c:v>0</c:v>
                </c:pt>
                <c:pt idx="1062">
                  <c:v>0</c:v>
                </c:pt>
                <c:pt idx="1063">
                  <c:v>0</c:v>
                </c:pt>
                <c:pt idx="1064">
                  <c:v>0.98</c:v>
                </c:pt>
                <c:pt idx="1065">
                  <c:v>1.97</c:v>
                </c:pt>
                <c:pt idx="1066">
                  <c:v>0.98</c:v>
                </c:pt>
                <c:pt idx="1067">
                  <c:v>0</c:v>
                </c:pt>
                <c:pt idx="1068">
                  <c:v>0</c:v>
                </c:pt>
                <c:pt idx="1069">
                  <c:v>0</c:v>
                </c:pt>
                <c:pt idx="1070">
                  <c:v>0.16</c:v>
                </c:pt>
                <c:pt idx="1071">
                  <c:v>0.33</c:v>
                </c:pt>
                <c:pt idx="1072">
                  <c:v>0.16</c:v>
                </c:pt>
                <c:pt idx="1073">
                  <c:v>0</c:v>
                </c:pt>
                <c:pt idx="1074">
                  <c:v>0.33</c:v>
                </c:pt>
                <c:pt idx="1075">
                  <c:v>0.66</c:v>
                </c:pt>
                <c:pt idx="1076">
                  <c:v>0.33</c:v>
                </c:pt>
                <c:pt idx="1077">
                  <c:v>0</c:v>
                </c:pt>
                <c:pt idx="1078">
                  <c:v>0</c:v>
                </c:pt>
                <c:pt idx="1079">
                  <c:v>0</c:v>
                </c:pt>
                <c:pt idx="1080">
                  <c:v>0</c:v>
                </c:pt>
                <c:pt idx="1081">
                  <c:v>0</c:v>
                </c:pt>
                <c:pt idx="1082">
                  <c:v>0</c:v>
                </c:pt>
                <c:pt idx="1083">
                  <c:v>0</c:v>
                </c:pt>
                <c:pt idx="1084">
                  <c:v>0</c:v>
                </c:pt>
                <c:pt idx="1085">
                  <c:v>0</c:v>
                </c:pt>
                <c:pt idx="1086">
                  <c:v>1.64</c:v>
                </c:pt>
                <c:pt idx="1087">
                  <c:v>3.28</c:v>
                </c:pt>
                <c:pt idx="1088">
                  <c:v>1.64</c:v>
                </c:pt>
                <c:pt idx="1089">
                  <c:v>0</c:v>
                </c:pt>
                <c:pt idx="1090">
                  <c:v>0.16</c:v>
                </c:pt>
                <c:pt idx="1091">
                  <c:v>0.33</c:v>
                </c:pt>
                <c:pt idx="1092">
                  <c:v>0.16</c:v>
                </c:pt>
                <c:pt idx="1093">
                  <c:v>0</c:v>
                </c:pt>
                <c:pt idx="1094">
                  <c:v>0</c:v>
                </c:pt>
                <c:pt idx="1095">
                  <c:v>0</c:v>
                </c:pt>
                <c:pt idx="1096">
                  <c:v>1.48</c:v>
                </c:pt>
                <c:pt idx="1097">
                  <c:v>2.95</c:v>
                </c:pt>
                <c:pt idx="1098">
                  <c:v>1.48</c:v>
                </c:pt>
                <c:pt idx="1099">
                  <c:v>0</c:v>
                </c:pt>
                <c:pt idx="1100">
                  <c:v>1.1499999999999999</c:v>
                </c:pt>
                <c:pt idx="1101">
                  <c:v>2.2999999999999998</c:v>
                </c:pt>
                <c:pt idx="1102">
                  <c:v>1.1499999999999999</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0.33</c:v>
                </c:pt>
                <c:pt idx="1117">
                  <c:v>0.66</c:v>
                </c:pt>
                <c:pt idx="1118">
                  <c:v>0.49</c:v>
                </c:pt>
                <c:pt idx="1119">
                  <c:v>0.33</c:v>
                </c:pt>
                <c:pt idx="1120">
                  <c:v>0.16</c:v>
                </c:pt>
                <c:pt idx="1121">
                  <c:v>0</c:v>
                </c:pt>
                <c:pt idx="1122">
                  <c:v>0.16</c:v>
                </c:pt>
                <c:pt idx="1123">
                  <c:v>0.33</c:v>
                </c:pt>
                <c:pt idx="1124">
                  <c:v>0.33</c:v>
                </c:pt>
                <c:pt idx="1125">
                  <c:v>0.33</c:v>
                </c:pt>
                <c:pt idx="1126">
                  <c:v>0.49</c:v>
                </c:pt>
                <c:pt idx="1127">
                  <c:v>0.66</c:v>
                </c:pt>
                <c:pt idx="1128">
                  <c:v>0.49</c:v>
                </c:pt>
                <c:pt idx="1129">
                  <c:v>0.33</c:v>
                </c:pt>
                <c:pt idx="1130">
                  <c:v>0.16</c:v>
                </c:pt>
                <c:pt idx="1131">
                  <c:v>0</c:v>
                </c:pt>
                <c:pt idx="1132">
                  <c:v>0.33</c:v>
                </c:pt>
                <c:pt idx="1133">
                  <c:v>0.66</c:v>
                </c:pt>
                <c:pt idx="1134">
                  <c:v>0.49</c:v>
                </c:pt>
                <c:pt idx="1135">
                  <c:v>0.33</c:v>
                </c:pt>
                <c:pt idx="1136">
                  <c:v>0.16</c:v>
                </c:pt>
                <c:pt idx="1137">
                  <c:v>0</c:v>
                </c:pt>
                <c:pt idx="1138">
                  <c:v>0</c:v>
                </c:pt>
                <c:pt idx="1139">
                  <c:v>0</c:v>
                </c:pt>
                <c:pt idx="1140">
                  <c:v>0</c:v>
                </c:pt>
                <c:pt idx="1141">
                  <c:v>0</c:v>
                </c:pt>
                <c:pt idx="1142">
                  <c:v>1.1499999999999999</c:v>
                </c:pt>
                <c:pt idx="1143">
                  <c:v>2.2999999999999998</c:v>
                </c:pt>
                <c:pt idx="1144">
                  <c:v>1.31</c:v>
                </c:pt>
                <c:pt idx="1145">
                  <c:v>0.33</c:v>
                </c:pt>
                <c:pt idx="1146">
                  <c:v>0.66</c:v>
                </c:pt>
                <c:pt idx="1147">
                  <c:v>0.98</c:v>
                </c:pt>
                <c:pt idx="1148">
                  <c:v>0.49</c:v>
                </c:pt>
                <c:pt idx="1149">
                  <c:v>0</c:v>
                </c:pt>
                <c:pt idx="1150">
                  <c:v>0</c:v>
                </c:pt>
                <c:pt idx="1151">
                  <c:v>0</c:v>
                </c:pt>
                <c:pt idx="1152">
                  <c:v>0</c:v>
                </c:pt>
                <c:pt idx="1153">
                  <c:v>0</c:v>
                </c:pt>
                <c:pt idx="1154">
                  <c:v>0</c:v>
                </c:pt>
                <c:pt idx="1155">
                  <c:v>0</c:v>
                </c:pt>
                <c:pt idx="1156">
                  <c:v>0.98</c:v>
                </c:pt>
                <c:pt idx="1157">
                  <c:v>1.97</c:v>
                </c:pt>
                <c:pt idx="1158">
                  <c:v>0.98</c:v>
                </c:pt>
                <c:pt idx="1159">
                  <c:v>0</c:v>
                </c:pt>
                <c:pt idx="1160">
                  <c:v>0.33</c:v>
                </c:pt>
                <c:pt idx="1161">
                  <c:v>0.66</c:v>
                </c:pt>
                <c:pt idx="1162">
                  <c:v>0.33</c:v>
                </c:pt>
                <c:pt idx="1163">
                  <c:v>0</c:v>
                </c:pt>
                <c:pt idx="1164">
                  <c:v>0.49</c:v>
                </c:pt>
                <c:pt idx="1165">
                  <c:v>0.98</c:v>
                </c:pt>
                <c:pt idx="1166">
                  <c:v>0.49</c:v>
                </c:pt>
                <c:pt idx="1167">
                  <c:v>0</c:v>
                </c:pt>
                <c:pt idx="1168">
                  <c:v>0</c:v>
                </c:pt>
                <c:pt idx="1169">
                  <c:v>0</c:v>
                </c:pt>
                <c:pt idx="1170">
                  <c:v>0</c:v>
                </c:pt>
                <c:pt idx="1171">
                  <c:v>0</c:v>
                </c:pt>
                <c:pt idx="1172">
                  <c:v>0</c:v>
                </c:pt>
                <c:pt idx="1173">
                  <c:v>0</c:v>
                </c:pt>
                <c:pt idx="1174">
                  <c:v>0.33</c:v>
                </c:pt>
                <c:pt idx="1175">
                  <c:v>0.66</c:v>
                </c:pt>
                <c:pt idx="1176">
                  <c:v>0.33</c:v>
                </c:pt>
                <c:pt idx="1177">
                  <c:v>0</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1.1499999999999999</c:v>
                </c:pt>
                <c:pt idx="1191">
                  <c:v>2.2999999999999998</c:v>
                </c:pt>
                <c:pt idx="1192">
                  <c:v>1.1499999999999999</c:v>
                </c:pt>
                <c:pt idx="1193">
                  <c:v>0</c:v>
                </c:pt>
                <c:pt idx="1194">
                  <c:v>0</c:v>
                </c:pt>
                <c:pt idx="1195">
                  <c:v>0</c:v>
                </c:pt>
                <c:pt idx="1196">
                  <c:v>0.16</c:v>
                </c:pt>
                <c:pt idx="1197">
                  <c:v>0.33</c:v>
                </c:pt>
                <c:pt idx="1198">
                  <c:v>0.16</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0.66</c:v>
                </c:pt>
                <c:pt idx="1215">
                  <c:v>1.31</c:v>
                </c:pt>
                <c:pt idx="1216">
                  <c:v>0.66</c:v>
                </c:pt>
                <c:pt idx="1217">
                  <c:v>0</c:v>
                </c:pt>
                <c:pt idx="1218">
                  <c:v>0.49</c:v>
                </c:pt>
                <c:pt idx="1219">
                  <c:v>0.98</c:v>
                </c:pt>
                <c:pt idx="1220">
                  <c:v>0.49</c:v>
                </c:pt>
                <c:pt idx="1221">
                  <c:v>0</c:v>
                </c:pt>
                <c:pt idx="1222">
                  <c:v>0</c:v>
                </c:pt>
                <c:pt idx="1223">
                  <c:v>0</c:v>
                </c:pt>
                <c:pt idx="1224">
                  <c:v>0</c:v>
                </c:pt>
                <c:pt idx="1225">
                  <c:v>0</c:v>
                </c:pt>
                <c:pt idx="1226">
                  <c:v>1.48</c:v>
                </c:pt>
                <c:pt idx="1227">
                  <c:v>2.95</c:v>
                </c:pt>
                <c:pt idx="1228">
                  <c:v>1.48</c:v>
                </c:pt>
                <c:pt idx="1229">
                  <c:v>0</c:v>
                </c:pt>
                <c:pt idx="1230">
                  <c:v>0.33</c:v>
                </c:pt>
                <c:pt idx="1231">
                  <c:v>0.66</c:v>
                </c:pt>
                <c:pt idx="1232">
                  <c:v>1.1499999999999999</c:v>
                </c:pt>
                <c:pt idx="1233">
                  <c:v>1.64</c:v>
                </c:pt>
                <c:pt idx="1234">
                  <c:v>0.98</c:v>
                </c:pt>
                <c:pt idx="1235">
                  <c:v>0.33</c:v>
                </c:pt>
                <c:pt idx="1236">
                  <c:v>0.16</c:v>
                </c:pt>
                <c:pt idx="1237">
                  <c:v>0</c:v>
                </c:pt>
                <c:pt idx="1238">
                  <c:v>0</c:v>
                </c:pt>
                <c:pt idx="1239">
                  <c:v>0</c:v>
                </c:pt>
                <c:pt idx="1240">
                  <c:v>0</c:v>
                </c:pt>
                <c:pt idx="1241">
                  <c:v>0</c:v>
                </c:pt>
                <c:pt idx="1242">
                  <c:v>0</c:v>
                </c:pt>
                <c:pt idx="1243">
                  <c:v>0</c:v>
                </c:pt>
                <c:pt idx="1244">
                  <c:v>0.16</c:v>
                </c:pt>
                <c:pt idx="1245">
                  <c:v>0.33</c:v>
                </c:pt>
                <c:pt idx="1246">
                  <c:v>0.16</c:v>
                </c:pt>
                <c:pt idx="1247">
                  <c:v>0</c:v>
                </c:pt>
                <c:pt idx="1248">
                  <c:v>1.1499999999999999</c:v>
                </c:pt>
                <c:pt idx="1249">
                  <c:v>2.2999999999999998</c:v>
                </c:pt>
                <c:pt idx="1250">
                  <c:v>1.48</c:v>
                </c:pt>
                <c:pt idx="1251">
                  <c:v>0.66</c:v>
                </c:pt>
                <c:pt idx="1252">
                  <c:v>0.33</c:v>
                </c:pt>
                <c:pt idx="1253">
                  <c:v>0</c:v>
                </c:pt>
                <c:pt idx="1254">
                  <c:v>0</c:v>
                </c:pt>
                <c:pt idx="1255">
                  <c:v>0</c:v>
                </c:pt>
                <c:pt idx="1256">
                  <c:v>0</c:v>
                </c:pt>
                <c:pt idx="1257">
                  <c:v>0</c:v>
                </c:pt>
                <c:pt idx="1258">
                  <c:v>0.33</c:v>
                </c:pt>
                <c:pt idx="1259">
                  <c:v>0.66</c:v>
                </c:pt>
                <c:pt idx="1260">
                  <c:v>0.33</c:v>
                </c:pt>
                <c:pt idx="1261">
                  <c:v>0</c:v>
                </c:pt>
                <c:pt idx="1262">
                  <c:v>0.16</c:v>
                </c:pt>
                <c:pt idx="1263">
                  <c:v>0.33</c:v>
                </c:pt>
                <c:pt idx="1264">
                  <c:v>0.16</c:v>
                </c:pt>
                <c:pt idx="1265">
                  <c:v>0</c:v>
                </c:pt>
                <c:pt idx="1266">
                  <c:v>0.33</c:v>
                </c:pt>
                <c:pt idx="1267">
                  <c:v>0.66</c:v>
                </c:pt>
                <c:pt idx="1268">
                  <c:v>0.33</c:v>
                </c:pt>
                <c:pt idx="1269">
                  <c:v>0</c:v>
                </c:pt>
                <c:pt idx="1270">
                  <c:v>0.49</c:v>
                </c:pt>
                <c:pt idx="1271">
                  <c:v>0.98</c:v>
                </c:pt>
                <c:pt idx="1272">
                  <c:v>0.49</c:v>
                </c:pt>
                <c:pt idx="1273">
                  <c:v>0</c:v>
                </c:pt>
                <c:pt idx="1274">
                  <c:v>0</c:v>
                </c:pt>
                <c:pt idx="1275">
                  <c:v>0</c:v>
                </c:pt>
                <c:pt idx="1276">
                  <c:v>0.98</c:v>
                </c:pt>
                <c:pt idx="1277">
                  <c:v>1.97</c:v>
                </c:pt>
                <c:pt idx="1278">
                  <c:v>0.98</c:v>
                </c:pt>
                <c:pt idx="1279">
                  <c:v>0</c:v>
                </c:pt>
                <c:pt idx="1280">
                  <c:v>0.82</c:v>
                </c:pt>
                <c:pt idx="1281">
                  <c:v>1.64</c:v>
                </c:pt>
                <c:pt idx="1282">
                  <c:v>1.31</c:v>
                </c:pt>
                <c:pt idx="1283">
                  <c:v>0.98</c:v>
                </c:pt>
                <c:pt idx="1284">
                  <c:v>0.82</c:v>
                </c:pt>
                <c:pt idx="1285">
                  <c:v>0.66</c:v>
                </c:pt>
                <c:pt idx="1286">
                  <c:v>0.33</c:v>
                </c:pt>
                <c:pt idx="1287">
                  <c:v>0</c:v>
                </c:pt>
                <c:pt idx="1288">
                  <c:v>0</c:v>
                </c:pt>
                <c:pt idx="1289">
                  <c:v>0</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0</c:v>
                </c:pt>
                <c:pt idx="1304">
                  <c:v>0</c:v>
                </c:pt>
                <c:pt idx="1305">
                  <c:v>0</c:v>
                </c:pt>
                <c:pt idx="1306">
                  <c:v>0</c:v>
                </c:pt>
                <c:pt idx="1307">
                  <c:v>0</c:v>
                </c:pt>
                <c:pt idx="1308">
                  <c:v>0.49</c:v>
                </c:pt>
                <c:pt idx="1309">
                  <c:v>0.98</c:v>
                </c:pt>
                <c:pt idx="1310">
                  <c:v>0.49</c:v>
                </c:pt>
                <c:pt idx="1311">
                  <c:v>0</c:v>
                </c:pt>
                <c:pt idx="1312">
                  <c:v>0</c:v>
                </c:pt>
                <c:pt idx="1313">
                  <c:v>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0</c:v>
                </c:pt>
                <c:pt idx="1328">
                  <c:v>1.31</c:v>
                </c:pt>
                <c:pt idx="1329">
                  <c:v>2.63</c:v>
                </c:pt>
                <c:pt idx="1330">
                  <c:v>1.31</c:v>
                </c:pt>
                <c:pt idx="1331">
                  <c:v>0</c:v>
                </c:pt>
                <c:pt idx="1332">
                  <c:v>0.16</c:v>
                </c:pt>
                <c:pt idx="1333">
                  <c:v>0.33</c:v>
                </c:pt>
                <c:pt idx="1334">
                  <c:v>0.49</c:v>
                </c:pt>
                <c:pt idx="1335">
                  <c:v>0.66</c:v>
                </c:pt>
                <c:pt idx="1336">
                  <c:v>0.33</c:v>
                </c:pt>
                <c:pt idx="1337">
                  <c:v>0</c:v>
                </c:pt>
                <c:pt idx="1338">
                  <c:v>0.66</c:v>
                </c:pt>
                <c:pt idx="1339">
                  <c:v>1.31</c:v>
                </c:pt>
                <c:pt idx="1340">
                  <c:v>0.66</c:v>
                </c:pt>
                <c:pt idx="1341">
                  <c:v>0</c:v>
                </c:pt>
                <c:pt idx="1342">
                  <c:v>0</c:v>
                </c:pt>
                <c:pt idx="1343">
                  <c:v>0</c:v>
                </c:pt>
                <c:pt idx="1344">
                  <c:v>0.49</c:v>
                </c:pt>
                <c:pt idx="1345">
                  <c:v>0.98</c:v>
                </c:pt>
                <c:pt idx="1346">
                  <c:v>0.49</c:v>
                </c:pt>
                <c:pt idx="1347">
                  <c:v>0</c:v>
                </c:pt>
                <c:pt idx="1348">
                  <c:v>0.16</c:v>
                </c:pt>
                <c:pt idx="1349">
                  <c:v>0.33</c:v>
                </c:pt>
                <c:pt idx="1350">
                  <c:v>0.16</c:v>
                </c:pt>
                <c:pt idx="1351">
                  <c:v>0</c:v>
                </c:pt>
                <c:pt idx="1352">
                  <c:v>0.16</c:v>
                </c:pt>
                <c:pt idx="1353">
                  <c:v>0.33</c:v>
                </c:pt>
                <c:pt idx="1354">
                  <c:v>0.16</c:v>
                </c:pt>
                <c:pt idx="1355">
                  <c:v>0</c:v>
                </c:pt>
                <c:pt idx="1356">
                  <c:v>0</c:v>
                </c:pt>
                <c:pt idx="1357">
                  <c:v>0</c:v>
                </c:pt>
                <c:pt idx="1358">
                  <c:v>0</c:v>
                </c:pt>
                <c:pt idx="1359">
                  <c:v>0</c:v>
                </c:pt>
                <c:pt idx="1360">
                  <c:v>0</c:v>
                </c:pt>
                <c:pt idx="1361">
                  <c:v>0</c:v>
                </c:pt>
                <c:pt idx="1362">
                  <c:v>0</c:v>
                </c:pt>
                <c:pt idx="1363">
                  <c:v>0</c:v>
                </c:pt>
                <c:pt idx="1364">
                  <c:v>0.33</c:v>
                </c:pt>
                <c:pt idx="1365">
                  <c:v>0.66</c:v>
                </c:pt>
                <c:pt idx="1366">
                  <c:v>0.33</c:v>
                </c:pt>
                <c:pt idx="1367">
                  <c:v>0</c:v>
                </c:pt>
                <c:pt idx="1368">
                  <c:v>0</c:v>
                </c:pt>
                <c:pt idx="1369">
                  <c:v>0</c:v>
                </c:pt>
                <c:pt idx="1370">
                  <c:v>0</c:v>
                </c:pt>
                <c:pt idx="1371">
                  <c:v>0</c:v>
                </c:pt>
                <c:pt idx="1372">
                  <c:v>0.33</c:v>
                </c:pt>
                <c:pt idx="1373">
                  <c:v>0.66</c:v>
                </c:pt>
                <c:pt idx="1374">
                  <c:v>0.33</c:v>
                </c:pt>
                <c:pt idx="1375">
                  <c:v>0</c:v>
                </c:pt>
                <c:pt idx="1376">
                  <c:v>1.31</c:v>
                </c:pt>
                <c:pt idx="1377">
                  <c:v>2.63</c:v>
                </c:pt>
                <c:pt idx="1378">
                  <c:v>2.13</c:v>
                </c:pt>
                <c:pt idx="1379">
                  <c:v>1.64</c:v>
                </c:pt>
                <c:pt idx="1380">
                  <c:v>1.64</c:v>
                </c:pt>
                <c:pt idx="1381">
                  <c:v>1.64</c:v>
                </c:pt>
                <c:pt idx="1382">
                  <c:v>0.82</c:v>
                </c:pt>
                <c:pt idx="1383">
                  <c:v>0</c:v>
                </c:pt>
                <c:pt idx="1384">
                  <c:v>0</c:v>
                </c:pt>
                <c:pt idx="1385">
                  <c:v>0</c:v>
                </c:pt>
                <c:pt idx="1386">
                  <c:v>0</c:v>
                </c:pt>
                <c:pt idx="1387">
                  <c:v>0</c:v>
                </c:pt>
                <c:pt idx="1388">
                  <c:v>0</c:v>
                </c:pt>
                <c:pt idx="1389">
                  <c:v>0</c:v>
                </c:pt>
                <c:pt idx="1390">
                  <c:v>0.33</c:v>
                </c:pt>
                <c:pt idx="1391">
                  <c:v>0.66</c:v>
                </c:pt>
                <c:pt idx="1392">
                  <c:v>0.33</c:v>
                </c:pt>
                <c:pt idx="1393">
                  <c:v>0</c:v>
                </c:pt>
                <c:pt idx="1394">
                  <c:v>0</c:v>
                </c:pt>
                <c:pt idx="1395">
                  <c:v>0</c:v>
                </c:pt>
                <c:pt idx="1396">
                  <c:v>0</c:v>
                </c:pt>
                <c:pt idx="1397">
                  <c:v>0</c:v>
                </c:pt>
                <c:pt idx="1398">
                  <c:v>0.33</c:v>
                </c:pt>
                <c:pt idx="1399">
                  <c:v>0.66</c:v>
                </c:pt>
                <c:pt idx="1400">
                  <c:v>0.33</c:v>
                </c:pt>
                <c:pt idx="1401">
                  <c:v>0</c:v>
                </c:pt>
                <c:pt idx="1402">
                  <c:v>0</c:v>
                </c:pt>
                <c:pt idx="1403">
                  <c:v>0</c:v>
                </c:pt>
                <c:pt idx="1404">
                  <c:v>0</c:v>
                </c:pt>
                <c:pt idx="1405">
                  <c:v>0</c:v>
                </c:pt>
                <c:pt idx="1406">
                  <c:v>0</c:v>
                </c:pt>
                <c:pt idx="1407">
                  <c:v>0</c:v>
                </c:pt>
                <c:pt idx="1408">
                  <c:v>0</c:v>
                </c:pt>
                <c:pt idx="1409">
                  <c:v>0</c:v>
                </c:pt>
                <c:pt idx="1410">
                  <c:v>0</c:v>
                </c:pt>
                <c:pt idx="1411">
                  <c:v>0</c:v>
                </c:pt>
                <c:pt idx="1412">
                  <c:v>0</c:v>
                </c:pt>
                <c:pt idx="1413">
                  <c:v>0</c:v>
                </c:pt>
                <c:pt idx="1414">
                  <c:v>0</c:v>
                </c:pt>
                <c:pt idx="1415">
                  <c:v>0</c:v>
                </c:pt>
                <c:pt idx="1416">
                  <c:v>0</c:v>
                </c:pt>
                <c:pt idx="1417">
                  <c:v>0</c:v>
                </c:pt>
                <c:pt idx="1418">
                  <c:v>0</c:v>
                </c:pt>
                <c:pt idx="1419">
                  <c:v>0</c:v>
                </c:pt>
                <c:pt idx="1420">
                  <c:v>0</c:v>
                </c:pt>
                <c:pt idx="1421">
                  <c:v>0</c:v>
                </c:pt>
                <c:pt idx="1422">
                  <c:v>0</c:v>
                </c:pt>
                <c:pt idx="1423">
                  <c:v>0</c:v>
                </c:pt>
                <c:pt idx="1424">
                  <c:v>0</c:v>
                </c:pt>
                <c:pt idx="1425">
                  <c:v>0</c:v>
                </c:pt>
                <c:pt idx="1426">
                  <c:v>0</c:v>
                </c:pt>
                <c:pt idx="1427">
                  <c:v>0</c:v>
                </c:pt>
                <c:pt idx="1428">
                  <c:v>0</c:v>
                </c:pt>
                <c:pt idx="1429">
                  <c:v>0</c:v>
                </c:pt>
                <c:pt idx="1430">
                  <c:v>0</c:v>
                </c:pt>
                <c:pt idx="1431">
                  <c:v>0</c:v>
                </c:pt>
                <c:pt idx="1432">
                  <c:v>0</c:v>
                </c:pt>
                <c:pt idx="1433">
                  <c:v>0</c:v>
                </c:pt>
                <c:pt idx="1434">
                  <c:v>0.82</c:v>
                </c:pt>
                <c:pt idx="1435">
                  <c:v>1.64</c:v>
                </c:pt>
                <c:pt idx="1436">
                  <c:v>0.82</c:v>
                </c:pt>
                <c:pt idx="1437">
                  <c:v>0</c:v>
                </c:pt>
                <c:pt idx="1438">
                  <c:v>0.98</c:v>
                </c:pt>
                <c:pt idx="1439">
                  <c:v>1.97</c:v>
                </c:pt>
              </c:numCache>
            </c:numRef>
          </c:yVal>
          <c:smooth val="1"/>
          <c:extLst>
            <c:ext xmlns:c16="http://schemas.microsoft.com/office/drawing/2014/chart" uri="{C3380CC4-5D6E-409C-BE32-E72D297353CC}">
              <c16:uniqueId val="{00000000-6AD3-4F03-877B-898B8FEDB671}"/>
            </c:ext>
          </c:extLst>
        </c:ser>
        <c:ser>
          <c:idx val="1"/>
          <c:order val="1"/>
          <c:tx>
            <c:strRef>
              <c:f>Sheet1!$C$1</c:f>
              <c:strCache>
                <c:ptCount val="1"/>
                <c:pt idx="0">
                  <c:v>Diffuse  Irradiance (W/m^2)</c:v>
                </c:pt>
              </c:strCache>
            </c:strRef>
          </c:tx>
          <c:spPr>
            <a:ln w="12700" cap="rnd">
              <a:solidFill>
                <a:srgbClr val="0070C0"/>
              </a:solidFill>
              <a:round/>
            </a:ln>
            <a:effectLst/>
          </c:spPr>
          <c:marker>
            <c:symbol val="none"/>
          </c:marker>
          <c:xVal>
            <c:numRef>
              <c:f>Sheet1!$A$2:$A$1441</c:f>
              <c:numCache>
                <c:formatCode>h:mm</c:formatCode>
                <c:ptCount val="1440"/>
                <c:pt idx="0">
                  <c:v>42005</c:v>
                </c:pt>
                <c:pt idx="1">
                  <c:v>42005.000694444447</c:v>
                </c:pt>
                <c:pt idx="2">
                  <c:v>42005.001388888886</c:v>
                </c:pt>
                <c:pt idx="3">
                  <c:v>42005.002083333333</c:v>
                </c:pt>
                <c:pt idx="4">
                  <c:v>42005.00277777778</c:v>
                </c:pt>
                <c:pt idx="5">
                  <c:v>42005.003472222219</c:v>
                </c:pt>
                <c:pt idx="6">
                  <c:v>42005.004166666666</c:v>
                </c:pt>
                <c:pt idx="7">
                  <c:v>42005.004861111112</c:v>
                </c:pt>
                <c:pt idx="8">
                  <c:v>42005.005555555559</c:v>
                </c:pt>
                <c:pt idx="9">
                  <c:v>42005.006249999999</c:v>
                </c:pt>
                <c:pt idx="10">
                  <c:v>42005.006944444445</c:v>
                </c:pt>
                <c:pt idx="11">
                  <c:v>42005.007638888892</c:v>
                </c:pt>
                <c:pt idx="12">
                  <c:v>42005.008333333331</c:v>
                </c:pt>
                <c:pt idx="13">
                  <c:v>42005.009027777778</c:v>
                </c:pt>
                <c:pt idx="14">
                  <c:v>42005.009722222225</c:v>
                </c:pt>
                <c:pt idx="15">
                  <c:v>42005.010416666664</c:v>
                </c:pt>
                <c:pt idx="16">
                  <c:v>42005.011111111111</c:v>
                </c:pt>
                <c:pt idx="17">
                  <c:v>42005.011805555558</c:v>
                </c:pt>
                <c:pt idx="18">
                  <c:v>42005.012499999997</c:v>
                </c:pt>
                <c:pt idx="19">
                  <c:v>42005.013194444444</c:v>
                </c:pt>
                <c:pt idx="20">
                  <c:v>42005.013888888891</c:v>
                </c:pt>
                <c:pt idx="21">
                  <c:v>42005.01458333333</c:v>
                </c:pt>
                <c:pt idx="22">
                  <c:v>42005.015277777777</c:v>
                </c:pt>
                <c:pt idx="23">
                  <c:v>42005.015972222223</c:v>
                </c:pt>
                <c:pt idx="24">
                  <c:v>42005.01666666667</c:v>
                </c:pt>
                <c:pt idx="25">
                  <c:v>42005.017361111109</c:v>
                </c:pt>
                <c:pt idx="26">
                  <c:v>42005.018055555556</c:v>
                </c:pt>
                <c:pt idx="27">
                  <c:v>42005.018750000003</c:v>
                </c:pt>
                <c:pt idx="28">
                  <c:v>42005.019444444442</c:v>
                </c:pt>
                <c:pt idx="29">
                  <c:v>42005.020138888889</c:v>
                </c:pt>
                <c:pt idx="30">
                  <c:v>42005.020833333336</c:v>
                </c:pt>
                <c:pt idx="31">
                  <c:v>42005.021527777775</c:v>
                </c:pt>
                <c:pt idx="32">
                  <c:v>42005.022222222222</c:v>
                </c:pt>
                <c:pt idx="33">
                  <c:v>42005.022916666669</c:v>
                </c:pt>
                <c:pt idx="34">
                  <c:v>42005.023611111108</c:v>
                </c:pt>
                <c:pt idx="35">
                  <c:v>42005.024305555555</c:v>
                </c:pt>
                <c:pt idx="36">
                  <c:v>42005.025000000001</c:v>
                </c:pt>
                <c:pt idx="37">
                  <c:v>42005.025694444441</c:v>
                </c:pt>
                <c:pt idx="38">
                  <c:v>42005.026388888888</c:v>
                </c:pt>
                <c:pt idx="39">
                  <c:v>42005.027083333334</c:v>
                </c:pt>
                <c:pt idx="40">
                  <c:v>42005.027777777781</c:v>
                </c:pt>
                <c:pt idx="41">
                  <c:v>42005.02847222222</c:v>
                </c:pt>
                <c:pt idx="42">
                  <c:v>42005.029166666667</c:v>
                </c:pt>
                <c:pt idx="43">
                  <c:v>42005.029861111114</c:v>
                </c:pt>
                <c:pt idx="44">
                  <c:v>42005.030555555553</c:v>
                </c:pt>
                <c:pt idx="45">
                  <c:v>42005.03125</c:v>
                </c:pt>
                <c:pt idx="46">
                  <c:v>42005.031944444447</c:v>
                </c:pt>
                <c:pt idx="47">
                  <c:v>42005.032638888886</c:v>
                </c:pt>
                <c:pt idx="48">
                  <c:v>42005.033333333333</c:v>
                </c:pt>
                <c:pt idx="49">
                  <c:v>42005.03402777778</c:v>
                </c:pt>
                <c:pt idx="50">
                  <c:v>42005.034722222219</c:v>
                </c:pt>
                <c:pt idx="51">
                  <c:v>42005.035416666666</c:v>
                </c:pt>
                <c:pt idx="52">
                  <c:v>42005.036111111112</c:v>
                </c:pt>
                <c:pt idx="53">
                  <c:v>42005.036805555559</c:v>
                </c:pt>
                <c:pt idx="54">
                  <c:v>42005.037499999999</c:v>
                </c:pt>
                <c:pt idx="55">
                  <c:v>42005.038194444445</c:v>
                </c:pt>
                <c:pt idx="56">
                  <c:v>42005.038888888892</c:v>
                </c:pt>
                <c:pt idx="57">
                  <c:v>42005.039583333331</c:v>
                </c:pt>
                <c:pt idx="58">
                  <c:v>42005.040277777778</c:v>
                </c:pt>
                <c:pt idx="59">
                  <c:v>42005.040972222225</c:v>
                </c:pt>
                <c:pt idx="60">
                  <c:v>42005.041666666664</c:v>
                </c:pt>
                <c:pt idx="61">
                  <c:v>42005.042361111111</c:v>
                </c:pt>
                <c:pt idx="62">
                  <c:v>42005.043055555558</c:v>
                </c:pt>
                <c:pt idx="63">
                  <c:v>42005.043749999997</c:v>
                </c:pt>
                <c:pt idx="64">
                  <c:v>42005.044444444444</c:v>
                </c:pt>
                <c:pt idx="65">
                  <c:v>42005.045138888891</c:v>
                </c:pt>
                <c:pt idx="66">
                  <c:v>42005.04583333333</c:v>
                </c:pt>
                <c:pt idx="67">
                  <c:v>42005.046527777777</c:v>
                </c:pt>
                <c:pt idx="68">
                  <c:v>42005.047222222223</c:v>
                </c:pt>
                <c:pt idx="69">
                  <c:v>42005.04791666667</c:v>
                </c:pt>
                <c:pt idx="70">
                  <c:v>42005.048611111109</c:v>
                </c:pt>
                <c:pt idx="71">
                  <c:v>42005.049305555556</c:v>
                </c:pt>
                <c:pt idx="72">
                  <c:v>42005.05</c:v>
                </c:pt>
                <c:pt idx="73">
                  <c:v>42005.050694444442</c:v>
                </c:pt>
                <c:pt idx="74">
                  <c:v>42005.051388888889</c:v>
                </c:pt>
                <c:pt idx="75">
                  <c:v>42005.052083333336</c:v>
                </c:pt>
                <c:pt idx="76">
                  <c:v>42005.052777777775</c:v>
                </c:pt>
                <c:pt idx="77">
                  <c:v>42005.053472222222</c:v>
                </c:pt>
                <c:pt idx="78">
                  <c:v>42005.054166666669</c:v>
                </c:pt>
                <c:pt idx="79">
                  <c:v>42005.054861111108</c:v>
                </c:pt>
                <c:pt idx="80">
                  <c:v>42005.055555555555</c:v>
                </c:pt>
                <c:pt idx="81">
                  <c:v>42005.056250000001</c:v>
                </c:pt>
                <c:pt idx="82">
                  <c:v>42005.056944444441</c:v>
                </c:pt>
                <c:pt idx="83">
                  <c:v>42005.057638888888</c:v>
                </c:pt>
                <c:pt idx="84">
                  <c:v>42005.058333333334</c:v>
                </c:pt>
                <c:pt idx="85">
                  <c:v>42005.059027777781</c:v>
                </c:pt>
                <c:pt idx="86">
                  <c:v>42005.05972222222</c:v>
                </c:pt>
                <c:pt idx="87">
                  <c:v>42005.060416666667</c:v>
                </c:pt>
                <c:pt idx="88">
                  <c:v>42005.061111111114</c:v>
                </c:pt>
                <c:pt idx="89">
                  <c:v>42005.061805555553</c:v>
                </c:pt>
                <c:pt idx="90">
                  <c:v>42005.0625</c:v>
                </c:pt>
                <c:pt idx="91">
                  <c:v>42005.063194444447</c:v>
                </c:pt>
                <c:pt idx="92">
                  <c:v>42005.063888888886</c:v>
                </c:pt>
                <c:pt idx="93">
                  <c:v>42005.064583333333</c:v>
                </c:pt>
                <c:pt idx="94">
                  <c:v>42005.06527777778</c:v>
                </c:pt>
                <c:pt idx="95">
                  <c:v>42005.065972222219</c:v>
                </c:pt>
                <c:pt idx="96">
                  <c:v>42005.066666666666</c:v>
                </c:pt>
                <c:pt idx="97">
                  <c:v>42005.067361111112</c:v>
                </c:pt>
                <c:pt idx="98">
                  <c:v>42005.068055555559</c:v>
                </c:pt>
                <c:pt idx="99">
                  <c:v>42005.068749999999</c:v>
                </c:pt>
                <c:pt idx="100">
                  <c:v>42005.069444444445</c:v>
                </c:pt>
                <c:pt idx="101">
                  <c:v>42005.070138888892</c:v>
                </c:pt>
                <c:pt idx="102">
                  <c:v>42005.070833333331</c:v>
                </c:pt>
                <c:pt idx="103">
                  <c:v>42005.071527777778</c:v>
                </c:pt>
                <c:pt idx="104">
                  <c:v>42005.072222222225</c:v>
                </c:pt>
                <c:pt idx="105">
                  <c:v>42005.072916666664</c:v>
                </c:pt>
                <c:pt idx="106">
                  <c:v>42005.073611111111</c:v>
                </c:pt>
                <c:pt idx="107">
                  <c:v>42005.074305555558</c:v>
                </c:pt>
                <c:pt idx="108">
                  <c:v>42005.074999999997</c:v>
                </c:pt>
                <c:pt idx="109">
                  <c:v>42005.075694444444</c:v>
                </c:pt>
                <c:pt idx="110">
                  <c:v>42005.076388888891</c:v>
                </c:pt>
                <c:pt idx="111">
                  <c:v>42005.07708333333</c:v>
                </c:pt>
                <c:pt idx="112">
                  <c:v>42005.077777777777</c:v>
                </c:pt>
                <c:pt idx="113">
                  <c:v>42005.078472222223</c:v>
                </c:pt>
                <c:pt idx="114">
                  <c:v>42005.07916666667</c:v>
                </c:pt>
                <c:pt idx="115">
                  <c:v>42005.079861111109</c:v>
                </c:pt>
                <c:pt idx="116">
                  <c:v>42005.080555555556</c:v>
                </c:pt>
                <c:pt idx="117">
                  <c:v>42005.081250000003</c:v>
                </c:pt>
                <c:pt idx="118">
                  <c:v>42005.081944444442</c:v>
                </c:pt>
                <c:pt idx="119">
                  <c:v>42005.082638888889</c:v>
                </c:pt>
                <c:pt idx="120">
                  <c:v>42005.083333333336</c:v>
                </c:pt>
                <c:pt idx="121">
                  <c:v>42005.084027777775</c:v>
                </c:pt>
                <c:pt idx="122">
                  <c:v>42005.084722222222</c:v>
                </c:pt>
                <c:pt idx="123">
                  <c:v>42005.085416666669</c:v>
                </c:pt>
                <c:pt idx="124">
                  <c:v>42005.086111111108</c:v>
                </c:pt>
                <c:pt idx="125">
                  <c:v>42005.086805555555</c:v>
                </c:pt>
                <c:pt idx="126">
                  <c:v>42005.087500000001</c:v>
                </c:pt>
                <c:pt idx="127">
                  <c:v>42005.088194444441</c:v>
                </c:pt>
                <c:pt idx="128">
                  <c:v>42005.088888888888</c:v>
                </c:pt>
                <c:pt idx="129">
                  <c:v>42005.089583333334</c:v>
                </c:pt>
                <c:pt idx="130">
                  <c:v>42005.090277777781</c:v>
                </c:pt>
                <c:pt idx="131">
                  <c:v>42005.09097222222</c:v>
                </c:pt>
                <c:pt idx="132">
                  <c:v>42005.091666666667</c:v>
                </c:pt>
                <c:pt idx="133">
                  <c:v>42005.092361111114</c:v>
                </c:pt>
                <c:pt idx="134">
                  <c:v>42005.093055555553</c:v>
                </c:pt>
                <c:pt idx="135">
                  <c:v>42005.09375</c:v>
                </c:pt>
                <c:pt idx="136">
                  <c:v>42005.094444444447</c:v>
                </c:pt>
                <c:pt idx="137">
                  <c:v>42005.095138888886</c:v>
                </c:pt>
                <c:pt idx="138">
                  <c:v>42005.095833333333</c:v>
                </c:pt>
                <c:pt idx="139">
                  <c:v>42005.09652777778</c:v>
                </c:pt>
                <c:pt idx="140">
                  <c:v>42005.097222222219</c:v>
                </c:pt>
                <c:pt idx="141">
                  <c:v>42005.097916666666</c:v>
                </c:pt>
                <c:pt idx="142">
                  <c:v>42005.098611111112</c:v>
                </c:pt>
                <c:pt idx="143">
                  <c:v>42005.099305555559</c:v>
                </c:pt>
                <c:pt idx="144">
                  <c:v>42005.1</c:v>
                </c:pt>
                <c:pt idx="145">
                  <c:v>42005.100694444445</c:v>
                </c:pt>
                <c:pt idx="146">
                  <c:v>42005.101388888892</c:v>
                </c:pt>
                <c:pt idx="147">
                  <c:v>42005.102083333331</c:v>
                </c:pt>
                <c:pt idx="148">
                  <c:v>42005.102777777778</c:v>
                </c:pt>
                <c:pt idx="149">
                  <c:v>42005.103472222225</c:v>
                </c:pt>
                <c:pt idx="150">
                  <c:v>42005.104166666664</c:v>
                </c:pt>
                <c:pt idx="151">
                  <c:v>42005.104861111111</c:v>
                </c:pt>
                <c:pt idx="152">
                  <c:v>42005.105555555558</c:v>
                </c:pt>
                <c:pt idx="153">
                  <c:v>42005.106249999997</c:v>
                </c:pt>
                <c:pt idx="154">
                  <c:v>42005.106944444444</c:v>
                </c:pt>
                <c:pt idx="155">
                  <c:v>42005.107638888891</c:v>
                </c:pt>
                <c:pt idx="156">
                  <c:v>42005.10833333333</c:v>
                </c:pt>
                <c:pt idx="157">
                  <c:v>42005.109027777777</c:v>
                </c:pt>
                <c:pt idx="158">
                  <c:v>42005.109722222223</c:v>
                </c:pt>
                <c:pt idx="159">
                  <c:v>42005.11041666667</c:v>
                </c:pt>
                <c:pt idx="160">
                  <c:v>42005.111111111109</c:v>
                </c:pt>
                <c:pt idx="161">
                  <c:v>42005.111805555556</c:v>
                </c:pt>
                <c:pt idx="162">
                  <c:v>42005.112500000003</c:v>
                </c:pt>
                <c:pt idx="163">
                  <c:v>42005.113194444442</c:v>
                </c:pt>
                <c:pt idx="164">
                  <c:v>42005.113888888889</c:v>
                </c:pt>
                <c:pt idx="165">
                  <c:v>42005.114583333336</c:v>
                </c:pt>
                <c:pt idx="166">
                  <c:v>42005.115277777775</c:v>
                </c:pt>
                <c:pt idx="167">
                  <c:v>42005.115972222222</c:v>
                </c:pt>
                <c:pt idx="168">
                  <c:v>42005.116666666669</c:v>
                </c:pt>
                <c:pt idx="169">
                  <c:v>42005.117361111108</c:v>
                </c:pt>
                <c:pt idx="170">
                  <c:v>42005.118055555555</c:v>
                </c:pt>
                <c:pt idx="171">
                  <c:v>42005.118750000001</c:v>
                </c:pt>
                <c:pt idx="172">
                  <c:v>42005.119444444441</c:v>
                </c:pt>
                <c:pt idx="173">
                  <c:v>42005.120138888888</c:v>
                </c:pt>
                <c:pt idx="174">
                  <c:v>42005.120833333334</c:v>
                </c:pt>
                <c:pt idx="175">
                  <c:v>42005.121527777781</c:v>
                </c:pt>
                <c:pt idx="176">
                  <c:v>42005.12222222222</c:v>
                </c:pt>
                <c:pt idx="177">
                  <c:v>42005.122916666667</c:v>
                </c:pt>
                <c:pt idx="178">
                  <c:v>42005.123611111114</c:v>
                </c:pt>
                <c:pt idx="179">
                  <c:v>42005.124305555553</c:v>
                </c:pt>
                <c:pt idx="180">
                  <c:v>42005.125</c:v>
                </c:pt>
                <c:pt idx="181">
                  <c:v>42005.125694444447</c:v>
                </c:pt>
                <c:pt idx="182">
                  <c:v>42005.126388888886</c:v>
                </c:pt>
                <c:pt idx="183">
                  <c:v>42005.127083333333</c:v>
                </c:pt>
                <c:pt idx="184">
                  <c:v>42005.12777777778</c:v>
                </c:pt>
                <c:pt idx="185">
                  <c:v>42005.128472222219</c:v>
                </c:pt>
                <c:pt idx="186">
                  <c:v>42005.129166666666</c:v>
                </c:pt>
                <c:pt idx="187">
                  <c:v>42005.129861111112</c:v>
                </c:pt>
                <c:pt idx="188">
                  <c:v>42005.130555555559</c:v>
                </c:pt>
                <c:pt idx="189">
                  <c:v>42005.131249999999</c:v>
                </c:pt>
                <c:pt idx="190">
                  <c:v>42005.131944444445</c:v>
                </c:pt>
                <c:pt idx="191">
                  <c:v>42005.132638888892</c:v>
                </c:pt>
                <c:pt idx="192">
                  <c:v>42005.133333333331</c:v>
                </c:pt>
                <c:pt idx="193">
                  <c:v>42005.134027777778</c:v>
                </c:pt>
                <c:pt idx="194">
                  <c:v>42005.134722222225</c:v>
                </c:pt>
                <c:pt idx="195">
                  <c:v>42005.135416666664</c:v>
                </c:pt>
                <c:pt idx="196">
                  <c:v>42005.136111111111</c:v>
                </c:pt>
                <c:pt idx="197">
                  <c:v>42005.136805555558</c:v>
                </c:pt>
                <c:pt idx="198">
                  <c:v>42005.137499999997</c:v>
                </c:pt>
                <c:pt idx="199">
                  <c:v>42005.138194444444</c:v>
                </c:pt>
                <c:pt idx="200">
                  <c:v>42005.138888888891</c:v>
                </c:pt>
                <c:pt idx="201">
                  <c:v>42005.13958333333</c:v>
                </c:pt>
                <c:pt idx="202">
                  <c:v>42005.140277777777</c:v>
                </c:pt>
                <c:pt idx="203">
                  <c:v>42005.140972222223</c:v>
                </c:pt>
                <c:pt idx="204">
                  <c:v>42005.14166666667</c:v>
                </c:pt>
                <c:pt idx="205">
                  <c:v>42005.142361111109</c:v>
                </c:pt>
                <c:pt idx="206">
                  <c:v>42005.143055555556</c:v>
                </c:pt>
                <c:pt idx="207">
                  <c:v>42005.143750000003</c:v>
                </c:pt>
                <c:pt idx="208">
                  <c:v>42005.144444444442</c:v>
                </c:pt>
                <c:pt idx="209">
                  <c:v>42005.145138888889</c:v>
                </c:pt>
                <c:pt idx="210">
                  <c:v>42005.145833333336</c:v>
                </c:pt>
                <c:pt idx="211">
                  <c:v>42005.146527777775</c:v>
                </c:pt>
                <c:pt idx="212">
                  <c:v>42005.147222222222</c:v>
                </c:pt>
                <c:pt idx="213">
                  <c:v>42005.147916666669</c:v>
                </c:pt>
                <c:pt idx="214">
                  <c:v>42005.148611111108</c:v>
                </c:pt>
                <c:pt idx="215">
                  <c:v>42005.149305555555</c:v>
                </c:pt>
                <c:pt idx="216">
                  <c:v>42005.15</c:v>
                </c:pt>
                <c:pt idx="217">
                  <c:v>42005.150694444441</c:v>
                </c:pt>
                <c:pt idx="218">
                  <c:v>42005.151388888888</c:v>
                </c:pt>
                <c:pt idx="219">
                  <c:v>42005.152083333334</c:v>
                </c:pt>
                <c:pt idx="220">
                  <c:v>42005.152777777781</c:v>
                </c:pt>
                <c:pt idx="221">
                  <c:v>42005.15347222222</c:v>
                </c:pt>
                <c:pt idx="222">
                  <c:v>42005.154166666667</c:v>
                </c:pt>
                <c:pt idx="223">
                  <c:v>42005.154861111114</c:v>
                </c:pt>
                <c:pt idx="224">
                  <c:v>42005.155555555553</c:v>
                </c:pt>
                <c:pt idx="225">
                  <c:v>42005.15625</c:v>
                </c:pt>
                <c:pt idx="226">
                  <c:v>42005.156944444447</c:v>
                </c:pt>
                <c:pt idx="227">
                  <c:v>42005.157638888886</c:v>
                </c:pt>
                <c:pt idx="228">
                  <c:v>42005.158333333333</c:v>
                </c:pt>
                <c:pt idx="229">
                  <c:v>42005.15902777778</c:v>
                </c:pt>
                <c:pt idx="230">
                  <c:v>42005.159722222219</c:v>
                </c:pt>
                <c:pt idx="231">
                  <c:v>42005.160416666666</c:v>
                </c:pt>
                <c:pt idx="232">
                  <c:v>42005.161111111112</c:v>
                </c:pt>
                <c:pt idx="233">
                  <c:v>42005.161805555559</c:v>
                </c:pt>
                <c:pt idx="234">
                  <c:v>42005.162499999999</c:v>
                </c:pt>
                <c:pt idx="235">
                  <c:v>42005.163194444445</c:v>
                </c:pt>
                <c:pt idx="236">
                  <c:v>42005.163888888892</c:v>
                </c:pt>
                <c:pt idx="237">
                  <c:v>42005.164583333331</c:v>
                </c:pt>
                <c:pt idx="238">
                  <c:v>42005.165277777778</c:v>
                </c:pt>
                <c:pt idx="239">
                  <c:v>42005.165972222225</c:v>
                </c:pt>
                <c:pt idx="240">
                  <c:v>42005.166666666664</c:v>
                </c:pt>
                <c:pt idx="241">
                  <c:v>42005.167361111111</c:v>
                </c:pt>
                <c:pt idx="242">
                  <c:v>42005.168055555558</c:v>
                </c:pt>
                <c:pt idx="243">
                  <c:v>42005.168749999997</c:v>
                </c:pt>
                <c:pt idx="244">
                  <c:v>42005.169444444444</c:v>
                </c:pt>
                <c:pt idx="245">
                  <c:v>42005.170138888891</c:v>
                </c:pt>
                <c:pt idx="246">
                  <c:v>42005.17083333333</c:v>
                </c:pt>
                <c:pt idx="247">
                  <c:v>42005.171527777777</c:v>
                </c:pt>
                <c:pt idx="248">
                  <c:v>42005.172222222223</c:v>
                </c:pt>
                <c:pt idx="249">
                  <c:v>42005.17291666667</c:v>
                </c:pt>
                <c:pt idx="250">
                  <c:v>42005.173611111109</c:v>
                </c:pt>
                <c:pt idx="251">
                  <c:v>42005.174305555556</c:v>
                </c:pt>
                <c:pt idx="252">
                  <c:v>42005.175000000003</c:v>
                </c:pt>
                <c:pt idx="253">
                  <c:v>42005.175694444442</c:v>
                </c:pt>
                <c:pt idx="254">
                  <c:v>42005.176388888889</c:v>
                </c:pt>
                <c:pt idx="255">
                  <c:v>42005.177083333336</c:v>
                </c:pt>
                <c:pt idx="256">
                  <c:v>42005.177777777775</c:v>
                </c:pt>
                <c:pt idx="257">
                  <c:v>42005.178472222222</c:v>
                </c:pt>
                <c:pt idx="258">
                  <c:v>42005.179166666669</c:v>
                </c:pt>
                <c:pt idx="259">
                  <c:v>42005.179861111108</c:v>
                </c:pt>
                <c:pt idx="260">
                  <c:v>42005.180555555555</c:v>
                </c:pt>
                <c:pt idx="261">
                  <c:v>42005.181250000001</c:v>
                </c:pt>
                <c:pt idx="262">
                  <c:v>42005.181944444441</c:v>
                </c:pt>
                <c:pt idx="263">
                  <c:v>42005.182638888888</c:v>
                </c:pt>
                <c:pt idx="264">
                  <c:v>42005.183333333334</c:v>
                </c:pt>
                <c:pt idx="265">
                  <c:v>42005.184027777781</c:v>
                </c:pt>
                <c:pt idx="266">
                  <c:v>42005.18472222222</c:v>
                </c:pt>
                <c:pt idx="267">
                  <c:v>42005.185416666667</c:v>
                </c:pt>
                <c:pt idx="268">
                  <c:v>42005.186111111114</c:v>
                </c:pt>
                <c:pt idx="269">
                  <c:v>42005.186805555553</c:v>
                </c:pt>
                <c:pt idx="270">
                  <c:v>42005.1875</c:v>
                </c:pt>
                <c:pt idx="271">
                  <c:v>42005.188194444447</c:v>
                </c:pt>
                <c:pt idx="272">
                  <c:v>42005.188888888886</c:v>
                </c:pt>
                <c:pt idx="273">
                  <c:v>42005.189583333333</c:v>
                </c:pt>
                <c:pt idx="274">
                  <c:v>42005.19027777778</c:v>
                </c:pt>
                <c:pt idx="275">
                  <c:v>42005.190972222219</c:v>
                </c:pt>
                <c:pt idx="276">
                  <c:v>42005.191666666666</c:v>
                </c:pt>
                <c:pt idx="277">
                  <c:v>42005.192361111112</c:v>
                </c:pt>
                <c:pt idx="278">
                  <c:v>42005.193055555559</c:v>
                </c:pt>
                <c:pt idx="279">
                  <c:v>42005.193749999999</c:v>
                </c:pt>
                <c:pt idx="280">
                  <c:v>42005.194444444445</c:v>
                </c:pt>
                <c:pt idx="281">
                  <c:v>42005.195138888892</c:v>
                </c:pt>
                <c:pt idx="282">
                  <c:v>42005.195833333331</c:v>
                </c:pt>
                <c:pt idx="283">
                  <c:v>42005.196527777778</c:v>
                </c:pt>
                <c:pt idx="284">
                  <c:v>42005.197222222225</c:v>
                </c:pt>
                <c:pt idx="285">
                  <c:v>42005.197916666664</c:v>
                </c:pt>
                <c:pt idx="286">
                  <c:v>42005.198611111111</c:v>
                </c:pt>
                <c:pt idx="287">
                  <c:v>42005.199305555558</c:v>
                </c:pt>
                <c:pt idx="288">
                  <c:v>42005.2</c:v>
                </c:pt>
                <c:pt idx="289">
                  <c:v>42005.200694444444</c:v>
                </c:pt>
                <c:pt idx="290">
                  <c:v>42005.201388888891</c:v>
                </c:pt>
                <c:pt idx="291">
                  <c:v>42005.20208333333</c:v>
                </c:pt>
                <c:pt idx="292">
                  <c:v>42005.202777777777</c:v>
                </c:pt>
                <c:pt idx="293">
                  <c:v>42005.203472222223</c:v>
                </c:pt>
                <c:pt idx="294">
                  <c:v>42005.20416666667</c:v>
                </c:pt>
                <c:pt idx="295">
                  <c:v>42005.204861111109</c:v>
                </c:pt>
                <c:pt idx="296">
                  <c:v>42005.205555555556</c:v>
                </c:pt>
                <c:pt idx="297">
                  <c:v>42005.206250000003</c:v>
                </c:pt>
                <c:pt idx="298">
                  <c:v>42005.206944444442</c:v>
                </c:pt>
                <c:pt idx="299">
                  <c:v>42005.207638888889</c:v>
                </c:pt>
                <c:pt idx="300">
                  <c:v>42005.208333333336</c:v>
                </c:pt>
                <c:pt idx="301">
                  <c:v>42005.209027777775</c:v>
                </c:pt>
                <c:pt idx="302">
                  <c:v>42005.209722222222</c:v>
                </c:pt>
                <c:pt idx="303">
                  <c:v>42005.210416666669</c:v>
                </c:pt>
                <c:pt idx="304">
                  <c:v>42005.211111111108</c:v>
                </c:pt>
                <c:pt idx="305">
                  <c:v>42005.211805555555</c:v>
                </c:pt>
                <c:pt idx="306">
                  <c:v>42005.212500000001</c:v>
                </c:pt>
                <c:pt idx="307">
                  <c:v>42005.213194444441</c:v>
                </c:pt>
                <c:pt idx="308">
                  <c:v>42005.213888888888</c:v>
                </c:pt>
                <c:pt idx="309">
                  <c:v>42005.214583333334</c:v>
                </c:pt>
                <c:pt idx="310">
                  <c:v>42005.215277777781</c:v>
                </c:pt>
                <c:pt idx="311">
                  <c:v>42005.21597222222</c:v>
                </c:pt>
                <c:pt idx="312">
                  <c:v>42005.216666666667</c:v>
                </c:pt>
                <c:pt idx="313">
                  <c:v>42005.217361111114</c:v>
                </c:pt>
                <c:pt idx="314">
                  <c:v>42005.218055555553</c:v>
                </c:pt>
                <c:pt idx="315">
                  <c:v>42005.21875</c:v>
                </c:pt>
                <c:pt idx="316">
                  <c:v>42005.219444444447</c:v>
                </c:pt>
                <c:pt idx="317">
                  <c:v>42005.220138888886</c:v>
                </c:pt>
                <c:pt idx="318">
                  <c:v>42005.220833333333</c:v>
                </c:pt>
                <c:pt idx="319">
                  <c:v>42005.22152777778</c:v>
                </c:pt>
                <c:pt idx="320">
                  <c:v>42005.222222222219</c:v>
                </c:pt>
                <c:pt idx="321">
                  <c:v>42005.222916666666</c:v>
                </c:pt>
                <c:pt idx="322">
                  <c:v>42005.223611111112</c:v>
                </c:pt>
                <c:pt idx="323">
                  <c:v>42005.224305555559</c:v>
                </c:pt>
                <c:pt idx="324">
                  <c:v>42005.224999999999</c:v>
                </c:pt>
                <c:pt idx="325">
                  <c:v>42005.225694444445</c:v>
                </c:pt>
                <c:pt idx="326">
                  <c:v>42005.226388888892</c:v>
                </c:pt>
                <c:pt idx="327">
                  <c:v>42005.227083333331</c:v>
                </c:pt>
                <c:pt idx="328">
                  <c:v>42005.227777777778</c:v>
                </c:pt>
                <c:pt idx="329">
                  <c:v>42005.228472222225</c:v>
                </c:pt>
                <c:pt idx="330">
                  <c:v>42005.229166666664</c:v>
                </c:pt>
                <c:pt idx="331">
                  <c:v>42005.229861111111</c:v>
                </c:pt>
                <c:pt idx="332">
                  <c:v>42005.230555555558</c:v>
                </c:pt>
                <c:pt idx="333">
                  <c:v>42005.231249999997</c:v>
                </c:pt>
                <c:pt idx="334">
                  <c:v>42005.231944444444</c:v>
                </c:pt>
                <c:pt idx="335">
                  <c:v>42005.232638888891</c:v>
                </c:pt>
                <c:pt idx="336">
                  <c:v>42005.23333333333</c:v>
                </c:pt>
                <c:pt idx="337">
                  <c:v>42005.234027777777</c:v>
                </c:pt>
                <c:pt idx="338">
                  <c:v>42005.234722222223</c:v>
                </c:pt>
                <c:pt idx="339">
                  <c:v>42005.23541666667</c:v>
                </c:pt>
                <c:pt idx="340">
                  <c:v>42005.236111111109</c:v>
                </c:pt>
                <c:pt idx="341">
                  <c:v>42005.236805555556</c:v>
                </c:pt>
                <c:pt idx="342">
                  <c:v>42005.237500000003</c:v>
                </c:pt>
                <c:pt idx="343">
                  <c:v>42005.238194444442</c:v>
                </c:pt>
                <c:pt idx="344">
                  <c:v>42005.238888888889</c:v>
                </c:pt>
                <c:pt idx="345">
                  <c:v>42005.239583333336</c:v>
                </c:pt>
                <c:pt idx="346">
                  <c:v>42005.240277777775</c:v>
                </c:pt>
                <c:pt idx="347">
                  <c:v>42005.240972222222</c:v>
                </c:pt>
                <c:pt idx="348">
                  <c:v>42005.241666666669</c:v>
                </c:pt>
                <c:pt idx="349">
                  <c:v>42005.242361111108</c:v>
                </c:pt>
                <c:pt idx="350">
                  <c:v>42005.243055555555</c:v>
                </c:pt>
                <c:pt idx="351">
                  <c:v>42005.243750000001</c:v>
                </c:pt>
                <c:pt idx="352">
                  <c:v>42005.244444444441</c:v>
                </c:pt>
                <c:pt idx="353">
                  <c:v>42005.245138888888</c:v>
                </c:pt>
                <c:pt idx="354">
                  <c:v>42005.245833333334</c:v>
                </c:pt>
                <c:pt idx="355">
                  <c:v>42005.246527777781</c:v>
                </c:pt>
                <c:pt idx="356">
                  <c:v>42005.24722222222</c:v>
                </c:pt>
                <c:pt idx="357">
                  <c:v>42005.247916666667</c:v>
                </c:pt>
                <c:pt idx="358">
                  <c:v>42005.248611111114</c:v>
                </c:pt>
                <c:pt idx="359">
                  <c:v>42005.249305555553</c:v>
                </c:pt>
                <c:pt idx="360">
                  <c:v>42005.25</c:v>
                </c:pt>
                <c:pt idx="361">
                  <c:v>42005.250694444447</c:v>
                </c:pt>
                <c:pt idx="362">
                  <c:v>42005.251388888886</c:v>
                </c:pt>
                <c:pt idx="363">
                  <c:v>42005.252083333333</c:v>
                </c:pt>
                <c:pt idx="364">
                  <c:v>42005.25277777778</c:v>
                </c:pt>
                <c:pt idx="365">
                  <c:v>42005.253472222219</c:v>
                </c:pt>
                <c:pt idx="366">
                  <c:v>42005.254166666666</c:v>
                </c:pt>
                <c:pt idx="367">
                  <c:v>42005.254861111112</c:v>
                </c:pt>
                <c:pt idx="368">
                  <c:v>42005.255555555559</c:v>
                </c:pt>
                <c:pt idx="369">
                  <c:v>42005.256249999999</c:v>
                </c:pt>
                <c:pt idx="370">
                  <c:v>42005.256944444445</c:v>
                </c:pt>
                <c:pt idx="371">
                  <c:v>42005.257638888892</c:v>
                </c:pt>
                <c:pt idx="372">
                  <c:v>42005.258333333331</c:v>
                </c:pt>
                <c:pt idx="373">
                  <c:v>42005.259027777778</c:v>
                </c:pt>
                <c:pt idx="374">
                  <c:v>42005.259722222225</c:v>
                </c:pt>
                <c:pt idx="375">
                  <c:v>42005.260416666664</c:v>
                </c:pt>
                <c:pt idx="376">
                  <c:v>42005.261111111111</c:v>
                </c:pt>
                <c:pt idx="377">
                  <c:v>42005.261805555558</c:v>
                </c:pt>
                <c:pt idx="378">
                  <c:v>42005.262499999997</c:v>
                </c:pt>
                <c:pt idx="379">
                  <c:v>42005.263194444444</c:v>
                </c:pt>
                <c:pt idx="380">
                  <c:v>42005.263888888891</c:v>
                </c:pt>
                <c:pt idx="381">
                  <c:v>42005.26458333333</c:v>
                </c:pt>
                <c:pt idx="382">
                  <c:v>42005.265277777777</c:v>
                </c:pt>
                <c:pt idx="383">
                  <c:v>42005.265972222223</c:v>
                </c:pt>
                <c:pt idx="384">
                  <c:v>42005.26666666667</c:v>
                </c:pt>
                <c:pt idx="385">
                  <c:v>42005.267361111109</c:v>
                </c:pt>
                <c:pt idx="386">
                  <c:v>42005.268055555556</c:v>
                </c:pt>
                <c:pt idx="387">
                  <c:v>42005.268750000003</c:v>
                </c:pt>
                <c:pt idx="388">
                  <c:v>42005.269444444442</c:v>
                </c:pt>
                <c:pt idx="389">
                  <c:v>42005.270138888889</c:v>
                </c:pt>
                <c:pt idx="390">
                  <c:v>42005.270833333336</c:v>
                </c:pt>
                <c:pt idx="391">
                  <c:v>42005.271527777775</c:v>
                </c:pt>
                <c:pt idx="392">
                  <c:v>42005.272222222222</c:v>
                </c:pt>
                <c:pt idx="393">
                  <c:v>42005.272916666669</c:v>
                </c:pt>
                <c:pt idx="394">
                  <c:v>42005.273611111108</c:v>
                </c:pt>
                <c:pt idx="395">
                  <c:v>42005.274305555555</c:v>
                </c:pt>
                <c:pt idx="396">
                  <c:v>42005.275000000001</c:v>
                </c:pt>
                <c:pt idx="397">
                  <c:v>42005.275694444441</c:v>
                </c:pt>
                <c:pt idx="398">
                  <c:v>42005.276388888888</c:v>
                </c:pt>
                <c:pt idx="399">
                  <c:v>42005.277083333334</c:v>
                </c:pt>
                <c:pt idx="400">
                  <c:v>42005.277777777781</c:v>
                </c:pt>
                <c:pt idx="401">
                  <c:v>42005.27847222222</c:v>
                </c:pt>
                <c:pt idx="402">
                  <c:v>42005.279166666667</c:v>
                </c:pt>
                <c:pt idx="403">
                  <c:v>42005.279861111114</c:v>
                </c:pt>
                <c:pt idx="404">
                  <c:v>42005.280555555553</c:v>
                </c:pt>
                <c:pt idx="405">
                  <c:v>42005.28125</c:v>
                </c:pt>
                <c:pt idx="406">
                  <c:v>42005.281944444447</c:v>
                </c:pt>
                <c:pt idx="407">
                  <c:v>42005.282638888886</c:v>
                </c:pt>
                <c:pt idx="408">
                  <c:v>42005.283333333333</c:v>
                </c:pt>
                <c:pt idx="409">
                  <c:v>42005.28402777778</c:v>
                </c:pt>
                <c:pt idx="410">
                  <c:v>42005.284722222219</c:v>
                </c:pt>
                <c:pt idx="411">
                  <c:v>42005.285416666666</c:v>
                </c:pt>
                <c:pt idx="412">
                  <c:v>42005.286111111112</c:v>
                </c:pt>
                <c:pt idx="413">
                  <c:v>42005.286805555559</c:v>
                </c:pt>
                <c:pt idx="414">
                  <c:v>42005.287499999999</c:v>
                </c:pt>
                <c:pt idx="415">
                  <c:v>42005.288194444445</c:v>
                </c:pt>
                <c:pt idx="416">
                  <c:v>42005.288888888892</c:v>
                </c:pt>
                <c:pt idx="417">
                  <c:v>42005.289583333331</c:v>
                </c:pt>
                <c:pt idx="418">
                  <c:v>42005.290277777778</c:v>
                </c:pt>
                <c:pt idx="419">
                  <c:v>42005.290972222225</c:v>
                </c:pt>
                <c:pt idx="420">
                  <c:v>42005.291666666664</c:v>
                </c:pt>
                <c:pt idx="421">
                  <c:v>42005.292361111111</c:v>
                </c:pt>
                <c:pt idx="422">
                  <c:v>42005.293055555558</c:v>
                </c:pt>
                <c:pt idx="423">
                  <c:v>42005.293749999997</c:v>
                </c:pt>
                <c:pt idx="424">
                  <c:v>42005.294444444444</c:v>
                </c:pt>
                <c:pt idx="425">
                  <c:v>42005.295138888891</c:v>
                </c:pt>
                <c:pt idx="426">
                  <c:v>42005.29583333333</c:v>
                </c:pt>
                <c:pt idx="427">
                  <c:v>42005.296527777777</c:v>
                </c:pt>
                <c:pt idx="428">
                  <c:v>42005.297222222223</c:v>
                </c:pt>
                <c:pt idx="429">
                  <c:v>42005.29791666667</c:v>
                </c:pt>
                <c:pt idx="430">
                  <c:v>42005.298611111109</c:v>
                </c:pt>
                <c:pt idx="431">
                  <c:v>42005.299305555556</c:v>
                </c:pt>
                <c:pt idx="432">
                  <c:v>42005.3</c:v>
                </c:pt>
                <c:pt idx="433">
                  <c:v>42005.300694444442</c:v>
                </c:pt>
                <c:pt idx="434">
                  <c:v>42005.301388888889</c:v>
                </c:pt>
                <c:pt idx="435">
                  <c:v>42005.302083333336</c:v>
                </c:pt>
                <c:pt idx="436">
                  <c:v>42005.302777777775</c:v>
                </c:pt>
                <c:pt idx="437">
                  <c:v>42005.303472222222</c:v>
                </c:pt>
                <c:pt idx="438">
                  <c:v>42005.304166666669</c:v>
                </c:pt>
                <c:pt idx="439">
                  <c:v>42005.304861111108</c:v>
                </c:pt>
                <c:pt idx="440">
                  <c:v>42005.305555555555</c:v>
                </c:pt>
                <c:pt idx="441">
                  <c:v>42005.306250000001</c:v>
                </c:pt>
                <c:pt idx="442">
                  <c:v>42005.306944444441</c:v>
                </c:pt>
                <c:pt idx="443">
                  <c:v>42005.307638888888</c:v>
                </c:pt>
                <c:pt idx="444">
                  <c:v>42005.308333333334</c:v>
                </c:pt>
                <c:pt idx="445">
                  <c:v>42005.309027777781</c:v>
                </c:pt>
                <c:pt idx="446">
                  <c:v>42005.30972222222</c:v>
                </c:pt>
                <c:pt idx="447">
                  <c:v>42005.310416666667</c:v>
                </c:pt>
                <c:pt idx="448">
                  <c:v>42005.311111111114</c:v>
                </c:pt>
                <c:pt idx="449">
                  <c:v>42005.311805555553</c:v>
                </c:pt>
                <c:pt idx="450">
                  <c:v>42005.3125</c:v>
                </c:pt>
                <c:pt idx="451">
                  <c:v>42005.313194444447</c:v>
                </c:pt>
                <c:pt idx="452">
                  <c:v>42005.313888888886</c:v>
                </c:pt>
                <c:pt idx="453">
                  <c:v>42005.314583333333</c:v>
                </c:pt>
                <c:pt idx="454">
                  <c:v>42005.31527777778</c:v>
                </c:pt>
                <c:pt idx="455">
                  <c:v>42005.315972222219</c:v>
                </c:pt>
                <c:pt idx="456">
                  <c:v>42005.316666666666</c:v>
                </c:pt>
                <c:pt idx="457">
                  <c:v>42005.317361111112</c:v>
                </c:pt>
                <c:pt idx="458">
                  <c:v>42005.318055555559</c:v>
                </c:pt>
                <c:pt idx="459">
                  <c:v>42005.318749999999</c:v>
                </c:pt>
                <c:pt idx="460">
                  <c:v>42005.319444444445</c:v>
                </c:pt>
                <c:pt idx="461">
                  <c:v>42005.320138888892</c:v>
                </c:pt>
                <c:pt idx="462">
                  <c:v>42005.320833333331</c:v>
                </c:pt>
                <c:pt idx="463">
                  <c:v>42005.321527777778</c:v>
                </c:pt>
                <c:pt idx="464">
                  <c:v>42005.322222222225</c:v>
                </c:pt>
                <c:pt idx="465">
                  <c:v>42005.322916666664</c:v>
                </c:pt>
                <c:pt idx="466">
                  <c:v>42005.323611111111</c:v>
                </c:pt>
                <c:pt idx="467">
                  <c:v>42005.324305555558</c:v>
                </c:pt>
                <c:pt idx="468">
                  <c:v>42005.324999999997</c:v>
                </c:pt>
                <c:pt idx="469">
                  <c:v>42005.325694444444</c:v>
                </c:pt>
                <c:pt idx="470">
                  <c:v>42005.326388888891</c:v>
                </c:pt>
                <c:pt idx="471">
                  <c:v>42005.32708333333</c:v>
                </c:pt>
                <c:pt idx="472">
                  <c:v>42005.327777777777</c:v>
                </c:pt>
                <c:pt idx="473">
                  <c:v>42005.328472222223</c:v>
                </c:pt>
                <c:pt idx="474">
                  <c:v>42005.32916666667</c:v>
                </c:pt>
                <c:pt idx="475">
                  <c:v>42005.329861111109</c:v>
                </c:pt>
                <c:pt idx="476">
                  <c:v>42005.330555555556</c:v>
                </c:pt>
                <c:pt idx="477">
                  <c:v>42005.331250000003</c:v>
                </c:pt>
                <c:pt idx="478">
                  <c:v>42005.331944444442</c:v>
                </c:pt>
                <c:pt idx="479">
                  <c:v>42005.332638888889</c:v>
                </c:pt>
                <c:pt idx="480">
                  <c:v>42005.333333333336</c:v>
                </c:pt>
                <c:pt idx="481">
                  <c:v>42005.334027777775</c:v>
                </c:pt>
                <c:pt idx="482">
                  <c:v>42005.334722222222</c:v>
                </c:pt>
                <c:pt idx="483">
                  <c:v>42005.335416666669</c:v>
                </c:pt>
                <c:pt idx="484">
                  <c:v>42005.336111111108</c:v>
                </c:pt>
                <c:pt idx="485">
                  <c:v>42005.336805555555</c:v>
                </c:pt>
                <c:pt idx="486">
                  <c:v>42005.337500000001</c:v>
                </c:pt>
                <c:pt idx="487">
                  <c:v>42005.338194444441</c:v>
                </c:pt>
                <c:pt idx="488">
                  <c:v>42005.338888888888</c:v>
                </c:pt>
                <c:pt idx="489">
                  <c:v>42005.339583333334</c:v>
                </c:pt>
                <c:pt idx="490">
                  <c:v>42005.340277777781</c:v>
                </c:pt>
                <c:pt idx="491">
                  <c:v>42005.34097222222</c:v>
                </c:pt>
                <c:pt idx="492">
                  <c:v>42005.341666666667</c:v>
                </c:pt>
                <c:pt idx="493">
                  <c:v>42005.342361111114</c:v>
                </c:pt>
                <c:pt idx="494">
                  <c:v>42005.343055555553</c:v>
                </c:pt>
                <c:pt idx="495">
                  <c:v>42005.34375</c:v>
                </c:pt>
                <c:pt idx="496">
                  <c:v>42005.344444444447</c:v>
                </c:pt>
                <c:pt idx="497">
                  <c:v>42005.345138888886</c:v>
                </c:pt>
                <c:pt idx="498">
                  <c:v>42005.345833333333</c:v>
                </c:pt>
                <c:pt idx="499">
                  <c:v>42005.34652777778</c:v>
                </c:pt>
                <c:pt idx="500">
                  <c:v>42005.347222222219</c:v>
                </c:pt>
                <c:pt idx="501">
                  <c:v>42005.347916666666</c:v>
                </c:pt>
                <c:pt idx="502">
                  <c:v>42005.348611111112</c:v>
                </c:pt>
                <c:pt idx="503">
                  <c:v>42005.349305555559</c:v>
                </c:pt>
                <c:pt idx="504">
                  <c:v>42005.35</c:v>
                </c:pt>
                <c:pt idx="505">
                  <c:v>42005.350694444445</c:v>
                </c:pt>
                <c:pt idx="506">
                  <c:v>42005.351388888892</c:v>
                </c:pt>
                <c:pt idx="507">
                  <c:v>42005.352083333331</c:v>
                </c:pt>
                <c:pt idx="508">
                  <c:v>42005.352777777778</c:v>
                </c:pt>
                <c:pt idx="509">
                  <c:v>42005.353472222225</c:v>
                </c:pt>
                <c:pt idx="510">
                  <c:v>42005.354166666664</c:v>
                </c:pt>
                <c:pt idx="511">
                  <c:v>42005.354861111111</c:v>
                </c:pt>
                <c:pt idx="512">
                  <c:v>42005.355555555558</c:v>
                </c:pt>
                <c:pt idx="513">
                  <c:v>42005.356249999997</c:v>
                </c:pt>
                <c:pt idx="514">
                  <c:v>42005.356944444444</c:v>
                </c:pt>
                <c:pt idx="515">
                  <c:v>42005.357638888891</c:v>
                </c:pt>
                <c:pt idx="516">
                  <c:v>42005.35833333333</c:v>
                </c:pt>
                <c:pt idx="517">
                  <c:v>42005.359027777777</c:v>
                </c:pt>
                <c:pt idx="518">
                  <c:v>42005.359722222223</c:v>
                </c:pt>
                <c:pt idx="519">
                  <c:v>42005.36041666667</c:v>
                </c:pt>
                <c:pt idx="520">
                  <c:v>42005.361111111109</c:v>
                </c:pt>
                <c:pt idx="521">
                  <c:v>42005.361805555556</c:v>
                </c:pt>
                <c:pt idx="522">
                  <c:v>42005.362500000003</c:v>
                </c:pt>
                <c:pt idx="523">
                  <c:v>42005.363194444442</c:v>
                </c:pt>
                <c:pt idx="524">
                  <c:v>42005.363888888889</c:v>
                </c:pt>
                <c:pt idx="525">
                  <c:v>42005.364583333336</c:v>
                </c:pt>
                <c:pt idx="526">
                  <c:v>42005.365277777775</c:v>
                </c:pt>
                <c:pt idx="527">
                  <c:v>42005.365972222222</c:v>
                </c:pt>
                <c:pt idx="528">
                  <c:v>42005.366666666669</c:v>
                </c:pt>
                <c:pt idx="529">
                  <c:v>42005.367361111108</c:v>
                </c:pt>
                <c:pt idx="530">
                  <c:v>42005.368055555555</c:v>
                </c:pt>
                <c:pt idx="531">
                  <c:v>42005.368750000001</c:v>
                </c:pt>
                <c:pt idx="532">
                  <c:v>42005.369444444441</c:v>
                </c:pt>
                <c:pt idx="533">
                  <c:v>42005.370138888888</c:v>
                </c:pt>
                <c:pt idx="534">
                  <c:v>42005.370833333334</c:v>
                </c:pt>
                <c:pt idx="535">
                  <c:v>42005.371527777781</c:v>
                </c:pt>
                <c:pt idx="536">
                  <c:v>42005.37222222222</c:v>
                </c:pt>
                <c:pt idx="537">
                  <c:v>42005.372916666667</c:v>
                </c:pt>
                <c:pt idx="538">
                  <c:v>42005.373611111114</c:v>
                </c:pt>
                <c:pt idx="539">
                  <c:v>42005.374305555553</c:v>
                </c:pt>
                <c:pt idx="540">
                  <c:v>42005.375</c:v>
                </c:pt>
                <c:pt idx="541">
                  <c:v>42005.375694444447</c:v>
                </c:pt>
                <c:pt idx="542">
                  <c:v>42005.376388888886</c:v>
                </c:pt>
                <c:pt idx="543">
                  <c:v>42005.377083333333</c:v>
                </c:pt>
                <c:pt idx="544">
                  <c:v>42005.37777777778</c:v>
                </c:pt>
                <c:pt idx="545">
                  <c:v>42005.378472222219</c:v>
                </c:pt>
                <c:pt idx="546">
                  <c:v>42005.379166666666</c:v>
                </c:pt>
                <c:pt idx="547">
                  <c:v>42005.379861111112</c:v>
                </c:pt>
                <c:pt idx="548">
                  <c:v>42005.380555555559</c:v>
                </c:pt>
                <c:pt idx="549">
                  <c:v>42005.381249999999</c:v>
                </c:pt>
                <c:pt idx="550">
                  <c:v>42005.381944444445</c:v>
                </c:pt>
                <c:pt idx="551">
                  <c:v>42005.382638888892</c:v>
                </c:pt>
                <c:pt idx="552">
                  <c:v>42005.383333333331</c:v>
                </c:pt>
                <c:pt idx="553">
                  <c:v>42005.384027777778</c:v>
                </c:pt>
                <c:pt idx="554">
                  <c:v>42005.384722222225</c:v>
                </c:pt>
                <c:pt idx="555">
                  <c:v>42005.385416666664</c:v>
                </c:pt>
                <c:pt idx="556">
                  <c:v>42005.386111111111</c:v>
                </c:pt>
                <c:pt idx="557">
                  <c:v>42005.386805555558</c:v>
                </c:pt>
                <c:pt idx="558">
                  <c:v>42005.387499999997</c:v>
                </c:pt>
                <c:pt idx="559">
                  <c:v>42005.388194444444</c:v>
                </c:pt>
                <c:pt idx="560">
                  <c:v>42005.388888888891</c:v>
                </c:pt>
                <c:pt idx="561">
                  <c:v>42005.38958333333</c:v>
                </c:pt>
                <c:pt idx="562">
                  <c:v>42005.390277777777</c:v>
                </c:pt>
                <c:pt idx="563">
                  <c:v>42005.390972222223</c:v>
                </c:pt>
                <c:pt idx="564">
                  <c:v>42005.39166666667</c:v>
                </c:pt>
                <c:pt idx="565">
                  <c:v>42005.392361111109</c:v>
                </c:pt>
                <c:pt idx="566">
                  <c:v>42005.393055555556</c:v>
                </c:pt>
                <c:pt idx="567">
                  <c:v>42005.393750000003</c:v>
                </c:pt>
                <c:pt idx="568">
                  <c:v>42005.394444444442</c:v>
                </c:pt>
                <c:pt idx="569">
                  <c:v>42005.395138888889</c:v>
                </c:pt>
                <c:pt idx="570">
                  <c:v>42005.395833333336</c:v>
                </c:pt>
                <c:pt idx="571">
                  <c:v>42005.396527777775</c:v>
                </c:pt>
                <c:pt idx="572">
                  <c:v>42005.397222222222</c:v>
                </c:pt>
                <c:pt idx="573">
                  <c:v>42005.397916666669</c:v>
                </c:pt>
                <c:pt idx="574">
                  <c:v>42005.398611111108</c:v>
                </c:pt>
                <c:pt idx="575">
                  <c:v>42005.399305555555</c:v>
                </c:pt>
                <c:pt idx="576">
                  <c:v>42005.4</c:v>
                </c:pt>
                <c:pt idx="577">
                  <c:v>42005.400694444441</c:v>
                </c:pt>
                <c:pt idx="578">
                  <c:v>42005.401388888888</c:v>
                </c:pt>
                <c:pt idx="579">
                  <c:v>42005.402083333334</c:v>
                </c:pt>
                <c:pt idx="580">
                  <c:v>42005.402777777781</c:v>
                </c:pt>
                <c:pt idx="581">
                  <c:v>42005.40347222222</c:v>
                </c:pt>
                <c:pt idx="582">
                  <c:v>42005.404166666667</c:v>
                </c:pt>
                <c:pt idx="583">
                  <c:v>42005.404861111114</c:v>
                </c:pt>
                <c:pt idx="584">
                  <c:v>42005.405555555553</c:v>
                </c:pt>
                <c:pt idx="585">
                  <c:v>42005.40625</c:v>
                </c:pt>
                <c:pt idx="586">
                  <c:v>42005.406944444447</c:v>
                </c:pt>
                <c:pt idx="587">
                  <c:v>42005.407638888886</c:v>
                </c:pt>
                <c:pt idx="588">
                  <c:v>42005.408333333333</c:v>
                </c:pt>
                <c:pt idx="589">
                  <c:v>42005.40902777778</c:v>
                </c:pt>
                <c:pt idx="590">
                  <c:v>42005.409722222219</c:v>
                </c:pt>
                <c:pt idx="591">
                  <c:v>42005.410416666666</c:v>
                </c:pt>
                <c:pt idx="592">
                  <c:v>42005.411111111112</c:v>
                </c:pt>
                <c:pt idx="593">
                  <c:v>42005.411805555559</c:v>
                </c:pt>
                <c:pt idx="594">
                  <c:v>42005.412499999999</c:v>
                </c:pt>
                <c:pt idx="595">
                  <c:v>42005.413194444445</c:v>
                </c:pt>
                <c:pt idx="596">
                  <c:v>42005.413888888892</c:v>
                </c:pt>
                <c:pt idx="597">
                  <c:v>42005.414583333331</c:v>
                </c:pt>
                <c:pt idx="598">
                  <c:v>42005.415277777778</c:v>
                </c:pt>
                <c:pt idx="599">
                  <c:v>42005.415972222225</c:v>
                </c:pt>
                <c:pt idx="600">
                  <c:v>42005.416666666664</c:v>
                </c:pt>
                <c:pt idx="601">
                  <c:v>42005.417361111111</c:v>
                </c:pt>
                <c:pt idx="602">
                  <c:v>42005.418055555558</c:v>
                </c:pt>
                <c:pt idx="603">
                  <c:v>42005.418749999997</c:v>
                </c:pt>
                <c:pt idx="604">
                  <c:v>42005.419444444444</c:v>
                </c:pt>
                <c:pt idx="605">
                  <c:v>42005.420138888891</c:v>
                </c:pt>
                <c:pt idx="606">
                  <c:v>42005.42083333333</c:v>
                </c:pt>
                <c:pt idx="607">
                  <c:v>42005.421527777777</c:v>
                </c:pt>
                <c:pt idx="608">
                  <c:v>42005.422222222223</c:v>
                </c:pt>
                <c:pt idx="609">
                  <c:v>42005.42291666667</c:v>
                </c:pt>
                <c:pt idx="610">
                  <c:v>42005.423611111109</c:v>
                </c:pt>
                <c:pt idx="611">
                  <c:v>42005.424305555556</c:v>
                </c:pt>
                <c:pt idx="612">
                  <c:v>42005.425000000003</c:v>
                </c:pt>
                <c:pt idx="613">
                  <c:v>42005.425694444442</c:v>
                </c:pt>
                <c:pt idx="614">
                  <c:v>42005.426388888889</c:v>
                </c:pt>
                <c:pt idx="615">
                  <c:v>42005.427083333336</c:v>
                </c:pt>
                <c:pt idx="616">
                  <c:v>42005.427777777775</c:v>
                </c:pt>
                <c:pt idx="617">
                  <c:v>42005.428472222222</c:v>
                </c:pt>
                <c:pt idx="618">
                  <c:v>42005.429166666669</c:v>
                </c:pt>
                <c:pt idx="619">
                  <c:v>42005.429861111108</c:v>
                </c:pt>
                <c:pt idx="620">
                  <c:v>42005.430555555555</c:v>
                </c:pt>
                <c:pt idx="621">
                  <c:v>42005.431250000001</c:v>
                </c:pt>
                <c:pt idx="622">
                  <c:v>42005.431944444441</c:v>
                </c:pt>
                <c:pt idx="623">
                  <c:v>42005.432638888888</c:v>
                </c:pt>
                <c:pt idx="624">
                  <c:v>42005.433333333334</c:v>
                </c:pt>
                <c:pt idx="625">
                  <c:v>42005.434027777781</c:v>
                </c:pt>
                <c:pt idx="626">
                  <c:v>42005.43472222222</c:v>
                </c:pt>
                <c:pt idx="627">
                  <c:v>42005.435416666667</c:v>
                </c:pt>
                <c:pt idx="628">
                  <c:v>42005.436111111114</c:v>
                </c:pt>
                <c:pt idx="629">
                  <c:v>42005.436805555553</c:v>
                </c:pt>
                <c:pt idx="630">
                  <c:v>42005.4375</c:v>
                </c:pt>
                <c:pt idx="631">
                  <c:v>42005.438194444447</c:v>
                </c:pt>
                <c:pt idx="632">
                  <c:v>42005.438888888886</c:v>
                </c:pt>
                <c:pt idx="633">
                  <c:v>42005.439583333333</c:v>
                </c:pt>
                <c:pt idx="634">
                  <c:v>42005.44027777778</c:v>
                </c:pt>
                <c:pt idx="635">
                  <c:v>42005.440972222219</c:v>
                </c:pt>
                <c:pt idx="636">
                  <c:v>42005.441666666666</c:v>
                </c:pt>
                <c:pt idx="637">
                  <c:v>42005.442361111112</c:v>
                </c:pt>
                <c:pt idx="638">
                  <c:v>42005.443055555559</c:v>
                </c:pt>
                <c:pt idx="639">
                  <c:v>42005.443749999999</c:v>
                </c:pt>
                <c:pt idx="640">
                  <c:v>42005.444444444445</c:v>
                </c:pt>
                <c:pt idx="641">
                  <c:v>42005.445138888892</c:v>
                </c:pt>
                <c:pt idx="642">
                  <c:v>42005.445833333331</c:v>
                </c:pt>
                <c:pt idx="643">
                  <c:v>42005.446527777778</c:v>
                </c:pt>
                <c:pt idx="644">
                  <c:v>42005.447222222225</c:v>
                </c:pt>
                <c:pt idx="645">
                  <c:v>42005.447916666664</c:v>
                </c:pt>
                <c:pt idx="646">
                  <c:v>42005.448611111111</c:v>
                </c:pt>
                <c:pt idx="647">
                  <c:v>42005.449305555558</c:v>
                </c:pt>
                <c:pt idx="648">
                  <c:v>42005.45</c:v>
                </c:pt>
                <c:pt idx="649">
                  <c:v>42005.450694444444</c:v>
                </c:pt>
                <c:pt idx="650">
                  <c:v>42005.451388888891</c:v>
                </c:pt>
                <c:pt idx="651">
                  <c:v>42005.45208333333</c:v>
                </c:pt>
                <c:pt idx="652">
                  <c:v>42005.452777777777</c:v>
                </c:pt>
                <c:pt idx="653">
                  <c:v>42005.453472222223</c:v>
                </c:pt>
                <c:pt idx="654">
                  <c:v>42005.45416666667</c:v>
                </c:pt>
                <c:pt idx="655">
                  <c:v>42005.454861111109</c:v>
                </c:pt>
                <c:pt idx="656">
                  <c:v>42005.455555555556</c:v>
                </c:pt>
                <c:pt idx="657">
                  <c:v>42005.456250000003</c:v>
                </c:pt>
                <c:pt idx="658">
                  <c:v>42005.456944444442</c:v>
                </c:pt>
                <c:pt idx="659">
                  <c:v>42005.457638888889</c:v>
                </c:pt>
                <c:pt idx="660">
                  <c:v>42005.458333333336</c:v>
                </c:pt>
                <c:pt idx="661">
                  <c:v>42005.459027777775</c:v>
                </c:pt>
                <c:pt idx="662">
                  <c:v>42005.459722222222</c:v>
                </c:pt>
                <c:pt idx="663">
                  <c:v>42005.460416666669</c:v>
                </c:pt>
                <c:pt idx="664">
                  <c:v>42005.461111111108</c:v>
                </c:pt>
                <c:pt idx="665">
                  <c:v>42005.461805555555</c:v>
                </c:pt>
                <c:pt idx="666">
                  <c:v>42005.462500000001</c:v>
                </c:pt>
                <c:pt idx="667">
                  <c:v>42005.463194444441</c:v>
                </c:pt>
                <c:pt idx="668">
                  <c:v>42005.463888888888</c:v>
                </c:pt>
                <c:pt idx="669">
                  <c:v>42005.464583333334</c:v>
                </c:pt>
                <c:pt idx="670">
                  <c:v>42005.465277777781</c:v>
                </c:pt>
                <c:pt idx="671">
                  <c:v>42005.46597222222</c:v>
                </c:pt>
                <c:pt idx="672">
                  <c:v>42005.466666666667</c:v>
                </c:pt>
                <c:pt idx="673">
                  <c:v>42005.467361111114</c:v>
                </c:pt>
                <c:pt idx="674">
                  <c:v>42005.468055555553</c:v>
                </c:pt>
                <c:pt idx="675">
                  <c:v>42005.46875</c:v>
                </c:pt>
                <c:pt idx="676">
                  <c:v>42005.469444444447</c:v>
                </c:pt>
                <c:pt idx="677">
                  <c:v>42005.470138888886</c:v>
                </c:pt>
                <c:pt idx="678">
                  <c:v>42005.470833333333</c:v>
                </c:pt>
                <c:pt idx="679">
                  <c:v>42005.47152777778</c:v>
                </c:pt>
                <c:pt idx="680">
                  <c:v>42005.472222222219</c:v>
                </c:pt>
                <c:pt idx="681">
                  <c:v>42005.472916666666</c:v>
                </c:pt>
                <c:pt idx="682">
                  <c:v>42005.473611111112</c:v>
                </c:pt>
                <c:pt idx="683">
                  <c:v>42005.474305555559</c:v>
                </c:pt>
                <c:pt idx="684">
                  <c:v>42005.474999999999</c:v>
                </c:pt>
                <c:pt idx="685">
                  <c:v>42005.475694444445</c:v>
                </c:pt>
                <c:pt idx="686">
                  <c:v>42005.476388888892</c:v>
                </c:pt>
                <c:pt idx="687">
                  <c:v>42005.477083333331</c:v>
                </c:pt>
                <c:pt idx="688">
                  <c:v>42005.477777777778</c:v>
                </c:pt>
                <c:pt idx="689">
                  <c:v>42005.478472222225</c:v>
                </c:pt>
                <c:pt idx="690">
                  <c:v>42005.479166666664</c:v>
                </c:pt>
                <c:pt idx="691">
                  <c:v>42005.479861111111</c:v>
                </c:pt>
                <c:pt idx="692">
                  <c:v>42005.480555555558</c:v>
                </c:pt>
                <c:pt idx="693">
                  <c:v>42005.481249999997</c:v>
                </c:pt>
                <c:pt idx="694">
                  <c:v>42005.481944444444</c:v>
                </c:pt>
                <c:pt idx="695">
                  <c:v>42005.482638888891</c:v>
                </c:pt>
                <c:pt idx="696">
                  <c:v>42005.48333333333</c:v>
                </c:pt>
                <c:pt idx="697">
                  <c:v>42005.484027777777</c:v>
                </c:pt>
                <c:pt idx="698">
                  <c:v>42005.484722222223</c:v>
                </c:pt>
                <c:pt idx="699">
                  <c:v>42005.48541666667</c:v>
                </c:pt>
                <c:pt idx="700">
                  <c:v>42005.486111111109</c:v>
                </c:pt>
                <c:pt idx="701">
                  <c:v>42005.486805555556</c:v>
                </c:pt>
                <c:pt idx="702">
                  <c:v>42005.487500000003</c:v>
                </c:pt>
                <c:pt idx="703">
                  <c:v>42005.488194444442</c:v>
                </c:pt>
                <c:pt idx="704">
                  <c:v>42005.488888888889</c:v>
                </c:pt>
                <c:pt idx="705">
                  <c:v>42005.489583333336</c:v>
                </c:pt>
                <c:pt idx="706">
                  <c:v>42005.490277777775</c:v>
                </c:pt>
                <c:pt idx="707">
                  <c:v>42005.490972222222</c:v>
                </c:pt>
                <c:pt idx="708">
                  <c:v>42005.491666666669</c:v>
                </c:pt>
                <c:pt idx="709">
                  <c:v>42005.492361111108</c:v>
                </c:pt>
                <c:pt idx="710">
                  <c:v>42005.493055555555</c:v>
                </c:pt>
                <c:pt idx="711">
                  <c:v>42005.493750000001</c:v>
                </c:pt>
                <c:pt idx="712">
                  <c:v>42005.494444444441</c:v>
                </c:pt>
                <c:pt idx="713">
                  <c:v>42005.495138888888</c:v>
                </c:pt>
                <c:pt idx="714">
                  <c:v>42005.495833333334</c:v>
                </c:pt>
                <c:pt idx="715">
                  <c:v>42005.496527777781</c:v>
                </c:pt>
                <c:pt idx="716">
                  <c:v>42005.49722222222</c:v>
                </c:pt>
                <c:pt idx="717">
                  <c:v>42005.497916666667</c:v>
                </c:pt>
                <c:pt idx="718">
                  <c:v>42005.498611111114</c:v>
                </c:pt>
                <c:pt idx="719">
                  <c:v>42005.499305555553</c:v>
                </c:pt>
                <c:pt idx="720">
                  <c:v>42005.5</c:v>
                </c:pt>
                <c:pt idx="721">
                  <c:v>42005.500694444447</c:v>
                </c:pt>
                <c:pt idx="722">
                  <c:v>42005.501388888886</c:v>
                </c:pt>
                <c:pt idx="723">
                  <c:v>42005.502083333333</c:v>
                </c:pt>
                <c:pt idx="724">
                  <c:v>42005.50277777778</c:v>
                </c:pt>
                <c:pt idx="725">
                  <c:v>42005.503472222219</c:v>
                </c:pt>
                <c:pt idx="726">
                  <c:v>42005.504166666666</c:v>
                </c:pt>
                <c:pt idx="727">
                  <c:v>42005.504861111112</c:v>
                </c:pt>
                <c:pt idx="728">
                  <c:v>42005.505555555559</c:v>
                </c:pt>
                <c:pt idx="729">
                  <c:v>42005.506249999999</c:v>
                </c:pt>
                <c:pt idx="730">
                  <c:v>42005.506944444445</c:v>
                </c:pt>
                <c:pt idx="731">
                  <c:v>42005.507638888892</c:v>
                </c:pt>
                <c:pt idx="732">
                  <c:v>42005.508333333331</c:v>
                </c:pt>
                <c:pt idx="733">
                  <c:v>42005.509027777778</c:v>
                </c:pt>
                <c:pt idx="734">
                  <c:v>42005.509722222225</c:v>
                </c:pt>
                <c:pt idx="735">
                  <c:v>42005.510416666664</c:v>
                </c:pt>
                <c:pt idx="736">
                  <c:v>42005.511111111111</c:v>
                </c:pt>
                <c:pt idx="737">
                  <c:v>42005.511805555558</c:v>
                </c:pt>
                <c:pt idx="738">
                  <c:v>42005.512499999997</c:v>
                </c:pt>
                <c:pt idx="739">
                  <c:v>42005.513194444444</c:v>
                </c:pt>
                <c:pt idx="740">
                  <c:v>42005.513888888891</c:v>
                </c:pt>
                <c:pt idx="741">
                  <c:v>42005.51458333333</c:v>
                </c:pt>
                <c:pt idx="742">
                  <c:v>42005.515277777777</c:v>
                </c:pt>
                <c:pt idx="743">
                  <c:v>42005.515972222223</c:v>
                </c:pt>
                <c:pt idx="744">
                  <c:v>42005.51666666667</c:v>
                </c:pt>
                <c:pt idx="745">
                  <c:v>42005.517361111109</c:v>
                </c:pt>
                <c:pt idx="746">
                  <c:v>42005.518055555556</c:v>
                </c:pt>
                <c:pt idx="747">
                  <c:v>42005.518750000003</c:v>
                </c:pt>
                <c:pt idx="748">
                  <c:v>42005.519444444442</c:v>
                </c:pt>
                <c:pt idx="749">
                  <c:v>42005.520138888889</c:v>
                </c:pt>
                <c:pt idx="750">
                  <c:v>42005.520833333336</c:v>
                </c:pt>
                <c:pt idx="751">
                  <c:v>42005.521527777775</c:v>
                </c:pt>
                <c:pt idx="752">
                  <c:v>42005.522222222222</c:v>
                </c:pt>
                <c:pt idx="753">
                  <c:v>42005.522916666669</c:v>
                </c:pt>
                <c:pt idx="754">
                  <c:v>42005.523611111108</c:v>
                </c:pt>
                <c:pt idx="755">
                  <c:v>42005.524305555555</c:v>
                </c:pt>
                <c:pt idx="756">
                  <c:v>42005.525000000001</c:v>
                </c:pt>
                <c:pt idx="757">
                  <c:v>42005.525694444441</c:v>
                </c:pt>
                <c:pt idx="758">
                  <c:v>42005.526388888888</c:v>
                </c:pt>
                <c:pt idx="759">
                  <c:v>42005.527083333334</c:v>
                </c:pt>
                <c:pt idx="760">
                  <c:v>42005.527777777781</c:v>
                </c:pt>
                <c:pt idx="761">
                  <c:v>42005.52847222222</c:v>
                </c:pt>
                <c:pt idx="762">
                  <c:v>42005.529166666667</c:v>
                </c:pt>
                <c:pt idx="763">
                  <c:v>42005.529861111114</c:v>
                </c:pt>
                <c:pt idx="764">
                  <c:v>42005.530555555553</c:v>
                </c:pt>
                <c:pt idx="765">
                  <c:v>42005.53125</c:v>
                </c:pt>
                <c:pt idx="766">
                  <c:v>42005.531944444447</c:v>
                </c:pt>
                <c:pt idx="767">
                  <c:v>42005.532638888886</c:v>
                </c:pt>
                <c:pt idx="768">
                  <c:v>42005.533333333333</c:v>
                </c:pt>
                <c:pt idx="769">
                  <c:v>42005.53402777778</c:v>
                </c:pt>
                <c:pt idx="770">
                  <c:v>42005.534722222219</c:v>
                </c:pt>
                <c:pt idx="771">
                  <c:v>42005.535416666666</c:v>
                </c:pt>
                <c:pt idx="772">
                  <c:v>42005.536111111112</c:v>
                </c:pt>
                <c:pt idx="773">
                  <c:v>42005.536805555559</c:v>
                </c:pt>
                <c:pt idx="774">
                  <c:v>42005.537499999999</c:v>
                </c:pt>
                <c:pt idx="775">
                  <c:v>42005.538194444445</c:v>
                </c:pt>
                <c:pt idx="776">
                  <c:v>42005.538888888892</c:v>
                </c:pt>
                <c:pt idx="777">
                  <c:v>42005.539583333331</c:v>
                </c:pt>
                <c:pt idx="778">
                  <c:v>42005.540277777778</c:v>
                </c:pt>
                <c:pt idx="779">
                  <c:v>42005.540972222225</c:v>
                </c:pt>
                <c:pt idx="780">
                  <c:v>42005.541666666664</c:v>
                </c:pt>
                <c:pt idx="781">
                  <c:v>42005.542361111111</c:v>
                </c:pt>
                <c:pt idx="782">
                  <c:v>42005.543055555558</c:v>
                </c:pt>
                <c:pt idx="783">
                  <c:v>42005.543749999997</c:v>
                </c:pt>
                <c:pt idx="784">
                  <c:v>42005.544444444444</c:v>
                </c:pt>
                <c:pt idx="785">
                  <c:v>42005.545138888891</c:v>
                </c:pt>
                <c:pt idx="786">
                  <c:v>42005.54583333333</c:v>
                </c:pt>
                <c:pt idx="787">
                  <c:v>42005.546527777777</c:v>
                </c:pt>
                <c:pt idx="788">
                  <c:v>42005.547222222223</c:v>
                </c:pt>
                <c:pt idx="789">
                  <c:v>42005.54791666667</c:v>
                </c:pt>
                <c:pt idx="790">
                  <c:v>42005.548611111109</c:v>
                </c:pt>
                <c:pt idx="791">
                  <c:v>42005.549305555556</c:v>
                </c:pt>
                <c:pt idx="792">
                  <c:v>42005.55</c:v>
                </c:pt>
                <c:pt idx="793">
                  <c:v>42005.550694444442</c:v>
                </c:pt>
                <c:pt idx="794">
                  <c:v>42005.551388888889</c:v>
                </c:pt>
                <c:pt idx="795">
                  <c:v>42005.552083333336</c:v>
                </c:pt>
                <c:pt idx="796">
                  <c:v>42005.552777777775</c:v>
                </c:pt>
                <c:pt idx="797">
                  <c:v>42005.553472222222</c:v>
                </c:pt>
                <c:pt idx="798">
                  <c:v>42005.554166666669</c:v>
                </c:pt>
                <c:pt idx="799">
                  <c:v>42005.554861111108</c:v>
                </c:pt>
                <c:pt idx="800">
                  <c:v>42005.555555555555</c:v>
                </c:pt>
                <c:pt idx="801">
                  <c:v>42005.556250000001</c:v>
                </c:pt>
                <c:pt idx="802">
                  <c:v>42005.556944444441</c:v>
                </c:pt>
                <c:pt idx="803">
                  <c:v>42005.557638888888</c:v>
                </c:pt>
                <c:pt idx="804">
                  <c:v>42005.558333333334</c:v>
                </c:pt>
                <c:pt idx="805">
                  <c:v>42005.559027777781</c:v>
                </c:pt>
                <c:pt idx="806">
                  <c:v>42005.55972222222</c:v>
                </c:pt>
                <c:pt idx="807">
                  <c:v>42005.560416666667</c:v>
                </c:pt>
                <c:pt idx="808">
                  <c:v>42005.561111111114</c:v>
                </c:pt>
                <c:pt idx="809">
                  <c:v>42005.561805555553</c:v>
                </c:pt>
                <c:pt idx="810">
                  <c:v>42005.5625</c:v>
                </c:pt>
                <c:pt idx="811">
                  <c:v>42005.563194444447</c:v>
                </c:pt>
                <c:pt idx="812">
                  <c:v>42005.563888888886</c:v>
                </c:pt>
                <c:pt idx="813">
                  <c:v>42005.564583333333</c:v>
                </c:pt>
                <c:pt idx="814">
                  <c:v>42005.56527777778</c:v>
                </c:pt>
                <c:pt idx="815">
                  <c:v>42005.565972222219</c:v>
                </c:pt>
                <c:pt idx="816">
                  <c:v>42005.566666666666</c:v>
                </c:pt>
                <c:pt idx="817">
                  <c:v>42005.567361111112</c:v>
                </c:pt>
                <c:pt idx="818">
                  <c:v>42005.568055555559</c:v>
                </c:pt>
                <c:pt idx="819">
                  <c:v>42005.568749999999</c:v>
                </c:pt>
                <c:pt idx="820">
                  <c:v>42005.569444444445</c:v>
                </c:pt>
                <c:pt idx="821">
                  <c:v>42005.570138888892</c:v>
                </c:pt>
                <c:pt idx="822">
                  <c:v>42005.570833333331</c:v>
                </c:pt>
                <c:pt idx="823">
                  <c:v>42005.571527777778</c:v>
                </c:pt>
                <c:pt idx="824">
                  <c:v>42005.572222222225</c:v>
                </c:pt>
                <c:pt idx="825">
                  <c:v>42005.572916666664</c:v>
                </c:pt>
                <c:pt idx="826">
                  <c:v>42005.573611111111</c:v>
                </c:pt>
                <c:pt idx="827">
                  <c:v>42005.574305555558</c:v>
                </c:pt>
                <c:pt idx="828">
                  <c:v>42005.574999999997</c:v>
                </c:pt>
                <c:pt idx="829">
                  <c:v>42005.575694444444</c:v>
                </c:pt>
                <c:pt idx="830">
                  <c:v>42005.576388888891</c:v>
                </c:pt>
                <c:pt idx="831">
                  <c:v>42005.57708333333</c:v>
                </c:pt>
                <c:pt idx="832">
                  <c:v>42005.577777777777</c:v>
                </c:pt>
                <c:pt idx="833">
                  <c:v>42005.578472222223</c:v>
                </c:pt>
                <c:pt idx="834">
                  <c:v>42005.57916666667</c:v>
                </c:pt>
                <c:pt idx="835">
                  <c:v>42005.579861111109</c:v>
                </c:pt>
                <c:pt idx="836">
                  <c:v>42005.580555555556</c:v>
                </c:pt>
                <c:pt idx="837">
                  <c:v>42005.581250000003</c:v>
                </c:pt>
                <c:pt idx="838">
                  <c:v>42005.581944444442</c:v>
                </c:pt>
                <c:pt idx="839">
                  <c:v>42005.582638888889</c:v>
                </c:pt>
                <c:pt idx="840">
                  <c:v>42005.583333333336</c:v>
                </c:pt>
                <c:pt idx="841">
                  <c:v>42005.584027777775</c:v>
                </c:pt>
                <c:pt idx="842">
                  <c:v>42005.584722222222</c:v>
                </c:pt>
                <c:pt idx="843">
                  <c:v>42005.585416666669</c:v>
                </c:pt>
                <c:pt idx="844">
                  <c:v>42005.586111111108</c:v>
                </c:pt>
                <c:pt idx="845">
                  <c:v>42005.586805555555</c:v>
                </c:pt>
                <c:pt idx="846">
                  <c:v>42005.587500000001</c:v>
                </c:pt>
                <c:pt idx="847">
                  <c:v>42005.588194444441</c:v>
                </c:pt>
                <c:pt idx="848">
                  <c:v>42005.588888888888</c:v>
                </c:pt>
                <c:pt idx="849">
                  <c:v>42005.589583333334</c:v>
                </c:pt>
                <c:pt idx="850">
                  <c:v>42005.590277777781</c:v>
                </c:pt>
                <c:pt idx="851">
                  <c:v>42005.59097222222</c:v>
                </c:pt>
                <c:pt idx="852">
                  <c:v>42005.591666666667</c:v>
                </c:pt>
                <c:pt idx="853">
                  <c:v>42005.592361111114</c:v>
                </c:pt>
                <c:pt idx="854">
                  <c:v>42005.593055555553</c:v>
                </c:pt>
                <c:pt idx="855">
                  <c:v>42005.59375</c:v>
                </c:pt>
                <c:pt idx="856">
                  <c:v>42005.594444444447</c:v>
                </c:pt>
                <c:pt idx="857">
                  <c:v>42005.595138888886</c:v>
                </c:pt>
                <c:pt idx="858">
                  <c:v>42005.595833333333</c:v>
                </c:pt>
                <c:pt idx="859">
                  <c:v>42005.59652777778</c:v>
                </c:pt>
                <c:pt idx="860">
                  <c:v>42005.597222222219</c:v>
                </c:pt>
                <c:pt idx="861">
                  <c:v>42005.597916666666</c:v>
                </c:pt>
                <c:pt idx="862">
                  <c:v>42005.598611111112</c:v>
                </c:pt>
                <c:pt idx="863">
                  <c:v>42005.599305555559</c:v>
                </c:pt>
                <c:pt idx="864">
                  <c:v>42005.599999999999</c:v>
                </c:pt>
                <c:pt idx="865">
                  <c:v>42005.600694444445</c:v>
                </c:pt>
                <c:pt idx="866">
                  <c:v>42005.601388888892</c:v>
                </c:pt>
                <c:pt idx="867">
                  <c:v>42005.602083333331</c:v>
                </c:pt>
                <c:pt idx="868">
                  <c:v>42005.602777777778</c:v>
                </c:pt>
                <c:pt idx="869">
                  <c:v>42005.603472222225</c:v>
                </c:pt>
                <c:pt idx="870">
                  <c:v>42005.604166666664</c:v>
                </c:pt>
                <c:pt idx="871">
                  <c:v>42005.604861111111</c:v>
                </c:pt>
                <c:pt idx="872">
                  <c:v>42005.605555555558</c:v>
                </c:pt>
                <c:pt idx="873">
                  <c:v>42005.606249999997</c:v>
                </c:pt>
                <c:pt idx="874">
                  <c:v>42005.606944444444</c:v>
                </c:pt>
                <c:pt idx="875">
                  <c:v>42005.607638888891</c:v>
                </c:pt>
                <c:pt idx="876">
                  <c:v>42005.60833333333</c:v>
                </c:pt>
                <c:pt idx="877">
                  <c:v>42005.609027777777</c:v>
                </c:pt>
                <c:pt idx="878">
                  <c:v>42005.609722222223</c:v>
                </c:pt>
                <c:pt idx="879">
                  <c:v>42005.61041666667</c:v>
                </c:pt>
                <c:pt idx="880">
                  <c:v>42005.611111111109</c:v>
                </c:pt>
                <c:pt idx="881">
                  <c:v>42005.611805555556</c:v>
                </c:pt>
                <c:pt idx="882">
                  <c:v>42005.612500000003</c:v>
                </c:pt>
                <c:pt idx="883">
                  <c:v>42005.613194444442</c:v>
                </c:pt>
                <c:pt idx="884">
                  <c:v>42005.613888888889</c:v>
                </c:pt>
                <c:pt idx="885">
                  <c:v>42005.614583333336</c:v>
                </c:pt>
                <c:pt idx="886">
                  <c:v>42005.615277777775</c:v>
                </c:pt>
                <c:pt idx="887">
                  <c:v>42005.615972222222</c:v>
                </c:pt>
                <c:pt idx="888">
                  <c:v>42005.616666666669</c:v>
                </c:pt>
                <c:pt idx="889">
                  <c:v>42005.617361111108</c:v>
                </c:pt>
                <c:pt idx="890">
                  <c:v>42005.618055555555</c:v>
                </c:pt>
                <c:pt idx="891">
                  <c:v>42005.618750000001</c:v>
                </c:pt>
                <c:pt idx="892">
                  <c:v>42005.619444444441</c:v>
                </c:pt>
                <c:pt idx="893">
                  <c:v>42005.620138888888</c:v>
                </c:pt>
                <c:pt idx="894">
                  <c:v>42005.620833333334</c:v>
                </c:pt>
                <c:pt idx="895">
                  <c:v>42005.621527777781</c:v>
                </c:pt>
                <c:pt idx="896">
                  <c:v>42005.62222222222</c:v>
                </c:pt>
                <c:pt idx="897">
                  <c:v>42005.622916666667</c:v>
                </c:pt>
                <c:pt idx="898">
                  <c:v>42005.623611111114</c:v>
                </c:pt>
                <c:pt idx="899">
                  <c:v>42005.624305555553</c:v>
                </c:pt>
                <c:pt idx="900">
                  <c:v>42005.625</c:v>
                </c:pt>
                <c:pt idx="901">
                  <c:v>42005.625694444447</c:v>
                </c:pt>
                <c:pt idx="902">
                  <c:v>42005.626388888886</c:v>
                </c:pt>
                <c:pt idx="903">
                  <c:v>42005.627083333333</c:v>
                </c:pt>
                <c:pt idx="904">
                  <c:v>42005.62777777778</c:v>
                </c:pt>
                <c:pt idx="905">
                  <c:v>42005.628472222219</c:v>
                </c:pt>
                <c:pt idx="906">
                  <c:v>42005.629166666666</c:v>
                </c:pt>
                <c:pt idx="907">
                  <c:v>42005.629861111112</c:v>
                </c:pt>
                <c:pt idx="908">
                  <c:v>42005.630555555559</c:v>
                </c:pt>
                <c:pt idx="909">
                  <c:v>42005.631249999999</c:v>
                </c:pt>
                <c:pt idx="910">
                  <c:v>42005.631944444445</c:v>
                </c:pt>
                <c:pt idx="911">
                  <c:v>42005.632638888892</c:v>
                </c:pt>
                <c:pt idx="912">
                  <c:v>42005.633333333331</c:v>
                </c:pt>
                <c:pt idx="913">
                  <c:v>42005.634027777778</c:v>
                </c:pt>
                <c:pt idx="914">
                  <c:v>42005.634722222225</c:v>
                </c:pt>
                <c:pt idx="915">
                  <c:v>42005.635416666664</c:v>
                </c:pt>
                <c:pt idx="916">
                  <c:v>42005.636111111111</c:v>
                </c:pt>
                <c:pt idx="917">
                  <c:v>42005.636805555558</c:v>
                </c:pt>
                <c:pt idx="918">
                  <c:v>42005.637499999997</c:v>
                </c:pt>
                <c:pt idx="919">
                  <c:v>42005.638194444444</c:v>
                </c:pt>
                <c:pt idx="920">
                  <c:v>42005.638888888891</c:v>
                </c:pt>
                <c:pt idx="921">
                  <c:v>42005.63958333333</c:v>
                </c:pt>
                <c:pt idx="922">
                  <c:v>42005.640277777777</c:v>
                </c:pt>
                <c:pt idx="923">
                  <c:v>42005.640972222223</c:v>
                </c:pt>
                <c:pt idx="924">
                  <c:v>42005.64166666667</c:v>
                </c:pt>
                <c:pt idx="925">
                  <c:v>42005.642361111109</c:v>
                </c:pt>
                <c:pt idx="926">
                  <c:v>42005.643055555556</c:v>
                </c:pt>
                <c:pt idx="927">
                  <c:v>42005.643750000003</c:v>
                </c:pt>
                <c:pt idx="928">
                  <c:v>42005.644444444442</c:v>
                </c:pt>
                <c:pt idx="929">
                  <c:v>42005.645138888889</c:v>
                </c:pt>
                <c:pt idx="930">
                  <c:v>42005.645833333336</c:v>
                </c:pt>
                <c:pt idx="931">
                  <c:v>42005.646527777775</c:v>
                </c:pt>
                <c:pt idx="932">
                  <c:v>42005.647222222222</c:v>
                </c:pt>
                <c:pt idx="933">
                  <c:v>42005.647916666669</c:v>
                </c:pt>
                <c:pt idx="934">
                  <c:v>42005.648611111108</c:v>
                </c:pt>
                <c:pt idx="935">
                  <c:v>42005.649305555555</c:v>
                </c:pt>
                <c:pt idx="936">
                  <c:v>42005.65</c:v>
                </c:pt>
                <c:pt idx="937">
                  <c:v>42005.650694444441</c:v>
                </c:pt>
                <c:pt idx="938">
                  <c:v>42005.651388888888</c:v>
                </c:pt>
                <c:pt idx="939">
                  <c:v>42005.652083333334</c:v>
                </c:pt>
                <c:pt idx="940">
                  <c:v>42005.652777777781</c:v>
                </c:pt>
                <c:pt idx="941">
                  <c:v>42005.65347222222</c:v>
                </c:pt>
                <c:pt idx="942">
                  <c:v>42005.654166666667</c:v>
                </c:pt>
                <c:pt idx="943">
                  <c:v>42005.654861111114</c:v>
                </c:pt>
                <c:pt idx="944">
                  <c:v>42005.655555555553</c:v>
                </c:pt>
                <c:pt idx="945">
                  <c:v>42005.65625</c:v>
                </c:pt>
                <c:pt idx="946">
                  <c:v>42005.656944444447</c:v>
                </c:pt>
                <c:pt idx="947">
                  <c:v>42005.657638888886</c:v>
                </c:pt>
                <c:pt idx="948">
                  <c:v>42005.658333333333</c:v>
                </c:pt>
                <c:pt idx="949">
                  <c:v>42005.65902777778</c:v>
                </c:pt>
                <c:pt idx="950">
                  <c:v>42005.659722222219</c:v>
                </c:pt>
                <c:pt idx="951">
                  <c:v>42005.660416666666</c:v>
                </c:pt>
                <c:pt idx="952">
                  <c:v>42005.661111111112</c:v>
                </c:pt>
                <c:pt idx="953">
                  <c:v>42005.661805555559</c:v>
                </c:pt>
                <c:pt idx="954">
                  <c:v>42005.662499999999</c:v>
                </c:pt>
                <c:pt idx="955">
                  <c:v>42005.663194444445</c:v>
                </c:pt>
                <c:pt idx="956">
                  <c:v>42005.663888888892</c:v>
                </c:pt>
                <c:pt idx="957">
                  <c:v>42005.664583333331</c:v>
                </c:pt>
                <c:pt idx="958">
                  <c:v>42005.665277777778</c:v>
                </c:pt>
                <c:pt idx="959">
                  <c:v>42005.665972222225</c:v>
                </c:pt>
                <c:pt idx="960">
                  <c:v>42005.666666666664</c:v>
                </c:pt>
                <c:pt idx="961">
                  <c:v>42005.667361111111</c:v>
                </c:pt>
                <c:pt idx="962">
                  <c:v>42005.668055555558</c:v>
                </c:pt>
                <c:pt idx="963">
                  <c:v>42005.668749999997</c:v>
                </c:pt>
                <c:pt idx="964">
                  <c:v>42005.669444444444</c:v>
                </c:pt>
                <c:pt idx="965">
                  <c:v>42005.670138888891</c:v>
                </c:pt>
                <c:pt idx="966">
                  <c:v>42005.67083333333</c:v>
                </c:pt>
                <c:pt idx="967">
                  <c:v>42005.671527777777</c:v>
                </c:pt>
                <c:pt idx="968">
                  <c:v>42005.672222222223</c:v>
                </c:pt>
                <c:pt idx="969">
                  <c:v>42005.67291666667</c:v>
                </c:pt>
                <c:pt idx="970">
                  <c:v>42005.673611111109</c:v>
                </c:pt>
                <c:pt idx="971">
                  <c:v>42005.674305555556</c:v>
                </c:pt>
                <c:pt idx="972">
                  <c:v>42005.675000000003</c:v>
                </c:pt>
                <c:pt idx="973">
                  <c:v>42005.675694444442</c:v>
                </c:pt>
                <c:pt idx="974">
                  <c:v>42005.676388888889</c:v>
                </c:pt>
                <c:pt idx="975">
                  <c:v>42005.677083333336</c:v>
                </c:pt>
                <c:pt idx="976">
                  <c:v>42005.677777777775</c:v>
                </c:pt>
                <c:pt idx="977">
                  <c:v>42005.678472222222</c:v>
                </c:pt>
                <c:pt idx="978">
                  <c:v>42005.679166666669</c:v>
                </c:pt>
                <c:pt idx="979">
                  <c:v>42005.679861111108</c:v>
                </c:pt>
                <c:pt idx="980">
                  <c:v>42005.680555555555</c:v>
                </c:pt>
                <c:pt idx="981">
                  <c:v>42005.681250000001</c:v>
                </c:pt>
                <c:pt idx="982">
                  <c:v>42005.681944444441</c:v>
                </c:pt>
                <c:pt idx="983">
                  <c:v>42005.682638888888</c:v>
                </c:pt>
                <c:pt idx="984">
                  <c:v>42005.683333333334</c:v>
                </c:pt>
                <c:pt idx="985">
                  <c:v>42005.684027777781</c:v>
                </c:pt>
                <c:pt idx="986">
                  <c:v>42005.68472222222</c:v>
                </c:pt>
                <c:pt idx="987">
                  <c:v>42005.685416666667</c:v>
                </c:pt>
                <c:pt idx="988">
                  <c:v>42005.686111111114</c:v>
                </c:pt>
                <c:pt idx="989">
                  <c:v>42005.686805555553</c:v>
                </c:pt>
                <c:pt idx="990">
                  <c:v>42005.6875</c:v>
                </c:pt>
                <c:pt idx="991">
                  <c:v>42005.688194444447</c:v>
                </c:pt>
                <c:pt idx="992">
                  <c:v>42005.688888888886</c:v>
                </c:pt>
                <c:pt idx="993">
                  <c:v>42005.689583333333</c:v>
                </c:pt>
                <c:pt idx="994">
                  <c:v>42005.69027777778</c:v>
                </c:pt>
                <c:pt idx="995">
                  <c:v>42005.690972222219</c:v>
                </c:pt>
                <c:pt idx="996">
                  <c:v>42005.691666666666</c:v>
                </c:pt>
                <c:pt idx="997">
                  <c:v>42005.692361111112</c:v>
                </c:pt>
                <c:pt idx="998">
                  <c:v>42005.693055555559</c:v>
                </c:pt>
                <c:pt idx="999">
                  <c:v>42005.693749999999</c:v>
                </c:pt>
                <c:pt idx="1000">
                  <c:v>42005.694444444445</c:v>
                </c:pt>
                <c:pt idx="1001">
                  <c:v>42005.695138888892</c:v>
                </c:pt>
                <c:pt idx="1002">
                  <c:v>42005.695833333331</c:v>
                </c:pt>
                <c:pt idx="1003">
                  <c:v>42005.696527777778</c:v>
                </c:pt>
                <c:pt idx="1004">
                  <c:v>42005.697222222225</c:v>
                </c:pt>
                <c:pt idx="1005">
                  <c:v>42005.697916666664</c:v>
                </c:pt>
                <c:pt idx="1006">
                  <c:v>42005.698611111111</c:v>
                </c:pt>
                <c:pt idx="1007">
                  <c:v>42005.699305555558</c:v>
                </c:pt>
                <c:pt idx="1008">
                  <c:v>42005.7</c:v>
                </c:pt>
                <c:pt idx="1009">
                  <c:v>42005.700694444444</c:v>
                </c:pt>
                <c:pt idx="1010">
                  <c:v>42005.701388888891</c:v>
                </c:pt>
                <c:pt idx="1011">
                  <c:v>42005.70208333333</c:v>
                </c:pt>
                <c:pt idx="1012">
                  <c:v>42005.702777777777</c:v>
                </c:pt>
                <c:pt idx="1013">
                  <c:v>42005.703472222223</c:v>
                </c:pt>
                <c:pt idx="1014">
                  <c:v>42005.70416666667</c:v>
                </c:pt>
                <c:pt idx="1015">
                  <c:v>42005.704861111109</c:v>
                </c:pt>
                <c:pt idx="1016">
                  <c:v>42005.705555555556</c:v>
                </c:pt>
                <c:pt idx="1017">
                  <c:v>42005.706250000003</c:v>
                </c:pt>
                <c:pt idx="1018">
                  <c:v>42005.706944444442</c:v>
                </c:pt>
                <c:pt idx="1019">
                  <c:v>42005.707638888889</c:v>
                </c:pt>
                <c:pt idx="1020">
                  <c:v>42005.708333333336</c:v>
                </c:pt>
                <c:pt idx="1021">
                  <c:v>42005.709027777775</c:v>
                </c:pt>
                <c:pt idx="1022">
                  <c:v>42005.709722222222</c:v>
                </c:pt>
                <c:pt idx="1023">
                  <c:v>42005.710416666669</c:v>
                </c:pt>
                <c:pt idx="1024">
                  <c:v>42005.711111111108</c:v>
                </c:pt>
                <c:pt idx="1025">
                  <c:v>42005.711805555555</c:v>
                </c:pt>
                <c:pt idx="1026">
                  <c:v>42005.712500000001</c:v>
                </c:pt>
                <c:pt idx="1027">
                  <c:v>42005.713194444441</c:v>
                </c:pt>
                <c:pt idx="1028">
                  <c:v>42005.713888888888</c:v>
                </c:pt>
                <c:pt idx="1029">
                  <c:v>42005.714583333334</c:v>
                </c:pt>
                <c:pt idx="1030">
                  <c:v>42005.715277777781</c:v>
                </c:pt>
                <c:pt idx="1031">
                  <c:v>42005.71597222222</c:v>
                </c:pt>
                <c:pt idx="1032">
                  <c:v>42005.716666666667</c:v>
                </c:pt>
                <c:pt idx="1033">
                  <c:v>42005.717361111114</c:v>
                </c:pt>
                <c:pt idx="1034">
                  <c:v>42005.718055555553</c:v>
                </c:pt>
                <c:pt idx="1035">
                  <c:v>42005.71875</c:v>
                </c:pt>
                <c:pt idx="1036">
                  <c:v>42005.719444444447</c:v>
                </c:pt>
                <c:pt idx="1037">
                  <c:v>42005.720138888886</c:v>
                </c:pt>
                <c:pt idx="1038">
                  <c:v>42005.720833333333</c:v>
                </c:pt>
                <c:pt idx="1039">
                  <c:v>42005.72152777778</c:v>
                </c:pt>
                <c:pt idx="1040">
                  <c:v>42005.722222222219</c:v>
                </c:pt>
                <c:pt idx="1041">
                  <c:v>42005.722916666666</c:v>
                </c:pt>
                <c:pt idx="1042">
                  <c:v>42005.723611111112</c:v>
                </c:pt>
                <c:pt idx="1043">
                  <c:v>42005.724305555559</c:v>
                </c:pt>
                <c:pt idx="1044">
                  <c:v>42005.724999999999</c:v>
                </c:pt>
                <c:pt idx="1045">
                  <c:v>42005.725694444445</c:v>
                </c:pt>
                <c:pt idx="1046">
                  <c:v>42005.726388888892</c:v>
                </c:pt>
                <c:pt idx="1047">
                  <c:v>42005.727083333331</c:v>
                </c:pt>
                <c:pt idx="1048">
                  <c:v>42005.727777777778</c:v>
                </c:pt>
                <c:pt idx="1049">
                  <c:v>42005.728472222225</c:v>
                </c:pt>
                <c:pt idx="1050">
                  <c:v>42005.729166666664</c:v>
                </c:pt>
                <c:pt idx="1051">
                  <c:v>42005.729861111111</c:v>
                </c:pt>
                <c:pt idx="1052">
                  <c:v>42005.730555555558</c:v>
                </c:pt>
                <c:pt idx="1053">
                  <c:v>42005.731249999997</c:v>
                </c:pt>
                <c:pt idx="1054">
                  <c:v>42005.731944444444</c:v>
                </c:pt>
                <c:pt idx="1055">
                  <c:v>42005.732638888891</c:v>
                </c:pt>
                <c:pt idx="1056">
                  <c:v>42005.73333333333</c:v>
                </c:pt>
                <c:pt idx="1057">
                  <c:v>42005.734027777777</c:v>
                </c:pt>
                <c:pt idx="1058">
                  <c:v>42005.734722222223</c:v>
                </c:pt>
                <c:pt idx="1059">
                  <c:v>42005.73541666667</c:v>
                </c:pt>
                <c:pt idx="1060">
                  <c:v>42005.736111111109</c:v>
                </c:pt>
                <c:pt idx="1061">
                  <c:v>42005.736805555556</c:v>
                </c:pt>
                <c:pt idx="1062">
                  <c:v>42005.737500000003</c:v>
                </c:pt>
                <c:pt idx="1063">
                  <c:v>42005.738194444442</c:v>
                </c:pt>
                <c:pt idx="1064">
                  <c:v>42005.738888888889</c:v>
                </c:pt>
                <c:pt idx="1065">
                  <c:v>42005.739583333336</c:v>
                </c:pt>
                <c:pt idx="1066">
                  <c:v>42005.740277777775</c:v>
                </c:pt>
                <c:pt idx="1067">
                  <c:v>42005.740972222222</c:v>
                </c:pt>
                <c:pt idx="1068">
                  <c:v>42005.741666666669</c:v>
                </c:pt>
                <c:pt idx="1069">
                  <c:v>42005.742361111108</c:v>
                </c:pt>
                <c:pt idx="1070">
                  <c:v>42005.743055555555</c:v>
                </c:pt>
                <c:pt idx="1071">
                  <c:v>42005.743750000001</c:v>
                </c:pt>
                <c:pt idx="1072">
                  <c:v>42005.744444444441</c:v>
                </c:pt>
                <c:pt idx="1073">
                  <c:v>42005.745138888888</c:v>
                </c:pt>
                <c:pt idx="1074">
                  <c:v>42005.745833333334</c:v>
                </c:pt>
                <c:pt idx="1075">
                  <c:v>42005.746527777781</c:v>
                </c:pt>
                <c:pt idx="1076">
                  <c:v>42005.74722222222</c:v>
                </c:pt>
                <c:pt idx="1077">
                  <c:v>42005.747916666667</c:v>
                </c:pt>
                <c:pt idx="1078">
                  <c:v>42005.748611111114</c:v>
                </c:pt>
                <c:pt idx="1079">
                  <c:v>42005.749305555553</c:v>
                </c:pt>
                <c:pt idx="1080">
                  <c:v>42005.75</c:v>
                </c:pt>
                <c:pt idx="1081">
                  <c:v>42005.750694444447</c:v>
                </c:pt>
                <c:pt idx="1082">
                  <c:v>42005.751388888886</c:v>
                </c:pt>
                <c:pt idx="1083">
                  <c:v>42005.752083333333</c:v>
                </c:pt>
                <c:pt idx="1084">
                  <c:v>42005.75277777778</c:v>
                </c:pt>
                <c:pt idx="1085">
                  <c:v>42005.753472222219</c:v>
                </c:pt>
                <c:pt idx="1086">
                  <c:v>42005.754166666666</c:v>
                </c:pt>
                <c:pt idx="1087">
                  <c:v>42005.754861111112</c:v>
                </c:pt>
                <c:pt idx="1088">
                  <c:v>42005.755555555559</c:v>
                </c:pt>
                <c:pt idx="1089">
                  <c:v>42005.756249999999</c:v>
                </c:pt>
                <c:pt idx="1090">
                  <c:v>42005.756944444445</c:v>
                </c:pt>
                <c:pt idx="1091">
                  <c:v>42005.757638888892</c:v>
                </c:pt>
                <c:pt idx="1092">
                  <c:v>42005.758333333331</c:v>
                </c:pt>
                <c:pt idx="1093">
                  <c:v>42005.759027777778</c:v>
                </c:pt>
                <c:pt idx="1094">
                  <c:v>42005.759722222225</c:v>
                </c:pt>
                <c:pt idx="1095">
                  <c:v>42005.760416666664</c:v>
                </c:pt>
                <c:pt idx="1096">
                  <c:v>42005.761111111111</c:v>
                </c:pt>
                <c:pt idx="1097">
                  <c:v>42005.761805555558</c:v>
                </c:pt>
                <c:pt idx="1098">
                  <c:v>42005.762499999997</c:v>
                </c:pt>
                <c:pt idx="1099">
                  <c:v>42005.763194444444</c:v>
                </c:pt>
                <c:pt idx="1100">
                  <c:v>42005.763888888891</c:v>
                </c:pt>
                <c:pt idx="1101">
                  <c:v>42005.76458333333</c:v>
                </c:pt>
                <c:pt idx="1102">
                  <c:v>42005.765277777777</c:v>
                </c:pt>
                <c:pt idx="1103">
                  <c:v>42005.765972222223</c:v>
                </c:pt>
                <c:pt idx="1104">
                  <c:v>42005.76666666667</c:v>
                </c:pt>
                <c:pt idx="1105">
                  <c:v>42005.767361111109</c:v>
                </c:pt>
                <c:pt idx="1106">
                  <c:v>42005.768055555556</c:v>
                </c:pt>
                <c:pt idx="1107">
                  <c:v>42005.768750000003</c:v>
                </c:pt>
                <c:pt idx="1108">
                  <c:v>42005.769444444442</c:v>
                </c:pt>
                <c:pt idx="1109">
                  <c:v>42005.770138888889</c:v>
                </c:pt>
                <c:pt idx="1110">
                  <c:v>42005.770833333336</c:v>
                </c:pt>
                <c:pt idx="1111">
                  <c:v>42005.771527777775</c:v>
                </c:pt>
                <c:pt idx="1112">
                  <c:v>42005.772222222222</c:v>
                </c:pt>
                <c:pt idx="1113">
                  <c:v>42005.772916666669</c:v>
                </c:pt>
                <c:pt idx="1114">
                  <c:v>42005.773611111108</c:v>
                </c:pt>
                <c:pt idx="1115">
                  <c:v>42005.774305555555</c:v>
                </c:pt>
                <c:pt idx="1116">
                  <c:v>42005.775000000001</c:v>
                </c:pt>
                <c:pt idx="1117">
                  <c:v>42005.775694444441</c:v>
                </c:pt>
                <c:pt idx="1118">
                  <c:v>42005.776388888888</c:v>
                </c:pt>
                <c:pt idx="1119">
                  <c:v>42005.777083333334</c:v>
                </c:pt>
                <c:pt idx="1120">
                  <c:v>42005.777777777781</c:v>
                </c:pt>
                <c:pt idx="1121">
                  <c:v>42005.77847222222</c:v>
                </c:pt>
                <c:pt idx="1122">
                  <c:v>42005.779166666667</c:v>
                </c:pt>
                <c:pt idx="1123">
                  <c:v>42005.779861111114</c:v>
                </c:pt>
                <c:pt idx="1124">
                  <c:v>42005.780555555553</c:v>
                </c:pt>
                <c:pt idx="1125">
                  <c:v>42005.78125</c:v>
                </c:pt>
                <c:pt idx="1126">
                  <c:v>42005.781944444447</c:v>
                </c:pt>
                <c:pt idx="1127">
                  <c:v>42005.782638888886</c:v>
                </c:pt>
                <c:pt idx="1128">
                  <c:v>42005.783333333333</c:v>
                </c:pt>
                <c:pt idx="1129">
                  <c:v>42005.78402777778</c:v>
                </c:pt>
                <c:pt idx="1130">
                  <c:v>42005.784722222219</c:v>
                </c:pt>
                <c:pt idx="1131">
                  <c:v>42005.785416666666</c:v>
                </c:pt>
                <c:pt idx="1132">
                  <c:v>42005.786111111112</c:v>
                </c:pt>
                <c:pt idx="1133">
                  <c:v>42005.786805555559</c:v>
                </c:pt>
                <c:pt idx="1134">
                  <c:v>42005.787499999999</c:v>
                </c:pt>
                <c:pt idx="1135">
                  <c:v>42005.788194444445</c:v>
                </c:pt>
                <c:pt idx="1136">
                  <c:v>42005.788888888892</c:v>
                </c:pt>
                <c:pt idx="1137">
                  <c:v>42005.789583333331</c:v>
                </c:pt>
                <c:pt idx="1138">
                  <c:v>42005.790277777778</c:v>
                </c:pt>
                <c:pt idx="1139">
                  <c:v>42005.790972222225</c:v>
                </c:pt>
                <c:pt idx="1140">
                  <c:v>42005.791666666664</c:v>
                </c:pt>
                <c:pt idx="1141">
                  <c:v>42005.792361111111</c:v>
                </c:pt>
                <c:pt idx="1142">
                  <c:v>42005.793055555558</c:v>
                </c:pt>
                <c:pt idx="1143">
                  <c:v>42005.793749999997</c:v>
                </c:pt>
                <c:pt idx="1144">
                  <c:v>42005.794444444444</c:v>
                </c:pt>
                <c:pt idx="1145">
                  <c:v>42005.795138888891</c:v>
                </c:pt>
                <c:pt idx="1146">
                  <c:v>42005.79583333333</c:v>
                </c:pt>
                <c:pt idx="1147">
                  <c:v>42005.796527777777</c:v>
                </c:pt>
                <c:pt idx="1148">
                  <c:v>42005.797222222223</c:v>
                </c:pt>
                <c:pt idx="1149">
                  <c:v>42005.79791666667</c:v>
                </c:pt>
                <c:pt idx="1150">
                  <c:v>42005.798611111109</c:v>
                </c:pt>
                <c:pt idx="1151">
                  <c:v>42005.799305555556</c:v>
                </c:pt>
                <c:pt idx="1152">
                  <c:v>42005.8</c:v>
                </c:pt>
                <c:pt idx="1153">
                  <c:v>42005.800694444442</c:v>
                </c:pt>
                <c:pt idx="1154">
                  <c:v>42005.801388888889</c:v>
                </c:pt>
                <c:pt idx="1155">
                  <c:v>42005.802083333336</c:v>
                </c:pt>
                <c:pt idx="1156">
                  <c:v>42005.802777777775</c:v>
                </c:pt>
                <c:pt idx="1157">
                  <c:v>42005.803472222222</c:v>
                </c:pt>
                <c:pt idx="1158">
                  <c:v>42005.804166666669</c:v>
                </c:pt>
                <c:pt idx="1159">
                  <c:v>42005.804861111108</c:v>
                </c:pt>
                <c:pt idx="1160">
                  <c:v>42005.805555555555</c:v>
                </c:pt>
                <c:pt idx="1161">
                  <c:v>42005.806250000001</c:v>
                </c:pt>
                <c:pt idx="1162">
                  <c:v>42005.806944444441</c:v>
                </c:pt>
                <c:pt idx="1163">
                  <c:v>42005.807638888888</c:v>
                </c:pt>
                <c:pt idx="1164">
                  <c:v>42005.808333333334</c:v>
                </c:pt>
                <c:pt idx="1165">
                  <c:v>42005.809027777781</c:v>
                </c:pt>
                <c:pt idx="1166">
                  <c:v>42005.80972222222</c:v>
                </c:pt>
                <c:pt idx="1167">
                  <c:v>42005.810416666667</c:v>
                </c:pt>
                <c:pt idx="1168">
                  <c:v>42005.811111111114</c:v>
                </c:pt>
                <c:pt idx="1169">
                  <c:v>42005.811805555553</c:v>
                </c:pt>
                <c:pt idx="1170">
                  <c:v>42005.8125</c:v>
                </c:pt>
                <c:pt idx="1171">
                  <c:v>42005.813194444447</c:v>
                </c:pt>
                <c:pt idx="1172">
                  <c:v>42005.813888888886</c:v>
                </c:pt>
                <c:pt idx="1173">
                  <c:v>42005.814583333333</c:v>
                </c:pt>
                <c:pt idx="1174">
                  <c:v>42005.81527777778</c:v>
                </c:pt>
                <c:pt idx="1175">
                  <c:v>42005.815972222219</c:v>
                </c:pt>
                <c:pt idx="1176">
                  <c:v>42005.816666666666</c:v>
                </c:pt>
                <c:pt idx="1177">
                  <c:v>42005.817361111112</c:v>
                </c:pt>
                <c:pt idx="1178">
                  <c:v>42005.818055555559</c:v>
                </c:pt>
                <c:pt idx="1179">
                  <c:v>42005.818749999999</c:v>
                </c:pt>
                <c:pt idx="1180">
                  <c:v>42005.819444444445</c:v>
                </c:pt>
                <c:pt idx="1181">
                  <c:v>42005.820138888892</c:v>
                </c:pt>
                <c:pt idx="1182">
                  <c:v>42005.820833333331</c:v>
                </c:pt>
                <c:pt idx="1183">
                  <c:v>42005.821527777778</c:v>
                </c:pt>
                <c:pt idx="1184">
                  <c:v>42005.822222222225</c:v>
                </c:pt>
                <c:pt idx="1185">
                  <c:v>42005.822916666664</c:v>
                </c:pt>
                <c:pt idx="1186">
                  <c:v>42005.823611111111</c:v>
                </c:pt>
                <c:pt idx="1187">
                  <c:v>42005.824305555558</c:v>
                </c:pt>
                <c:pt idx="1188">
                  <c:v>42005.824999999997</c:v>
                </c:pt>
                <c:pt idx="1189">
                  <c:v>42005.825694444444</c:v>
                </c:pt>
                <c:pt idx="1190">
                  <c:v>42005.826388888891</c:v>
                </c:pt>
                <c:pt idx="1191">
                  <c:v>42005.82708333333</c:v>
                </c:pt>
                <c:pt idx="1192">
                  <c:v>42005.827777777777</c:v>
                </c:pt>
                <c:pt idx="1193">
                  <c:v>42005.828472222223</c:v>
                </c:pt>
                <c:pt idx="1194">
                  <c:v>42005.82916666667</c:v>
                </c:pt>
                <c:pt idx="1195">
                  <c:v>42005.829861111109</c:v>
                </c:pt>
                <c:pt idx="1196">
                  <c:v>42005.830555555556</c:v>
                </c:pt>
                <c:pt idx="1197">
                  <c:v>42005.831250000003</c:v>
                </c:pt>
                <c:pt idx="1198">
                  <c:v>42005.831944444442</c:v>
                </c:pt>
                <c:pt idx="1199">
                  <c:v>42005.832638888889</c:v>
                </c:pt>
                <c:pt idx="1200">
                  <c:v>42005.833333333336</c:v>
                </c:pt>
                <c:pt idx="1201">
                  <c:v>42005.834027777775</c:v>
                </c:pt>
                <c:pt idx="1202">
                  <c:v>42005.834722222222</c:v>
                </c:pt>
                <c:pt idx="1203">
                  <c:v>42005.835416666669</c:v>
                </c:pt>
                <c:pt idx="1204">
                  <c:v>42005.836111111108</c:v>
                </c:pt>
                <c:pt idx="1205">
                  <c:v>42005.836805555555</c:v>
                </c:pt>
                <c:pt idx="1206">
                  <c:v>42005.837500000001</c:v>
                </c:pt>
                <c:pt idx="1207">
                  <c:v>42005.838194444441</c:v>
                </c:pt>
                <c:pt idx="1208">
                  <c:v>42005.838888888888</c:v>
                </c:pt>
                <c:pt idx="1209">
                  <c:v>42005.839583333334</c:v>
                </c:pt>
                <c:pt idx="1210">
                  <c:v>42005.840277777781</c:v>
                </c:pt>
                <c:pt idx="1211">
                  <c:v>42005.84097222222</c:v>
                </c:pt>
                <c:pt idx="1212">
                  <c:v>42005.841666666667</c:v>
                </c:pt>
                <c:pt idx="1213">
                  <c:v>42005.842361111114</c:v>
                </c:pt>
                <c:pt idx="1214">
                  <c:v>42005.843055555553</c:v>
                </c:pt>
                <c:pt idx="1215">
                  <c:v>42005.84375</c:v>
                </c:pt>
                <c:pt idx="1216">
                  <c:v>42005.844444444447</c:v>
                </c:pt>
                <c:pt idx="1217">
                  <c:v>42005.845138888886</c:v>
                </c:pt>
                <c:pt idx="1218">
                  <c:v>42005.845833333333</c:v>
                </c:pt>
                <c:pt idx="1219">
                  <c:v>42005.84652777778</c:v>
                </c:pt>
                <c:pt idx="1220">
                  <c:v>42005.847222222219</c:v>
                </c:pt>
                <c:pt idx="1221">
                  <c:v>42005.847916666666</c:v>
                </c:pt>
                <c:pt idx="1222">
                  <c:v>42005.848611111112</c:v>
                </c:pt>
                <c:pt idx="1223">
                  <c:v>42005.849305555559</c:v>
                </c:pt>
                <c:pt idx="1224">
                  <c:v>42005.85</c:v>
                </c:pt>
                <c:pt idx="1225">
                  <c:v>42005.850694444445</c:v>
                </c:pt>
                <c:pt idx="1226">
                  <c:v>42005.851388888892</c:v>
                </c:pt>
                <c:pt idx="1227">
                  <c:v>42005.852083333331</c:v>
                </c:pt>
                <c:pt idx="1228">
                  <c:v>42005.852777777778</c:v>
                </c:pt>
                <c:pt idx="1229">
                  <c:v>42005.853472222225</c:v>
                </c:pt>
                <c:pt idx="1230">
                  <c:v>42005.854166666664</c:v>
                </c:pt>
                <c:pt idx="1231">
                  <c:v>42005.854861111111</c:v>
                </c:pt>
                <c:pt idx="1232">
                  <c:v>42005.855555555558</c:v>
                </c:pt>
                <c:pt idx="1233">
                  <c:v>42005.856249999997</c:v>
                </c:pt>
                <c:pt idx="1234">
                  <c:v>42005.856944444444</c:v>
                </c:pt>
                <c:pt idx="1235">
                  <c:v>42005.857638888891</c:v>
                </c:pt>
                <c:pt idx="1236">
                  <c:v>42005.85833333333</c:v>
                </c:pt>
                <c:pt idx="1237">
                  <c:v>42005.859027777777</c:v>
                </c:pt>
                <c:pt idx="1238">
                  <c:v>42005.859722222223</c:v>
                </c:pt>
                <c:pt idx="1239">
                  <c:v>42005.86041666667</c:v>
                </c:pt>
                <c:pt idx="1240">
                  <c:v>42005.861111111109</c:v>
                </c:pt>
                <c:pt idx="1241">
                  <c:v>42005.861805555556</c:v>
                </c:pt>
                <c:pt idx="1242">
                  <c:v>42005.862500000003</c:v>
                </c:pt>
                <c:pt idx="1243">
                  <c:v>42005.863194444442</c:v>
                </c:pt>
                <c:pt idx="1244">
                  <c:v>42005.863888888889</c:v>
                </c:pt>
                <c:pt idx="1245">
                  <c:v>42005.864583333336</c:v>
                </c:pt>
                <c:pt idx="1246">
                  <c:v>42005.865277777775</c:v>
                </c:pt>
                <c:pt idx="1247">
                  <c:v>42005.865972222222</c:v>
                </c:pt>
                <c:pt idx="1248">
                  <c:v>42005.866666666669</c:v>
                </c:pt>
                <c:pt idx="1249">
                  <c:v>42005.867361111108</c:v>
                </c:pt>
                <c:pt idx="1250">
                  <c:v>42005.868055555555</c:v>
                </c:pt>
                <c:pt idx="1251">
                  <c:v>42005.868750000001</c:v>
                </c:pt>
                <c:pt idx="1252">
                  <c:v>42005.869444444441</c:v>
                </c:pt>
                <c:pt idx="1253">
                  <c:v>42005.870138888888</c:v>
                </c:pt>
                <c:pt idx="1254">
                  <c:v>42005.870833333334</c:v>
                </c:pt>
                <c:pt idx="1255">
                  <c:v>42005.871527777781</c:v>
                </c:pt>
                <c:pt idx="1256">
                  <c:v>42005.87222222222</c:v>
                </c:pt>
                <c:pt idx="1257">
                  <c:v>42005.872916666667</c:v>
                </c:pt>
                <c:pt idx="1258">
                  <c:v>42005.873611111114</c:v>
                </c:pt>
                <c:pt idx="1259">
                  <c:v>42005.874305555553</c:v>
                </c:pt>
                <c:pt idx="1260">
                  <c:v>42005.875</c:v>
                </c:pt>
                <c:pt idx="1261">
                  <c:v>42005.875694444447</c:v>
                </c:pt>
                <c:pt idx="1262">
                  <c:v>42005.876388888886</c:v>
                </c:pt>
                <c:pt idx="1263">
                  <c:v>42005.877083333333</c:v>
                </c:pt>
                <c:pt idx="1264">
                  <c:v>42005.87777777778</c:v>
                </c:pt>
                <c:pt idx="1265">
                  <c:v>42005.878472222219</c:v>
                </c:pt>
                <c:pt idx="1266">
                  <c:v>42005.879166666666</c:v>
                </c:pt>
                <c:pt idx="1267">
                  <c:v>42005.879861111112</c:v>
                </c:pt>
                <c:pt idx="1268">
                  <c:v>42005.880555555559</c:v>
                </c:pt>
                <c:pt idx="1269">
                  <c:v>42005.881249999999</c:v>
                </c:pt>
                <c:pt idx="1270">
                  <c:v>42005.881944444445</c:v>
                </c:pt>
                <c:pt idx="1271">
                  <c:v>42005.882638888892</c:v>
                </c:pt>
                <c:pt idx="1272">
                  <c:v>42005.883333333331</c:v>
                </c:pt>
                <c:pt idx="1273">
                  <c:v>42005.884027777778</c:v>
                </c:pt>
                <c:pt idx="1274">
                  <c:v>42005.884722222225</c:v>
                </c:pt>
                <c:pt idx="1275">
                  <c:v>42005.885416666664</c:v>
                </c:pt>
                <c:pt idx="1276">
                  <c:v>42005.886111111111</c:v>
                </c:pt>
                <c:pt idx="1277">
                  <c:v>42005.886805555558</c:v>
                </c:pt>
                <c:pt idx="1278">
                  <c:v>42005.887499999997</c:v>
                </c:pt>
                <c:pt idx="1279">
                  <c:v>42005.888194444444</c:v>
                </c:pt>
                <c:pt idx="1280">
                  <c:v>42005.888888888891</c:v>
                </c:pt>
                <c:pt idx="1281">
                  <c:v>42005.88958333333</c:v>
                </c:pt>
                <c:pt idx="1282">
                  <c:v>42005.890277777777</c:v>
                </c:pt>
                <c:pt idx="1283">
                  <c:v>42005.890972222223</c:v>
                </c:pt>
                <c:pt idx="1284">
                  <c:v>42005.89166666667</c:v>
                </c:pt>
                <c:pt idx="1285">
                  <c:v>42005.892361111109</c:v>
                </c:pt>
                <c:pt idx="1286">
                  <c:v>42005.893055555556</c:v>
                </c:pt>
                <c:pt idx="1287">
                  <c:v>42005.893750000003</c:v>
                </c:pt>
                <c:pt idx="1288">
                  <c:v>42005.894444444442</c:v>
                </c:pt>
                <c:pt idx="1289">
                  <c:v>42005.895138888889</c:v>
                </c:pt>
                <c:pt idx="1290">
                  <c:v>42005.895833333336</c:v>
                </c:pt>
                <c:pt idx="1291">
                  <c:v>42005.896527777775</c:v>
                </c:pt>
                <c:pt idx="1292">
                  <c:v>42005.897222222222</c:v>
                </c:pt>
                <c:pt idx="1293">
                  <c:v>42005.897916666669</c:v>
                </c:pt>
                <c:pt idx="1294">
                  <c:v>42005.898611111108</c:v>
                </c:pt>
                <c:pt idx="1295">
                  <c:v>42005.899305555555</c:v>
                </c:pt>
                <c:pt idx="1296">
                  <c:v>42005.9</c:v>
                </c:pt>
                <c:pt idx="1297">
                  <c:v>42005.900694444441</c:v>
                </c:pt>
                <c:pt idx="1298">
                  <c:v>42005.901388888888</c:v>
                </c:pt>
                <c:pt idx="1299">
                  <c:v>42005.902083333334</c:v>
                </c:pt>
                <c:pt idx="1300">
                  <c:v>42005.902777777781</c:v>
                </c:pt>
                <c:pt idx="1301">
                  <c:v>42005.90347222222</c:v>
                </c:pt>
                <c:pt idx="1302">
                  <c:v>42005.904166666667</c:v>
                </c:pt>
                <c:pt idx="1303">
                  <c:v>42005.904861111114</c:v>
                </c:pt>
                <c:pt idx="1304">
                  <c:v>42005.905555555553</c:v>
                </c:pt>
                <c:pt idx="1305">
                  <c:v>42005.90625</c:v>
                </c:pt>
                <c:pt idx="1306">
                  <c:v>42005.906944444447</c:v>
                </c:pt>
                <c:pt idx="1307">
                  <c:v>42005.907638888886</c:v>
                </c:pt>
                <c:pt idx="1308">
                  <c:v>42005.908333333333</c:v>
                </c:pt>
                <c:pt idx="1309">
                  <c:v>42005.90902777778</c:v>
                </c:pt>
                <c:pt idx="1310">
                  <c:v>42005.909722222219</c:v>
                </c:pt>
                <c:pt idx="1311">
                  <c:v>42005.910416666666</c:v>
                </c:pt>
                <c:pt idx="1312">
                  <c:v>42005.911111111112</c:v>
                </c:pt>
                <c:pt idx="1313">
                  <c:v>42005.911805555559</c:v>
                </c:pt>
                <c:pt idx="1314">
                  <c:v>42005.912499999999</c:v>
                </c:pt>
                <c:pt idx="1315">
                  <c:v>42005.913194444445</c:v>
                </c:pt>
                <c:pt idx="1316">
                  <c:v>42005.913888888892</c:v>
                </c:pt>
                <c:pt idx="1317">
                  <c:v>42005.914583333331</c:v>
                </c:pt>
                <c:pt idx="1318">
                  <c:v>42005.915277777778</c:v>
                </c:pt>
                <c:pt idx="1319">
                  <c:v>42005.915972222225</c:v>
                </c:pt>
                <c:pt idx="1320">
                  <c:v>42005.916666666664</c:v>
                </c:pt>
                <c:pt idx="1321">
                  <c:v>42005.917361111111</c:v>
                </c:pt>
                <c:pt idx="1322">
                  <c:v>42005.918055555558</c:v>
                </c:pt>
                <c:pt idx="1323">
                  <c:v>42005.918749999997</c:v>
                </c:pt>
                <c:pt idx="1324">
                  <c:v>42005.919444444444</c:v>
                </c:pt>
                <c:pt idx="1325">
                  <c:v>42005.920138888891</c:v>
                </c:pt>
                <c:pt idx="1326">
                  <c:v>42005.92083333333</c:v>
                </c:pt>
                <c:pt idx="1327">
                  <c:v>42005.921527777777</c:v>
                </c:pt>
                <c:pt idx="1328">
                  <c:v>42005.922222222223</c:v>
                </c:pt>
                <c:pt idx="1329">
                  <c:v>42005.92291666667</c:v>
                </c:pt>
                <c:pt idx="1330">
                  <c:v>42005.923611111109</c:v>
                </c:pt>
                <c:pt idx="1331">
                  <c:v>42005.924305555556</c:v>
                </c:pt>
                <c:pt idx="1332">
                  <c:v>42005.925000000003</c:v>
                </c:pt>
                <c:pt idx="1333">
                  <c:v>42005.925694444442</c:v>
                </c:pt>
                <c:pt idx="1334">
                  <c:v>42005.926388888889</c:v>
                </c:pt>
                <c:pt idx="1335">
                  <c:v>42005.927083333336</c:v>
                </c:pt>
                <c:pt idx="1336">
                  <c:v>42005.927777777775</c:v>
                </c:pt>
                <c:pt idx="1337">
                  <c:v>42005.928472222222</c:v>
                </c:pt>
                <c:pt idx="1338">
                  <c:v>42005.929166666669</c:v>
                </c:pt>
                <c:pt idx="1339">
                  <c:v>42005.929861111108</c:v>
                </c:pt>
                <c:pt idx="1340">
                  <c:v>42005.930555555555</c:v>
                </c:pt>
                <c:pt idx="1341">
                  <c:v>42005.931250000001</c:v>
                </c:pt>
                <c:pt idx="1342">
                  <c:v>42005.931944444441</c:v>
                </c:pt>
                <c:pt idx="1343">
                  <c:v>42005.932638888888</c:v>
                </c:pt>
                <c:pt idx="1344">
                  <c:v>42005.933333333334</c:v>
                </c:pt>
                <c:pt idx="1345">
                  <c:v>42005.934027777781</c:v>
                </c:pt>
                <c:pt idx="1346">
                  <c:v>42005.93472222222</c:v>
                </c:pt>
                <c:pt idx="1347">
                  <c:v>42005.935416666667</c:v>
                </c:pt>
                <c:pt idx="1348">
                  <c:v>42005.936111111114</c:v>
                </c:pt>
                <c:pt idx="1349">
                  <c:v>42005.936805555553</c:v>
                </c:pt>
                <c:pt idx="1350">
                  <c:v>42005.9375</c:v>
                </c:pt>
                <c:pt idx="1351">
                  <c:v>42005.938194444447</c:v>
                </c:pt>
                <c:pt idx="1352">
                  <c:v>42005.938888888886</c:v>
                </c:pt>
                <c:pt idx="1353">
                  <c:v>42005.939583333333</c:v>
                </c:pt>
                <c:pt idx="1354">
                  <c:v>42005.94027777778</c:v>
                </c:pt>
                <c:pt idx="1355">
                  <c:v>42005.940972222219</c:v>
                </c:pt>
                <c:pt idx="1356">
                  <c:v>42005.941666666666</c:v>
                </c:pt>
                <c:pt idx="1357">
                  <c:v>42005.942361111112</c:v>
                </c:pt>
                <c:pt idx="1358">
                  <c:v>42005.943055555559</c:v>
                </c:pt>
                <c:pt idx="1359">
                  <c:v>42005.943749999999</c:v>
                </c:pt>
                <c:pt idx="1360">
                  <c:v>42005.944444444445</c:v>
                </c:pt>
                <c:pt idx="1361">
                  <c:v>42005.945138888892</c:v>
                </c:pt>
                <c:pt idx="1362">
                  <c:v>42005.945833333331</c:v>
                </c:pt>
                <c:pt idx="1363">
                  <c:v>42005.946527777778</c:v>
                </c:pt>
                <c:pt idx="1364">
                  <c:v>42005.947222222225</c:v>
                </c:pt>
                <c:pt idx="1365">
                  <c:v>42005.947916666664</c:v>
                </c:pt>
                <c:pt idx="1366">
                  <c:v>42005.948611111111</c:v>
                </c:pt>
                <c:pt idx="1367">
                  <c:v>42005.949305555558</c:v>
                </c:pt>
                <c:pt idx="1368">
                  <c:v>42005.95</c:v>
                </c:pt>
                <c:pt idx="1369">
                  <c:v>42005.950694444444</c:v>
                </c:pt>
                <c:pt idx="1370">
                  <c:v>42005.951388888891</c:v>
                </c:pt>
                <c:pt idx="1371">
                  <c:v>42005.95208333333</c:v>
                </c:pt>
                <c:pt idx="1372">
                  <c:v>42005.952777777777</c:v>
                </c:pt>
                <c:pt idx="1373">
                  <c:v>42005.953472222223</c:v>
                </c:pt>
                <c:pt idx="1374">
                  <c:v>42005.95416666667</c:v>
                </c:pt>
                <c:pt idx="1375">
                  <c:v>42005.954861111109</c:v>
                </c:pt>
                <c:pt idx="1376">
                  <c:v>42005.955555555556</c:v>
                </c:pt>
                <c:pt idx="1377">
                  <c:v>42005.956250000003</c:v>
                </c:pt>
                <c:pt idx="1378">
                  <c:v>42005.956944444442</c:v>
                </c:pt>
                <c:pt idx="1379">
                  <c:v>42005.957638888889</c:v>
                </c:pt>
                <c:pt idx="1380">
                  <c:v>42005.958333333336</c:v>
                </c:pt>
                <c:pt idx="1381">
                  <c:v>42005.959027777775</c:v>
                </c:pt>
                <c:pt idx="1382">
                  <c:v>42005.959722222222</c:v>
                </c:pt>
                <c:pt idx="1383">
                  <c:v>42005.960416666669</c:v>
                </c:pt>
                <c:pt idx="1384">
                  <c:v>42005.961111111108</c:v>
                </c:pt>
                <c:pt idx="1385">
                  <c:v>42005.961805555555</c:v>
                </c:pt>
                <c:pt idx="1386">
                  <c:v>42005.962500000001</c:v>
                </c:pt>
                <c:pt idx="1387">
                  <c:v>42005.963194444441</c:v>
                </c:pt>
                <c:pt idx="1388">
                  <c:v>42005.963888888888</c:v>
                </c:pt>
                <c:pt idx="1389">
                  <c:v>42005.964583333334</c:v>
                </c:pt>
                <c:pt idx="1390">
                  <c:v>42005.965277777781</c:v>
                </c:pt>
                <c:pt idx="1391">
                  <c:v>42005.96597222222</c:v>
                </c:pt>
                <c:pt idx="1392">
                  <c:v>42005.966666666667</c:v>
                </c:pt>
                <c:pt idx="1393">
                  <c:v>42005.967361111114</c:v>
                </c:pt>
                <c:pt idx="1394">
                  <c:v>42005.968055555553</c:v>
                </c:pt>
                <c:pt idx="1395">
                  <c:v>42005.96875</c:v>
                </c:pt>
                <c:pt idx="1396">
                  <c:v>42005.969444444447</c:v>
                </c:pt>
                <c:pt idx="1397">
                  <c:v>42005.970138888886</c:v>
                </c:pt>
                <c:pt idx="1398">
                  <c:v>42005.970833333333</c:v>
                </c:pt>
                <c:pt idx="1399">
                  <c:v>42005.97152777778</c:v>
                </c:pt>
                <c:pt idx="1400">
                  <c:v>42005.972222222219</c:v>
                </c:pt>
                <c:pt idx="1401">
                  <c:v>42005.972916666666</c:v>
                </c:pt>
                <c:pt idx="1402">
                  <c:v>42005.973611111112</c:v>
                </c:pt>
                <c:pt idx="1403">
                  <c:v>42005.974305555559</c:v>
                </c:pt>
                <c:pt idx="1404">
                  <c:v>42005.974999999999</c:v>
                </c:pt>
                <c:pt idx="1405">
                  <c:v>42005.975694444445</c:v>
                </c:pt>
                <c:pt idx="1406">
                  <c:v>42005.976388888892</c:v>
                </c:pt>
                <c:pt idx="1407">
                  <c:v>42005.977083333331</c:v>
                </c:pt>
                <c:pt idx="1408">
                  <c:v>42005.977777777778</c:v>
                </c:pt>
                <c:pt idx="1409">
                  <c:v>42005.978472222225</c:v>
                </c:pt>
                <c:pt idx="1410">
                  <c:v>42005.979166666664</c:v>
                </c:pt>
                <c:pt idx="1411">
                  <c:v>42005.979861111111</c:v>
                </c:pt>
                <c:pt idx="1412">
                  <c:v>42005.980555555558</c:v>
                </c:pt>
                <c:pt idx="1413">
                  <c:v>42005.981249999997</c:v>
                </c:pt>
                <c:pt idx="1414">
                  <c:v>42005.981944444444</c:v>
                </c:pt>
                <c:pt idx="1415">
                  <c:v>42005.982638888891</c:v>
                </c:pt>
                <c:pt idx="1416">
                  <c:v>42005.98333333333</c:v>
                </c:pt>
                <c:pt idx="1417">
                  <c:v>42005.984027777777</c:v>
                </c:pt>
                <c:pt idx="1418">
                  <c:v>42005.984722222223</c:v>
                </c:pt>
                <c:pt idx="1419">
                  <c:v>42005.98541666667</c:v>
                </c:pt>
                <c:pt idx="1420">
                  <c:v>42005.986111111109</c:v>
                </c:pt>
                <c:pt idx="1421">
                  <c:v>42005.986805555556</c:v>
                </c:pt>
                <c:pt idx="1422">
                  <c:v>42005.987500000003</c:v>
                </c:pt>
                <c:pt idx="1423">
                  <c:v>42005.988194444442</c:v>
                </c:pt>
                <c:pt idx="1424">
                  <c:v>42005.988888888889</c:v>
                </c:pt>
                <c:pt idx="1425">
                  <c:v>42005.989583333336</c:v>
                </c:pt>
                <c:pt idx="1426">
                  <c:v>42005.990277777775</c:v>
                </c:pt>
                <c:pt idx="1427">
                  <c:v>42005.990972222222</c:v>
                </c:pt>
                <c:pt idx="1428">
                  <c:v>42005.991666666669</c:v>
                </c:pt>
                <c:pt idx="1429">
                  <c:v>42005.992361111108</c:v>
                </c:pt>
                <c:pt idx="1430">
                  <c:v>42005.993055555555</c:v>
                </c:pt>
                <c:pt idx="1431">
                  <c:v>42005.993750000001</c:v>
                </c:pt>
                <c:pt idx="1432">
                  <c:v>42005.994444444441</c:v>
                </c:pt>
                <c:pt idx="1433">
                  <c:v>42005.995138888888</c:v>
                </c:pt>
                <c:pt idx="1434">
                  <c:v>42005.995833333334</c:v>
                </c:pt>
                <c:pt idx="1435">
                  <c:v>42005.996527777781</c:v>
                </c:pt>
                <c:pt idx="1436">
                  <c:v>42005.99722222222</c:v>
                </c:pt>
                <c:pt idx="1437">
                  <c:v>42005.997916666667</c:v>
                </c:pt>
                <c:pt idx="1438">
                  <c:v>42005.998611111114</c:v>
                </c:pt>
                <c:pt idx="1439">
                  <c:v>42005.999305555553</c:v>
                </c:pt>
              </c:numCache>
            </c:numRef>
          </c:xVal>
          <c:yVal>
            <c:numRef>
              <c:f>Sheet1!$C$2:$C$1441</c:f>
              <c:numCache>
                <c:formatCode>General</c:formatCode>
                <c:ptCount val="1440"/>
                <c:pt idx="0">
                  <c:v>4.63</c:v>
                </c:pt>
                <c:pt idx="1">
                  <c:v>4.46</c:v>
                </c:pt>
                <c:pt idx="2">
                  <c:v>3.48</c:v>
                </c:pt>
                <c:pt idx="3">
                  <c:v>2.4900000000000002</c:v>
                </c:pt>
                <c:pt idx="4">
                  <c:v>2.33</c:v>
                </c:pt>
                <c:pt idx="5">
                  <c:v>2.16</c:v>
                </c:pt>
                <c:pt idx="6">
                  <c:v>2.33</c:v>
                </c:pt>
                <c:pt idx="7">
                  <c:v>2.4900000000000002</c:v>
                </c:pt>
                <c:pt idx="8">
                  <c:v>2.4900000000000002</c:v>
                </c:pt>
                <c:pt idx="9">
                  <c:v>2.4900000000000002</c:v>
                </c:pt>
                <c:pt idx="10">
                  <c:v>2.4900000000000002</c:v>
                </c:pt>
                <c:pt idx="11">
                  <c:v>2.4900000000000002</c:v>
                </c:pt>
                <c:pt idx="12">
                  <c:v>2.82</c:v>
                </c:pt>
                <c:pt idx="13">
                  <c:v>3.15</c:v>
                </c:pt>
                <c:pt idx="14">
                  <c:v>2.82</c:v>
                </c:pt>
                <c:pt idx="15">
                  <c:v>2.4900000000000002</c:v>
                </c:pt>
                <c:pt idx="16">
                  <c:v>2.4900000000000002</c:v>
                </c:pt>
                <c:pt idx="17">
                  <c:v>2.4900000000000002</c:v>
                </c:pt>
                <c:pt idx="18">
                  <c:v>2.4900000000000002</c:v>
                </c:pt>
                <c:pt idx="19">
                  <c:v>2.4900000000000002</c:v>
                </c:pt>
                <c:pt idx="20">
                  <c:v>2.66</c:v>
                </c:pt>
                <c:pt idx="21">
                  <c:v>2.82</c:v>
                </c:pt>
                <c:pt idx="22">
                  <c:v>3.81</c:v>
                </c:pt>
                <c:pt idx="23">
                  <c:v>4.79</c:v>
                </c:pt>
                <c:pt idx="24">
                  <c:v>3.48</c:v>
                </c:pt>
                <c:pt idx="25">
                  <c:v>2.16</c:v>
                </c:pt>
                <c:pt idx="26">
                  <c:v>2.66</c:v>
                </c:pt>
                <c:pt idx="27">
                  <c:v>3.15</c:v>
                </c:pt>
                <c:pt idx="28">
                  <c:v>2.66</c:v>
                </c:pt>
                <c:pt idx="29">
                  <c:v>2.16</c:v>
                </c:pt>
                <c:pt idx="30">
                  <c:v>2.66</c:v>
                </c:pt>
                <c:pt idx="31">
                  <c:v>3.15</c:v>
                </c:pt>
                <c:pt idx="32">
                  <c:v>4.3</c:v>
                </c:pt>
                <c:pt idx="33">
                  <c:v>5.45</c:v>
                </c:pt>
                <c:pt idx="34">
                  <c:v>4.13</c:v>
                </c:pt>
                <c:pt idx="35">
                  <c:v>2.82</c:v>
                </c:pt>
                <c:pt idx="36">
                  <c:v>2.4900000000000002</c:v>
                </c:pt>
                <c:pt idx="37">
                  <c:v>2.16</c:v>
                </c:pt>
                <c:pt idx="38">
                  <c:v>2.4900000000000002</c:v>
                </c:pt>
                <c:pt idx="39">
                  <c:v>2.82</c:v>
                </c:pt>
                <c:pt idx="40">
                  <c:v>4.13</c:v>
                </c:pt>
                <c:pt idx="41">
                  <c:v>5.45</c:v>
                </c:pt>
                <c:pt idx="42">
                  <c:v>3.97</c:v>
                </c:pt>
                <c:pt idx="43">
                  <c:v>2.4900000000000002</c:v>
                </c:pt>
                <c:pt idx="44">
                  <c:v>3.81</c:v>
                </c:pt>
                <c:pt idx="45">
                  <c:v>5.12</c:v>
                </c:pt>
                <c:pt idx="46">
                  <c:v>5.28</c:v>
                </c:pt>
                <c:pt idx="47">
                  <c:v>5.45</c:v>
                </c:pt>
                <c:pt idx="48">
                  <c:v>3.97</c:v>
                </c:pt>
                <c:pt idx="49">
                  <c:v>2.4900000000000002</c:v>
                </c:pt>
                <c:pt idx="50">
                  <c:v>2.66</c:v>
                </c:pt>
                <c:pt idx="51">
                  <c:v>2.82</c:v>
                </c:pt>
                <c:pt idx="52">
                  <c:v>2.66</c:v>
                </c:pt>
                <c:pt idx="53">
                  <c:v>2.4900000000000002</c:v>
                </c:pt>
                <c:pt idx="54">
                  <c:v>2.66</c:v>
                </c:pt>
                <c:pt idx="55">
                  <c:v>2.82</c:v>
                </c:pt>
                <c:pt idx="56">
                  <c:v>3.48</c:v>
                </c:pt>
                <c:pt idx="57">
                  <c:v>4.13</c:v>
                </c:pt>
                <c:pt idx="58">
                  <c:v>3.31</c:v>
                </c:pt>
                <c:pt idx="59">
                  <c:v>2.4900000000000002</c:v>
                </c:pt>
                <c:pt idx="60">
                  <c:v>2.82</c:v>
                </c:pt>
                <c:pt idx="61">
                  <c:v>3.15</c:v>
                </c:pt>
                <c:pt idx="62">
                  <c:v>3.31</c:v>
                </c:pt>
                <c:pt idx="63">
                  <c:v>3.48</c:v>
                </c:pt>
                <c:pt idx="64">
                  <c:v>2.4900000000000002</c:v>
                </c:pt>
                <c:pt idx="65">
                  <c:v>1.51</c:v>
                </c:pt>
                <c:pt idx="66">
                  <c:v>2</c:v>
                </c:pt>
                <c:pt idx="67">
                  <c:v>2.4900000000000002</c:v>
                </c:pt>
                <c:pt idx="68">
                  <c:v>2.4900000000000002</c:v>
                </c:pt>
                <c:pt idx="69">
                  <c:v>2.4900000000000002</c:v>
                </c:pt>
                <c:pt idx="70">
                  <c:v>4.13</c:v>
                </c:pt>
                <c:pt idx="71">
                  <c:v>5.78</c:v>
                </c:pt>
                <c:pt idx="72">
                  <c:v>3.97</c:v>
                </c:pt>
                <c:pt idx="73">
                  <c:v>2.16</c:v>
                </c:pt>
                <c:pt idx="74">
                  <c:v>2.33</c:v>
                </c:pt>
                <c:pt idx="75">
                  <c:v>2.4900000000000002</c:v>
                </c:pt>
                <c:pt idx="76">
                  <c:v>2.4900000000000002</c:v>
                </c:pt>
                <c:pt idx="77">
                  <c:v>2.4900000000000002</c:v>
                </c:pt>
                <c:pt idx="78">
                  <c:v>2.33</c:v>
                </c:pt>
                <c:pt idx="79">
                  <c:v>2.16</c:v>
                </c:pt>
                <c:pt idx="80">
                  <c:v>2.33</c:v>
                </c:pt>
                <c:pt idx="81">
                  <c:v>2.4900000000000002</c:v>
                </c:pt>
                <c:pt idx="82">
                  <c:v>3.48</c:v>
                </c:pt>
                <c:pt idx="83">
                  <c:v>4.46</c:v>
                </c:pt>
                <c:pt idx="84">
                  <c:v>4.3</c:v>
                </c:pt>
                <c:pt idx="85">
                  <c:v>4.13</c:v>
                </c:pt>
                <c:pt idx="86">
                  <c:v>4.79</c:v>
                </c:pt>
                <c:pt idx="87">
                  <c:v>5.45</c:v>
                </c:pt>
                <c:pt idx="88">
                  <c:v>4.13</c:v>
                </c:pt>
                <c:pt idx="89">
                  <c:v>2.82</c:v>
                </c:pt>
                <c:pt idx="90">
                  <c:v>2.66</c:v>
                </c:pt>
                <c:pt idx="91">
                  <c:v>2.4900000000000002</c:v>
                </c:pt>
                <c:pt idx="92">
                  <c:v>2.33</c:v>
                </c:pt>
                <c:pt idx="93">
                  <c:v>2.16</c:v>
                </c:pt>
                <c:pt idx="94">
                  <c:v>2.33</c:v>
                </c:pt>
                <c:pt idx="95">
                  <c:v>2.4900000000000002</c:v>
                </c:pt>
                <c:pt idx="96">
                  <c:v>3.48</c:v>
                </c:pt>
                <c:pt idx="97">
                  <c:v>4.46</c:v>
                </c:pt>
                <c:pt idx="98">
                  <c:v>3.81</c:v>
                </c:pt>
                <c:pt idx="99">
                  <c:v>3.15</c:v>
                </c:pt>
                <c:pt idx="100">
                  <c:v>3.15</c:v>
                </c:pt>
                <c:pt idx="101">
                  <c:v>3.15</c:v>
                </c:pt>
                <c:pt idx="102">
                  <c:v>4.46</c:v>
                </c:pt>
                <c:pt idx="103">
                  <c:v>5.78</c:v>
                </c:pt>
                <c:pt idx="104">
                  <c:v>4.3</c:v>
                </c:pt>
                <c:pt idx="105">
                  <c:v>2.82</c:v>
                </c:pt>
                <c:pt idx="106">
                  <c:v>2.82</c:v>
                </c:pt>
                <c:pt idx="107">
                  <c:v>2.82</c:v>
                </c:pt>
                <c:pt idx="108">
                  <c:v>2.66</c:v>
                </c:pt>
                <c:pt idx="109">
                  <c:v>2.4900000000000002</c:v>
                </c:pt>
                <c:pt idx="110">
                  <c:v>2</c:v>
                </c:pt>
                <c:pt idx="111">
                  <c:v>1.51</c:v>
                </c:pt>
                <c:pt idx="112">
                  <c:v>1.67</c:v>
                </c:pt>
                <c:pt idx="113">
                  <c:v>1.84</c:v>
                </c:pt>
                <c:pt idx="114">
                  <c:v>2.66</c:v>
                </c:pt>
                <c:pt idx="115">
                  <c:v>3.48</c:v>
                </c:pt>
                <c:pt idx="116">
                  <c:v>2.98</c:v>
                </c:pt>
                <c:pt idx="117">
                  <c:v>2.4900000000000002</c:v>
                </c:pt>
                <c:pt idx="118">
                  <c:v>2.66</c:v>
                </c:pt>
                <c:pt idx="119">
                  <c:v>2.82</c:v>
                </c:pt>
                <c:pt idx="120">
                  <c:v>2.33</c:v>
                </c:pt>
                <c:pt idx="121">
                  <c:v>1.84</c:v>
                </c:pt>
                <c:pt idx="122">
                  <c:v>2</c:v>
                </c:pt>
                <c:pt idx="123">
                  <c:v>2.16</c:v>
                </c:pt>
                <c:pt idx="124">
                  <c:v>2.4900000000000002</c:v>
                </c:pt>
                <c:pt idx="125">
                  <c:v>2.82</c:v>
                </c:pt>
                <c:pt idx="126">
                  <c:v>2.66</c:v>
                </c:pt>
                <c:pt idx="127">
                  <c:v>2.4900000000000002</c:v>
                </c:pt>
                <c:pt idx="128">
                  <c:v>3.97</c:v>
                </c:pt>
                <c:pt idx="129">
                  <c:v>5.45</c:v>
                </c:pt>
                <c:pt idx="130">
                  <c:v>5.12</c:v>
                </c:pt>
                <c:pt idx="131">
                  <c:v>4.79</c:v>
                </c:pt>
                <c:pt idx="132">
                  <c:v>4.95</c:v>
                </c:pt>
                <c:pt idx="133">
                  <c:v>5.12</c:v>
                </c:pt>
                <c:pt idx="134">
                  <c:v>3.97</c:v>
                </c:pt>
                <c:pt idx="135">
                  <c:v>2.82</c:v>
                </c:pt>
                <c:pt idx="136">
                  <c:v>5.28</c:v>
                </c:pt>
                <c:pt idx="137">
                  <c:v>7.74</c:v>
                </c:pt>
                <c:pt idx="138">
                  <c:v>5.45</c:v>
                </c:pt>
                <c:pt idx="139">
                  <c:v>3.15</c:v>
                </c:pt>
                <c:pt idx="140">
                  <c:v>2.66</c:v>
                </c:pt>
                <c:pt idx="141">
                  <c:v>2.16</c:v>
                </c:pt>
                <c:pt idx="142">
                  <c:v>2.98</c:v>
                </c:pt>
                <c:pt idx="143">
                  <c:v>3.81</c:v>
                </c:pt>
                <c:pt idx="144">
                  <c:v>3.81</c:v>
                </c:pt>
                <c:pt idx="145">
                  <c:v>3.81</c:v>
                </c:pt>
                <c:pt idx="146">
                  <c:v>4.3</c:v>
                </c:pt>
                <c:pt idx="147">
                  <c:v>4.79</c:v>
                </c:pt>
                <c:pt idx="148">
                  <c:v>4.79</c:v>
                </c:pt>
                <c:pt idx="149">
                  <c:v>4.79</c:v>
                </c:pt>
                <c:pt idx="150">
                  <c:v>4.63</c:v>
                </c:pt>
                <c:pt idx="151">
                  <c:v>4.46</c:v>
                </c:pt>
                <c:pt idx="152">
                  <c:v>4.46</c:v>
                </c:pt>
                <c:pt idx="153">
                  <c:v>4.46</c:v>
                </c:pt>
                <c:pt idx="154">
                  <c:v>4.95</c:v>
                </c:pt>
                <c:pt idx="155">
                  <c:v>5.45</c:v>
                </c:pt>
                <c:pt idx="156">
                  <c:v>5.28</c:v>
                </c:pt>
                <c:pt idx="157">
                  <c:v>5.12</c:v>
                </c:pt>
                <c:pt idx="158">
                  <c:v>3.97</c:v>
                </c:pt>
                <c:pt idx="159">
                  <c:v>2.82</c:v>
                </c:pt>
                <c:pt idx="160">
                  <c:v>2.98</c:v>
                </c:pt>
                <c:pt idx="161">
                  <c:v>3.15</c:v>
                </c:pt>
                <c:pt idx="162">
                  <c:v>5.12</c:v>
                </c:pt>
                <c:pt idx="163">
                  <c:v>7.09</c:v>
                </c:pt>
                <c:pt idx="164">
                  <c:v>4.63</c:v>
                </c:pt>
                <c:pt idx="165">
                  <c:v>2.16</c:v>
                </c:pt>
                <c:pt idx="166">
                  <c:v>4.3</c:v>
                </c:pt>
                <c:pt idx="167">
                  <c:v>6.43</c:v>
                </c:pt>
                <c:pt idx="168">
                  <c:v>4.3</c:v>
                </c:pt>
                <c:pt idx="169">
                  <c:v>2.16</c:v>
                </c:pt>
                <c:pt idx="170">
                  <c:v>2.98</c:v>
                </c:pt>
                <c:pt idx="171">
                  <c:v>3.81</c:v>
                </c:pt>
                <c:pt idx="172">
                  <c:v>3.15</c:v>
                </c:pt>
                <c:pt idx="173">
                  <c:v>2.4900000000000002</c:v>
                </c:pt>
                <c:pt idx="174">
                  <c:v>2.82</c:v>
                </c:pt>
                <c:pt idx="175">
                  <c:v>3.15</c:v>
                </c:pt>
                <c:pt idx="176">
                  <c:v>2.82</c:v>
                </c:pt>
                <c:pt idx="177">
                  <c:v>2.4900000000000002</c:v>
                </c:pt>
                <c:pt idx="178">
                  <c:v>2</c:v>
                </c:pt>
                <c:pt idx="179">
                  <c:v>1.51</c:v>
                </c:pt>
                <c:pt idx="180">
                  <c:v>1.84</c:v>
                </c:pt>
                <c:pt idx="181">
                  <c:v>2.16</c:v>
                </c:pt>
                <c:pt idx="182">
                  <c:v>2.16</c:v>
                </c:pt>
                <c:pt idx="183">
                  <c:v>2.16</c:v>
                </c:pt>
                <c:pt idx="184">
                  <c:v>2.98</c:v>
                </c:pt>
                <c:pt idx="185">
                  <c:v>3.81</c:v>
                </c:pt>
                <c:pt idx="186">
                  <c:v>3.15</c:v>
                </c:pt>
                <c:pt idx="187">
                  <c:v>2.4900000000000002</c:v>
                </c:pt>
                <c:pt idx="188">
                  <c:v>4.13</c:v>
                </c:pt>
                <c:pt idx="189">
                  <c:v>5.78</c:v>
                </c:pt>
                <c:pt idx="190">
                  <c:v>4.46</c:v>
                </c:pt>
                <c:pt idx="191">
                  <c:v>3.15</c:v>
                </c:pt>
                <c:pt idx="192">
                  <c:v>2.4900000000000002</c:v>
                </c:pt>
                <c:pt idx="193">
                  <c:v>1.84</c:v>
                </c:pt>
                <c:pt idx="194">
                  <c:v>3.15</c:v>
                </c:pt>
                <c:pt idx="195">
                  <c:v>4.46</c:v>
                </c:pt>
                <c:pt idx="196">
                  <c:v>3.81</c:v>
                </c:pt>
                <c:pt idx="197">
                  <c:v>3.15</c:v>
                </c:pt>
                <c:pt idx="198">
                  <c:v>2.4900000000000002</c:v>
                </c:pt>
                <c:pt idx="199">
                  <c:v>1.84</c:v>
                </c:pt>
                <c:pt idx="200">
                  <c:v>2.33</c:v>
                </c:pt>
                <c:pt idx="201">
                  <c:v>2.82</c:v>
                </c:pt>
                <c:pt idx="202">
                  <c:v>3.81</c:v>
                </c:pt>
                <c:pt idx="203">
                  <c:v>4.79</c:v>
                </c:pt>
                <c:pt idx="204">
                  <c:v>3.97</c:v>
                </c:pt>
                <c:pt idx="205">
                  <c:v>3.15</c:v>
                </c:pt>
                <c:pt idx="206">
                  <c:v>2.98</c:v>
                </c:pt>
                <c:pt idx="207">
                  <c:v>2.82</c:v>
                </c:pt>
                <c:pt idx="208">
                  <c:v>2.66</c:v>
                </c:pt>
                <c:pt idx="209">
                  <c:v>2.4900000000000002</c:v>
                </c:pt>
                <c:pt idx="210">
                  <c:v>2.82</c:v>
                </c:pt>
                <c:pt idx="211">
                  <c:v>3.15</c:v>
                </c:pt>
                <c:pt idx="212">
                  <c:v>4.46</c:v>
                </c:pt>
                <c:pt idx="213">
                  <c:v>5.78</c:v>
                </c:pt>
                <c:pt idx="214">
                  <c:v>3.97</c:v>
                </c:pt>
                <c:pt idx="215">
                  <c:v>2.16</c:v>
                </c:pt>
                <c:pt idx="216">
                  <c:v>2.16</c:v>
                </c:pt>
                <c:pt idx="217">
                  <c:v>2.16</c:v>
                </c:pt>
                <c:pt idx="218">
                  <c:v>2.4900000000000002</c:v>
                </c:pt>
                <c:pt idx="219">
                  <c:v>2.82</c:v>
                </c:pt>
                <c:pt idx="220">
                  <c:v>3.81</c:v>
                </c:pt>
                <c:pt idx="221">
                  <c:v>4.79</c:v>
                </c:pt>
                <c:pt idx="222">
                  <c:v>3.81</c:v>
                </c:pt>
                <c:pt idx="223">
                  <c:v>2.82</c:v>
                </c:pt>
                <c:pt idx="224">
                  <c:v>2.4900000000000002</c:v>
                </c:pt>
                <c:pt idx="225">
                  <c:v>2.16</c:v>
                </c:pt>
                <c:pt idx="226">
                  <c:v>3.15</c:v>
                </c:pt>
                <c:pt idx="227">
                  <c:v>4.13</c:v>
                </c:pt>
                <c:pt idx="228">
                  <c:v>4.13</c:v>
                </c:pt>
                <c:pt idx="229">
                  <c:v>4.13</c:v>
                </c:pt>
                <c:pt idx="230">
                  <c:v>4.13</c:v>
                </c:pt>
                <c:pt idx="231">
                  <c:v>4.13</c:v>
                </c:pt>
                <c:pt idx="232">
                  <c:v>3.64</c:v>
                </c:pt>
                <c:pt idx="233">
                  <c:v>3.15</c:v>
                </c:pt>
                <c:pt idx="234">
                  <c:v>2.66</c:v>
                </c:pt>
                <c:pt idx="235">
                  <c:v>2.16</c:v>
                </c:pt>
                <c:pt idx="236">
                  <c:v>2.33</c:v>
                </c:pt>
                <c:pt idx="237">
                  <c:v>2.4900000000000002</c:v>
                </c:pt>
                <c:pt idx="238">
                  <c:v>2.4900000000000002</c:v>
                </c:pt>
                <c:pt idx="239">
                  <c:v>2.4900000000000002</c:v>
                </c:pt>
                <c:pt idx="240">
                  <c:v>2.66</c:v>
                </c:pt>
                <c:pt idx="241">
                  <c:v>2.82</c:v>
                </c:pt>
                <c:pt idx="242">
                  <c:v>2.4900000000000002</c:v>
                </c:pt>
                <c:pt idx="243">
                  <c:v>2.16</c:v>
                </c:pt>
                <c:pt idx="244">
                  <c:v>2.4900000000000002</c:v>
                </c:pt>
                <c:pt idx="245">
                  <c:v>2.82</c:v>
                </c:pt>
                <c:pt idx="246">
                  <c:v>2.4900000000000002</c:v>
                </c:pt>
                <c:pt idx="247">
                  <c:v>2.16</c:v>
                </c:pt>
                <c:pt idx="248">
                  <c:v>3.97</c:v>
                </c:pt>
                <c:pt idx="249">
                  <c:v>5.78</c:v>
                </c:pt>
                <c:pt idx="250">
                  <c:v>3.97</c:v>
                </c:pt>
                <c:pt idx="251">
                  <c:v>2.16</c:v>
                </c:pt>
                <c:pt idx="252">
                  <c:v>2.16</c:v>
                </c:pt>
                <c:pt idx="253">
                  <c:v>2.16</c:v>
                </c:pt>
                <c:pt idx="254">
                  <c:v>2.66</c:v>
                </c:pt>
                <c:pt idx="255">
                  <c:v>3.15</c:v>
                </c:pt>
                <c:pt idx="256">
                  <c:v>2.66</c:v>
                </c:pt>
                <c:pt idx="257">
                  <c:v>2.16</c:v>
                </c:pt>
                <c:pt idx="258">
                  <c:v>2.16</c:v>
                </c:pt>
                <c:pt idx="259">
                  <c:v>2.16</c:v>
                </c:pt>
                <c:pt idx="260">
                  <c:v>2.33</c:v>
                </c:pt>
                <c:pt idx="261">
                  <c:v>2.4900000000000002</c:v>
                </c:pt>
                <c:pt idx="262">
                  <c:v>2.33</c:v>
                </c:pt>
                <c:pt idx="263">
                  <c:v>2.16</c:v>
                </c:pt>
                <c:pt idx="264">
                  <c:v>3.48</c:v>
                </c:pt>
                <c:pt idx="265">
                  <c:v>4.79</c:v>
                </c:pt>
                <c:pt idx="266">
                  <c:v>3.81</c:v>
                </c:pt>
                <c:pt idx="267">
                  <c:v>2.82</c:v>
                </c:pt>
                <c:pt idx="268">
                  <c:v>3.31</c:v>
                </c:pt>
                <c:pt idx="269">
                  <c:v>3.81</c:v>
                </c:pt>
                <c:pt idx="270">
                  <c:v>3.64</c:v>
                </c:pt>
                <c:pt idx="271">
                  <c:v>3.48</c:v>
                </c:pt>
                <c:pt idx="272">
                  <c:v>4.13</c:v>
                </c:pt>
                <c:pt idx="273">
                  <c:v>4.79</c:v>
                </c:pt>
                <c:pt idx="274">
                  <c:v>3.64</c:v>
                </c:pt>
                <c:pt idx="275">
                  <c:v>2.4900000000000002</c:v>
                </c:pt>
                <c:pt idx="276">
                  <c:v>3.97</c:v>
                </c:pt>
                <c:pt idx="277">
                  <c:v>5.45</c:v>
                </c:pt>
                <c:pt idx="278">
                  <c:v>4.46</c:v>
                </c:pt>
                <c:pt idx="279">
                  <c:v>3.48</c:v>
                </c:pt>
                <c:pt idx="280">
                  <c:v>3.48</c:v>
                </c:pt>
                <c:pt idx="281">
                  <c:v>3.48</c:v>
                </c:pt>
                <c:pt idx="282">
                  <c:v>5.61</c:v>
                </c:pt>
                <c:pt idx="283">
                  <c:v>7.74</c:v>
                </c:pt>
                <c:pt idx="284">
                  <c:v>5.61</c:v>
                </c:pt>
                <c:pt idx="285">
                  <c:v>3.48</c:v>
                </c:pt>
                <c:pt idx="286">
                  <c:v>2.82</c:v>
                </c:pt>
                <c:pt idx="287">
                  <c:v>2.16</c:v>
                </c:pt>
                <c:pt idx="288">
                  <c:v>3.31</c:v>
                </c:pt>
                <c:pt idx="289">
                  <c:v>4.46</c:v>
                </c:pt>
                <c:pt idx="290">
                  <c:v>3.15</c:v>
                </c:pt>
                <c:pt idx="291">
                  <c:v>1.84</c:v>
                </c:pt>
                <c:pt idx="292">
                  <c:v>2.82</c:v>
                </c:pt>
                <c:pt idx="293">
                  <c:v>3.81</c:v>
                </c:pt>
                <c:pt idx="294">
                  <c:v>3.64</c:v>
                </c:pt>
                <c:pt idx="295">
                  <c:v>3.48</c:v>
                </c:pt>
                <c:pt idx="296">
                  <c:v>3.15</c:v>
                </c:pt>
                <c:pt idx="297">
                  <c:v>2.82</c:v>
                </c:pt>
                <c:pt idx="298">
                  <c:v>2.4900000000000002</c:v>
                </c:pt>
                <c:pt idx="299">
                  <c:v>2.16</c:v>
                </c:pt>
                <c:pt idx="300">
                  <c:v>3.97</c:v>
                </c:pt>
                <c:pt idx="301">
                  <c:v>5.78</c:v>
                </c:pt>
                <c:pt idx="302">
                  <c:v>4.79</c:v>
                </c:pt>
                <c:pt idx="303">
                  <c:v>3.81</c:v>
                </c:pt>
                <c:pt idx="304">
                  <c:v>4.46</c:v>
                </c:pt>
                <c:pt idx="305">
                  <c:v>5.12</c:v>
                </c:pt>
                <c:pt idx="306">
                  <c:v>3.97</c:v>
                </c:pt>
                <c:pt idx="307">
                  <c:v>2.82</c:v>
                </c:pt>
                <c:pt idx="308">
                  <c:v>2.4900000000000002</c:v>
                </c:pt>
                <c:pt idx="309">
                  <c:v>2.16</c:v>
                </c:pt>
                <c:pt idx="310">
                  <c:v>2.66</c:v>
                </c:pt>
                <c:pt idx="311">
                  <c:v>3.15</c:v>
                </c:pt>
                <c:pt idx="312">
                  <c:v>3.64</c:v>
                </c:pt>
                <c:pt idx="313">
                  <c:v>4.13</c:v>
                </c:pt>
                <c:pt idx="314">
                  <c:v>3.31</c:v>
                </c:pt>
                <c:pt idx="315">
                  <c:v>2.4900000000000002</c:v>
                </c:pt>
                <c:pt idx="316">
                  <c:v>3.48</c:v>
                </c:pt>
                <c:pt idx="317">
                  <c:v>4.46</c:v>
                </c:pt>
                <c:pt idx="318">
                  <c:v>4.46</c:v>
                </c:pt>
                <c:pt idx="319">
                  <c:v>4.46</c:v>
                </c:pt>
                <c:pt idx="320">
                  <c:v>3.48</c:v>
                </c:pt>
                <c:pt idx="321">
                  <c:v>2.4900000000000002</c:v>
                </c:pt>
                <c:pt idx="322">
                  <c:v>3.81</c:v>
                </c:pt>
                <c:pt idx="323">
                  <c:v>5.12</c:v>
                </c:pt>
                <c:pt idx="324">
                  <c:v>5.28</c:v>
                </c:pt>
                <c:pt idx="325">
                  <c:v>5.45</c:v>
                </c:pt>
                <c:pt idx="326">
                  <c:v>3.97</c:v>
                </c:pt>
                <c:pt idx="327">
                  <c:v>2.4900000000000002</c:v>
                </c:pt>
                <c:pt idx="328">
                  <c:v>2.33</c:v>
                </c:pt>
                <c:pt idx="329">
                  <c:v>2.16</c:v>
                </c:pt>
                <c:pt idx="330">
                  <c:v>2.4900000000000002</c:v>
                </c:pt>
                <c:pt idx="331">
                  <c:v>2.82</c:v>
                </c:pt>
                <c:pt idx="332">
                  <c:v>3.15</c:v>
                </c:pt>
                <c:pt idx="333">
                  <c:v>3.48</c:v>
                </c:pt>
                <c:pt idx="334">
                  <c:v>2.82</c:v>
                </c:pt>
                <c:pt idx="335">
                  <c:v>2.16</c:v>
                </c:pt>
                <c:pt idx="336">
                  <c:v>2.33</c:v>
                </c:pt>
                <c:pt idx="337">
                  <c:v>2.4900000000000002</c:v>
                </c:pt>
                <c:pt idx="338">
                  <c:v>2.33</c:v>
                </c:pt>
                <c:pt idx="339">
                  <c:v>2.16</c:v>
                </c:pt>
                <c:pt idx="340">
                  <c:v>2.16</c:v>
                </c:pt>
                <c:pt idx="341">
                  <c:v>2.16</c:v>
                </c:pt>
                <c:pt idx="342">
                  <c:v>2</c:v>
                </c:pt>
                <c:pt idx="343">
                  <c:v>1.84</c:v>
                </c:pt>
                <c:pt idx="344">
                  <c:v>3.15</c:v>
                </c:pt>
                <c:pt idx="345">
                  <c:v>4.46</c:v>
                </c:pt>
                <c:pt idx="346">
                  <c:v>3.48</c:v>
                </c:pt>
                <c:pt idx="347">
                  <c:v>2.4900000000000002</c:v>
                </c:pt>
                <c:pt idx="348">
                  <c:v>2.16</c:v>
                </c:pt>
                <c:pt idx="349">
                  <c:v>1.84</c:v>
                </c:pt>
                <c:pt idx="350">
                  <c:v>2.16</c:v>
                </c:pt>
                <c:pt idx="351">
                  <c:v>2.4900000000000002</c:v>
                </c:pt>
                <c:pt idx="352">
                  <c:v>2.4900000000000002</c:v>
                </c:pt>
                <c:pt idx="353">
                  <c:v>2.4900000000000002</c:v>
                </c:pt>
                <c:pt idx="354">
                  <c:v>2.4900000000000002</c:v>
                </c:pt>
                <c:pt idx="355">
                  <c:v>2.4900000000000002</c:v>
                </c:pt>
                <c:pt idx="356">
                  <c:v>2.82</c:v>
                </c:pt>
                <c:pt idx="357">
                  <c:v>3.15</c:v>
                </c:pt>
                <c:pt idx="358">
                  <c:v>2.66</c:v>
                </c:pt>
                <c:pt idx="359">
                  <c:v>2.16</c:v>
                </c:pt>
                <c:pt idx="360">
                  <c:v>2.66</c:v>
                </c:pt>
                <c:pt idx="361">
                  <c:v>3.15</c:v>
                </c:pt>
                <c:pt idx="362">
                  <c:v>2.82</c:v>
                </c:pt>
                <c:pt idx="363">
                  <c:v>2.4900000000000002</c:v>
                </c:pt>
                <c:pt idx="364">
                  <c:v>2.16</c:v>
                </c:pt>
                <c:pt idx="365">
                  <c:v>1.84</c:v>
                </c:pt>
                <c:pt idx="366">
                  <c:v>3.15</c:v>
                </c:pt>
                <c:pt idx="367">
                  <c:v>4.46</c:v>
                </c:pt>
                <c:pt idx="368">
                  <c:v>3.48</c:v>
                </c:pt>
                <c:pt idx="369">
                  <c:v>2.4900000000000002</c:v>
                </c:pt>
                <c:pt idx="370">
                  <c:v>2.4900000000000002</c:v>
                </c:pt>
                <c:pt idx="371">
                  <c:v>2.4900000000000002</c:v>
                </c:pt>
                <c:pt idx="372">
                  <c:v>2.33</c:v>
                </c:pt>
                <c:pt idx="373">
                  <c:v>2.16</c:v>
                </c:pt>
                <c:pt idx="374">
                  <c:v>2.98</c:v>
                </c:pt>
                <c:pt idx="375">
                  <c:v>3.81</c:v>
                </c:pt>
                <c:pt idx="376">
                  <c:v>2.98</c:v>
                </c:pt>
                <c:pt idx="377">
                  <c:v>2.16</c:v>
                </c:pt>
                <c:pt idx="378">
                  <c:v>2.82</c:v>
                </c:pt>
                <c:pt idx="379">
                  <c:v>3.48</c:v>
                </c:pt>
                <c:pt idx="380">
                  <c:v>2.98</c:v>
                </c:pt>
                <c:pt idx="381">
                  <c:v>2.4900000000000002</c:v>
                </c:pt>
                <c:pt idx="382">
                  <c:v>3.31</c:v>
                </c:pt>
                <c:pt idx="383">
                  <c:v>4.13</c:v>
                </c:pt>
                <c:pt idx="384">
                  <c:v>4.13</c:v>
                </c:pt>
                <c:pt idx="385">
                  <c:v>4.13</c:v>
                </c:pt>
                <c:pt idx="386">
                  <c:v>3.31</c:v>
                </c:pt>
                <c:pt idx="387">
                  <c:v>2.4900000000000002</c:v>
                </c:pt>
                <c:pt idx="388">
                  <c:v>2.82</c:v>
                </c:pt>
                <c:pt idx="389">
                  <c:v>3.15</c:v>
                </c:pt>
                <c:pt idx="390">
                  <c:v>2.98</c:v>
                </c:pt>
                <c:pt idx="391">
                  <c:v>2.82</c:v>
                </c:pt>
                <c:pt idx="392">
                  <c:v>2.82</c:v>
                </c:pt>
                <c:pt idx="393">
                  <c:v>2.82</c:v>
                </c:pt>
                <c:pt idx="394">
                  <c:v>3.81</c:v>
                </c:pt>
                <c:pt idx="395">
                  <c:v>4.79</c:v>
                </c:pt>
                <c:pt idx="396">
                  <c:v>3.64</c:v>
                </c:pt>
                <c:pt idx="397">
                  <c:v>2.4900000000000002</c:v>
                </c:pt>
                <c:pt idx="398">
                  <c:v>2.4900000000000002</c:v>
                </c:pt>
                <c:pt idx="399">
                  <c:v>2.4900000000000002</c:v>
                </c:pt>
                <c:pt idx="400">
                  <c:v>2.33</c:v>
                </c:pt>
                <c:pt idx="401">
                  <c:v>2.16</c:v>
                </c:pt>
                <c:pt idx="402">
                  <c:v>3.48</c:v>
                </c:pt>
                <c:pt idx="403">
                  <c:v>4.79</c:v>
                </c:pt>
                <c:pt idx="404">
                  <c:v>4.95</c:v>
                </c:pt>
                <c:pt idx="405">
                  <c:v>5.12</c:v>
                </c:pt>
                <c:pt idx="406">
                  <c:v>3.81</c:v>
                </c:pt>
                <c:pt idx="407">
                  <c:v>2.4900000000000002</c:v>
                </c:pt>
                <c:pt idx="408">
                  <c:v>2.98</c:v>
                </c:pt>
                <c:pt idx="409">
                  <c:v>3.48</c:v>
                </c:pt>
                <c:pt idx="410">
                  <c:v>4.63</c:v>
                </c:pt>
                <c:pt idx="411">
                  <c:v>5.78</c:v>
                </c:pt>
                <c:pt idx="412">
                  <c:v>4.13</c:v>
                </c:pt>
                <c:pt idx="413">
                  <c:v>2.4900000000000002</c:v>
                </c:pt>
                <c:pt idx="414">
                  <c:v>2.4900000000000002</c:v>
                </c:pt>
                <c:pt idx="415">
                  <c:v>2.4900000000000002</c:v>
                </c:pt>
                <c:pt idx="416">
                  <c:v>2.4900000000000002</c:v>
                </c:pt>
                <c:pt idx="417">
                  <c:v>2.4900000000000002</c:v>
                </c:pt>
                <c:pt idx="418">
                  <c:v>2.4900000000000002</c:v>
                </c:pt>
                <c:pt idx="419">
                  <c:v>2.4900000000000002</c:v>
                </c:pt>
                <c:pt idx="420">
                  <c:v>3.15</c:v>
                </c:pt>
                <c:pt idx="421">
                  <c:v>3.81</c:v>
                </c:pt>
                <c:pt idx="422">
                  <c:v>4.63</c:v>
                </c:pt>
                <c:pt idx="423">
                  <c:v>5.45</c:v>
                </c:pt>
                <c:pt idx="424">
                  <c:v>3.97</c:v>
                </c:pt>
                <c:pt idx="425">
                  <c:v>2.4900000000000002</c:v>
                </c:pt>
                <c:pt idx="426">
                  <c:v>3.64</c:v>
                </c:pt>
                <c:pt idx="427">
                  <c:v>4.79</c:v>
                </c:pt>
                <c:pt idx="428">
                  <c:v>3.48</c:v>
                </c:pt>
                <c:pt idx="429">
                  <c:v>2.16</c:v>
                </c:pt>
                <c:pt idx="430">
                  <c:v>2.82</c:v>
                </c:pt>
                <c:pt idx="431">
                  <c:v>3.48</c:v>
                </c:pt>
                <c:pt idx="432">
                  <c:v>3.31</c:v>
                </c:pt>
                <c:pt idx="433">
                  <c:v>3.15</c:v>
                </c:pt>
                <c:pt idx="434">
                  <c:v>2.66</c:v>
                </c:pt>
                <c:pt idx="435">
                  <c:v>2.16</c:v>
                </c:pt>
                <c:pt idx="436">
                  <c:v>2.16</c:v>
                </c:pt>
                <c:pt idx="437">
                  <c:v>2.16</c:v>
                </c:pt>
                <c:pt idx="438">
                  <c:v>2.33</c:v>
                </c:pt>
                <c:pt idx="439">
                  <c:v>2.4900000000000002</c:v>
                </c:pt>
                <c:pt idx="440">
                  <c:v>2.33</c:v>
                </c:pt>
                <c:pt idx="441">
                  <c:v>2.16</c:v>
                </c:pt>
                <c:pt idx="442">
                  <c:v>3.48</c:v>
                </c:pt>
                <c:pt idx="443">
                  <c:v>4.79</c:v>
                </c:pt>
                <c:pt idx="444">
                  <c:v>3.48</c:v>
                </c:pt>
                <c:pt idx="445">
                  <c:v>2.16</c:v>
                </c:pt>
                <c:pt idx="446">
                  <c:v>2.4900000000000002</c:v>
                </c:pt>
                <c:pt idx="447">
                  <c:v>2.82</c:v>
                </c:pt>
                <c:pt idx="448">
                  <c:v>2.98</c:v>
                </c:pt>
                <c:pt idx="449">
                  <c:v>3.15</c:v>
                </c:pt>
                <c:pt idx="450">
                  <c:v>3.64</c:v>
                </c:pt>
                <c:pt idx="451">
                  <c:v>4.13</c:v>
                </c:pt>
                <c:pt idx="452">
                  <c:v>3.48</c:v>
                </c:pt>
                <c:pt idx="453">
                  <c:v>2.82</c:v>
                </c:pt>
                <c:pt idx="454">
                  <c:v>3.15</c:v>
                </c:pt>
                <c:pt idx="455">
                  <c:v>3.48</c:v>
                </c:pt>
                <c:pt idx="456">
                  <c:v>4.3</c:v>
                </c:pt>
                <c:pt idx="457">
                  <c:v>5.12</c:v>
                </c:pt>
                <c:pt idx="458">
                  <c:v>3.81</c:v>
                </c:pt>
                <c:pt idx="459">
                  <c:v>2.4900000000000002</c:v>
                </c:pt>
                <c:pt idx="460">
                  <c:v>3.81</c:v>
                </c:pt>
                <c:pt idx="461">
                  <c:v>5.12</c:v>
                </c:pt>
                <c:pt idx="462">
                  <c:v>5.28</c:v>
                </c:pt>
                <c:pt idx="463">
                  <c:v>5.45</c:v>
                </c:pt>
                <c:pt idx="464">
                  <c:v>4.13</c:v>
                </c:pt>
                <c:pt idx="465">
                  <c:v>2.82</c:v>
                </c:pt>
                <c:pt idx="466">
                  <c:v>2.4900000000000002</c:v>
                </c:pt>
                <c:pt idx="467">
                  <c:v>2.16</c:v>
                </c:pt>
                <c:pt idx="468">
                  <c:v>2.33</c:v>
                </c:pt>
                <c:pt idx="469">
                  <c:v>2.4900000000000002</c:v>
                </c:pt>
                <c:pt idx="470">
                  <c:v>4.13</c:v>
                </c:pt>
                <c:pt idx="471">
                  <c:v>5.78</c:v>
                </c:pt>
                <c:pt idx="472">
                  <c:v>5.28</c:v>
                </c:pt>
                <c:pt idx="473">
                  <c:v>4.79</c:v>
                </c:pt>
                <c:pt idx="474">
                  <c:v>3.64</c:v>
                </c:pt>
                <c:pt idx="475">
                  <c:v>2.4900000000000002</c:v>
                </c:pt>
                <c:pt idx="476">
                  <c:v>3.64</c:v>
                </c:pt>
                <c:pt idx="477">
                  <c:v>4.79</c:v>
                </c:pt>
                <c:pt idx="478">
                  <c:v>3.48</c:v>
                </c:pt>
                <c:pt idx="479">
                  <c:v>2.16</c:v>
                </c:pt>
                <c:pt idx="480">
                  <c:v>3.15</c:v>
                </c:pt>
                <c:pt idx="481">
                  <c:v>4.13</c:v>
                </c:pt>
                <c:pt idx="482">
                  <c:v>3.64</c:v>
                </c:pt>
                <c:pt idx="483">
                  <c:v>3.15</c:v>
                </c:pt>
                <c:pt idx="484">
                  <c:v>2.66</c:v>
                </c:pt>
                <c:pt idx="485">
                  <c:v>2.16</c:v>
                </c:pt>
                <c:pt idx="486">
                  <c:v>2.16</c:v>
                </c:pt>
                <c:pt idx="487">
                  <c:v>2.16</c:v>
                </c:pt>
                <c:pt idx="488">
                  <c:v>2.66</c:v>
                </c:pt>
                <c:pt idx="489">
                  <c:v>3.15</c:v>
                </c:pt>
                <c:pt idx="490">
                  <c:v>2.82</c:v>
                </c:pt>
                <c:pt idx="491">
                  <c:v>2.4900000000000002</c:v>
                </c:pt>
                <c:pt idx="492">
                  <c:v>2.16</c:v>
                </c:pt>
                <c:pt idx="493">
                  <c:v>1.84</c:v>
                </c:pt>
                <c:pt idx="494">
                  <c:v>2.16</c:v>
                </c:pt>
                <c:pt idx="495">
                  <c:v>2.4900000000000002</c:v>
                </c:pt>
                <c:pt idx="496">
                  <c:v>2.66</c:v>
                </c:pt>
                <c:pt idx="497">
                  <c:v>2.82</c:v>
                </c:pt>
                <c:pt idx="498">
                  <c:v>2.82</c:v>
                </c:pt>
                <c:pt idx="499">
                  <c:v>2.82</c:v>
                </c:pt>
                <c:pt idx="500">
                  <c:v>2.66</c:v>
                </c:pt>
                <c:pt idx="501">
                  <c:v>2.4900000000000002</c:v>
                </c:pt>
                <c:pt idx="502">
                  <c:v>4.3</c:v>
                </c:pt>
                <c:pt idx="503">
                  <c:v>6.1</c:v>
                </c:pt>
                <c:pt idx="504">
                  <c:v>5.28</c:v>
                </c:pt>
                <c:pt idx="505">
                  <c:v>4.46</c:v>
                </c:pt>
                <c:pt idx="506">
                  <c:v>3.81</c:v>
                </c:pt>
                <c:pt idx="507">
                  <c:v>3.15</c:v>
                </c:pt>
                <c:pt idx="508">
                  <c:v>4.63</c:v>
                </c:pt>
                <c:pt idx="509">
                  <c:v>6.1</c:v>
                </c:pt>
                <c:pt idx="510">
                  <c:v>4.13</c:v>
                </c:pt>
                <c:pt idx="511">
                  <c:v>2.16</c:v>
                </c:pt>
                <c:pt idx="512">
                  <c:v>2.33</c:v>
                </c:pt>
                <c:pt idx="513">
                  <c:v>2.4900000000000002</c:v>
                </c:pt>
                <c:pt idx="514">
                  <c:v>2.4900000000000002</c:v>
                </c:pt>
                <c:pt idx="515">
                  <c:v>2.4900000000000002</c:v>
                </c:pt>
                <c:pt idx="516">
                  <c:v>2.82</c:v>
                </c:pt>
                <c:pt idx="517">
                  <c:v>3.15</c:v>
                </c:pt>
                <c:pt idx="518">
                  <c:v>2.82</c:v>
                </c:pt>
                <c:pt idx="519">
                  <c:v>2.4900000000000002</c:v>
                </c:pt>
                <c:pt idx="520">
                  <c:v>3.64</c:v>
                </c:pt>
                <c:pt idx="521">
                  <c:v>4.79</c:v>
                </c:pt>
                <c:pt idx="522">
                  <c:v>5.61</c:v>
                </c:pt>
                <c:pt idx="523">
                  <c:v>6.43</c:v>
                </c:pt>
                <c:pt idx="524">
                  <c:v>7.25</c:v>
                </c:pt>
                <c:pt idx="525">
                  <c:v>8.07</c:v>
                </c:pt>
                <c:pt idx="526">
                  <c:v>6.43</c:v>
                </c:pt>
                <c:pt idx="527">
                  <c:v>4.79</c:v>
                </c:pt>
                <c:pt idx="528">
                  <c:v>6.1</c:v>
                </c:pt>
                <c:pt idx="529">
                  <c:v>7.42</c:v>
                </c:pt>
                <c:pt idx="530">
                  <c:v>5.61</c:v>
                </c:pt>
                <c:pt idx="531">
                  <c:v>3.81</c:v>
                </c:pt>
                <c:pt idx="532">
                  <c:v>3.81</c:v>
                </c:pt>
                <c:pt idx="533">
                  <c:v>3.81</c:v>
                </c:pt>
                <c:pt idx="534">
                  <c:v>3.81</c:v>
                </c:pt>
                <c:pt idx="535">
                  <c:v>3.81</c:v>
                </c:pt>
                <c:pt idx="536">
                  <c:v>3.48</c:v>
                </c:pt>
                <c:pt idx="537">
                  <c:v>3.15</c:v>
                </c:pt>
                <c:pt idx="538">
                  <c:v>3.97</c:v>
                </c:pt>
                <c:pt idx="539">
                  <c:v>4.79</c:v>
                </c:pt>
                <c:pt idx="540">
                  <c:v>6.6</c:v>
                </c:pt>
                <c:pt idx="541">
                  <c:v>8.4</c:v>
                </c:pt>
                <c:pt idx="542">
                  <c:v>8.57</c:v>
                </c:pt>
                <c:pt idx="543">
                  <c:v>8.73</c:v>
                </c:pt>
                <c:pt idx="544">
                  <c:v>7.91</c:v>
                </c:pt>
                <c:pt idx="545">
                  <c:v>7.09</c:v>
                </c:pt>
                <c:pt idx="546">
                  <c:v>8.24</c:v>
                </c:pt>
                <c:pt idx="547">
                  <c:v>9.39</c:v>
                </c:pt>
                <c:pt idx="548">
                  <c:v>7.09</c:v>
                </c:pt>
                <c:pt idx="549">
                  <c:v>4.79</c:v>
                </c:pt>
                <c:pt idx="550">
                  <c:v>4.63</c:v>
                </c:pt>
                <c:pt idx="551">
                  <c:v>4.46</c:v>
                </c:pt>
                <c:pt idx="552">
                  <c:v>7.25</c:v>
                </c:pt>
                <c:pt idx="553">
                  <c:v>10.039999999999999</c:v>
                </c:pt>
                <c:pt idx="554">
                  <c:v>8.24</c:v>
                </c:pt>
                <c:pt idx="555">
                  <c:v>6.43</c:v>
                </c:pt>
                <c:pt idx="556">
                  <c:v>11.19</c:v>
                </c:pt>
                <c:pt idx="557">
                  <c:v>15.95</c:v>
                </c:pt>
                <c:pt idx="558">
                  <c:v>14.47</c:v>
                </c:pt>
                <c:pt idx="559">
                  <c:v>13</c:v>
                </c:pt>
                <c:pt idx="560">
                  <c:v>11.19</c:v>
                </c:pt>
                <c:pt idx="561">
                  <c:v>9.39</c:v>
                </c:pt>
                <c:pt idx="562">
                  <c:v>12.01</c:v>
                </c:pt>
                <c:pt idx="563">
                  <c:v>14.64</c:v>
                </c:pt>
                <c:pt idx="564">
                  <c:v>15.13</c:v>
                </c:pt>
                <c:pt idx="565">
                  <c:v>15.62</c:v>
                </c:pt>
                <c:pt idx="566">
                  <c:v>15.13</c:v>
                </c:pt>
                <c:pt idx="567">
                  <c:v>14.64</c:v>
                </c:pt>
                <c:pt idx="568">
                  <c:v>14.64</c:v>
                </c:pt>
                <c:pt idx="569">
                  <c:v>14.64</c:v>
                </c:pt>
                <c:pt idx="570">
                  <c:v>16.440000000000001</c:v>
                </c:pt>
                <c:pt idx="571">
                  <c:v>18.25</c:v>
                </c:pt>
                <c:pt idx="572">
                  <c:v>17.920000000000002</c:v>
                </c:pt>
                <c:pt idx="573">
                  <c:v>17.59</c:v>
                </c:pt>
                <c:pt idx="574">
                  <c:v>19.07</c:v>
                </c:pt>
                <c:pt idx="575">
                  <c:v>20.55</c:v>
                </c:pt>
                <c:pt idx="576">
                  <c:v>21.7</c:v>
                </c:pt>
                <c:pt idx="577">
                  <c:v>22.85</c:v>
                </c:pt>
                <c:pt idx="578">
                  <c:v>24.81</c:v>
                </c:pt>
                <c:pt idx="579">
                  <c:v>26.78</c:v>
                </c:pt>
                <c:pt idx="580">
                  <c:v>26.13</c:v>
                </c:pt>
                <c:pt idx="581">
                  <c:v>25.47</c:v>
                </c:pt>
                <c:pt idx="582">
                  <c:v>30.4</c:v>
                </c:pt>
                <c:pt idx="583">
                  <c:v>35.32</c:v>
                </c:pt>
                <c:pt idx="584">
                  <c:v>31.22</c:v>
                </c:pt>
                <c:pt idx="585">
                  <c:v>27.11</c:v>
                </c:pt>
                <c:pt idx="586">
                  <c:v>24.16</c:v>
                </c:pt>
                <c:pt idx="587">
                  <c:v>21.2</c:v>
                </c:pt>
                <c:pt idx="588">
                  <c:v>30.07</c:v>
                </c:pt>
                <c:pt idx="589">
                  <c:v>38.93</c:v>
                </c:pt>
                <c:pt idx="590">
                  <c:v>36.14</c:v>
                </c:pt>
                <c:pt idx="591">
                  <c:v>33.35</c:v>
                </c:pt>
                <c:pt idx="592">
                  <c:v>31.05</c:v>
                </c:pt>
                <c:pt idx="593">
                  <c:v>28.75</c:v>
                </c:pt>
                <c:pt idx="594">
                  <c:v>30.4</c:v>
                </c:pt>
                <c:pt idx="595">
                  <c:v>32.04</c:v>
                </c:pt>
                <c:pt idx="596">
                  <c:v>31.87</c:v>
                </c:pt>
                <c:pt idx="597">
                  <c:v>31.71</c:v>
                </c:pt>
                <c:pt idx="598">
                  <c:v>39.42</c:v>
                </c:pt>
                <c:pt idx="599">
                  <c:v>47.14</c:v>
                </c:pt>
                <c:pt idx="600">
                  <c:v>46.32</c:v>
                </c:pt>
                <c:pt idx="601">
                  <c:v>45.5</c:v>
                </c:pt>
                <c:pt idx="602">
                  <c:v>52.39</c:v>
                </c:pt>
                <c:pt idx="603">
                  <c:v>59.28</c:v>
                </c:pt>
                <c:pt idx="604">
                  <c:v>55.84</c:v>
                </c:pt>
                <c:pt idx="605">
                  <c:v>52.39</c:v>
                </c:pt>
                <c:pt idx="606">
                  <c:v>46.97</c:v>
                </c:pt>
                <c:pt idx="607">
                  <c:v>41.56</c:v>
                </c:pt>
                <c:pt idx="608">
                  <c:v>39.090000000000003</c:v>
                </c:pt>
                <c:pt idx="609">
                  <c:v>36.630000000000003</c:v>
                </c:pt>
                <c:pt idx="610">
                  <c:v>34.99</c:v>
                </c:pt>
                <c:pt idx="611">
                  <c:v>33.35</c:v>
                </c:pt>
                <c:pt idx="612">
                  <c:v>35.65</c:v>
                </c:pt>
                <c:pt idx="613">
                  <c:v>37.950000000000003</c:v>
                </c:pt>
                <c:pt idx="614">
                  <c:v>39.92</c:v>
                </c:pt>
                <c:pt idx="615">
                  <c:v>41.89</c:v>
                </c:pt>
                <c:pt idx="616">
                  <c:v>41.56</c:v>
                </c:pt>
                <c:pt idx="617">
                  <c:v>41.23</c:v>
                </c:pt>
                <c:pt idx="618">
                  <c:v>46.64</c:v>
                </c:pt>
                <c:pt idx="619">
                  <c:v>52.06</c:v>
                </c:pt>
                <c:pt idx="620">
                  <c:v>50.91</c:v>
                </c:pt>
                <c:pt idx="621">
                  <c:v>49.76</c:v>
                </c:pt>
                <c:pt idx="622">
                  <c:v>54.69</c:v>
                </c:pt>
                <c:pt idx="623">
                  <c:v>59.61</c:v>
                </c:pt>
                <c:pt idx="624">
                  <c:v>55.18</c:v>
                </c:pt>
                <c:pt idx="625">
                  <c:v>50.75</c:v>
                </c:pt>
                <c:pt idx="626">
                  <c:v>54.85</c:v>
                </c:pt>
                <c:pt idx="627">
                  <c:v>58.96</c:v>
                </c:pt>
                <c:pt idx="628">
                  <c:v>56.82</c:v>
                </c:pt>
                <c:pt idx="629">
                  <c:v>54.69</c:v>
                </c:pt>
                <c:pt idx="630">
                  <c:v>54.03</c:v>
                </c:pt>
                <c:pt idx="631">
                  <c:v>53.37</c:v>
                </c:pt>
                <c:pt idx="632">
                  <c:v>62.57</c:v>
                </c:pt>
                <c:pt idx="633">
                  <c:v>71.760000000000005</c:v>
                </c:pt>
                <c:pt idx="634">
                  <c:v>75.2</c:v>
                </c:pt>
                <c:pt idx="635">
                  <c:v>78.650000000000006</c:v>
                </c:pt>
                <c:pt idx="636">
                  <c:v>80.459999999999994</c:v>
                </c:pt>
                <c:pt idx="637">
                  <c:v>82.26</c:v>
                </c:pt>
                <c:pt idx="638">
                  <c:v>85.05</c:v>
                </c:pt>
                <c:pt idx="639">
                  <c:v>87.84</c:v>
                </c:pt>
                <c:pt idx="640">
                  <c:v>90.31</c:v>
                </c:pt>
                <c:pt idx="641">
                  <c:v>92.77</c:v>
                </c:pt>
                <c:pt idx="642">
                  <c:v>94.9</c:v>
                </c:pt>
                <c:pt idx="643">
                  <c:v>97.03</c:v>
                </c:pt>
                <c:pt idx="644">
                  <c:v>93.75</c:v>
                </c:pt>
                <c:pt idx="645">
                  <c:v>90.47</c:v>
                </c:pt>
                <c:pt idx="646">
                  <c:v>91.78</c:v>
                </c:pt>
                <c:pt idx="647">
                  <c:v>93.1</c:v>
                </c:pt>
                <c:pt idx="648">
                  <c:v>87.35</c:v>
                </c:pt>
                <c:pt idx="649">
                  <c:v>81.61</c:v>
                </c:pt>
                <c:pt idx="650">
                  <c:v>77.83</c:v>
                </c:pt>
                <c:pt idx="651">
                  <c:v>74.06</c:v>
                </c:pt>
                <c:pt idx="652">
                  <c:v>65.849999999999994</c:v>
                </c:pt>
                <c:pt idx="653">
                  <c:v>57.64</c:v>
                </c:pt>
                <c:pt idx="654">
                  <c:v>62.4</c:v>
                </c:pt>
                <c:pt idx="655">
                  <c:v>67.16</c:v>
                </c:pt>
                <c:pt idx="656">
                  <c:v>64.209999999999994</c:v>
                </c:pt>
                <c:pt idx="657">
                  <c:v>61.25</c:v>
                </c:pt>
                <c:pt idx="658">
                  <c:v>62.24</c:v>
                </c:pt>
                <c:pt idx="659">
                  <c:v>63.22</c:v>
                </c:pt>
                <c:pt idx="660">
                  <c:v>63.22</c:v>
                </c:pt>
                <c:pt idx="661">
                  <c:v>63.22</c:v>
                </c:pt>
                <c:pt idx="662">
                  <c:v>63.55</c:v>
                </c:pt>
                <c:pt idx="663">
                  <c:v>63.88</c:v>
                </c:pt>
                <c:pt idx="664">
                  <c:v>65.680000000000007</c:v>
                </c:pt>
                <c:pt idx="665">
                  <c:v>67.489999999999995</c:v>
                </c:pt>
                <c:pt idx="666">
                  <c:v>67.33</c:v>
                </c:pt>
                <c:pt idx="667">
                  <c:v>67.16</c:v>
                </c:pt>
                <c:pt idx="668">
                  <c:v>72.739999999999995</c:v>
                </c:pt>
                <c:pt idx="669">
                  <c:v>78.319999999999993</c:v>
                </c:pt>
                <c:pt idx="670">
                  <c:v>80.790000000000006</c:v>
                </c:pt>
                <c:pt idx="671">
                  <c:v>83.25</c:v>
                </c:pt>
                <c:pt idx="672">
                  <c:v>79.959999999999994</c:v>
                </c:pt>
                <c:pt idx="673">
                  <c:v>76.680000000000007</c:v>
                </c:pt>
                <c:pt idx="674">
                  <c:v>75.53</c:v>
                </c:pt>
                <c:pt idx="675">
                  <c:v>74.38</c:v>
                </c:pt>
                <c:pt idx="676">
                  <c:v>73.73</c:v>
                </c:pt>
                <c:pt idx="677">
                  <c:v>73.069999999999993</c:v>
                </c:pt>
                <c:pt idx="678">
                  <c:v>75.86</c:v>
                </c:pt>
                <c:pt idx="679">
                  <c:v>78.650000000000006</c:v>
                </c:pt>
                <c:pt idx="680">
                  <c:v>81.44</c:v>
                </c:pt>
                <c:pt idx="681">
                  <c:v>84.23</c:v>
                </c:pt>
                <c:pt idx="682">
                  <c:v>85.87</c:v>
                </c:pt>
                <c:pt idx="683">
                  <c:v>87.51</c:v>
                </c:pt>
                <c:pt idx="684">
                  <c:v>90.31</c:v>
                </c:pt>
                <c:pt idx="685">
                  <c:v>93.1</c:v>
                </c:pt>
                <c:pt idx="686">
                  <c:v>94.9</c:v>
                </c:pt>
                <c:pt idx="687">
                  <c:v>96.71</c:v>
                </c:pt>
                <c:pt idx="688">
                  <c:v>97.53</c:v>
                </c:pt>
                <c:pt idx="689">
                  <c:v>98.35</c:v>
                </c:pt>
                <c:pt idx="690">
                  <c:v>99.66</c:v>
                </c:pt>
                <c:pt idx="691">
                  <c:v>100.97</c:v>
                </c:pt>
                <c:pt idx="692">
                  <c:v>101.63</c:v>
                </c:pt>
                <c:pt idx="693">
                  <c:v>102.29</c:v>
                </c:pt>
                <c:pt idx="694">
                  <c:v>102.94</c:v>
                </c:pt>
                <c:pt idx="695">
                  <c:v>103.6</c:v>
                </c:pt>
                <c:pt idx="696">
                  <c:v>102.78</c:v>
                </c:pt>
                <c:pt idx="697">
                  <c:v>101.96</c:v>
                </c:pt>
                <c:pt idx="698">
                  <c:v>102.45</c:v>
                </c:pt>
                <c:pt idx="699">
                  <c:v>102.94</c:v>
                </c:pt>
                <c:pt idx="700">
                  <c:v>104.91</c:v>
                </c:pt>
                <c:pt idx="701">
                  <c:v>106.88</c:v>
                </c:pt>
                <c:pt idx="702">
                  <c:v>105.73</c:v>
                </c:pt>
                <c:pt idx="703">
                  <c:v>104.59</c:v>
                </c:pt>
                <c:pt idx="704">
                  <c:v>102.12</c:v>
                </c:pt>
                <c:pt idx="705">
                  <c:v>99.66</c:v>
                </c:pt>
                <c:pt idx="706">
                  <c:v>97.86</c:v>
                </c:pt>
                <c:pt idx="707">
                  <c:v>96.05</c:v>
                </c:pt>
                <c:pt idx="708">
                  <c:v>95.07</c:v>
                </c:pt>
                <c:pt idx="709">
                  <c:v>94.08</c:v>
                </c:pt>
                <c:pt idx="710">
                  <c:v>92.93</c:v>
                </c:pt>
                <c:pt idx="711">
                  <c:v>91.78</c:v>
                </c:pt>
                <c:pt idx="712">
                  <c:v>93.1</c:v>
                </c:pt>
                <c:pt idx="713">
                  <c:v>94.41</c:v>
                </c:pt>
                <c:pt idx="714">
                  <c:v>94.08</c:v>
                </c:pt>
                <c:pt idx="715">
                  <c:v>93.75</c:v>
                </c:pt>
                <c:pt idx="716">
                  <c:v>89.81</c:v>
                </c:pt>
                <c:pt idx="717">
                  <c:v>85.87</c:v>
                </c:pt>
                <c:pt idx="718">
                  <c:v>82.92</c:v>
                </c:pt>
                <c:pt idx="719">
                  <c:v>79.959999999999994</c:v>
                </c:pt>
                <c:pt idx="720">
                  <c:v>80.290000000000006</c:v>
                </c:pt>
                <c:pt idx="721">
                  <c:v>80.62</c:v>
                </c:pt>
                <c:pt idx="722">
                  <c:v>85.05</c:v>
                </c:pt>
                <c:pt idx="723">
                  <c:v>89.48</c:v>
                </c:pt>
                <c:pt idx="724">
                  <c:v>88.83</c:v>
                </c:pt>
                <c:pt idx="725">
                  <c:v>88.17</c:v>
                </c:pt>
                <c:pt idx="726">
                  <c:v>91.13</c:v>
                </c:pt>
                <c:pt idx="727">
                  <c:v>94.08</c:v>
                </c:pt>
                <c:pt idx="728">
                  <c:v>95.72</c:v>
                </c:pt>
                <c:pt idx="729">
                  <c:v>97.36</c:v>
                </c:pt>
                <c:pt idx="730">
                  <c:v>99</c:v>
                </c:pt>
                <c:pt idx="731">
                  <c:v>100.65</c:v>
                </c:pt>
                <c:pt idx="732">
                  <c:v>95.56</c:v>
                </c:pt>
                <c:pt idx="733">
                  <c:v>90.47</c:v>
                </c:pt>
                <c:pt idx="734">
                  <c:v>83.58</c:v>
                </c:pt>
                <c:pt idx="735">
                  <c:v>76.680000000000007</c:v>
                </c:pt>
                <c:pt idx="736">
                  <c:v>74.22</c:v>
                </c:pt>
                <c:pt idx="737">
                  <c:v>71.760000000000005</c:v>
                </c:pt>
                <c:pt idx="738">
                  <c:v>72.739999999999995</c:v>
                </c:pt>
                <c:pt idx="739">
                  <c:v>73.73</c:v>
                </c:pt>
                <c:pt idx="740">
                  <c:v>73.400000000000006</c:v>
                </c:pt>
                <c:pt idx="741">
                  <c:v>73.069999999999993</c:v>
                </c:pt>
                <c:pt idx="742">
                  <c:v>73.239999999999995</c:v>
                </c:pt>
                <c:pt idx="743">
                  <c:v>73.400000000000006</c:v>
                </c:pt>
                <c:pt idx="744">
                  <c:v>76.349999999999994</c:v>
                </c:pt>
                <c:pt idx="745">
                  <c:v>79.31</c:v>
                </c:pt>
                <c:pt idx="746">
                  <c:v>89.65</c:v>
                </c:pt>
                <c:pt idx="747">
                  <c:v>99.99</c:v>
                </c:pt>
                <c:pt idx="748">
                  <c:v>106.55</c:v>
                </c:pt>
                <c:pt idx="749">
                  <c:v>113.12</c:v>
                </c:pt>
                <c:pt idx="750">
                  <c:v>112.46</c:v>
                </c:pt>
                <c:pt idx="751">
                  <c:v>111.81</c:v>
                </c:pt>
                <c:pt idx="752">
                  <c:v>109.67</c:v>
                </c:pt>
                <c:pt idx="753">
                  <c:v>107.54</c:v>
                </c:pt>
                <c:pt idx="754">
                  <c:v>106.06</c:v>
                </c:pt>
                <c:pt idx="755">
                  <c:v>104.59</c:v>
                </c:pt>
                <c:pt idx="756">
                  <c:v>106.55</c:v>
                </c:pt>
                <c:pt idx="757">
                  <c:v>108.52</c:v>
                </c:pt>
                <c:pt idx="758">
                  <c:v>107.05</c:v>
                </c:pt>
                <c:pt idx="759">
                  <c:v>105.57</c:v>
                </c:pt>
                <c:pt idx="760">
                  <c:v>103.76</c:v>
                </c:pt>
                <c:pt idx="761">
                  <c:v>101.96</c:v>
                </c:pt>
                <c:pt idx="762">
                  <c:v>100.65</c:v>
                </c:pt>
                <c:pt idx="763">
                  <c:v>99.33</c:v>
                </c:pt>
                <c:pt idx="764">
                  <c:v>96.05</c:v>
                </c:pt>
                <c:pt idx="765">
                  <c:v>92.77</c:v>
                </c:pt>
                <c:pt idx="766">
                  <c:v>91.62</c:v>
                </c:pt>
                <c:pt idx="767">
                  <c:v>90.47</c:v>
                </c:pt>
                <c:pt idx="768">
                  <c:v>92.77</c:v>
                </c:pt>
                <c:pt idx="769">
                  <c:v>95.07</c:v>
                </c:pt>
                <c:pt idx="770">
                  <c:v>93.92</c:v>
                </c:pt>
                <c:pt idx="771">
                  <c:v>92.77</c:v>
                </c:pt>
                <c:pt idx="772">
                  <c:v>95.07</c:v>
                </c:pt>
                <c:pt idx="773">
                  <c:v>97.36</c:v>
                </c:pt>
                <c:pt idx="774">
                  <c:v>97.36</c:v>
                </c:pt>
                <c:pt idx="775">
                  <c:v>97.36</c:v>
                </c:pt>
                <c:pt idx="776">
                  <c:v>98.51</c:v>
                </c:pt>
                <c:pt idx="777">
                  <c:v>99.66</c:v>
                </c:pt>
                <c:pt idx="778">
                  <c:v>98.35</c:v>
                </c:pt>
                <c:pt idx="779">
                  <c:v>97.03</c:v>
                </c:pt>
                <c:pt idx="780">
                  <c:v>93.26</c:v>
                </c:pt>
                <c:pt idx="781">
                  <c:v>89.48</c:v>
                </c:pt>
                <c:pt idx="782">
                  <c:v>88.83</c:v>
                </c:pt>
                <c:pt idx="783">
                  <c:v>88.17</c:v>
                </c:pt>
                <c:pt idx="784">
                  <c:v>85.55</c:v>
                </c:pt>
                <c:pt idx="785">
                  <c:v>82.92</c:v>
                </c:pt>
                <c:pt idx="786">
                  <c:v>79.64</c:v>
                </c:pt>
                <c:pt idx="787">
                  <c:v>76.349999999999994</c:v>
                </c:pt>
                <c:pt idx="788">
                  <c:v>78.819999999999993</c:v>
                </c:pt>
                <c:pt idx="789">
                  <c:v>81.28</c:v>
                </c:pt>
                <c:pt idx="790">
                  <c:v>75.040000000000006</c:v>
                </c:pt>
                <c:pt idx="791">
                  <c:v>68.8</c:v>
                </c:pt>
                <c:pt idx="792">
                  <c:v>62.07</c:v>
                </c:pt>
                <c:pt idx="793">
                  <c:v>55.34</c:v>
                </c:pt>
                <c:pt idx="794">
                  <c:v>52.55</c:v>
                </c:pt>
                <c:pt idx="795">
                  <c:v>49.76</c:v>
                </c:pt>
                <c:pt idx="796">
                  <c:v>48.94</c:v>
                </c:pt>
                <c:pt idx="797">
                  <c:v>48.12</c:v>
                </c:pt>
                <c:pt idx="798">
                  <c:v>44.84</c:v>
                </c:pt>
                <c:pt idx="799">
                  <c:v>41.56</c:v>
                </c:pt>
                <c:pt idx="800">
                  <c:v>40.24</c:v>
                </c:pt>
                <c:pt idx="801">
                  <c:v>38.93</c:v>
                </c:pt>
                <c:pt idx="802">
                  <c:v>40.74</c:v>
                </c:pt>
                <c:pt idx="803">
                  <c:v>42.54</c:v>
                </c:pt>
                <c:pt idx="804">
                  <c:v>46.97</c:v>
                </c:pt>
                <c:pt idx="805">
                  <c:v>51.4</c:v>
                </c:pt>
                <c:pt idx="806">
                  <c:v>50.75</c:v>
                </c:pt>
                <c:pt idx="807">
                  <c:v>50.09</c:v>
                </c:pt>
                <c:pt idx="808">
                  <c:v>51.73</c:v>
                </c:pt>
                <c:pt idx="809">
                  <c:v>53.37</c:v>
                </c:pt>
                <c:pt idx="810">
                  <c:v>48.12</c:v>
                </c:pt>
                <c:pt idx="811">
                  <c:v>42.87</c:v>
                </c:pt>
                <c:pt idx="812">
                  <c:v>42.21</c:v>
                </c:pt>
                <c:pt idx="813">
                  <c:v>41.56</c:v>
                </c:pt>
                <c:pt idx="814">
                  <c:v>37.78</c:v>
                </c:pt>
                <c:pt idx="815">
                  <c:v>34.01</c:v>
                </c:pt>
                <c:pt idx="816">
                  <c:v>34.83</c:v>
                </c:pt>
                <c:pt idx="817">
                  <c:v>35.65</c:v>
                </c:pt>
                <c:pt idx="818">
                  <c:v>38.6</c:v>
                </c:pt>
                <c:pt idx="819">
                  <c:v>41.56</c:v>
                </c:pt>
                <c:pt idx="820">
                  <c:v>41.39</c:v>
                </c:pt>
                <c:pt idx="821">
                  <c:v>41.23</c:v>
                </c:pt>
                <c:pt idx="822">
                  <c:v>39.590000000000003</c:v>
                </c:pt>
                <c:pt idx="823">
                  <c:v>37.950000000000003</c:v>
                </c:pt>
                <c:pt idx="824">
                  <c:v>34.5</c:v>
                </c:pt>
                <c:pt idx="825">
                  <c:v>31.05</c:v>
                </c:pt>
                <c:pt idx="826">
                  <c:v>31.38</c:v>
                </c:pt>
                <c:pt idx="827">
                  <c:v>31.71</c:v>
                </c:pt>
                <c:pt idx="828">
                  <c:v>35.159999999999997</c:v>
                </c:pt>
                <c:pt idx="829">
                  <c:v>38.6</c:v>
                </c:pt>
                <c:pt idx="830">
                  <c:v>34.17</c:v>
                </c:pt>
                <c:pt idx="831">
                  <c:v>29.74</c:v>
                </c:pt>
                <c:pt idx="832">
                  <c:v>28.59</c:v>
                </c:pt>
                <c:pt idx="833">
                  <c:v>27.44</c:v>
                </c:pt>
                <c:pt idx="834">
                  <c:v>31.22</c:v>
                </c:pt>
                <c:pt idx="835">
                  <c:v>34.99</c:v>
                </c:pt>
                <c:pt idx="836">
                  <c:v>37.619999999999997</c:v>
                </c:pt>
                <c:pt idx="837">
                  <c:v>40.24</c:v>
                </c:pt>
                <c:pt idx="838">
                  <c:v>36.799999999999997</c:v>
                </c:pt>
                <c:pt idx="839">
                  <c:v>33.35</c:v>
                </c:pt>
                <c:pt idx="840">
                  <c:v>36.14</c:v>
                </c:pt>
                <c:pt idx="841">
                  <c:v>38.93</c:v>
                </c:pt>
                <c:pt idx="842">
                  <c:v>35.159999999999997</c:v>
                </c:pt>
                <c:pt idx="843">
                  <c:v>31.38</c:v>
                </c:pt>
                <c:pt idx="844">
                  <c:v>30.4</c:v>
                </c:pt>
                <c:pt idx="845">
                  <c:v>29.41</c:v>
                </c:pt>
                <c:pt idx="846">
                  <c:v>28.43</c:v>
                </c:pt>
                <c:pt idx="847">
                  <c:v>27.44</c:v>
                </c:pt>
                <c:pt idx="848">
                  <c:v>25.64</c:v>
                </c:pt>
                <c:pt idx="849">
                  <c:v>23.83</c:v>
                </c:pt>
                <c:pt idx="850">
                  <c:v>22.85</c:v>
                </c:pt>
                <c:pt idx="851">
                  <c:v>21.86</c:v>
                </c:pt>
                <c:pt idx="852">
                  <c:v>20.38</c:v>
                </c:pt>
                <c:pt idx="853">
                  <c:v>18.91</c:v>
                </c:pt>
                <c:pt idx="854">
                  <c:v>17.760000000000002</c:v>
                </c:pt>
                <c:pt idx="855">
                  <c:v>16.61</c:v>
                </c:pt>
                <c:pt idx="856">
                  <c:v>19.07</c:v>
                </c:pt>
                <c:pt idx="857">
                  <c:v>21.53</c:v>
                </c:pt>
                <c:pt idx="858">
                  <c:v>21.7</c:v>
                </c:pt>
                <c:pt idx="859">
                  <c:v>21.86</c:v>
                </c:pt>
                <c:pt idx="860">
                  <c:v>19.399999999999999</c:v>
                </c:pt>
                <c:pt idx="861">
                  <c:v>16.940000000000001</c:v>
                </c:pt>
                <c:pt idx="862">
                  <c:v>16.440000000000001</c:v>
                </c:pt>
                <c:pt idx="863">
                  <c:v>15.95</c:v>
                </c:pt>
                <c:pt idx="864">
                  <c:v>14.47</c:v>
                </c:pt>
                <c:pt idx="865">
                  <c:v>13</c:v>
                </c:pt>
                <c:pt idx="866">
                  <c:v>13.33</c:v>
                </c:pt>
                <c:pt idx="867">
                  <c:v>13.65</c:v>
                </c:pt>
                <c:pt idx="868">
                  <c:v>13.33</c:v>
                </c:pt>
                <c:pt idx="869">
                  <c:v>13</c:v>
                </c:pt>
                <c:pt idx="870">
                  <c:v>13.33</c:v>
                </c:pt>
                <c:pt idx="871">
                  <c:v>13.65</c:v>
                </c:pt>
                <c:pt idx="872">
                  <c:v>12.83</c:v>
                </c:pt>
                <c:pt idx="873">
                  <c:v>12.01</c:v>
                </c:pt>
                <c:pt idx="874">
                  <c:v>10.37</c:v>
                </c:pt>
                <c:pt idx="875">
                  <c:v>8.73</c:v>
                </c:pt>
                <c:pt idx="876">
                  <c:v>10.86</c:v>
                </c:pt>
                <c:pt idx="877">
                  <c:v>13</c:v>
                </c:pt>
                <c:pt idx="878">
                  <c:v>13.16</c:v>
                </c:pt>
                <c:pt idx="879">
                  <c:v>13.33</c:v>
                </c:pt>
                <c:pt idx="880">
                  <c:v>12.34</c:v>
                </c:pt>
                <c:pt idx="881">
                  <c:v>11.36</c:v>
                </c:pt>
                <c:pt idx="882">
                  <c:v>10.86</c:v>
                </c:pt>
                <c:pt idx="883">
                  <c:v>10.37</c:v>
                </c:pt>
                <c:pt idx="884">
                  <c:v>12.01</c:v>
                </c:pt>
                <c:pt idx="885">
                  <c:v>13.65</c:v>
                </c:pt>
                <c:pt idx="886">
                  <c:v>14.8</c:v>
                </c:pt>
                <c:pt idx="887">
                  <c:v>15.95</c:v>
                </c:pt>
                <c:pt idx="888">
                  <c:v>15.79</c:v>
                </c:pt>
                <c:pt idx="889">
                  <c:v>15.62</c:v>
                </c:pt>
                <c:pt idx="890">
                  <c:v>17.260000000000002</c:v>
                </c:pt>
                <c:pt idx="891">
                  <c:v>18.91</c:v>
                </c:pt>
                <c:pt idx="892">
                  <c:v>17.920000000000002</c:v>
                </c:pt>
                <c:pt idx="893">
                  <c:v>16.940000000000001</c:v>
                </c:pt>
                <c:pt idx="894">
                  <c:v>18.41</c:v>
                </c:pt>
                <c:pt idx="895">
                  <c:v>19.89</c:v>
                </c:pt>
                <c:pt idx="896">
                  <c:v>18.09</c:v>
                </c:pt>
                <c:pt idx="897">
                  <c:v>16.28</c:v>
                </c:pt>
                <c:pt idx="898">
                  <c:v>16.440000000000001</c:v>
                </c:pt>
                <c:pt idx="899">
                  <c:v>16.61</c:v>
                </c:pt>
                <c:pt idx="900">
                  <c:v>16.28</c:v>
                </c:pt>
                <c:pt idx="901">
                  <c:v>15.95</c:v>
                </c:pt>
                <c:pt idx="902">
                  <c:v>15.13</c:v>
                </c:pt>
                <c:pt idx="903">
                  <c:v>14.31</c:v>
                </c:pt>
                <c:pt idx="904">
                  <c:v>13.49</c:v>
                </c:pt>
                <c:pt idx="905">
                  <c:v>12.67</c:v>
                </c:pt>
                <c:pt idx="906">
                  <c:v>12.5</c:v>
                </c:pt>
                <c:pt idx="907">
                  <c:v>12.34</c:v>
                </c:pt>
                <c:pt idx="908">
                  <c:v>10.7</c:v>
                </c:pt>
                <c:pt idx="909">
                  <c:v>9.06</c:v>
                </c:pt>
                <c:pt idx="910">
                  <c:v>8.73</c:v>
                </c:pt>
                <c:pt idx="911">
                  <c:v>8.4</c:v>
                </c:pt>
                <c:pt idx="912">
                  <c:v>8.57</c:v>
                </c:pt>
                <c:pt idx="913">
                  <c:v>8.73</c:v>
                </c:pt>
                <c:pt idx="914">
                  <c:v>10.53</c:v>
                </c:pt>
                <c:pt idx="915">
                  <c:v>12.34</c:v>
                </c:pt>
                <c:pt idx="916">
                  <c:v>9.7100000000000009</c:v>
                </c:pt>
                <c:pt idx="917">
                  <c:v>7.09</c:v>
                </c:pt>
                <c:pt idx="918">
                  <c:v>7.25</c:v>
                </c:pt>
                <c:pt idx="919">
                  <c:v>7.42</c:v>
                </c:pt>
                <c:pt idx="920">
                  <c:v>8.73</c:v>
                </c:pt>
                <c:pt idx="921">
                  <c:v>10.039999999999999</c:v>
                </c:pt>
                <c:pt idx="922">
                  <c:v>11.03</c:v>
                </c:pt>
                <c:pt idx="923">
                  <c:v>12.01</c:v>
                </c:pt>
                <c:pt idx="924">
                  <c:v>10.039999999999999</c:v>
                </c:pt>
                <c:pt idx="925">
                  <c:v>8.07</c:v>
                </c:pt>
                <c:pt idx="926">
                  <c:v>11.19</c:v>
                </c:pt>
                <c:pt idx="927">
                  <c:v>14.31</c:v>
                </c:pt>
                <c:pt idx="928">
                  <c:v>11.03</c:v>
                </c:pt>
                <c:pt idx="929">
                  <c:v>7.74</c:v>
                </c:pt>
                <c:pt idx="930">
                  <c:v>8.57</c:v>
                </c:pt>
                <c:pt idx="931">
                  <c:v>9.39</c:v>
                </c:pt>
                <c:pt idx="932">
                  <c:v>9.2200000000000006</c:v>
                </c:pt>
                <c:pt idx="933">
                  <c:v>9.06</c:v>
                </c:pt>
                <c:pt idx="934">
                  <c:v>11.36</c:v>
                </c:pt>
                <c:pt idx="935">
                  <c:v>13.65</c:v>
                </c:pt>
                <c:pt idx="936">
                  <c:v>13.16</c:v>
                </c:pt>
                <c:pt idx="937">
                  <c:v>12.67</c:v>
                </c:pt>
                <c:pt idx="938">
                  <c:v>12.01</c:v>
                </c:pt>
                <c:pt idx="939">
                  <c:v>11.36</c:v>
                </c:pt>
                <c:pt idx="940">
                  <c:v>8.07</c:v>
                </c:pt>
                <c:pt idx="941">
                  <c:v>4.79</c:v>
                </c:pt>
                <c:pt idx="942">
                  <c:v>5.45</c:v>
                </c:pt>
                <c:pt idx="943">
                  <c:v>6.1</c:v>
                </c:pt>
                <c:pt idx="944">
                  <c:v>6.27</c:v>
                </c:pt>
                <c:pt idx="945">
                  <c:v>6.43</c:v>
                </c:pt>
                <c:pt idx="946">
                  <c:v>4.63</c:v>
                </c:pt>
                <c:pt idx="947">
                  <c:v>2.82</c:v>
                </c:pt>
                <c:pt idx="948">
                  <c:v>2.98</c:v>
                </c:pt>
                <c:pt idx="949">
                  <c:v>3.15</c:v>
                </c:pt>
                <c:pt idx="950">
                  <c:v>3.97</c:v>
                </c:pt>
                <c:pt idx="951">
                  <c:v>4.79</c:v>
                </c:pt>
                <c:pt idx="952">
                  <c:v>4.46</c:v>
                </c:pt>
                <c:pt idx="953">
                  <c:v>4.13</c:v>
                </c:pt>
                <c:pt idx="954">
                  <c:v>4.95</c:v>
                </c:pt>
                <c:pt idx="955">
                  <c:v>5.78</c:v>
                </c:pt>
                <c:pt idx="956">
                  <c:v>3.97</c:v>
                </c:pt>
                <c:pt idx="957">
                  <c:v>2.16</c:v>
                </c:pt>
                <c:pt idx="958">
                  <c:v>2.4900000000000002</c:v>
                </c:pt>
                <c:pt idx="959">
                  <c:v>2.82</c:v>
                </c:pt>
                <c:pt idx="960">
                  <c:v>2.4900000000000002</c:v>
                </c:pt>
                <c:pt idx="961">
                  <c:v>2.16</c:v>
                </c:pt>
                <c:pt idx="962">
                  <c:v>2.16</c:v>
                </c:pt>
                <c:pt idx="963">
                  <c:v>2.16</c:v>
                </c:pt>
                <c:pt idx="964">
                  <c:v>2.16</c:v>
                </c:pt>
                <c:pt idx="965">
                  <c:v>2.16</c:v>
                </c:pt>
                <c:pt idx="966">
                  <c:v>2.82</c:v>
                </c:pt>
                <c:pt idx="967">
                  <c:v>3.48</c:v>
                </c:pt>
                <c:pt idx="968">
                  <c:v>4.3</c:v>
                </c:pt>
                <c:pt idx="969">
                  <c:v>5.12</c:v>
                </c:pt>
                <c:pt idx="970">
                  <c:v>4.95</c:v>
                </c:pt>
                <c:pt idx="971">
                  <c:v>4.79</c:v>
                </c:pt>
                <c:pt idx="972">
                  <c:v>5.12</c:v>
                </c:pt>
                <c:pt idx="973">
                  <c:v>5.45</c:v>
                </c:pt>
                <c:pt idx="974">
                  <c:v>5.61</c:v>
                </c:pt>
                <c:pt idx="975">
                  <c:v>5.78</c:v>
                </c:pt>
                <c:pt idx="976">
                  <c:v>4.3</c:v>
                </c:pt>
                <c:pt idx="977">
                  <c:v>2.82</c:v>
                </c:pt>
                <c:pt idx="978">
                  <c:v>3.31</c:v>
                </c:pt>
                <c:pt idx="979">
                  <c:v>3.81</c:v>
                </c:pt>
                <c:pt idx="980">
                  <c:v>4.13</c:v>
                </c:pt>
                <c:pt idx="981">
                  <c:v>4.46</c:v>
                </c:pt>
                <c:pt idx="982">
                  <c:v>4.95</c:v>
                </c:pt>
                <c:pt idx="983">
                  <c:v>5.45</c:v>
                </c:pt>
                <c:pt idx="984">
                  <c:v>4.46</c:v>
                </c:pt>
                <c:pt idx="985">
                  <c:v>3.48</c:v>
                </c:pt>
                <c:pt idx="986">
                  <c:v>2.98</c:v>
                </c:pt>
                <c:pt idx="987">
                  <c:v>2.4900000000000002</c:v>
                </c:pt>
                <c:pt idx="988">
                  <c:v>2.98</c:v>
                </c:pt>
                <c:pt idx="989">
                  <c:v>3.48</c:v>
                </c:pt>
                <c:pt idx="990">
                  <c:v>2.98</c:v>
                </c:pt>
                <c:pt idx="991">
                  <c:v>2.4900000000000002</c:v>
                </c:pt>
                <c:pt idx="992">
                  <c:v>2.98</c:v>
                </c:pt>
                <c:pt idx="993">
                  <c:v>3.48</c:v>
                </c:pt>
                <c:pt idx="994">
                  <c:v>4.13</c:v>
                </c:pt>
                <c:pt idx="995">
                  <c:v>4.79</c:v>
                </c:pt>
                <c:pt idx="996">
                  <c:v>3.64</c:v>
                </c:pt>
                <c:pt idx="997">
                  <c:v>2.4900000000000002</c:v>
                </c:pt>
                <c:pt idx="998">
                  <c:v>2.4900000000000002</c:v>
                </c:pt>
                <c:pt idx="999">
                  <c:v>2.4900000000000002</c:v>
                </c:pt>
                <c:pt idx="1000">
                  <c:v>2.4900000000000002</c:v>
                </c:pt>
                <c:pt idx="1001">
                  <c:v>2.4900000000000002</c:v>
                </c:pt>
                <c:pt idx="1002">
                  <c:v>2.4900000000000002</c:v>
                </c:pt>
                <c:pt idx="1003">
                  <c:v>2.4900000000000002</c:v>
                </c:pt>
                <c:pt idx="1004">
                  <c:v>2.82</c:v>
                </c:pt>
                <c:pt idx="1005">
                  <c:v>3.15</c:v>
                </c:pt>
                <c:pt idx="1006">
                  <c:v>2.82</c:v>
                </c:pt>
                <c:pt idx="1007">
                  <c:v>2.4900000000000002</c:v>
                </c:pt>
                <c:pt idx="1008">
                  <c:v>2.66</c:v>
                </c:pt>
                <c:pt idx="1009">
                  <c:v>2.82</c:v>
                </c:pt>
                <c:pt idx="1010">
                  <c:v>2.98</c:v>
                </c:pt>
                <c:pt idx="1011">
                  <c:v>3.15</c:v>
                </c:pt>
                <c:pt idx="1012">
                  <c:v>2.82</c:v>
                </c:pt>
                <c:pt idx="1013">
                  <c:v>2.4900000000000002</c:v>
                </c:pt>
                <c:pt idx="1014">
                  <c:v>2.33</c:v>
                </c:pt>
                <c:pt idx="1015">
                  <c:v>2.16</c:v>
                </c:pt>
                <c:pt idx="1016">
                  <c:v>2.33</c:v>
                </c:pt>
                <c:pt idx="1017">
                  <c:v>2.4900000000000002</c:v>
                </c:pt>
                <c:pt idx="1018">
                  <c:v>3.64</c:v>
                </c:pt>
                <c:pt idx="1019">
                  <c:v>4.79</c:v>
                </c:pt>
                <c:pt idx="1020">
                  <c:v>3.48</c:v>
                </c:pt>
                <c:pt idx="1021">
                  <c:v>2.16</c:v>
                </c:pt>
                <c:pt idx="1022">
                  <c:v>2.33</c:v>
                </c:pt>
                <c:pt idx="1023">
                  <c:v>2.4900000000000002</c:v>
                </c:pt>
                <c:pt idx="1024">
                  <c:v>2.66</c:v>
                </c:pt>
                <c:pt idx="1025">
                  <c:v>2.82</c:v>
                </c:pt>
                <c:pt idx="1026">
                  <c:v>2.4900000000000002</c:v>
                </c:pt>
                <c:pt idx="1027">
                  <c:v>2.16</c:v>
                </c:pt>
                <c:pt idx="1028">
                  <c:v>3.97</c:v>
                </c:pt>
                <c:pt idx="1029">
                  <c:v>5.78</c:v>
                </c:pt>
                <c:pt idx="1030">
                  <c:v>3.97</c:v>
                </c:pt>
                <c:pt idx="1031">
                  <c:v>2.16</c:v>
                </c:pt>
                <c:pt idx="1032">
                  <c:v>2.16</c:v>
                </c:pt>
                <c:pt idx="1033">
                  <c:v>2.16</c:v>
                </c:pt>
                <c:pt idx="1034">
                  <c:v>2.16</c:v>
                </c:pt>
                <c:pt idx="1035">
                  <c:v>2.16</c:v>
                </c:pt>
                <c:pt idx="1036">
                  <c:v>2.4900000000000002</c:v>
                </c:pt>
                <c:pt idx="1037">
                  <c:v>2.82</c:v>
                </c:pt>
                <c:pt idx="1038">
                  <c:v>2.66</c:v>
                </c:pt>
                <c:pt idx="1039">
                  <c:v>2.4900000000000002</c:v>
                </c:pt>
                <c:pt idx="1040">
                  <c:v>2.66</c:v>
                </c:pt>
                <c:pt idx="1041">
                  <c:v>2.82</c:v>
                </c:pt>
                <c:pt idx="1042">
                  <c:v>2.4900000000000002</c:v>
                </c:pt>
                <c:pt idx="1043">
                  <c:v>2.16</c:v>
                </c:pt>
                <c:pt idx="1044">
                  <c:v>2.4900000000000002</c:v>
                </c:pt>
                <c:pt idx="1045">
                  <c:v>2.82</c:v>
                </c:pt>
                <c:pt idx="1046">
                  <c:v>2.4900000000000002</c:v>
                </c:pt>
                <c:pt idx="1047">
                  <c:v>2.16</c:v>
                </c:pt>
                <c:pt idx="1048">
                  <c:v>2.4900000000000002</c:v>
                </c:pt>
                <c:pt idx="1049">
                  <c:v>2.82</c:v>
                </c:pt>
                <c:pt idx="1050">
                  <c:v>2.98</c:v>
                </c:pt>
                <c:pt idx="1051">
                  <c:v>3.15</c:v>
                </c:pt>
                <c:pt idx="1052">
                  <c:v>3.97</c:v>
                </c:pt>
                <c:pt idx="1053">
                  <c:v>4.79</c:v>
                </c:pt>
                <c:pt idx="1054">
                  <c:v>3.64</c:v>
                </c:pt>
                <c:pt idx="1055">
                  <c:v>2.4900000000000002</c:v>
                </c:pt>
                <c:pt idx="1056">
                  <c:v>3.81</c:v>
                </c:pt>
                <c:pt idx="1057">
                  <c:v>5.12</c:v>
                </c:pt>
                <c:pt idx="1058">
                  <c:v>3.64</c:v>
                </c:pt>
                <c:pt idx="1059">
                  <c:v>2.16</c:v>
                </c:pt>
                <c:pt idx="1060">
                  <c:v>3.15</c:v>
                </c:pt>
                <c:pt idx="1061">
                  <c:v>4.13</c:v>
                </c:pt>
                <c:pt idx="1062">
                  <c:v>4.3</c:v>
                </c:pt>
                <c:pt idx="1063">
                  <c:v>4.46</c:v>
                </c:pt>
                <c:pt idx="1064">
                  <c:v>3.97</c:v>
                </c:pt>
                <c:pt idx="1065">
                  <c:v>3.48</c:v>
                </c:pt>
                <c:pt idx="1066">
                  <c:v>4.3</c:v>
                </c:pt>
                <c:pt idx="1067">
                  <c:v>5.12</c:v>
                </c:pt>
                <c:pt idx="1068">
                  <c:v>5.28</c:v>
                </c:pt>
                <c:pt idx="1069">
                  <c:v>5.45</c:v>
                </c:pt>
                <c:pt idx="1070">
                  <c:v>3.97</c:v>
                </c:pt>
                <c:pt idx="1071">
                  <c:v>2.4900000000000002</c:v>
                </c:pt>
                <c:pt idx="1072">
                  <c:v>4.13</c:v>
                </c:pt>
                <c:pt idx="1073">
                  <c:v>5.78</c:v>
                </c:pt>
                <c:pt idx="1074">
                  <c:v>4.95</c:v>
                </c:pt>
                <c:pt idx="1075">
                  <c:v>4.13</c:v>
                </c:pt>
                <c:pt idx="1076">
                  <c:v>4.63</c:v>
                </c:pt>
                <c:pt idx="1077">
                  <c:v>5.12</c:v>
                </c:pt>
                <c:pt idx="1078">
                  <c:v>4.95</c:v>
                </c:pt>
                <c:pt idx="1079">
                  <c:v>4.79</c:v>
                </c:pt>
                <c:pt idx="1080">
                  <c:v>4.13</c:v>
                </c:pt>
                <c:pt idx="1081">
                  <c:v>3.48</c:v>
                </c:pt>
                <c:pt idx="1082">
                  <c:v>3.15</c:v>
                </c:pt>
                <c:pt idx="1083">
                  <c:v>2.82</c:v>
                </c:pt>
                <c:pt idx="1084">
                  <c:v>2.82</c:v>
                </c:pt>
                <c:pt idx="1085">
                  <c:v>2.82</c:v>
                </c:pt>
                <c:pt idx="1086">
                  <c:v>2.33</c:v>
                </c:pt>
                <c:pt idx="1087">
                  <c:v>1.84</c:v>
                </c:pt>
                <c:pt idx="1088">
                  <c:v>2</c:v>
                </c:pt>
                <c:pt idx="1089">
                  <c:v>2.16</c:v>
                </c:pt>
                <c:pt idx="1090">
                  <c:v>2</c:v>
                </c:pt>
                <c:pt idx="1091">
                  <c:v>1.84</c:v>
                </c:pt>
                <c:pt idx="1092">
                  <c:v>2</c:v>
                </c:pt>
                <c:pt idx="1093">
                  <c:v>2.16</c:v>
                </c:pt>
                <c:pt idx="1094">
                  <c:v>2.4900000000000002</c:v>
                </c:pt>
                <c:pt idx="1095">
                  <c:v>2.82</c:v>
                </c:pt>
                <c:pt idx="1096">
                  <c:v>2.33</c:v>
                </c:pt>
                <c:pt idx="1097">
                  <c:v>1.84</c:v>
                </c:pt>
                <c:pt idx="1098">
                  <c:v>2.98</c:v>
                </c:pt>
                <c:pt idx="1099">
                  <c:v>4.13</c:v>
                </c:pt>
                <c:pt idx="1100">
                  <c:v>2.98</c:v>
                </c:pt>
                <c:pt idx="1101">
                  <c:v>1.84</c:v>
                </c:pt>
                <c:pt idx="1102">
                  <c:v>2</c:v>
                </c:pt>
                <c:pt idx="1103">
                  <c:v>2.16</c:v>
                </c:pt>
                <c:pt idx="1104">
                  <c:v>3.31</c:v>
                </c:pt>
                <c:pt idx="1105">
                  <c:v>4.46</c:v>
                </c:pt>
                <c:pt idx="1106">
                  <c:v>3.81</c:v>
                </c:pt>
                <c:pt idx="1107">
                  <c:v>3.15</c:v>
                </c:pt>
                <c:pt idx="1108">
                  <c:v>3.15</c:v>
                </c:pt>
                <c:pt idx="1109">
                  <c:v>3.15</c:v>
                </c:pt>
                <c:pt idx="1110">
                  <c:v>3.15</c:v>
                </c:pt>
                <c:pt idx="1111">
                  <c:v>3.15</c:v>
                </c:pt>
                <c:pt idx="1112">
                  <c:v>2.66</c:v>
                </c:pt>
                <c:pt idx="1113">
                  <c:v>2.16</c:v>
                </c:pt>
                <c:pt idx="1114">
                  <c:v>2.66</c:v>
                </c:pt>
                <c:pt idx="1115">
                  <c:v>3.15</c:v>
                </c:pt>
                <c:pt idx="1116">
                  <c:v>2.33</c:v>
                </c:pt>
                <c:pt idx="1117">
                  <c:v>1.51</c:v>
                </c:pt>
                <c:pt idx="1118">
                  <c:v>1.67</c:v>
                </c:pt>
                <c:pt idx="1119">
                  <c:v>1.84</c:v>
                </c:pt>
                <c:pt idx="1120">
                  <c:v>1.84</c:v>
                </c:pt>
                <c:pt idx="1121">
                  <c:v>1.84</c:v>
                </c:pt>
                <c:pt idx="1122">
                  <c:v>1.84</c:v>
                </c:pt>
                <c:pt idx="1123">
                  <c:v>1.84</c:v>
                </c:pt>
                <c:pt idx="1124">
                  <c:v>2.16</c:v>
                </c:pt>
                <c:pt idx="1125">
                  <c:v>2.4900000000000002</c:v>
                </c:pt>
                <c:pt idx="1126">
                  <c:v>2.82</c:v>
                </c:pt>
                <c:pt idx="1127">
                  <c:v>3.15</c:v>
                </c:pt>
                <c:pt idx="1128">
                  <c:v>2.82</c:v>
                </c:pt>
                <c:pt idx="1129">
                  <c:v>2.4900000000000002</c:v>
                </c:pt>
                <c:pt idx="1130">
                  <c:v>2.4900000000000002</c:v>
                </c:pt>
                <c:pt idx="1131">
                  <c:v>2.4900000000000002</c:v>
                </c:pt>
                <c:pt idx="1132">
                  <c:v>2.16</c:v>
                </c:pt>
                <c:pt idx="1133">
                  <c:v>1.84</c:v>
                </c:pt>
                <c:pt idx="1134">
                  <c:v>2</c:v>
                </c:pt>
                <c:pt idx="1135">
                  <c:v>2.16</c:v>
                </c:pt>
                <c:pt idx="1136">
                  <c:v>2.16</c:v>
                </c:pt>
                <c:pt idx="1137">
                  <c:v>2.16</c:v>
                </c:pt>
                <c:pt idx="1138">
                  <c:v>2.4900000000000002</c:v>
                </c:pt>
                <c:pt idx="1139">
                  <c:v>2.82</c:v>
                </c:pt>
                <c:pt idx="1140">
                  <c:v>4.13</c:v>
                </c:pt>
                <c:pt idx="1141">
                  <c:v>5.45</c:v>
                </c:pt>
                <c:pt idx="1142">
                  <c:v>3.97</c:v>
                </c:pt>
                <c:pt idx="1143">
                  <c:v>2.4900000000000002</c:v>
                </c:pt>
                <c:pt idx="1144">
                  <c:v>2.4900000000000002</c:v>
                </c:pt>
                <c:pt idx="1145">
                  <c:v>2.4900000000000002</c:v>
                </c:pt>
                <c:pt idx="1146">
                  <c:v>2.33</c:v>
                </c:pt>
                <c:pt idx="1147">
                  <c:v>2.16</c:v>
                </c:pt>
                <c:pt idx="1148">
                  <c:v>3.97</c:v>
                </c:pt>
                <c:pt idx="1149">
                  <c:v>5.78</c:v>
                </c:pt>
                <c:pt idx="1150">
                  <c:v>4.13</c:v>
                </c:pt>
                <c:pt idx="1151">
                  <c:v>2.4900000000000002</c:v>
                </c:pt>
                <c:pt idx="1152">
                  <c:v>5.78</c:v>
                </c:pt>
                <c:pt idx="1153">
                  <c:v>9.06</c:v>
                </c:pt>
                <c:pt idx="1154">
                  <c:v>6.92</c:v>
                </c:pt>
                <c:pt idx="1155">
                  <c:v>4.79</c:v>
                </c:pt>
                <c:pt idx="1156">
                  <c:v>3.48</c:v>
                </c:pt>
                <c:pt idx="1157">
                  <c:v>2.16</c:v>
                </c:pt>
                <c:pt idx="1158">
                  <c:v>2.66</c:v>
                </c:pt>
                <c:pt idx="1159">
                  <c:v>3.15</c:v>
                </c:pt>
                <c:pt idx="1160">
                  <c:v>3.48</c:v>
                </c:pt>
                <c:pt idx="1161">
                  <c:v>3.81</c:v>
                </c:pt>
                <c:pt idx="1162">
                  <c:v>2.82</c:v>
                </c:pt>
                <c:pt idx="1163">
                  <c:v>1.84</c:v>
                </c:pt>
                <c:pt idx="1164">
                  <c:v>2</c:v>
                </c:pt>
                <c:pt idx="1165">
                  <c:v>2.16</c:v>
                </c:pt>
                <c:pt idx="1166">
                  <c:v>2.16</c:v>
                </c:pt>
                <c:pt idx="1167">
                  <c:v>2.16</c:v>
                </c:pt>
                <c:pt idx="1168">
                  <c:v>3.64</c:v>
                </c:pt>
                <c:pt idx="1169">
                  <c:v>5.12</c:v>
                </c:pt>
                <c:pt idx="1170">
                  <c:v>5.45</c:v>
                </c:pt>
                <c:pt idx="1171">
                  <c:v>5.78</c:v>
                </c:pt>
                <c:pt idx="1172">
                  <c:v>3.97</c:v>
                </c:pt>
                <c:pt idx="1173">
                  <c:v>2.16</c:v>
                </c:pt>
                <c:pt idx="1174">
                  <c:v>2.66</c:v>
                </c:pt>
                <c:pt idx="1175">
                  <c:v>3.15</c:v>
                </c:pt>
                <c:pt idx="1176">
                  <c:v>3.48</c:v>
                </c:pt>
                <c:pt idx="1177">
                  <c:v>3.81</c:v>
                </c:pt>
                <c:pt idx="1178">
                  <c:v>4.63</c:v>
                </c:pt>
                <c:pt idx="1179">
                  <c:v>5.45</c:v>
                </c:pt>
                <c:pt idx="1180">
                  <c:v>4.95</c:v>
                </c:pt>
                <c:pt idx="1181">
                  <c:v>4.46</c:v>
                </c:pt>
                <c:pt idx="1182">
                  <c:v>4.13</c:v>
                </c:pt>
                <c:pt idx="1183">
                  <c:v>3.81</c:v>
                </c:pt>
                <c:pt idx="1184">
                  <c:v>3.31</c:v>
                </c:pt>
                <c:pt idx="1185">
                  <c:v>2.82</c:v>
                </c:pt>
                <c:pt idx="1186">
                  <c:v>4.13</c:v>
                </c:pt>
                <c:pt idx="1187">
                  <c:v>5.45</c:v>
                </c:pt>
                <c:pt idx="1188">
                  <c:v>4.3</c:v>
                </c:pt>
                <c:pt idx="1189">
                  <c:v>3.15</c:v>
                </c:pt>
                <c:pt idx="1190">
                  <c:v>2.66</c:v>
                </c:pt>
                <c:pt idx="1191">
                  <c:v>2.16</c:v>
                </c:pt>
                <c:pt idx="1192">
                  <c:v>2.16</c:v>
                </c:pt>
                <c:pt idx="1193">
                  <c:v>2.16</c:v>
                </c:pt>
                <c:pt idx="1194">
                  <c:v>2.66</c:v>
                </c:pt>
                <c:pt idx="1195">
                  <c:v>3.15</c:v>
                </c:pt>
                <c:pt idx="1196">
                  <c:v>2.82</c:v>
                </c:pt>
                <c:pt idx="1197">
                  <c:v>2.4900000000000002</c:v>
                </c:pt>
                <c:pt idx="1198">
                  <c:v>2.82</c:v>
                </c:pt>
                <c:pt idx="1199">
                  <c:v>3.15</c:v>
                </c:pt>
                <c:pt idx="1200">
                  <c:v>4.3</c:v>
                </c:pt>
                <c:pt idx="1201">
                  <c:v>5.45</c:v>
                </c:pt>
                <c:pt idx="1202">
                  <c:v>3.97</c:v>
                </c:pt>
                <c:pt idx="1203">
                  <c:v>2.4900000000000002</c:v>
                </c:pt>
                <c:pt idx="1204">
                  <c:v>2.33</c:v>
                </c:pt>
                <c:pt idx="1205">
                  <c:v>2.16</c:v>
                </c:pt>
                <c:pt idx="1206">
                  <c:v>3.48</c:v>
                </c:pt>
                <c:pt idx="1207">
                  <c:v>4.79</c:v>
                </c:pt>
                <c:pt idx="1208">
                  <c:v>4.79</c:v>
                </c:pt>
                <c:pt idx="1209">
                  <c:v>4.79</c:v>
                </c:pt>
                <c:pt idx="1210">
                  <c:v>5.12</c:v>
                </c:pt>
                <c:pt idx="1211">
                  <c:v>5.45</c:v>
                </c:pt>
                <c:pt idx="1212">
                  <c:v>5.12</c:v>
                </c:pt>
                <c:pt idx="1213">
                  <c:v>4.79</c:v>
                </c:pt>
                <c:pt idx="1214">
                  <c:v>3.64</c:v>
                </c:pt>
                <c:pt idx="1215">
                  <c:v>2.4900000000000002</c:v>
                </c:pt>
                <c:pt idx="1216">
                  <c:v>2.4900000000000002</c:v>
                </c:pt>
                <c:pt idx="1217">
                  <c:v>2.4900000000000002</c:v>
                </c:pt>
                <c:pt idx="1218">
                  <c:v>2.4900000000000002</c:v>
                </c:pt>
                <c:pt idx="1219">
                  <c:v>2.4900000000000002</c:v>
                </c:pt>
                <c:pt idx="1220">
                  <c:v>3.97</c:v>
                </c:pt>
                <c:pt idx="1221">
                  <c:v>5.45</c:v>
                </c:pt>
                <c:pt idx="1222">
                  <c:v>6.1</c:v>
                </c:pt>
                <c:pt idx="1223">
                  <c:v>6.76</c:v>
                </c:pt>
                <c:pt idx="1224">
                  <c:v>7.74</c:v>
                </c:pt>
                <c:pt idx="1225">
                  <c:v>8.73</c:v>
                </c:pt>
                <c:pt idx="1226">
                  <c:v>5.78</c:v>
                </c:pt>
                <c:pt idx="1227">
                  <c:v>2.82</c:v>
                </c:pt>
                <c:pt idx="1228">
                  <c:v>4.95</c:v>
                </c:pt>
                <c:pt idx="1229">
                  <c:v>7.09</c:v>
                </c:pt>
                <c:pt idx="1230">
                  <c:v>4.63</c:v>
                </c:pt>
                <c:pt idx="1231">
                  <c:v>2.16</c:v>
                </c:pt>
                <c:pt idx="1232">
                  <c:v>2.16</c:v>
                </c:pt>
                <c:pt idx="1233">
                  <c:v>2.16</c:v>
                </c:pt>
                <c:pt idx="1234">
                  <c:v>2.82</c:v>
                </c:pt>
                <c:pt idx="1235">
                  <c:v>3.48</c:v>
                </c:pt>
                <c:pt idx="1236">
                  <c:v>2.98</c:v>
                </c:pt>
                <c:pt idx="1237">
                  <c:v>2.4900000000000002</c:v>
                </c:pt>
                <c:pt idx="1238">
                  <c:v>4.46</c:v>
                </c:pt>
                <c:pt idx="1239">
                  <c:v>6.43</c:v>
                </c:pt>
                <c:pt idx="1240">
                  <c:v>5.61</c:v>
                </c:pt>
                <c:pt idx="1241">
                  <c:v>4.79</c:v>
                </c:pt>
                <c:pt idx="1242">
                  <c:v>5.94</c:v>
                </c:pt>
                <c:pt idx="1243">
                  <c:v>7.09</c:v>
                </c:pt>
                <c:pt idx="1244">
                  <c:v>5.12</c:v>
                </c:pt>
                <c:pt idx="1245">
                  <c:v>3.15</c:v>
                </c:pt>
                <c:pt idx="1246">
                  <c:v>4.3</c:v>
                </c:pt>
                <c:pt idx="1247">
                  <c:v>5.45</c:v>
                </c:pt>
                <c:pt idx="1248">
                  <c:v>3.81</c:v>
                </c:pt>
                <c:pt idx="1249">
                  <c:v>2.16</c:v>
                </c:pt>
                <c:pt idx="1250">
                  <c:v>2.66</c:v>
                </c:pt>
                <c:pt idx="1251">
                  <c:v>3.15</c:v>
                </c:pt>
                <c:pt idx="1252">
                  <c:v>4.3</c:v>
                </c:pt>
                <c:pt idx="1253">
                  <c:v>5.45</c:v>
                </c:pt>
                <c:pt idx="1254">
                  <c:v>5.28</c:v>
                </c:pt>
                <c:pt idx="1255">
                  <c:v>5.12</c:v>
                </c:pt>
                <c:pt idx="1256">
                  <c:v>3.48</c:v>
                </c:pt>
                <c:pt idx="1257">
                  <c:v>1.84</c:v>
                </c:pt>
                <c:pt idx="1258">
                  <c:v>1.84</c:v>
                </c:pt>
                <c:pt idx="1259">
                  <c:v>1.84</c:v>
                </c:pt>
                <c:pt idx="1260">
                  <c:v>3.15</c:v>
                </c:pt>
                <c:pt idx="1261">
                  <c:v>4.46</c:v>
                </c:pt>
                <c:pt idx="1262">
                  <c:v>3.31</c:v>
                </c:pt>
                <c:pt idx="1263">
                  <c:v>2.16</c:v>
                </c:pt>
                <c:pt idx="1264">
                  <c:v>2.98</c:v>
                </c:pt>
                <c:pt idx="1265">
                  <c:v>3.81</c:v>
                </c:pt>
                <c:pt idx="1266">
                  <c:v>2.82</c:v>
                </c:pt>
                <c:pt idx="1267">
                  <c:v>1.84</c:v>
                </c:pt>
                <c:pt idx="1268">
                  <c:v>2.33</c:v>
                </c:pt>
                <c:pt idx="1269">
                  <c:v>2.82</c:v>
                </c:pt>
                <c:pt idx="1270">
                  <c:v>2.66</c:v>
                </c:pt>
                <c:pt idx="1271">
                  <c:v>2.4900000000000002</c:v>
                </c:pt>
                <c:pt idx="1272">
                  <c:v>2.4900000000000002</c:v>
                </c:pt>
                <c:pt idx="1273">
                  <c:v>2.4900000000000002</c:v>
                </c:pt>
                <c:pt idx="1274">
                  <c:v>3.81</c:v>
                </c:pt>
                <c:pt idx="1275">
                  <c:v>5.12</c:v>
                </c:pt>
                <c:pt idx="1276">
                  <c:v>3.97</c:v>
                </c:pt>
                <c:pt idx="1277">
                  <c:v>2.82</c:v>
                </c:pt>
                <c:pt idx="1278">
                  <c:v>2.66</c:v>
                </c:pt>
                <c:pt idx="1279">
                  <c:v>2.4900000000000002</c:v>
                </c:pt>
                <c:pt idx="1280">
                  <c:v>2.4900000000000002</c:v>
                </c:pt>
                <c:pt idx="1281">
                  <c:v>2.4900000000000002</c:v>
                </c:pt>
                <c:pt idx="1282">
                  <c:v>2.4900000000000002</c:v>
                </c:pt>
                <c:pt idx="1283">
                  <c:v>2.4900000000000002</c:v>
                </c:pt>
                <c:pt idx="1284">
                  <c:v>2.16</c:v>
                </c:pt>
                <c:pt idx="1285">
                  <c:v>1.84</c:v>
                </c:pt>
                <c:pt idx="1286">
                  <c:v>1.84</c:v>
                </c:pt>
                <c:pt idx="1287">
                  <c:v>1.84</c:v>
                </c:pt>
                <c:pt idx="1288">
                  <c:v>3.15</c:v>
                </c:pt>
                <c:pt idx="1289">
                  <c:v>4.46</c:v>
                </c:pt>
                <c:pt idx="1290">
                  <c:v>3.64</c:v>
                </c:pt>
                <c:pt idx="1291">
                  <c:v>2.82</c:v>
                </c:pt>
                <c:pt idx="1292">
                  <c:v>2.66</c:v>
                </c:pt>
                <c:pt idx="1293">
                  <c:v>2.4900000000000002</c:v>
                </c:pt>
                <c:pt idx="1294">
                  <c:v>2.33</c:v>
                </c:pt>
                <c:pt idx="1295">
                  <c:v>2.16</c:v>
                </c:pt>
                <c:pt idx="1296">
                  <c:v>2.33</c:v>
                </c:pt>
                <c:pt idx="1297">
                  <c:v>2.4900000000000002</c:v>
                </c:pt>
                <c:pt idx="1298">
                  <c:v>2.98</c:v>
                </c:pt>
                <c:pt idx="1299">
                  <c:v>3.48</c:v>
                </c:pt>
                <c:pt idx="1300">
                  <c:v>2.98</c:v>
                </c:pt>
                <c:pt idx="1301">
                  <c:v>2.4900000000000002</c:v>
                </c:pt>
                <c:pt idx="1302">
                  <c:v>2.66</c:v>
                </c:pt>
                <c:pt idx="1303">
                  <c:v>2.82</c:v>
                </c:pt>
                <c:pt idx="1304">
                  <c:v>4.13</c:v>
                </c:pt>
                <c:pt idx="1305">
                  <c:v>5.45</c:v>
                </c:pt>
                <c:pt idx="1306">
                  <c:v>5.61</c:v>
                </c:pt>
                <c:pt idx="1307">
                  <c:v>5.78</c:v>
                </c:pt>
                <c:pt idx="1308">
                  <c:v>3.81</c:v>
                </c:pt>
                <c:pt idx="1309">
                  <c:v>1.84</c:v>
                </c:pt>
                <c:pt idx="1310">
                  <c:v>2</c:v>
                </c:pt>
                <c:pt idx="1311">
                  <c:v>2.16</c:v>
                </c:pt>
                <c:pt idx="1312">
                  <c:v>2.33</c:v>
                </c:pt>
                <c:pt idx="1313">
                  <c:v>2.4900000000000002</c:v>
                </c:pt>
                <c:pt idx="1314">
                  <c:v>2.66</c:v>
                </c:pt>
                <c:pt idx="1315">
                  <c:v>2.82</c:v>
                </c:pt>
                <c:pt idx="1316">
                  <c:v>2.66</c:v>
                </c:pt>
                <c:pt idx="1317">
                  <c:v>2.4900000000000002</c:v>
                </c:pt>
                <c:pt idx="1318">
                  <c:v>2.66</c:v>
                </c:pt>
                <c:pt idx="1319">
                  <c:v>2.82</c:v>
                </c:pt>
                <c:pt idx="1320">
                  <c:v>2.66</c:v>
                </c:pt>
                <c:pt idx="1321">
                  <c:v>2.4900000000000002</c:v>
                </c:pt>
                <c:pt idx="1322">
                  <c:v>3.97</c:v>
                </c:pt>
                <c:pt idx="1323">
                  <c:v>5.45</c:v>
                </c:pt>
                <c:pt idx="1324">
                  <c:v>4.3</c:v>
                </c:pt>
                <c:pt idx="1325">
                  <c:v>3.15</c:v>
                </c:pt>
                <c:pt idx="1326">
                  <c:v>2.66</c:v>
                </c:pt>
                <c:pt idx="1327">
                  <c:v>2.16</c:v>
                </c:pt>
                <c:pt idx="1328">
                  <c:v>2.33</c:v>
                </c:pt>
                <c:pt idx="1329">
                  <c:v>2.4900000000000002</c:v>
                </c:pt>
                <c:pt idx="1330">
                  <c:v>3.15</c:v>
                </c:pt>
                <c:pt idx="1331">
                  <c:v>3.81</c:v>
                </c:pt>
                <c:pt idx="1332">
                  <c:v>4.3</c:v>
                </c:pt>
                <c:pt idx="1333">
                  <c:v>4.79</c:v>
                </c:pt>
                <c:pt idx="1334">
                  <c:v>3.81</c:v>
                </c:pt>
                <c:pt idx="1335">
                  <c:v>2.82</c:v>
                </c:pt>
                <c:pt idx="1336">
                  <c:v>5.28</c:v>
                </c:pt>
                <c:pt idx="1337">
                  <c:v>7.74</c:v>
                </c:pt>
                <c:pt idx="1338">
                  <c:v>6.1</c:v>
                </c:pt>
                <c:pt idx="1339">
                  <c:v>4.46</c:v>
                </c:pt>
                <c:pt idx="1340">
                  <c:v>5.28</c:v>
                </c:pt>
                <c:pt idx="1341">
                  <c:v>6.1</c:v>
                </c:pt>
                <c:pt idx="1342">
                  <c:v>5.12</c:v>
                </c:pt>
                <c:pt idx="1343">
                  <c:v>4.13</c:v>
                </c:pt>
                <c:pt idx="1344">
                  <c:v>3.31</c:v>
                </c:pt>
                <c:pt idx="1345">
                  <c:v>2.4900000000000002</c:v>
                </c:pt>
                <c:pt idx="1346">
                  <c:v>3.64</c:v>
                </c:pt>
                <c:pt idx="1347">
                  <c:v>4.79</c:v>
                </c:pt>
                <c:pt idx="1348">
                  <c:v>3.97</c:v>
                </c:pt>
                <c:pt idx="1349">
                  <c:v>3.15</c:v>
                </c:pt>
                <c:pt idx="1350">
                  <c:v>2.82</c:v>
                </c:pt>
                <c:pt idx="1351">
                  <c:v>2.4900000000000002</c:v>
                </c:pt>
                <c:pt idx="1352">
                  <c:v>2.33</c:v>
                </c:pt>
                <c:pt idx="1353">
                  <c:v>2.16</c:v>
                </c:pt>
                <c:pt idx="1354">
                  <c:v>2.16</c:v>
                </c:pt>
                <c:pt idx="1355">
                  <c:v>2.16</c:v>
                </c:pt>
                <c:pt idx="1356">
                  <c:v>2.4900000000000002</c:v>
                </c:pt>
                <c:pt idx="1357">
                  <c:v>2.82</c:v>
                </c:pt>
                <c:pt idx="1358">
                  <c:v>2.66</c:v>
                </c:pt>
                <c:pt idx="1359">
                  <c:v>2.4900000000000002</c:v>
                </c:pt>
                <c:pt idx="1360">
                  <c:v>3.15</c:v>
                </c:pt>
                <c:pt idx="1361">
                  <c:v>3.81</c:v>
                </c:pt>
                <c:pt idx="1362">
                  <c:v>3.31</c:v>
                </c:pt>
                <c:pt idx="1363">
                  <c:v>2.82</c:v>
                </c:pt>
                <c:pt idx="1364">
                  <c:v>2.33</c:v>
                </c:pt>
                <c:pt idx="1365">
                  <c:v>1.84</c:v>
                </c:pt>
                <c:pt idx="1366">
                  <c:v>3.31</c:v>
                </c:pt>
                <c:pt idx="1367">
                  <c:v>4.79</c:v>
                </c:pt>
                <c:pt idx="1368">
                  <c:v>5.45</c:v>
                </c:pt>
                <c:pt idx="1369">
                  <c:v>6.1</c:v>
                </c:pt>
                <c:pt idx="1370">
                  <c:v>4.13</c:v>
                </c:pt>
                <c:pt idx="1371">
                  <c:v>2.16</c:v>
                </c:pt>
                <c:pt idx="1372">
                  <c:v>2</c:v>
                </c:pt>
                <c:pt idx="1373">
                  <c:v>1.84</c:v>
                </c:pt>
                <c:pt idx="1374">
                  <c:v>2.33</c:v>
                </c:pt>
                <c:pt idx="1375">
                  <c:v>2.82</c:v>
                </c:pt>
                <c:pt idx="1376">
                  <c:v>2.4900000000000002</c:v>
                </c:pt>
                <c:pt idx="1377">
                  <c:v>2.16</c:v>
                </c:pt>
                <c:pt idx="1378">
                  <c:v>3.15</c:v>
                </c:pt>
                <c:pt idx="1379">
                  <c:v>4.13</c:v>
                </c:pt>
                <c:pt idx="1380">
                  <c:v>3.31</c:v>
                </c:pt>
                <c:pt idx="1381">
                  <c:v>2.4900000000000002</c:v>
                </c:pt>
                <c:pt idx="1382">
                  <c:v>2.33</c:v>
                </c:pt>
                <c:pt idx="1383">
                  <c:v>2.16</c:v>
                </c:pt>
                <c:pt idx="1384">
                  <c:v>2.66</c:v>
                </c:pt>
                <c:pt idx="1385">
                  <c:v>3.15</c:v>
                </c:pt>
                <c:pt idx="1386">
                  <c:v>2.66</c:v>
                </c:pt>
                <c:pt idx="1387">
                  <c:v>2.16</c:v>
                </c:pt>
                <c:pt idx="1388">
                  <c:v>2.66</c:v>
                </c:pt>
                <c:pt idx="1389">
                  <c:v>3.15</c:v>
                </c:pt>
                <c:pt idx="1390">
                  <c:v>3.81</c:v>
                </c:pt>
                <c:pt idx="1391">
                  <c:v>4.46</c:v>
                </c:pt>
                <c:pt idx="1392">
                  <c:v>4.63</c:v>
                </c:pt>
                <c:pt idx="1393">
                  <c:v>4.79</c:v>
                </c:pt>
                <c:pt idx="1394">
                  <c:v>3.81</c:v>
                </c:pt>
                <c:pt idx="1395">
                  <c:v>2.82</c:v>
                </c:pt>
                <c:pt idx="1396">
                  <c:v>2.98</c:v>
                </c:pt>
                <c:pt idx="1397">
                  <c:v>3.15</c:v>
                </c:pt>
                <c:pt idx="1398">
                  <c:v>2.66</c:v>
                </c:pt>
                <c:pt idx="1399">
                  <c:v>2.16</c:v>
                </c:pt>
                <c:pt idx="1400">
                  <c:v>2.33</c:v>
                </c:pt>
                <c:pt idx="1401">
                  <c:v>2.4900000000000002</c:v>
                </c:pt>
                <c:pt idx="1402">
                  <c:v>2.4900000000000002</c:v>
                </c:pt>
                <c:pt idx="1403">
                  <c:v>2.4900000000000002</c:v>
                </c:pt>
                <c:pt idx="1404">
                  <c:v>2.4900000000000002</c:v>
                </c:pt>
                <c:pt idx="1405">
                  <c:v>2.4900000000000002</c:v>
                </c:pt>
                <c:pt idx="1406">
                  <c:v>2.16</c:v>
                </c:pt>
                <c:pt idx="1407">
                  <c:v>1.84</c:v>
                </c:pt>
                <c:pt idx="1408">
                  <c:v>2.4900000000000002</c:v>
                </c:pt>
                <c:pt idx="1409">
                  <c:v>3.15</c:v>
                </c:pt>
                <c:pt idx="1410">
                  <c:v>2.98</c:v>
                </c:pt>
                <c:pt idx="1411">
                  <c:v>2.82</c:v>
                </c:pt>
                <c:pt idx="1412">
                  <c:v>2.66</c:v>
                </c:pt>
                <c:pt idx="1413">
                  <c:v>2.4900000000000002</c:v>
                </c:pt>
                <c:pt idx="1414">
                  <c:v>2.16</c:v>
                </c:pt>
                <c:pt idx="1415">
                  <c:v>1.84</c:v>
                </c:pt>
                <c:pt idx="1416">
                  <c:v>2</c:v>
                </c:pt>
                <c:pt idx="1417">
                  <c:v>2.16</c:v>
                </c:pt>
                <c:pt idx="1418">
                  <c:v>2.4900000000000002</c:v>
                </c:pt>
                <c:pt idx="1419">
                  <c:v>2.82</c:v>
                </c:pt>
                <c:pt idx="1420">
                  <c:v>2.82</c:v>
                </c:pt>
                <c:pt idx="1421">
                  <c:v>2.82</c:v>
                </c:pt>
                <c:pt idx="1422">
                  <c:v>2.66</c:v>
                </c:pt>
                <c:pt idx="1423">
                  <c:v>2.4900000000000002</c:v>
                </c:pt>
                <c:pt idx="1424">
                  <c:v>2.66</c:v>
                </c:pt>
                <c:pt idx="1425">
                  <c:v>2.82</c:v>
                </c:pt>
                <c:pt idx="1426">
                  <c:v>2.66</c:v>
                </c:pt>
                <c:pt idx="1427">
                  <c:v>2.4900000000000002</c:v>
                </c:pt>
                <c:pt idx="1428">
                  <c:v>2</c:v>
                </c:pt>
                <c:pt idx="1429">
                  <c:v>1.51</c:v>
                </c:pt>
                <c:pt idx="1430">
                  <c:v>1.67</c:v>
                </c:pt>
                <c:pt idx="1431">
                  <c:v>1.84</c:v>
                </c:pt>
                <c:pt idx="1432">
                  <c:v>2.33</c:v>
                </c:pt>
                <c:pt idx="1433">
                  <c:v>2.82</c:v>
                </c:pt>
                <c:pt idx="1434">
                  <c:v>2.98</c:v>
                </c:pt>
                <c:pt idx="1435">
                  <c:v>3.15</c:v>
                </c:pt>
                <c:pt idx="1436">
                  <c:v>5.12</c:v>
                </c:pt>
                <c:pt idx="1437">
                  <c:v>7.09</c:v>
                </c:pt>
                <c:pt idx="1438">
                  <c:v>5.28</c:v>
                </c:pt>
                <c:pt idx="1439">
                  <c:v>3.48</c:v>
                </c:pt>
              </c:numCache>
            </c:numRef>
          </c:yVal>
          <c:smooth val="1"/>
          <c:extLst>
            <c:ext xmlns:c16="http://schemas.microsoft.com/office/drawing/2014/chart" uri="{C3380CC4-5D6E-409C-BE32-E72D297353CC}">
              <c16:uniqueId val="{00000001-6AD3-4F03-877B-898B8FEDB671}"/>
            </c:ext>
          </c:extLst>
        </c:ser>
        <c:ser>
          <c:idx val="2"/>
          <c:order val="2"/>
          <c:tx>
            <c:strRef>
              <c:f>Sheet1!$D$1</c:f>
              <c:strCache>
                <c:ptCount val="1"/>
                <c:pt idx="0">
                  <c:v>Total  Irradiance (W/m^2)</c:v>
                </c:pt>
              </c:strCache>
            </c:strRef>
          </c:tx>
          <c:spPr>
            <a:ln w="9525" cap="rnd">
              <a:solidFill>
                <a:srgbClr val="FF0000"/>
              </a:solidFill>
              <a:round/>
            </a:ln>
            <a:effectLst/>
          </c:spPr>
          <c:marker>
            <c:symbol val="none"/>
          </c:marker>
          <c:xVal>
            <c:numRef>
              <c:f>Sheet1!$A$2:$A$1441</c:f>
              <c:numCache>
                <c:formatCode>h:mm</c:formatCode>
                <c:ptCount val="1440"/>
                <c:pt idx="0">
                  <c:v>42005</c:v>
                </c:pt>
                <c:pt idx="1">
                  <c:v>42005.000694444447</c:v>
                </c:pt>
                <c:pt idx="2">
                  <c:v>42005.001388888886</c:v>
                </c:pt>
                <c:pt idx="3">
                  <c:v>42005.002083333333</c:v>
                </c:pt>
                <c:pt idx="4">
                  <c:v>42005.00277777778</c:v>
                </c:pt>
                <c:pt idx="5">
                  <c:v>42005.003472222219</c:v>
                </c:pt>
                <c:pt idx="6">
                  <c:v>42005.004166666666</c:v>
                </c:pt>
                <c:pt idx="7">
                  <c:v>42005.004861111112</c:v>
                </c:pt>
                <c:pt idx="8">
                  <c:v>42005.005555555559</c:v>
                </c:pt>
                <c:pt idx="9">
                  <c:v>42005.006249999999</c:v>
                </c:pt>
                <c:pt idx="10">
                  <c:v>42005.006944444445</c:v>
                </c:pt>
                <c:pt idx="11">
                  <c:v>42005.007638888892</c:v>
                </c:pt>
                <c:pt idx="12">
                  <c:v>42005.008333333331</c:v>
                </c:pt>
                <c:pt idx="13">
                  <c:v>42005.009027777778</c:v>
                </c:pt>
                <c:pt idx="14">
                  <c:v>42005.009722222225</c:v>
                </c:pt>
                <c:pt idx="15">
                  <c:v>42005.010416666664</c:v>
                </c:pt>
                <c:pt idx="16">
                  <c:v>42005.011111111111</c:v>
                </c:pt>
                <c:pt idx="17">
                  <c:v>42005.011805555558</c:v>
                </c:pt>
                <c:pt idx="18">
                  <c:v>42005.012499999997</c:v>
                </c:pt>
                <c:pt idx="19">
                  <c:v>42005.013194444444</c:v>
                </c:pt>
                <c:pt idx="20">
                  <c:v>42005.013888888891</c:v>
                </c:pt>
                <c:pt idx="21">
                  <c:v>42005.01458333333</c:v>
                </c:pt>
                <c:pt idx="22">
                  <c:v>42005.015277777777</c:v>
                </c:pt>
                <c:pt idx="23">
                  <c:v>42005.015972222223</c:v>
                </c:pt>
                <c:pt idx="24">
                  <c:v>42005.01666666667</c:v>
                </c:pt>
                <c:pt idx="25">
                  <c:v>42005.017361111109</c:v>
                </c:pt>
                <c:pt idx="26">
                  <c:v>42005.018055555556</c:v>
                </c:pt>
                <c:pt idx="27">
                  <c:v>42005.018750000003</c:v>
                </c:pt>
                <c:pt idx="28">
                  <c:v>42005.019444444442</c:v>
                </c:pt>
                <c:pt idx="29">
                  <c:v>42005.020138888889</c:v>
                </c:pt>
                <c:pt idx="30">
                  <c:v>42005.020833333336</c:v>
                </c:pt>
                <c:pt idx="31">
                  <c:v>42005.021527777775</c:v>
                </c:pt>
                <c:pt idx="32">
                  <c:v>42005.022222222222</c:v>
                </c:pt>
                <c:pt idx="33">
                  <c:v>42005.022916666669</c:v>
                </c:pt>
                <c:pt idx="34">
                  <c:v>42005.023611111108</c:v>
                </c:pt>
                <c:pt idx="35">
                  <c:v>42005.024305555555</c:v>
                </c:pt>
                <c:pt idx="36">
                  <c:v>42005.025000000001</c:v>
                </c:pt>
                <c:pt idx="37">
                  <c:v>42005.025694444441</c:v>
                </c:pt>
                <c:pt idx="38">
                  <c:v>42005.026388888888</c:v>
                </c:pt>
                <c:pt idx="39">
                  <c:v>42005.027083333334</c:v>
                </c:pt>
                <c:pt idx="40">
                  <c:v>42005.027777777781</c:v>
                </c:pt>
                <c:pt idx="41">
                  <c:v>42005.02847222222</c:v>
                </c:pt>
                <c:pt idx="42">
                  <c:v>42005.029166666667</c:v>
                </c:pt>
                <c:pt idx="43">
                  <c:v>42005.029861111114</c:v>
                </c:pt>
                <c:pt idx="44">
                  <c:v>42005.030555555553</c:v>
                </c:pt>
                <c:pt idx="45">
                  <c:v>42005.03125</c:v>
                </c:pt>
                <c:pt idx="46">
                  <c:v>42005.031944444447</c:v>
                </c:pt>
                <c:pt idx="47">
                  <c:v>42005.032638888886</c:v>
                </c:pt>
                <c:pt idx="48">
                  <c:v>42005.033333333333</c:v>
                </c:pt>
                <c:pt idx="49">
                  <c:v>42005.03402777778</c:v>
                </c:pt>
                <c:pt idx="50">
                  <c:v>42005.034722222219</c:v>
                </c:pt>
                <c:pt idx="51">
                  <c:v>42005.035416666666</c:v>
                </c:pt>
                <c:pt idx="52">
                  <c:v>42005.036111111112</c:v>
                </c:pt>
                <c:pt idx="53">
                  <c:v>42005.036805555559</c:v>
                </c:pt>
                <c:pt idx="54">
                  <c:v>42005.037499999999</c:v>
                </c:pt>
                <c:pt idx="55">
                  <c:v>42005.038194444445</c:v>
                </c:pt>
                <c:pt idx="56">
                  <c:v>42005.038888888892</c:v>
                </c:pt>
                <c:pt idx="57">
                  <c:v>42005.039583333331</c:v>
                </c:pt>
                <c:pt idx="58">
                  <c:v>42005.040277777778</c:v>
                </c:pt>
                <c:pt idx="59">
                  <c:v>42005.040972222225</c:v>
                </c:pt>
                <c:pt idx="60">
                  <c:v>42005.041666666664</c:v>
                </c:pt>
                <c:pt idx="61">
                  <c:v>42005.042361111111</c:v>
                </c:pt>
                <c:pt idx="62">
                  <c:v>42005.043055555558</c:v>
                </c:pt>
                <c:pt idx="63">
                  <c:v>42005.043749999997</c:v>
                </c:pt>
                <c:pt idx="64">
                  <c:v>42005.044444444444</c:v>
                </c:pt>
                <c:pt idx="65">
                  <c:v>42005.045138888891</c:v>
                </c:pt>
                <c:pt idx="66">
                  <c:v>42005.04583333333</c:v>
                </c:pt>
                <c:pt idx="67">
                  <c:v>42005.046527777777</c:v>
                </c:pt>
                <c:pt idx="68">
                  <c:v>42005.047222222223</c:v>
                </c:pt>
                <c:pt idx="69">
                  <c:v>42005.04791666667</c:v>
                </c:pt>
                <c:pt idx="70">
                  <c:v>42005.048611111109</c:v>
                </c:pt>
                <c:pt idx="71">
                  <c:v>42005.049305555556</c:v>
                </c:pt>
                <c:pt idx="72">
                  <c:v>42005.05</c:v>
                </c:pt>
                <c:pt idx="73">
                  <c:v>42005.050694444442</c:v>
                </c:pt>
                <c:pt idx="74">
                  <c:v>42005.051388888889</c:v>
                </c:pt>
                <c:pt idx="75">
                  <c:v>42005.052083333336</c:v>
                </c:pt>
                <c:pt idx="76">
                  <c:v>42005.052777777775</c:v>
                </c:pt>
                <c:pt idx="77">
                  <c:v>42005.053472222222</c:v>
                </c:pt>
                <c:pt idx="78">
                  <c:v>42005.054166666669</c:v>
                </c:pt>
                <c:pt idx="79">
                  <c:v>42005.054861111108</c:v>
                </c:pt>
                <c:pt idx="80">
                  <c:v>42005.055555555555</c:v>
                </c:pt>
                <c:pt idx="81">
                  <c:v>42005.056250000001</c:v>
                </c:pt>
                <c:pt idx="82">
                  <c:v>42005.056944444441</c:v>
                </c:pt>
                <c:pt idx="83">
                  <c:v>42005.057638888888</c:v>
                </c:pt>
                <c:pt idx="84">
                  <c:v>42005.058333333334</c:v>
                </c:pt>
                <c:pt idx="85">
                  <c:v>42005.059027777781</c:v>
                </c:pt>
                <c:pt idx="86">
                  <c:v>42005.05972222222</c:v>
                </c:pt>
                <c:pt idx="87">
                  <c:v>42005.060416666667</c:v>
                </c:pt>
                <c:pt idx="88">
                  <c:v>42005.061111111114</c:v>
                </c:pt>
                <c:pt idx="89">
                  <c:v>42005.061805555553</c:v>
                </c:pt>
                <c:pt idx="90">
                  <c:v>42005.0625</c:v>
                </c:pt>
                <c:pt idx="91">
                  <c:v>42005.063194444447</c:v>
                </c:pt>
                <c:pt idx="92">
                  <c:v>42005.063888888886</c:v>
                </c:pt>
                <c:pt idx="93">
                  <c:v>42005.064583333333</c:v>
                </c:pt>
                <c:pt idx="94">
                  <c:v>42005.06527777778</c:v>
                </c:pt>
                <c:pt idx="95">
                  <c:v>42005.065972222219</c:v>
                </c:pt>
                <c:pt idx="96">
                  <c:v>42005.066666666666</c:v>
                </c:pt>
                <c:pt idx="97">
                  <c:v>42005.067361111112</c:v>
                </c:pt>
                <c:pt idx="98">
                  <c:v>42005.068055555559</c:v>
                </c:pt>
                <c:pt idx="99">
                  <c:v>42005.068749999999</c:v>
                </c:pt>
                <c:pt idx="100">
                  <c:v>42005.069444444445</c:v>
                </c:pt>
                <c:pt idx="101">
                  <c:v>42005.070138888892</c:v>
                </c:pt>
                <c:pt idx="102">
                  <c:v>42005.070833333331</c:v>
                </c:pt>
                <c:pt idx="103">
                  <c:v>42005.071527777778</c:v>
                </c:pt>
                <c:pt idx="104">
                  <c:v>42005.072222222225</c:v>
                </c:pt>
                <c:pt idx="105">
                  <c:v>42005.072916666664</c:v>
                </c:pt>
                <c:pt idx="106">
                  <c:v>42005.073611111111</c:v>
                </c:pt>
                <c:pt idx="107">
                  <c:v>42005.074305555558</c:v>
                </c:pt>
                <c:pt idx="108">
                  <c:v>42005.074999999997</c:v>
                </c:pt>
                <c:pt idx="109">
                  <c:v>42005.075694444444</c:v>
                </c:pt>
                <c:pt idx="110">
                  <c:v>42005.076388888891</c:v>
                </c:pt>
                <c:pt idx="111">
                  <c:v>42005.07708333333</c:v>
                </c:pt>
                <c:pt idx="112">
                  <c:v>42005.077777777777</c:v>
                </c:pt>
                <c:pt idx="113">
                  <c:v>42005.078472222223</c:v>
                </c:pt>
                <c:pt idx="114">
                  <c:v>42005.07916666667</c:v>
                </c:pt>
                <c:pt idx="115">
                  <c:v>42005.079861111109</c:v>
                </c:pt>
                <c:pt idx="116">
                  <c:v>42005.080555555556</c:v>
                </c:pt>
                <c:pt idx="117">
                  <c:v>42005.081250000003</c:v>
                </c:pt>
                <c:pt idx="118">
                  <c:v>42005.081944444442</c:v>
                </c:pt>
                <c:pt idx="119">
                  <c:v>42005.082638888889</c:v>
                </c:pt>
                <c:pt idx="120">
                  <c:v>42005.083333333336</c:v>
                </c:pt>
                <c:pt idx="121">
                  <c:v>42005.084027777775</c:v>
                </c:pt>
                <c:pt idx="122">
                  <c:v>42005.084722222222</c:v>
                </c:pt>
                <c:pt idx="123">
                  <c:v>42005.085416666669</c:v>
                </c:pt>
                <c:pt idx="124">
                  <c:v>42005.086111111108</c:v>
                </c:pt>
                <c:pt idx="125">
                  <c:v>42005.086805555555</c:v>
                </c:pt>
                <c:pt idx="126">
                  <c:v>42005.087500000001</c:v>
                </c:pt>
                <c:pt idx="127">
                  <c:v>42005.088194444441</c:v>
                </c:pt>
                <c:pt idx="128">
                  <c:v>42005.088888888888</c:v>
                </c:pt>
                <c:pt idx="129">
                  <c:v>42005.089583333334</c:v>
                </c:pt>
                <c:pt idx="130">
                  <c:v>42005.090277777781</c:v>
                </c:pt>
                <c:pt idx="131">
                  <c:v>42005.09097222222</c:v>
                </c:pt>
                <c:pt idx="132">
                  <c:v>42005.091666666667</c:v>
                </c:pt>
                <c:pt idx="133">
                  <c:v>42005.092361111114</c:v>
                </c:pt>
                <c:pt idx="134">
                  <c:v>42005.093055555553</c:v>
                </c:pt>
                <c:pt idx="135">
                  <c:v>42005.09375</c:v>
                </c:pt>
                <c:pt idx="136">
                  <c:v>42005.094444444447</c:v>
                </c:pt>
                <c:pt idx="137">
                  <c:v>42005.095138888886</c:v>
                </c:pt>
                <c:pt idx="138">
                  <c:v>42005.095833333333</c:v>
                </c:pt>
                <c:pt idx="139">
                  <c:v>42005.09652777778</c:v>
                </c:pt>
                <c:pt idx="140">
                  <c:v>42005.097222222219</c:v>
                </c:pt>
                <c:pt idx="141">
                  <c:v>42005.097916666666</c:v>
                </c:pt>
                <c:pt idx="142">
                  <c:v>42005.098611111112</c:v>
                </c:pt>
                <c:pt idx="143">
                  <c:v>42005.099305555559</c:v>
                </c:pt>
                <c:pt idx="144">
                  <c:v>42005.1</c:v>
                </c:pt>
                <c:pt idx="145">
                  <c:v>42005.100694444445</c:v>
                </c:pt>
                <c:pt idx="146">
                  <c:v>42005.101388888892</c:v>
                </c:pt>
                <c:pt idx="147">
                  <c:v>42005.102083333331</c:v>
                </c:pt>
                <c:pt idx="148">
                  <c:v>42005.102777777778</c:v>
                </c:pt>
                <c:pt idx="149">
                  <c:v>42005.103472222225</c:v>
                </c:pt>
                <c:pt idx="150">
                  <c:v>42005.104166666664</c:v>
                </c:pt>
                <c:pt idx="151">
                  <c:v>42005.104861111111</c:v>
                </c:pt>
                <c:pt idx="152">
                  <c:v>42005.105555555558</c:v>
                </c:pt>
                <c:pt idx="153">
                  <c:v>42005.106249999997</c:v>
                </c:pt>
                <c:pt idx="154">
                  <c:v>42005.106944444444</c:v>
                </c:pt>
                <c:pt idx="155">
                  <c:v>42005.107638888891</c:v>
                </c:pt>
                <c:pt idx="156">
                  <c:v>42005.10833333333</c:v>
                </c:pt>
                <c:pt idx="157">
                  <c:v>42005.109027777777</c:v>
                </c:pt>
                <c:pt idx="158">
                  <c:v>42005.109722222223</c:v>
                </c:pt>
                <c:pt idx="159">
                  <c:v>42005.11041666667</c:v>
                </c:pt>
                <c:pt idx="160">
                  <c:v>42005.111111111109</c:v>
                </c:pt>
                <c:pt idx="161">
                  <c:v>42005.111805555556</c:v>
                </c:pt>
                <c:pt idx="162">
                  <c:v>42005.112500000003</c:v>
                </c:pt>
                <c:pt idx="163">
                  <c:v>42005.113194444442</c:v>
                </c:pt>
                <c:pt idx="164">
                  <c:v>42005.113888888889</c:v>
                </c:pt>
                <c:pt idx="165">
                  <c:v>42005.114583333336</c:v>
                </c:pt>
                <c:pt idx="166">
                  <c:v>42005.115277777775</c:v>
                </c:pt>
                <c:pt idx="167">
                  <c:v>42005.115972222222</c:v>
                </c:pt>
                <c:pt idx="168">
                  <c:v>42005.116666666669</c:v>
                </c:pt>
                <c:pt idx="169">
                  <c:v>42005.117361111108</c:v>
                </c:pt>
                <c:pt idx="170">
                  <c:v>42005.118055555555</c:v>
                </c:pt>
                <c:pt idx="171">
                  <c:v>42005.118750000001</c:v>
                </c:pt>
                <c:pt idx="172">
                  <c:v>42005.119444444441</c:v>
                </c:pt>
                <c:pt idx="173">
                  <c:v>42005.120138888888</c:v>
                </c:pt>
                <c:pt idx="174">
                  <c:v>42005.120833333334</c:v>
                </c:pt>
                <c:pt idx="175">
                  <c:v>42005.121527777781</c:v>
                </c:pt>
                <c:pt idx="176">
                  <c:v>42005.12222222222</c:v>
                </c:pt>
                <c:pt idx="177">
                  <c:v>42005.122916666667</c:v>
                </c:pt>
                <c:pt idx="178">
                  <c:v>42005.123611111114</c:v>
                </c:pt>
                <c:pt idx="179">
                  <c:v>42005.124305555553</c:v>
                </c:pt>
                <c:pt idx="180">
                  <c:v>42005.125</c:v>
                </c:pt>
                <c:pt idx="181">
                  <c:v>42005.125694444447</c:v>
                </c:pt>
                <c:pt idx="182">
                  <c:v>42005.126388888886</c:v>
                </c:pt>
                <c:pt idx="183">
                  <c:v>42005.127083333333</c:v>
                </c:pt>
                <c:pt idx="184">
                  <c:v>42005.12777777778</c:v>
                </c:pt>
                <c:pt idx="185">
                  <c:v>42005.128472222219</c:v>
                </c:pt>
                <c:pt idx="186">
                  <c:v>42005.129166666666</c:v>
                </c:pt>
                <c:pt idx="187">
                  <c:v>42005.129861111112</c:v>
                </c:pt>
                <c:pt idx="188">
                  <c:v>42005.130555555559</c:v>
                </c:pt>
                <c:pt idx="189">
                  <c:v>42005.131249999999</c:v>
                </c:pt>
                <c:pt idx="190">
                  <c:v>42005.131944444445</c:v>
                </c:pt>
                <c:pt idx="191">
                  <c:v>42005.132638888892</c:v>
                </c:pt>
                <c:pt idx="192">
                  <c:v>42005.133333333331</c:v>
                </c:pt>
                <c:pt idx="193">
                  <c:v>42005.134027777778</c:v>
                </c:pt>
                <c:pt idx="194">
                  <c:v>42005.134722222225</c:v>
                </c:pt>
                <c:pt idx="195">
                  <c:v>42005.135416666664</c:v>
                </c:pt>
                <c:pt idx="196">
                  <c:v>42005.136111111111</c:v>
                </c:pt>
                <c:pt idx="197">
                  <c:v>42005.136805555558</c:v>
                </c:pt>
                <c:pt idx="198">
                  <c:v>42005.137499999997</c:v>
                </c:pt>
                <c:pt idx="199">
                  <c:v>42005.138194444444</c:v>
                </c:pt>
                <c:pt idx="200">
                  <c:v>42005.138888888891</c:v>
                </c:pt>
                <c:pt idx="201">
                  <c:v>42005.13958333333</c:v>
                </c:pt>
                <c:pt idx="202">
                  <c:v>42005.140277777777</c:v>
                </c:pt>
                <c:pt idx="203">
                  <c:v>42005.140972222223</c:v>
                </c:pt>
                <c:pt idx="204">
                  <c:v>42005.14166666667</c:v>
                </c:pt>
                <c:pt idx="205">
                  <c:v>42005.142361111109</c:v>
                </c:pt>
                <c:pt idx="206">
                  <c:v>42005.143055555556</c:v>
                </c:pt>
                <c:pt idx="207">
                  <c:v>42005.143750000003</c:v>
                </c:pt>
                <c:pt idx="208">
                  <c:v>42005.144444444442</c:v>
                </c:pt>
                <c:pt idx="209">
                  <c:v>42005.145138888889</c:v>
                </c:pt>
                <c:pt idx="210">
                  <c:v>42005.145833333336</c:v>
                </c:pt>
                <c:pt idx="211">
                  <c:v>42005.146527777775</c:v>
                </c:pt>
                <c:pt idx="212">
                  <c:v>42005.147222222222</c:v>
                </c:pt>
                <c:pt idx="213">
                  <c:v>42005.147916666669</c:v>
                </c:pt>
                <c:pt idx="214">
                  <c:v>42005.148611111108</c:v>
                </c:pt>
                <c:pt idx="215">
                  <c:v>42005.149305555555</c:v>
                </c:pt>
                <c:pt idx="216">
                  <c:v>42005.15</c:v>
                </c:pt>
                <c:pt idx="217">
                  <c:v>42005.150694444441</c:v>
                </c:pt>
                <c:pt idx="218">
                  <c:v>42005.151388888888</c:v>
                </c:pt>
                <c:pt idx="219">
                  <c:v>42005.152083333334</c:v>
                </c:pt>
                <c:pt idx="220">
                  <c:v>42005.152777777781</c:v>
                </c:pt>
                <c:pt idx="221">
                  <c:v>42005.15347222222</c:v>
                </c:pt>
                <c:pt idx="222">
                  <c:v>42005.154166666667</c:v>
                </c:pt>
                <c:pt idx="223">
                  <c:v>42005.154861111114</c:v>
                </c:pt>
                <c:pt idx="224">
                  <c:v>42005.155555555553</c:v>
                </c:pt>
                <c:pt idx="225">
                  <c:v>42005.15625</c:v>
                </c:pt>
                <c:pt idx="226">
                  <c:v>42005.156944444447</c:v>
                </c:pt>
                <c:pt idx="227">
                  <c:v>42005.157638888886</c:v>
                </c:pt>
                <c:pt idx="228">
                  <c:v>42005.158333333333</c:v>
                </c:pt>
                <c:pt idx="229">
                  <c:v>42005.15902777778</c:v>
                </c:pt>
                <c:pt idx="230">
                  <c:v>42005.159722222219</c:v>
                </c:pt>
                <c:pt idx="231">
                  <c:v>42005.160416666666</c:v>
                </c:pt>
                <c:pt idx="232">
                  <c:v>42005.161111111112</c:v>
                </c:pt>
                <c:pt idx="233">
                  <c:v>42005.161805555559</c:v>
                </c:pt>
                <c:pt idx="234">
                  <c:v>42005.162499999999</c:v>
                </c:pt>
                <c:pt idx="235">
                  <c:v>42005.163194444445</c:v>
                </c:pt>
                <c:pt idx="236">
                  <c:v>42005.163888888892</c:v>
                </c:pt>
                <c:pt idx="237">
                  <c:v>42005.164583333331</c:v>
                </c:pt>
                <c:pt idx="238">
                  <c:v>42005.165277777778</c:v>
                </c:pt>
                <c:pt idx="239">
                  <c:v>42005.165972222225</c:v>
                </c:pt>
                <c:pt idx="240">
                  <c:v>42005.166666666664</c:v>
                </c:pt>
                <c:pt idx="241">
                  <c:v>42005.167361111111</c:v>
                </c:pt>
                <c:pt idx="242">
                  <c:v>42005.168055555558</c:v>
                </c:pt>
                <c:pt idx="243">
                  <c:v>42005.168749999997</c:v>
                </c:pt>
                <c:pt idx="244">
                  <c:v>42005.169444444444</c:v>
                </c:pt>
                <c:pt idx="245">
                  <c:v>42005.170138888891</c:v>
                </c:pt>
                <c:pt idx="246">
                  <c:v>42005.17083333333</c:v>
                </c:pt>
                <c:pt idx="247">
                  <c:v>42005.171527777777</c:v>
                </c:pt>
                <c:pt idx="248">
                  <c:v>42005.172222222223</c:v>
                </c:pt>
                <c:pt idx="249">
                  <c:v>42005.17291666667</c:v>
                </c:pt>
                <c:pt idx="250">
                  <c:v>42005.173611111109</c:v>
                </c:pt>
                <c:pt idx="251">
                  <c:v>42005.174305555556</c:v>
                </c:pt>
                <c:pt idx="252">
                  <c:v>42005.175000000003</c:v>
                </c:pt>
                <c:pt idx="253">
                  <c:v>42005.175694444442</c:v>
                </c:pt>
                <c:pt idx="254">
                  <c:v>42005.176388888889</c:v>
                </c:pt>
                <c:pt idx="255">
                  <c:v>42005.177083333336</c:v>
                </c:pt>
                <c:pt idx="256">
                  <c:v>42005.177777777775</c:v>
                </c:pt>
                <c:pt idx="257">
                  <c:v>42005.178472222222</c:v>
                </c:pt>
                <c:pt idx="258">
                  <c:v>42005.179166666669</c:v>
                </c:pt>
                <c:pt idx="259">
                  <c:v>42005.179861111108</c:v>
                </c:pt>
                <c:pt idx="260">
                  <c:v>42005.180555555555</c:v>
                </c:pt>
                <c:pt idx="261">
                  <c:v>42005.181250000001</c:v>
                </c:pt>
                <c:pt idx="262">
                  <c:v>42005.181944444441</c:v>
                </c:pt>
                <c:pt idx="263">
                  <c:v>42005.182638888888</c:v>
                </c:pt>
                <c:pt idx="264">
                  <c:v>42005.183333333334</c:v>
                </c:pt>
                <c:pt idx="265">
                  <c:v>42005.184027777781</c:v>
                </c:pt>
                <c:pt idx="266">
                  <c:v>42005.18472222222</c:v>
                </c:pt>
                <c:pt idx="267">
                  <c:v>42005.185416666667</c:v>
                </c:pt>
                <c:pt idx="268">
                  <c:v>42005.186111111114</c:v>
                </c:pt>
                <c:pt idx="269">
                  <c:v>42005.186805555553</c:v>
                </c:pt>
                <c:pt idx="270">
                  <c:v>42005.1875</c:v>
                </c:pt>
                <c:pt idx="271">
                  <c:v>42005.188194444447</c:v>
                </c:pt>
                <c:pt idx="272">
                  <c:v>42005.188888888886</c:v>
                </c:pt>
                <c:pt idx="273">
                  <c:v>42005.189583333333</c:v>
                </c:pt>
                <c:pt idx="274">
                  <c:v>42005.19027777778</c:v>
                </c:pt>
                <c:pt idx="275">
                  <c:v>42005.190972222219</c:v>
                </c:pt>
                <c:pt idx="276">
                  <c:v>42005.191666666666</c:v>
                </c:pt>
                <c:pt idx="277">
                  <c:v>42005.192361111112</c:v>
                </c:pt>
                <c:pt idx="278">
                  <c:v>42005.193055555559</c:v>
                </c:pt>
                <c:pt idx="279">
                  <c:v>42005.193749999999</c:v>
                </c:pt>
                <c:pt idx="280">
                  <c:v>42005.194444444445</c:v>
                </c:pt>
                <c:pt idx="281">
                  <c:v>42005.195138888892</c:v>
                </c:pt>
                <c:pt idx="282">
                  <c:v>42005.195833333331</c:v>
                </c:pt>
                <c:pt idx="283">
                  <c:v>42005.196527777778</c:v>
                </c:pt>
                <c:pt idx="284">
                  <c:v>42005.197222222225</c:v>
                </c:pt>
                <c:pt idx="285">
                  <c:v>42005.197916666664</c:v>
                </c:pt>
                <c:pt idx="286">
                  <c:v>42005.198611111111</c:v>
                </c:pt>
                <c:pt idx="287">
                  <c:v>42005.199305555558</c:v>
                </c:pt>
                <c:pt idx="288">
                  <c:v>42005.2</c:v>
                </c:pt>
                <c:pt idx="289">
                  <c:v>42005.200694444444</c:v>
                </c:pt>
                <c:pt idx="290">
                  <c:v>42005.201388888891</c:v>
                </c:pt>
                <c:pt idx="291">
                  <c:v>42005.20208333333</c:v>
                </c:pt>
                <c:pt idx="292">
                  <c:v>42005.202777777777</c:v>
                </c:pt>
                <c:pt idx="293">
                  <c:v>42005.203472222223</c:v>
                </c:pt>
                <c:pt idx="294">
                  <c:v>42005.20416666667</c:v>
                </c:pt>
                <c:pt idx="295">
                  <c:v>42005.204861111109</c:v>
                </c:pt>
                <c:pt idx="296">
                  <c:v>42005.205555555556</c:v>
                </c:pt>
                <c:pt idx="297">
                  <c:v>42005.206250000003</c:v>
                </c:pt>
                <c:pt idx="298">
                  <c:v>42005.206944444442</c:v>
                </c:pt>
                <c:pt idx="299">
                  <c:v>42005.207638888889</c:v>
                </c:pt>
                <c:pt idx="300">
                  <c:v>42005.208333333336</c:v>
                </c:pt>
                <c:pt idx="301">
                  <c:v>42005.209027777775</c:v>
                </c:pt>
                <c:pt idx="302">
                  <c:v>42005.209722222222</c:v>
                </c:pt>
                <c:pt idx="303">
                  <c:v>42005.210416666669</c:v>
                </c:pt>
                <c:pt idx="304">
                  <c:v>42005.211111111108</c:v>
                </c:pt>
                <c:pt idx="305">
                  <c:v>42005.211805555555</c:v>
                </c:pt>
                <c:pt idx="306">
                  <c:v>42005.212500000001</c:v>
                </c:pt>
                <c:pt idx="307">
                  <c:v>42005.213194444441</c:v>
                </c:pt>
                <c:pt idx="308">
                  <c:v>42005.213888888888</c:v>
                </c:pt>
                <c:pt idx="309">
                  <c:v>42005.214583333334</c:v>
                </c:pt>
                <c:pt idx="310">
                  <c:v>42005.215277777781</c:v>
                </c:pt>
                <c:pt idx="311">
                  <c:v>42005.21597222222</c:v>
                </c:pt>
                <c:pt idx="312">
                  <c:v>42005.216666666667</c:v>
                </c:pt>
                <c:pt idx="313">
                  <c:v>42005.217361111114</c:v>
                </c:pt>
                <c:pt idx="314">
                  <c:v>42005.218055555553</c:v>
                </c:pt>
                <c:pt idx="315">
                  <c:v>42005.21875</c:v>
                </c:pt>
                <c:pt idx="316">
                  <c:v>42005.219444444447</c:v>
                </c:pt>
                <c:pt idx="317">
                  <c:v>42005.220138888886</c:v>
                </c:pt>
                <c:pt idx="318">
                  <c:v>42005.220833333333</c:v>
                </c:pt>
                <c:pt idx="319">
                  <c:v>42005.22152777778</c:v>
                </c:pt>
                <c:pt idx="320">
                  <c:v>42005.222222222219</c:v>
                </c:pt>
                <c:pt idx="321">
                  <c:v>42005.222916666666</c:v>
                </c:pt>
                <c:pt idx="322">
                  <c:v>42005.223611111112</c:v>
                </c:pt>
                <c:pt idx="323">
                  <c:v>42005.224305555559</c:v>
                </c:pt>
                <c:pt idx="324">
                  <c:v>42005.224999999999</c:v>
                </c:pt>
                <c:pt idx="325">
                  <c:v>42005.225694444445</c:v>
                </c:pt>
                <c:pt idx="326">
                  <c:v>42005.226388888892</c:v>
                </c:pt>
                <c:pt idx="327">
                  <c:v>42005.227083333331</c:v>
                </c:pt>
                <c:pt idx="328">
                  <c:v>42005.227777777778</c:v>
                </c:pt>
                <c:pt idx="329">
                  <c:v>42005.228472222225</c:v>
                </c:pt>
                <c:pt idx="330">
                  <c:v>42005.229166666664</c:v>
                </c:pt>
                <c:pt idx="331">
                  <c:v>42005.229861111111</c:v>
                </c:pt>
                <c:pt idx="332">
                  <c:v>42005.230555555558</c:v>
                </c:pt>
                <c:pt idx="333">
                  <c:v>42005.231249999997</c:v>
                </c:pt>
                <c:pt idx="334">
                  <c:v>42005.231944444444</c:v>
                </c:pt>
                <c:pt idx="335">
                  <c:v>42005.232638888891</c:v>
                </c:pt>
                <c:pt idx="336">
                  <c:v>42005.23333333333</c:v>
                </c:pt>
                <c:pt idx="337">
                  <c:v>42005.234027777777</c:v>
                </c:pt>
                <c:pt idx="338">
                  <c:v>42005.234722222223</c:v>
                </c:pt>
                <c:pt idx="339">
                  <c:v>42005.23541666667</c:v>
                </c:pt>
                <c:pt idx="340">
                  <c:v>42005.236111111109</c:v>
                </c:pt>
                <c:pt idx="341">
                  <c:v>42005.236805555556</c:v>
                </c:pt>
                <c:pt idx="342">
                  <c:v>42005.237500000003</c:v>
                </c:pt>
                <c:pt idx="343">
                  <c:v>42005.238194444442</c:v>
                </c:pt>
                <c:pt idx="344">
                  <c:v>42005.238888888889</c:v>
                </c:pt>
                <c:pt idx="345">
                  <c:v>42005.239583333336</c:v>
                </c:pt>
                <c:pt idx="346">
                  <c:v>42005.240277777775</c:v>
                </c:pt>
                <c:pt idx="347">
                  <c:v>42005.240972222222</c:v>
                </c:pt>
                <c:pt idx="348">
                  <c:v>42005.241666666669</c:v>
                </c:pt>
                <c:pt idx="349">
                  <c:v>42005.242361111108</c:v>
                </c:pt>
                <c:pt idx="350">
                  <c:v>42005.243055555555</c:v>
                </c:pt>
                <c:pt idx="351">
                  <c:v>42005.243750000001</c:v>
                </c:pt>
                <c:pt idx="352">
                  <c:v>42005.244444444441</c:v>
                </c:pt>
                <c:pt idx="353">
                  <c:v>42005.245138888888</c:v>
                </c:pt>
                <c:pt idx="354">
                  <c:v>42005.245833333334</c:v>
                </c:pt>
                <c:pt idx="355">
                  <c:v>42005.246527777781</c:v>
                </c:pt>
                <c:pt idx="356">
                  <c:v>42005.24722222222</c:v>
                </c:pt>
                <c:pt idx="357">
                  <c:v>42005.247916666667</c:v>
                </c:pt>
                <c:pt idx="358">
                  <c:v>42005.248611111114</c:v>
                </c:pt>
                <c:pt idx="359">
                  <c:v>42005.249305555553</c:v>
                </c:pt>
                <c:pt idx="360">
                  <c:v>42005.25</c:v>
                </c:pt>
                <c:pt idx="361">
                  <c:v>42005.250694444447</c:v>
                </c:pt>
                <c:pt idx="362">
                  <c:v>42005.251388888886</c:v>
                </c:pt>
                <c:pt idx="363">
                  <c:v>42005.252083333333</c:v>
                </c:pt>
                <c:pt idx="364">
                  <c:v>42005.25277777778</c:v>
                </c:pt>
                <c:pt idx="365">
                  <c:v>42005.253472222219</c:v>
                </c:pt>
                <c:pt idx="366">
                  <c:v>42005.254166666666</c:v>
                </c:pt>
                <c:pt idx="367">
                  <c:v>42005.254861111112</c:v>
                </c:pt>
                <c:pt idx="368">
                  <c:v>42005.255555555559</c:v>
                </c:pt>
                <c:pt idx="369">
                  <c:v>42005.256249999999</c:v>
                </c:pt>
                <c:pt idx="370">
                  <c:v>42005.256944444445</c:v>
                </c:pt>
                <c:pt idx="371">
                  <c:v>42005.257638888892</c:v>
                </c:pt>
                <c:pt idx="372">
                  <c:v>42005.258333333331</c:v>
                </c:pt>
                <c:pt idx="373">
                  <c:v>42005.259027777778</c:v>
                </c:pt>
                <c:pt idx="374">
                  <c:v>42005.259722222225</c:v>
                </c:pt>
                <c:pt idx="375">
                  <c:v>42005.260416666664</c:v>
                </c:pt>
                <c:pt idx="376">
                  <c:v>42005.261111111111</c:v>
                </c:pt>
                <c:pt idx="377">
                  <c:v>42005.261805555558</c:v>
                </c:pt>
                <c:pt idx="378">
                  <c:v>42005.262499999997</c:v>
                </c:pt>
                <c:pt idx="379">
                  <c:v>42005.263194444444</c:v>
                </c:pt>
                <c:pt idx="380">
                  <c:v>42005.263888888891</c:v>
                </c:pt>
                <c:pt idx="381">
                  <c:v>42005.26458333333</c:v>
                </c:pt>
                <c:pt idx="382">
                  <c:v>42005.265277777777</c:v>
                </c:pt>
                <c:pt idx="383">
                  <c:v>42005.265972222223</c:v>
                </c:pt>
                <c:pt idx="384">
                  <c:v>42005.26666666667</c:v>
                </c:pt>
                <c:pt idx="385">
                  <c:v>42005.267361111109</c:v>
                </c:pt>
                <c:pt idx="386">
                  <c:v>42005.268055555556</c:v>
                </c:pt>
                <c:pt idx="387">
                  <c:v>42005.268750000003</c:v>
                </c:pt>
                <c:pt idx="388">
                  <c:v>42005.269444444442</c:v>
                </c:pt>
                <c:pt idx="389">
                  <c:v>42005.270138888889</c:v>
                </c:pt>
                <c:pt idx="390">
                  <c:v>42005.270833333336</c:v>
                </c:pt>
                <c:pt idx="391">
                  <c:v>42005.271527777775</c:v>
                </c:pt>
                <c:pt idx="392">
                  <c:v>42005.272222222222</c:v>
                </c:pt>
                <c:pt idx="393">
                  <c:v>42005.272916666669</c:v>
                </c:pt>
                <c:pt idx="394">
                  <c:v>42005.273611111108</c:v>
                </c:pt>
                <c:pt idx="395">
                  <c:v>42005.274305555555</c:v>
                </c:pt>
                <c:pt idx="396">
                  <c:v>42005.275000000001</c:v>
                </c:pt>
                <c:pt idx="397">
                  <c:v>42005.275694444441</c:v>
                </c:pt>
                <c:pt idx="398">
                  <c:v>42005.276388888888</c:v>
                </c:pt>
                <c:pt idx="399">
                  <c:v>42005.277083333334</c:v>
                </c:pt>
                <c:pt idx="400">
                  <c:v>42005.277777777781</c:v>
                </c:pt>
                <c:pt idx="401">
                  <c:v>42005.27847222222</c:v>
                </c:pt>
                <c:pt idx="402">
                  <c:v>42005.279166666667</c:v>
                </c:pt>
                <c:pt idx="403">
                  <c:v>42005.279861111114</c:v>
                </c:pt>
                <c:pt idx="404">
                  <c:v>42005.280555555553</c:v>
                </c:pt>
                <c:pt idx="405">
                  <c:v>42005.28125</c:v>
                </c:pt>
                <c:pt idx="406">
                  <c:v>42005.281944444447</c:v>
                </c:pt>
                <c:pt idx="407">
                  <c:v>42005.282638888886</c:v>
                </c:pt>
                <c:pt idx="408">
                  <c:v>42005.283333333333</c:v>
                </c:pt>
                <c:pt idx="409">
                  <c:v>42005.28402777778</c:v>
                </c:pt>
                <c:pt idx="410">
                  <c:v>42005.284722222219</c:v>
                </c:pt>
                <c:pt idx="411">
                  <c:v>42005.285416666666</c:v>
                </c:pt>
                <c:pt idx="412">
                  <c:v>42005.286111111112</c:v>
                </c:pt>
                <c:pt idx="413">
                  <c:v>42005.286805555559</c:v>
                </c:pt>
                <c:pt idx="414">
                  <c:v>42005.287499999999</c:v>
                </c:pt>
                <c:pt idx="415">
                  <c:v>42005.288194444445</c:v>
                </c:pt>
                <c:pt idx="416">
                  <c:v>42005.288888888892</c:v>
                </c:pt>
                <c:pt idx="417">
                  <c:v>42005.289583333331</c:v>
                </c:pt>
                <c:pt idx="418">
                  <c:v>42005.290277777778</c:v>
                </c:pt>
                <c:pt idx="419">
                  <c:v>42005.290972222225</c:v>
                </c:pt>
                <c:pt idx="420">
                  <c:v>42005.291666666664</c:v>
                </c:pt>
                <c:pt idx="421">
                  <c:v>42005.292361111111</c:v>
                </c:pt>
                <c:pt idx="422">
                  <c:v>42005.293055555558</c:v>
                </c:pt>
                <c:pt idx="423">
                  <c:v>42005.293749999997</c:v>
                </c:pt>
                <c:pt idx="424">
                  <c:v>42005.294444444444</c:v>
                </c:pt>
                <c:pt idx="425">
                  <c:v>42005.295138888891</c:v>
                </c:pt>
                <c:pt idx="426">
                  <c:v>42005.29583333333</c:v>
                </c:pt>
                <c:pt idx="427">
                  <c:v>42005.296527777777</c:v>
                </c:pt>
                <c:pt idx="428">
                  <c:v>42005.297222222223</c:v>
                </c:pt>
                <c:pt idx="429">
                  <c:v>42005.29791666667</c:v>
                </c:pt>
                <c:pt idx="430">
                  <c:v>42005.298611111109</c:v>
                </c:pt>
                <c:pt idx="431">
                  <c:v>42005.299305555556</c:v>
                </c:pt>
                <c:pt idx="432">
                  <c:v>42005.3</c:v>
                </c:pt>
                <c:pt idx="433">
                  <c:v>42005.300694444442</c:v>
                </c:pt>
                <c:pt idx="434">
                  <c:v>42005.301388888889</c:v>
                </c:pt>
                <c:pt idx="435">
                  <c:v>42005.302083333336</c:v>
                </c:pt>
                <c:pt idx="436">
                  <c:v>42005.302777777775</c:v>
                </c:pt>
                <c:pt idx="437">
                  <c:v>42005.303472222222</c:v>
                </c:pt>
                <c:pt idx="438">
                  <c:v>42005.304166666669</c:v>
                </c:pt>
                <c:pt idx="439">
                  <c:v>42005.304861111108</c:v>
                </c:pt>
                <c:pt idx="440">
                  <c:v>42005.305555555555</c:v>
                </c:pt>
                <c:pt idx="441">
                  <c:v>42005.306250000001</c:v>
                </c:pt>
                <c:pt idx="442">
                  <c:v>42005.306944444441</c:v>
                </c:pt>
                <c:pt idx="443">
                  <c:v>42005.307638888888</c:v>
                </c:pt>
                <c:pt idx="444">
                  <c:v>42005.308333333334</c:v>
                </c:pt>
                <c:pt idx="445">
                  <c:v>42005.309027777781</c:v>
                </c:pt>
                <c:pt idx="446">
                  <c:v>42005.30972222222</c:v>
                </c:pt>
                <c:pt idx="447">
                  <c:v>42005.310416666667</c:v>
                </c:pt>
                <c:pt idx="448">
                  <c:v>42005.311111111114</c:v>
                </c:pt>
                <c:pt idx="449">
                  <c:v>42005.311805555553</c:v>
                </c:pt>
                <c:pt idx="450">
                  <c:v>42005.3125</c:v>
                </c:pt>
                <c:pt idx="451">
                  <c:v>42005.313194444447</c:v>
                </c:pt>
                <c:pt idx="452">
                  <c:v>42005.313888888886</c:v>
                </c:pt>
                <c:pt idx="453">
                  <c:v>42005.314583333333</c:v>
                </c:pt>
                <c:pt idx="454">
                  <c:v>42005.31527777778</c:v>
                </c:pt>
                <c:pt idx="455">
                  <c:v>42005.315972222219</c:v>
                </c:pt>
                <c:pt idx="456">
                  <c:v>42005.316666666666</c:v>
                </c:pt>
                <c:pt idx="457">
                  <c:v>42005.317361111112</c:v>
                </c:pt>
                <c:pt idx="458">
                  <c:v>42005.318055555559</c:v>
                </c:pt>
                <c:pt idx="459">
                  <c:v>42005.318749999999</c:v>
                </c:pt>
                <c:pt idx="460">
                  <c:v>42005.319444444445</c:v>
                </c:pt>
                <c:pt idx="461">
                  <c:v>42005.320138888892</c:v>
                </c:pt>
                <c:pt idx="462">
                  <c:v>42005.320833333331</c:v>
                </c:pt>
                <c:pt idx="463">
                  <c:v>42005.321527777778</c:v>
                </c:pt>
                <c:pt idx="464">
                  <c:v>42005.322222222225</c:v>
                </c:pt>
                <c:pt idx="465">
                  <c:v>42005.322916666664</c:v>
                </c:pt>
                <c:pt idx="466">
                  <c:v>42005.323611111111</c:v>
                </c:pt>
                <c:pt idx="467">
                  <c:v>42005.324305555558</c:v>
                </c:pt>
                <c:pt idx="468">
                  <c:v>42005.324999999997</c:v>
                </c:pt>
                <c:pt idx="469">
                  <c:v>42005.325694444444</c:v>
                </c:pt>
                <c:pt idx="470">
                  <c:v>42005.326388888891</c:v>
                </c:pt>
                <c:pt idx="471">
                  <c:v>42005.32708333333</c:v>
                </c:pt>
                <c:pt idx="472">
                  <c:v>42005.327777777777</c:v>
                </c:pt>
                <c:pt idx="473">
                  <c:v>42005.328472222223</c:v>
                </c:pt>
                <c:pt idx="474">
                  <c:v>42005.32916666667</c:v>
                </c:pt>
                <c:pt idx="475">
                  <c:v>42005.329861111109</c:v>
                </c:pt>
                <c:pt idx="476">
                  <c:v>42005.330555555556</c:v>
                </c:pt>
                <c:pt idx="477">
                  <c:v>42005.331250000003</c:v>
                </c:pt>
                <c:pt idx="478">
                  <c:v>42005.331944444442</c:v>
                </c:pt>
                <c:pt idx="479">
                  <c:v>42005.332638888889</c:v>
                </c:pt>
                <c:pt idx="480">
                  <c:v>42005.333333333336</c:v>
                </c:pt>
                <c:pt idx="481">
                  <c:v>42005.334027777775</c:v>
                </c:pt>
                <c:pt idx="482">
                  <c:v>42005.334722222222</c:v>
                </c:pt>
                <c:pt idx="483">
                  <c:v>42005.335416666669</c:v>
                </c:pt>
                <c:pt idx="484">
                  <c:v>42005.336111111108</c:v>
                </c:pt>
                <c:pt idx="485">
                  <c:v>42005.336805555555</c:v>
                </c:pt>
                <c:pt idx="486">
                  <c:v>42005.337500000001</c:v>
                </c:pt>
                <c:pt idx="487">
                  <c:v>42005.338194444441</c:v>
                </c:pt>
                <c:pt idx="488">
                  <c:v>42005.338888888888</c:v>
                </c:pt>
                <c:pt idx="489">
                  <c:v>42005.339583333334</c:v>
                </c:pt>
                <c:pt idx="490">
                  <c:v>42005.340277777781</c:v>
                </c:pt>
                <c:pt idx="491">
                  <c:v>42005.34097222222</c:v>
                </c:pt>
                <c:pt idx="492">
                  <c:v>42005.341666666667</c:v>
                </c:pt>
                <c:pt idx="493">
                  <c:v>42005.342361111114</c:v>
                </c:pt>
                <c:pt idx="494">
                  <c:v>42005.343055555553</c:v>
                </c:pt>
                <c:pt idx="495">
                  <c:v>42005.34375</c:v>
                </c:pt>
                <c:pt idx="496">
                  <c:v>42005.344444444447</c:v>
                </c:pt>
                <c:pt idx="497">
                  <c:v>42005.345138888886</c:v>
                </c:pt>
                <c:pt idx="498">
                  <c:v>42005.345833333333</c:v>
                </c:pt>
                <c:pt idx="499">
                  <c:v>42005.34652777778</c:v>
                </c:pt>
                <c:pt idx="500">
                  <c:v>42005.347222222219</c:v>
                </c:pt>
                <c:pt idx="501">
                  <c:v>42005.347916666666</c:v>
                </c:pt>
                <c:pt idx="502">
                  <c:v>42005.348611111112</c:v>
                </c:pt>
                <c:pt idx="503">
                  <c:v>42005.349305555559</c:v>
                </c:pt>
                <c:pt idx="504">
                  <c:v>42005.35</c:v>
                </c:pt>
                <c:pt idx="505">
                  <c:v>42005.350694444445</c:v>
                </c:pt>
                <c:pt idx="506">
                  <c:v>42005.351388888892</c:v>
                </c:pt>
                <c:pt idx="507">
                  <c:v>42005.352083333331</c:v>
                </c:pt>
                <c:pt idx="508">
                  <c:v>42005.352777777778</c:v>
                </c:pt>
                <c:pt idx="509">
                  <c:v>42005.353472222225</c:v>
                </c:pt>
                <c:pt idx="510">
                  <c:v>42005.354166666664</c:v>
                </c:pt>
                <c:pt idx="511">
                  <c:v>42005.354861111111</c:v>
                </c:pt>
                <c:pt idx="512">
                  <c:v>42005.355555555558</c:v>
                </c:pt>
                <c:pt idx="513">
                  <c:v>42005.356249999997</c:v>
                </c:pt>
                <c:pt idx="514">
                  <c:v>42005.356944444444</c:v>
                </c:pt>
                <c:pt idx="515">
                  <c:v>42005.357638888891</c:v>
                </c:pt>
                <c:pt idx="516">
                  <c:v>42005.35833333333</c:v>
                </c:pt>
                <c:pt idx="517">
                  <c:v>42005.359027777777</c:v>
                </c:pt>
                <c:pt idx="518">
                  <c:v>42005.359722222223</c:v>
                </c:pt>
                <c:pt idx="519">
                  <c:v>42005.36041666667</c:v>
                </c:pt>
                <c:pt idx="520">
                  <c:v>42005.361111111109</c:v>
                </c:pt>
                <c:pt idx="521">
                  <c:v>42005.361805555556</c:v>
                </c:pt>
                <c:pt idx="522">
                  <c:v>42005.362500000003</c:v>
                </c:pt>
                <c:pt idx="523">
                  <c:v>42005.363194444442</c:v>
                </c:pt>
                <c:pt idx="524">
                  <c:v>42005.363888888889</c:v>
                </c:pt>
                <c:pt idx="525">
                  <c:v>42005.364583333336</c:v>
                </c:pt>
                <c:pt idx="526">
                  <c:v>42005.365277777775</c:v>
                </c:pt>
                <c:pt idx="527">
                  <c:v>42005.365972222222</c:v>
                </c:pt>
                <c:pt idx="528">
                  <c:v>42005.366666666669</c:v>
                </c:pt>
                <c:pt idx="529">
                  <c:v>42005.367361111108</c:v>
                </c:pt>
                <c:pt idx="530">
                  <c:v>42005.368055555555</c:v>
                </c:pt>
                <c:pt idx="531">
                  <c:v>42005.368750000001</c:v>
                </c:pt>
                <c:pt idx="532">
                  <c:v>42005.369444444441</c:v>
                </c:pt>
                <c:pt idx="533">
                  <c:v>42005.370138888888</c:v>
                </c:pt>
                <c:pt idx="534">
                  <c:v>42005.370833333334</c:v>
                </c:pt>
                <c:pt idx="535">
                  <c:v>42005.371527777781</c:v>
                </c:pt>
                <c:pt idx="536">
                  <c:v>42005.37222222222</c:v>
                </c:pt>
                <c:pt idx="537">
                  <c:v>42005.372916666667</c:v>
                </c:pt>
                <c:pt idx="538">
                  <c:v>42005.373611111114</c:v>
                </c:pt>
                <c:pt idx="539">
                  <c:v>42005.374305555553</c:v>
                </c:pt>
                <c:pt idx="540">
                  <c:v>42005.375</c:v>
                </c:pt>
                <c:pt idx="541">
                  <c:v>42005.375694444447</c:v>
                </c:pt>
                <c:pt idx="542">
                  <c:v>42005.376388888886</c:v>
                </c:pt>
                <c:pt idx="543">
                  <c:v>42005.377083333333</c:v>
                </c:pt>
                <c:pt idx="544">
                  <c:v>42005.37777777778</c:v>
                </c:pt>
                <c:pt idx="545">
                  <c:v>42005.378472222219</c:v>
                </c:pt>
                <c:pt idx="546">
                  <c:v>42005.379166666666</c:v>
                </c:pt>
                <c:pt idx="547">
                  <c:v>42005.379861111112</c:v>
                </c:pt>
                <c:pt idx="548">
                  <c:v>42005.380555555559</c:v>
                </c:pt>
                <c:pt idx="549">
                  <c:v>42005.381249999999</c:v>
                </c:pt>
                <c:pt idx="550">
                  <c:v>42005.381944444445</c:v>
                </c:pt>
                <c:pt idx="551">
                  <c:v>42005.382638888892</c:v>
                </c:pt>
                <c:pt idx="552">
                  <c:v>42005.383333333331</c:v>
                </c:pt>
                <c:pt idx="553">
                  <c:v>42005.384027777778</c:v>
                </c:pt>
                <c:pt idx="554">
                  <c:v>42005.384722222225</c:v>
                </c:pt>
                <c:pt idx="555">
                  <c:v>42005.385416666664</c:v>
                </c:pt>
                <c:pt idx="556">
                  <c:v>42005.386111111111</c:v>
                </c:pt>
                <c:pt idx="557">
                  <c:v>42005.386805555558</c:v>
                </c:pt>
                <c:pt idx="558">
                  <c:v>42005.387499999997</c:v>
                </c:pt>
                <c:pt idx="559">
                  <c:v>42005.388194444444</c:v>
                </c:pt>
                <c:pt idx="560">
                  <c:v>42005.388888888891</c:v>
                </c:pt>
                <c:pt idx="561">
                  <c:v>42005.38958333333</c:v>
                </c:pt>
                <c:pt idx="562">
                  <c:v>42005.390277777777</c:v>
                </c:pt>
                <c:pt idx="563">
                  <c:v>42005.390972222223</c:v>
                </c:pt>
                <c:pt idx="564">
                  <c:v>42005.39166666667</c:v>
                </c:pt>
                <c:pt idx="565">
                  <c:v>42005.392361111109</c:v>
                </c:pt>
                <c:pt idx="566">
                  <c:v>42005.393055555556</c:v>
                </c:pt>
                <c:pt idx="567">
                  <c:v>42005.393750000003</c:v>
                </c:pt>
                <c:pt idx="568">
                  <c:v>42005.394444444442</c:v>
                </c:pt>
                <c:pt idx="569">
                  <c:v>42005.395138888889</c:v>
                </c:pt>
                <c:pt idx="570">
                  <c:v>42005.395833333336</c:v>
                </c:pt>
                <c:pt idx="571">
                  <c:v>42005.396527777775</c:v>
                </c:pt>
                <c:pt idx="572">
                  <c:v>42005.397222222222</c:v>
                </c:pt>
                <c:pt idx="573">
                  <c:v>42005.397916666669</c:v>
                </c:pt>
                <c:pt idx="574">
                  <c:v>42005.398611111108</c:v>
                </c:pt>
                <c:pt idx="575">
                  <c:v>42005.399305555555</c:v>
                </c:pt>
                <c:pt idx="576">
                  <c:v>42005.4</c:v>
                </c:pt>
                <c:pt idx="577">
                  <c:v>42005.400694444441</c:v>
                </c:pt>
                <c:pt idx="578">
                  <c:v>42005.401388888888</c:v>
                </c:pt>
                <c:pt idx="579">
                  <c:v>42005.402083333334</c:v>
                </c:pt>
                <c:pt idx="580">
                  <c:v>42005.402777777781</c:v>
                </c:pt>
                <c:pt idx="581">
                  <c:v>42005.40347222222</c:v>
                </c:pt>
                <c:pt idx="582">
                  <c:v>42005.404166666667</c:v>
                </c:pt>
                <c:pt idx="583">
                  <c:v>42005.404861111114</c:v>
                </c:pt>
                <c:pt idx="584">
                  <c:v>42005.405555555553</c:v>
                </c:pt>
                <c:pt idx="585">
                  <c:v>42005.40625</c:v>
                </c:pt>
                <c:pt idx="586">
                  <c:v>42005.406944444447</c:v>
                </c:pt>
                <c:pt idx="587">
                  <c:v>42005.407638888886</c:v>
                </c:pt>
                <c:pt idx="588">
                  <c:v>42005.408333333333</c:v>
                </c:pt>
                <c:pt idx="589">
                  <c:v>42005.40902777778</c:v>
                </c:pt>
                <c:pt idx="590">
                  <c:v>42005.409722222219</c:v>
                </c:pt>
                <c:pt idx="591">
                  <c:v>42005.410416666666</c:v>
                </c:pt>
                <c:pt idx="592">
                  <c:v>42005.411111111112</c:v>
                </c:pt>
                <c:pt idx="593">
                  <c:v>42005.411805555559</c:v>
                </c:pt>
                <c:pt idx="594">
                  <c:v>42005.412499999999</c:v>
                </c:pt>
                <c:pt idx="595">
                  <c:v>42005.413194444445</c:v>
                </c:pt>
                <c:pt idx="596">
                  <c:v>42005.413888888892</c:v>
                </c:pt>
                <c:pt idx="597">
                  <c:v>42005.414583333331</c:v>
                </c:pt>
                <c:pt idx="598">
                  <c:v>42005.415277777778</c:v>
                </c:pt>
                <c:pt idx="599">
                  <c:v>42005.415972222225</c:v>
                </c:pt>
                <c:pt idx="600">
                  <c:v>42005.416666666664</c:v>
                </c:pt>
                <c:pt idx="601">
                  <c:v>42005.417361111111</c:v>
                </c:pt>
                <c:pt idx="602">
                  <c:v>42005.418055555558</c:v>
                </c:pt>
                <c:pt idx="603">
                  <c:v>42005.418749999997</c:v>
                </c:pt>
                <c:pt idx="604">
                  <c:v>42005.419444444444</c:v>
                </c:pt>
                <c:pt idx="605">
                  <c:v>42005.420138888891</c:v>
                </c:pt>
                <c:pt idx="606">
                  <c:v>42005.42083333333</c:v>
                </c:pt>
                <c:pt idx="607">
                  <c:v>42005.421527777777</c:v>
                </c:pt>
                <c:pt idx="608">
                  <c:v>42005.422222222223</c:v>
                </c:pt>
                <c:pt idx="609">
                  <c:v>42005.42291666667</c:v>
                </c:pt>
                <c:pt idx="610">
                  <c:v>42005.423611111109</c:v>
                </c:pt>
                <c:pt idx="611">
                  <c:v>42005.424305555556</c:v>
                </c:pt>
                <c:pt idx="612">
                  <c:v>42005.425000000003</c:v>
                </c:pt>
                <c:pt idx="613">
                  <c:v>42005.425694444442</c:v>
                </c:pt>
                <c:pt idx="614">
                  <c:v>42005.426388888889</c:v>
                </c:pt>
                <c:pt idx="615">
                  <c:v>42005.427083333336</c:v>
                </c:pt>
                <c:pt idx="616">
                  <c:v>42005.427777777775</c:v>
                </c:pt>
                <c:pt idx="617">
                  <c:v>42005.428472222222</c:v>
                </c:pt>
                <c:pt idx="618">
                  <c:v>42005.429166666669</c:v>
                </c:pt>
                <c:pt idx="619">
                  <c:v>42005.429861111108</c:v>
                </c:pt>
                <c:pt idx="620">
                  <c:v>42005.430555555555</c:v>
                </c:pt>
                <c:pt idx="621">
                  <c:v>42005.431250000001</c:v>
                </c:pt>
                <c:pt idx="622">
                  <c:v>42005.431944444441</c:v>
                </c:pt>
                <c:pt idx="623">
                  <c:v>42005.432638888888</c:v>
                </c:pt>
                <c:pt idx="624">
                  <c:v>42005.433333333334</c:v>
                </c:pt>
                <c:pt idx="625">
                  <c:v>42005.434027777781</c:v>
                </c:pt>
                <c:pt idx="626">
                  <c:v>42005.43472222222</c:v>
                </c:pt>
                <c:pt idx="627">
                  <c:v>42005.435416666667</c:v>
                </c:pt>
                <c:pt idx="628">
                  <c:v>42005.436111111114</c:v>
                </c:pt>
                <c:pt idx="629">
                  <c:v>42005.436805555553</c:v>
                </c:pt>
                <c:pt idx="630">
                  <c:v>42005.4375</c:v>
                </c:pt>
                <c:pt idx="631">
                  <c:v>42005.438194444447</c:v>
                </c:pt>
                <c:pt idx="632">
                  <c:v>42005.438888888886</c:v>
                </c:pt>
                <c:pt idx="633">
                  <c:v>42005.439583333333</c:v>
                </c:pt>
                <c:pt idx="634">
                  <c:v>42005.44027777778</c:v>
                </c:pt>
                <c:pt idx="635">
                  <c:v>42005.440972222219</c:v>
                </c:pt>
                <c:pt idx="636">
                  <c:v>42005.441666666666</c:v>
                </c:pt>
                <c:pt idx="637">
                  <c:v>42005.442361111112</c:v>
                </c:pt>
                <c:pt idx="638">
                  <c:v>42005.443055555559</c:v>
                </c:pt>
                <c:pt idx="639">
                  <c:v>42005.443749999999</c:v>
                </c:pt>
                <c:pt idx="640">
                  <c:v>42005.444444444445</c:v>
                </c:pt>
                <c:pt idx="641">
                  <c:v>42005.445138888892</c:v>
                </c:pt>
                <c:pt idx="642">
                  <c:v>42005.445833333331</c:v>
                </c:pt>
                <c:pt idx="643">
                  <c:v>42005.446527777778</c:v>
                </c:pt>
                <c:pt idx="644">
                  <c:v>42005.447222222225</c:v>
                </c:pt>
                <c:pt idx="645">
                  <c:v>42005.447916666664</c:v>
                </c:pt>
                <c:pt idx="646">
                  <c:v>42005.448611111111</c:v>
                </c:pt>
                <c:pt idx="647">
                  <c:v>42005.449305555558</c:v>
                </c:pt>
                <c:pt idx="648">
                  <c:v>42005.45</c:v>
                </c:pt>
                <c:pt idx="649">
                  <c:v>42005.450694444444</c:v>
                </c:pt>
                <c:pt idx="650">
                  <c:v>42005.451388888891</c:v>
                </c:pt>
                <c:pt idx="651">
                  <c:v>42005.45208333333</c:v>
                </c:pt>
                <c:pt idx="652">
                  <c:v>42005.452777777777</c:v>
                </c:pt>
                <c:pt idx="653">
                  <c:v>42005.453472222223</c:v>
                </c:pt>
                <c:pt idx="654">
                  <c:v>42005.45416666667</c:v>
                </c:pt>
                <c:pt idx="655">
                  <c:v>42005.454861111109</c:v>
                </c:pt>
                <c:pt idx="656">
                  <c:v>42005.455555555556</c:v>
                </c:pt>
                <c:pt idx="657">
                  <c:v>42005.456250000003</c:v>
                </c:pt>
                <c:pt idx="658">
                  <c:v>42005.456944444442</c:v>
                </c:pt>
                <c:pt idx="659">
                  <c:v>42005.457638888889</c:v>
                </c:pt>
                <c:pt idx="660">
                  <c:v>42005.458333333336</c:v>
                </c:pt>
                <c:pt idx="661">
                  <c:v>42005.459027777775</c:v>
                </c:pt>
                <c:pt idx="662">
                  <c:v>42005.459722222222</c:v>
                </c:pt>
                <c:pt idx="663">
                  <c:v>42005.460416666669</c:v>
                </c:pt>
                <c:pt idx="664">
                  <c:v>42005.461111111108</c:v>
                </c:pt>
                <c:pt idx="665">
                  <c:v>42005.461805555555</c:v>
                </c:pt>
                <c:pt idx="666">
                  <c:v>42005.462500000001</c:v>
                </c:pt>
                <c:pt idx="667">
                  <c:v>42005.463194444441</c:v>
                </c:pt>
                <c:pt idx="668">
                  <c:v>42005.463888888888</c:v>
                </c:pt>
                <c:pt idx="669">
                  <c:v>42005.464583333334</c:v>
                </c:pt>
                <c:pt idx="670">
                  <c:v>42005.465277777781</c:v>
                </c:pt>
                <c:pt idx="671">
                  <c:v>42005.46597222222</c:v>
                </c:pt>
                <c:pt idx="672">
                  <c:v>42005.466666666667</c:v>
                </c:pt>
                <c:pt idx="673">
                  <c:v>42005.467361111114</c:v>
                </c:pt>
                <c:pt idx="674">
                  <c:v>42005.468055555553</c:v>
                </c:pt>
                <c:pt idx="675">
                  <c:v>42005.46875</c:v>
                </c:pt>
                <c:pt idx="676">
                  <c:v>42005.469444444447</c:v>
                </c:pt>
                <c:pt idx="677">
                  <c:v>42005.470138888886</c:v>
                </c:pt>
                <c:pt idx="678">
                  <c:v>42005.470833333333</c:v>
                </c:pt>
                <c:pt idx="679">
                  <c:v>42005.47152777778</c:v>
                </c:pt>
                <c:pt idx="680">
                  <c:v>42005.472222222219</c:v>
                </c:pt>
                <c:pt idx="681">
                  <c:v>42005.472916666666</c:v>
                </c:pt>
                <c:pt idx="682">
                  <c:v>42005.473611111112</c:v>
                </c:pt>
                <c:pt idx="683">
                  <c:v>42005.474305555559</c:v>
                </c:pt>
                <c:pt idx="684">
                  <c:v>42005.474999999999</c:v>
                </c:pt>
                <c:pt idx="685">
                  <c:v>42005.475694444445</c:v>
                </c:pt>
                <c:pt idx="686">
                  <c:v>42005.476388888892</c:v>
                </c:pt>
                <c:pt idx="687">
                  <c:v>42005.477083333331</c:v>
                </c:pt>
                <c:pt idx="688">
                  <c:v>42005.477777777778</c:v>
                </c:pt>
                <c:pt idx="689">
                  <c:v>42005.478472222225</c:v>
                </c:pt>
                <c:pt idx="690">
                  <c:v>42005.479166666664</c:v>
                </c:pt>
                <c:pt idx="691">
                  <c:v>42005.479861111111</c:v>
                </c:pt>
                <c:pt idx="692">
                  <c:v>42005.480555555558</c:v>
                </c:pt>
                <c:pt idx="693">
                  <c:v>42005.481249999997</c:v>
                </c:pt>
                <c:pt idx="694">
                  <c:v>42005.481944444444</c:v>
                </c:pt>
                <c:pt idx="695">
                  <c:v>42005.482638888891</c:v>
                </c:pt>
                <c:pt idx="696">
                  <c:v>42005.48333333333</c:v>
                </c:pt>
                <c:pt idx="697">
                  <c:v>42005.484027777777</c:v>
                </c:pt>
                <c:pt idx="698">
                  <c:v>42005.484722222223</c:v>
                </c:pt>
                <c:pt idx="699">
                  <c:v>42005.48541666667</c:v>
                </c:pt>
                <c:pt idx="700">
                  <c:v>42005.486111111109</c:v>
                </c:pt>
                <c:pt idx="701">
                  <c:v>42005.486805555556</c:v>
                </c:pt>
                <c:pt idx="702">
                  <c:v>42005.487500000003</c:v>
                </c:pt>
                <c:pt idx="703">
                  <c:v>42005.488194444442</c:v>
                </c:pt>
                <c:pt idx="704">
                  <c:v>42005.488888888889</c:v>
                </c:pt>
                <c:pt idx="705">
                  <c:v>42005.489583333336</c:v>
                </c:pt>
                <c:pt idx="706">
                  <c:v>42005.490277777775</c:v>
                </c:pt>
                <c:pt idx="707">
                  <c:v>42005.490972222222</c:v>
                </c:pt>
                <c:pt idx="708">
                  <c:v>42005.491666666669</c:v>
                </c:pt>
                <c:pt idx="709">
                  <c:v>42005.492361111108</c:v>
                </c:pt>
                <c:pt idx="710">
                  <c:v>42005.493055555555</c:v>
                </c:pt>
                <c:pt idx="711">
                  <c:v>42005.493750000001</c:v>
                </c:pt>
                <c:pt idx="712">
                  <c:v>42005.494444444441</c:v>
                </c:pt>
                <c:pt idx="713">
                  <c:v>42005.495138888888</c:v>
                </c:pt>
                <c:pt idx="714">
                  <c:v>42005.495833333334</c:v>
                </c:pt>
                <c:pt idx="715">
                  <c:v>42005.496527777781</c:v>
                </c:pt>
                <c:pt idx="716">
                  <c:v>42005.49722222222</c:v>
                </c:pt>
                <c:pt idx="717">
                  <c:v>42005.497916666667</c:v>
                </c:pt>
                <c:pt idx="718">
                  <c:v>42005.498611111114</c:v>
                </c:pt>
                <c:pt idx="719">
                  <c:v>42005.499305555553</c:v>
                </c:pt>
                <c:pt idx="720">
                  <c:v>42005.5</c:v>
                </c:pt>
                <c:pt idx="721">
                  <c:v>42005.500694444447</c:v>
                </c:pt>
                <c:pt idx="722">
                  <c:v>42005.501388888886</c:v>
                </c:pt>
                <c:pt idx="723">
                  <c:v>42005.502083333333</c:v>
                </c:pt>
                <c:pt idx="724">
                  <c:v>42005.50277777778</c:v>
                </c:pt>
                <c:pt idx="725">
                  <c:v>42005.503472222219</c:v>
                </c:pt>
                <c:pt idx="726">
                  <c:v>42005.504166666666</c:v>
                </c:pt>
                <c:pt idx="727">
                  <c:v>42005.504861111112</c:v>
                </c:pt>
                <c:pt idx="728">
                  <c:v>42005.505555555559</c:v>
                </c:pt>
                <c:pt idx="729">
                  <c:v>42005.506249999999</c:v>
                </c:pt>
                <c:pt idx="730">
                  <c:v>42005.506944444445</c:v>
                </c:pt>
                <c:pt idx="731">
                  <c:v>42005.507638888892</c:v>
                </c:pt>
                <c:pt idx="732">
                  <c:v>42005.508333333331</c:v>
                </c:pt>
                <c:pt idx="733">
                  <c:v>42005.509027777778</c:v>
                </c:pt>
                <c:pt idx="734">
                  <c:v>42005.509722222225</c:v>
                </c:pt>
                <c:pt idx="735">
                  <c:v>42005.510416666664</c:v>
                </c:pt>
                <c:pt idx="736">
                  <c:v>42005.511111111111</c:v>
                </c:pt>
                <c:pt idx="737">
                  <c:v>42005.511805555558</c:v>
                </c:pt>
                <c:pt idx="738">
                  <c:v>42005.512499999997</c:v>
                </c:pt>
                <c:pt idx="739">
                  <c:v>42005.513194444444</c:v>
                </c:pt>
                <c:pt idx="740">
                  <c:v>42005.513888888891</c:v>
                </c:pt>
                <c:pt idx="741">
                  <c:v>42005.51458333333</c:v>
                </c:pt>
                <c:pt idx="742">
                  <c:v>42005.515277777777</c:v>
                </c:pt>
                <c:pt idx="743">
                  <c:v>42005.515972222223</c:v>
                </c:pt>
                <c:pt idx="744">
                  <c:v>42005.51666666667</c:v>
                </c:pt>
                <c:pt idx="745">
                  <c:v>42005.517361111109</c:v>
                </c:pt>
                <c:pt idx="746">
                  <c:v>42005.518055555556</c:v>
                </c:pt>
                <c:pt idx="747">
                  <c:v>42005.518750000003</c:v>
                </c:pt>
                <c:pt idx="748">
                  <c:v>42005.519444444442</c:v>
                </c:pt>
                <c:pt idx="749">
                  <c:v>42005.520138888889</c:v>
                </c:pt>
                <c:pt idx="750">
                  <c:v>42005.520833333336</c:v>
                </c:pt>
                <c:pt idx="751">
                  <c:v>42005.521527777775</c:v>
                </c:pt>
                <c:pt idx="752">
                  <c:v>42005.522222222222</c:v>
                </c:pt>
                <c:pt idx="753">
                  <c:v>42005.522916666669</c:v>
                </c:pt>
                <c:pt idx="754">
                  <c:v>42005.523611111108</c:v>
                </c:pt>
                <c:pt idx="755">
                  <c:v>42005.524305555555</c:v>
                </c:pt>
                <c:pt idx="756">
                  <c:v>42005.525000000001</c:v>
                </c:pt>
                <c:pt idx="757">
                  <c:v>42005.525694444441</c:v>
                </c:pt>
                <c:pt idx="758">
                  <c:v>42005.526388888888</c:v>
                </c:pt>
                <c:pt idx="759">
                  <c:v>42005.527083333334</c:v>
                </c:pt>
                <c:pt idx="760">
                  <c:v>42005.527777777781</c:v>
                </c:pt>
                <c:pt idx="761">
                  <c:v>42005.52847222222</c:v>
                </c:pt>
                <c:pt idx="762">
                  <c:v>42005.529166666667</c:v>
                </c:pt>
                <c:pt idx="763">
                  <c:v>42005.529861111114</c:v>
                </c:pt>
                <c:pt idx="764">
                  <c:v>42005.530555555553</c:v>
                </c:pt>
                <c:pt idx="765">
                  <c:v>42005.53125</c:v>
                </c:pt>
                <c:pt idx="766">
                  <c:v>42005.531944444447</c:v>
                </c:pt>
                <c:pt idx="767">
                  <c:v>42005.532638888886</c:v>
                </c:pt>
                <c:pt idx="768">
                  <c:v>42005.533333333333</c:v>
                </c:pt>
                <c:pt idx="769">
                  <c:v>42005.53402777778</c:v>
                </c:pt>
                <c:pt idx="770">
                  <c:v>42005.534722222219</c:v>
                </c:pt>
                <c:pt idx="771">
                  <c:v>42005.535416666666</c:v>
                </c:pt>
                <c:pt idx="772">
                  <c:v>42005.536111111112</c:v>
                </c:pt>
                <c:pt idx="773">
                  <c:v>42005.536805555559</c:v>
                </c:pt>
                <c:pt idx="774">
                  <c:v>42005.537499999999</c:v>
                </c:pt>
                <c:pt idx="775">
                  <c:v>42005.538194444445</c:v>
                </c:pt>
                <c:pt idx="776">
                  <c:v>42005.538888888892</c:v>
                </c:pt>
                <c:pt idx="777">
                  <c:v>42005.539583333331</c:v>
                </c:pt>
                <c:pt idx="778">
                  <c:v>42005.540277777778</c:v>
                </c:pt>
                <c:pt idx="779">
                  <c:v>42005.540972222225</c:v>
                </c:pt>
                <c:pt idx="780">
                  <c:v>42005.541666666664</c:v>
                </c:pt>
                <c:pt idx="781">
                  <c:v>42005.542361111111</c:v>
                </c:pt>
                <c:pt idx="782">
                  <c:v>42005.543055555558</c:v>
                </c:pt>
                <c:pt idx="783">
                  <c:v>42005.543749999997</c:v>
                </c:pt>
                <c:pt idx="784">
                  <c:v>42005.544444444444</c:v>
                </c:pt>
                <c:pt idx="785">
                  <c:v>42005.545138888891</c:v>
                </c:pt>
                <c:pt idx="786">
                  <c:v>42005.54583333333</c:v>
                </c:pt>
                <c:pt idx="787">
                  <c:v>42005.546527777777</c:v>
                </c:pt>
                <c:pt idx="788">
                  <c:v>42005.547222222223</c:v>
                </c:pt>
                <c:pt idx="789">
                  <c:v>42005.54791666667</c:v>
                </c:pt>
                <c:pt idx="790">
                  <c:v>42005.548611111109</c:v>
                </c:pt>
                <c:pt idx="791">
                  <c:v>42005.549305555556</c:v>
                </c:pt>
                <c:pt idx="792">
                  <c:v>42005.55</c:v>
                </c:pt>
                <c:pt idx="793">
                  <c:v>42005.550694444442</c:v>
                </c:pt>
                <c:pt idx="794">
                  <c:v>42005.551388888889</c:v>
                </c:pt>
                <c:pt idx="795">
                  <c:v>42005.552083333336</c:v>
                </c:pt>
                <c:pt idx="796">
                  <c:v>42005.552777777775</c:v>
                </c:pt>
                <c:pt idx="797">
                  <c:v>42005.553472222222</c:v>
                </c:pt>
                <c:pt idx="798">
                  <c:v>42005.554166666669</c:v>
                </c:pt>
                <c:pt idx="799">
                  <c:v>42005.554861111108</c:v>
                </c:pt>
                <c:pt idx="800">
                  <c:v>42005.555555555555</c:v>
                </c:pt>
                <c:pt idx="801">
                  <c:v>42005.556250000001</c:v>
                </c:pt>
                <c:pt idx="802">
                  <c:v>42005.556944444441</c:v>
                </c:pt>
                <c:pt idx="803">
                  <c:v>42005.557638888888</c:v>
                </c:pt>
                <c:pt idx="804">
                  <c:v>42005.558333333334</c:v>
                </c:pt>
                <c:pt idx="805">
                  <c:v>42005.559027777781</c:v>
                </c:pt>
                <c:pt idx="806">
                  <c:v>42005.55972222222</c:v>
                </c:pt>
                <c:pt idx="807">
                  <c:v>42005.560416666667</c:v>
                </c:pt>
                <c:pt idx="808">
                  <c:v>42005.561111111114</c:v>
                </c:pt>
                <c:pt idx="809">
                  <c:v>42005.561805555553</c:v>
                </c:pt>
                <c:pt idx="810">
                  <c:v>42005.5625</c:v>
                </c:pt>
                <c:pt idx="811">
                  <c:v>42005.563194444447</c:v>
                </c:pt>
                <c:pt idx="812">
                  <c:v>42005.563888888886</c:v>
                </c:pt>
                <c:pt idx="813">
                  <c:v>42005.564583333333</c:v>
                </c:pt>
                <c:pt idx="814">
                  <c:v>42005.56527777778</c:v>
                </c:pt>
                <c:pt idx="815">
                  <c:v>42005.565972222219</c:v>
                </c:pt>
                <c:pt idx="816">
                  <c:v>42005.566666666666</c:v>
                </c:pt>
                <c:pt idx="817">
                  <c:v>42005.567361111112</c:v>
                </c:pt>
                <c:pt idx="818">
                  <c:v>42005.568055555559</c:v>
                </c:pt>
                <c:pt idx="819">
                  <c:v>42005.568749999999</c:v>
                </c:pt>
                <c:pt idx="820">
                  <c:v>42005.569444444445</c:v>
                </c:pt>
                <c:pt idx="821">
                  <c:v>42005.570138888892</c:v>
                </c:pt>
                <c:pt idx="822">
                  <c:v>42005.570833333331</c:v>
                </c:pt>
                <c:pt idx="823">
                  <c:v>42005.571527777778</c:v>
                </c:pt>
                <c:pt idx="824">
                  <c:v>42005.572222222225</c:v>
                </c:pt>
                <c:pt idx="825">
                  <c:v>42005.572916666664</c:v>
                </c:pt>
                <c:pt idx="826">
                  <c:v>42005.573611111111</c:v>
                </c:pt>
                <c:pt idx="827">
                  <c:v>42005.574305555558</c:v>
                </c:pt>
                <c:pt idx="828">
                  <c:v>42005.574999999997</c:v>
                </c:pt>
                <c:pt idx="829">
                  <c:v>42005.575694444444</c:v>
                </c:pt>
                <c:pt idx="830">
                  <c:v>42005.576388888891</c:v>
                </c:pt>
                <c:pt idx="831">
                  <c:v>42005.57708333333</c:v>
                </c:pt>
                <c:pt idx="832">
                  <c:v>42005.577777777777</c:v>
                </c:pt>
                <c:pt idx="833">
                  <c:v>42005.578472222223</c:v>
                </c:pt>
                <c:pt idx="834">
                  <c:v>42005.57916666667</c:v>
                </c:pt>
                <c:pt idx="835">
                  <c:v>42005.579861111109</c:v>
                </c:pt>
                <c:pt idx="836">
                  <c:v>42005.580555555556</c:v>
                </c:pt>
                <c:pt idx="837">
                  <c:v>42005.581250000003</c:v>
                </c:pt>
                <c:pt idx="838">
                  <c:v>42005.581944444442</c:v>
                </c:pt>
                <c:pt idx="839">
                  <c:v>42005.582638888889</c:v>
                </c:pt>
                <c:pt idx="840">
                  <c:v>42005.583333333336</c:v>
                </c:pt>
                <c:pt idx="841">
                  <c:v>42005.584027777775</c:v>
                </c:pt>
                <c:pt idx="842">
                  <c:v>42005.584722222222</c:v>
                </c:pt>
                <c:pt idx="843">
                  <c:v>42005.585416666669</c:v>
                </c:pt>
                <c:pt idx="844">
                  <c:v>42005.586111111108</c:v>
                </c:pt>
                <c:pt idx="845">
                  <c:v>42005.586805555555</c:v>
                </c:pt>
                <c:pt idx="846">
                  <c:v>42005.587500000001</c:v>
                </c:pt>
                <c:pt idx="847">
                  <c:v>42005.588194444441</c:v>
                </c:pt>
                <c:pt idx="848">
                  <c:v>42005.588888888888</c:v>
                </c:pt>
                <c:pt idx="849">
                  <c:v>42005.589583333334</c:v>
                </c:pt>
                <c:pt idx="850">
                  <c:v>42005.590277777781</c:v>
                </c:pt>
                <c:pt idx="851">
                  <c:v>42005.59097222222</c:v>
                </c:pt>
                <c:pt idx="852">
                  <c:v>42005.591666666667</c:v>
                </c:pt>
                <c:pt idx="853">
                  <c:v>42005.592361111114</c:v>
                </c:pt>
                <c:pt idx="854">
                  <c:v>42005.593055555553</c:v>
                </c:pt>
                <c:pt idx="855">
                  <c:v>42005.59375</c:v>
                </c:pt>
                <c:pt idx="856">
                  <c:v>42005.594444444447</c:v>
                </c:pt>
                <c:pt idx="857">
                  <c:v>42005.595138888886</c:v>
                </c:pt>
                <c:pt idx="858">
                  <c:v>42005.595833333333</c:v>
                </c:pt>
                <c:pt idx="859">
                  <c:v>42005.59652777778</c:v>
                </c:pt>
                <c:pt idx="860">
                  <c:v>42005.597222222219</c:v>
                </c:pt>
                <c:pt idx="861">
                  <c:v>42005.597916666666</c:v>
                </c:pt>
                <c:pt idx="862">
                  <c:v>42005.598611111112</c:v>
                </c:pt>
                <c:pt idx="863">
                  <c:v>42005.599305555559</c:v>
                </c:pt>
                <c:pt idx="864">
                  <c:v>42005.599999999999</c:v>
                </c:pt>
                <c:pt idx="865">
                  <c:v>42005.600694444445</c:v>
                </c:pt>
                <c:pt idx="866">
                  <c:v>42005.601388888892</c:v>
                </c:pt>
                <c:pt idx="867">
                  <c:v>42005.602083333331</c:v>
                </c:pt>
                <c:pt idx="868">
                  <c:v>42005.602777777778</c:v>
                </c:pt>
                <c:pt idx="869">
                  <c:v>42005.603472222225</c:v>
                </c:pt>
                <c:pt idx="870">
                  <c:v>42005.604166666664</c:v>
                </c:pt>
                <c:pt idx="871">
                  <c:v>42005.604861111111</c:v>
                </c:pt>
                <c:pt idx="872">
                  <c:v>42005.605555555558</c:v>
                </c:pt>
                <c:pt idx="873">
                  <c:v>42005.606249999997</c:v>
                </c:pt>
                <c:pt idx="874">
                  <c:v>42005.606944444444</c:v>
                </c:pt>
                <c:pt idx="875">
                  <c:v>42005.607638888891</c:v>
                </c:pt>
                <c:pt idx="876">
                  <c:v>42005.60833333333</c:v>
                </c:pt>
                <c:pt idx="877">
                  <c:v>42005.609027777777</c:v>
                </c:pt>
                <c:pt idx="878">
                  <c:v>42005.609722222223</c:v>
                </c:pt>
                <c:pt idx="879">
                  <c:v>42005.61041666667</c:v>
                </c:pt>
                <c:pt idx="880">
                  <c:v>42005.611111111109</c:v>
                </c:pt>
                <c:pt idx="881">
                  <c:v>42005.611805555556</c:v>
                </c:pt>
                <c:pt idx="882">
                  <c:v>42005.612500000003</c:v>
                </c:pt>
                <c:pt idx="883">
                  <c:v>42005.613194444442</c:v>
                </c:pt>
                <c:pt idx="884">
                  <c:v>42005.613888888889</c:v>
                </c:pt>
                <c:pt idx="885">
                  <c:v>42005.614583333336</c:v>
                </c:pt>
                <c:pt idx="886">
                  <c:v>42005.615277777775</c:v>
                </c:pt>
                <c:pt idx="887">
                  <c:v>42005.615972222222</c:v>
                </c:pt>
                <c:pt idx="888">
                  <c:v>42005.616666666669</c:v>
                </c:pt>
                <c:pt idx="889">
                  <c:v>42005.617361111108</c:v>
                </c:pt>
                <c:pt idx="890">
                  <c:v>42005.618055555555</c:v>
                </c:pt>
                <c:pt idx="891">
                  <c:v>42005.618750000001</c:v>
                </c:pt>
                <c:pt idx="892">
                  <c:v>42005.619444444441</c:v>
                </c:pt>
                <c:pt idx="893">
                  <c:v>42005.620138888888</c:v>
                </c:pt>
                <c:pt idx="894">
                  <c:v>42005.620833333334</c:v>
                </c:pt>
                <c:pt idx="895">
                  <c:v>42005.621527777781</c:v>
                </c:pt>
                <c:pt idx="896">
                  <c:v>42005.62222222222</c:v>
                </c:pt>
                <c:pt idx="897">
                  <c:v>42005.622916666667</c:v>
                </c:pt>
                <c:pt idx="898">
                  <c:v>42005.623611111114</c:v>
                </c:pt>
                <c:pt idx="899">
                  <c:v>42005.624305555553</c:v>
                </c:pt>
                <c:pt idx="900">
                  <c:v>42005.625</c:v>
                </c:pt>
                <c:pt idx="901">
                  <c:v>42005.625694444447</c:v>
                </c:pt>
                <c:pt idx="902">
                  <c:v>42005.626388888886</c:v>
                </c:pt>
                <c:pt idx="903">
                  <c:v>42005.627083333333</c:v>
                </c:pt>
                <c:pt idx="904">
                  <c:v>42005.62777777778</c:v>
                </c:pt>
                <c:pt idx="905">
                  <c:v>42005.628472222219</c:v>
                </c:pt>
                <c:pt idx="906">
                  <c:v>42005.629166666666</c:v>
                </c:pt>
                <c:pt idx="907">
                  <c:v>42005.629861111112</c:v>
                </c:pt>
                <c:pt idx="908">
                  <c:v>42005.630555555559</c:v>
                </c:pt>
                <c:pt idx="909">
                  <c:v>42005.631249999999</c:v>
                </c:pt>
                <c:pt idx="910">
                  <c:v>42005.631944444445</c:v>
                </c:pt>
                <c:pt idx="911">
                  <c:v>42005.632638888892</c:v>
                </c:pt>
                <c:pt idx="912">
                  <c:v>42005.633333333331</c:v>
                </c:pt>
                <c:pt idx="913">
                  <c:v>42005.634027777778</c:v>
                </c:pt>
                <c:pt idx="914">
                  <c:v>42005.634722222225</c:v>
                </c:pt>
                <c:pt idx="915">
                  <c:v>42005.635416666664</c:v>
                </c:pt>
                <c:pt idx="916">
                  <c:v>42005.636111111111</c:v>
                </c:pt>
                <c:pt idx="917">
                  <c:v>42005.636805555558</c:v>
                </c:pt>
                <c:pt idx="918">
                  <c:v>42005.637499999997</c:v>
                </c:pt>
                <c:pt idx="919">
                  <c:v>42005.638194444444</c:v>
                </c:pt>
                <c:pt idx="920">
                  <c:v>42005.638888888891</c:v>
                </c:pt>
                <c:pt idx="921">
                  <c:v>42005.63958333333</c:v>
                </c:pt>
                <c:pt idx="922">
                  <c:v>42005.640277777777</c:v>
                </c:pt>
                <c:pt idx="923">
                  <c:v>42005.640972222223</c:v>
                </c:pt>
                <c:pt idx="924">
                  <c:v>42005.64166666667</c:v>
                </c:pt>
                <c:pt idx="925">
                  <c:v>42005.642361111109</c:v>
                </c:pt>
                <c:pt idx="926">
                  <c:v>42005.643055555556</c:v>
                </c:pt>
                <c:pt idx="927">
                  <c:v>42005.643750000003</c:v>
                </c:pt>
                <c:pt idx="928">
                  <c:v>42005.644444444442</c:v>
                </c:pt>
                <c:pt idx="929">
                  <c:v>42005.645138888889</c:v>
                </c:pt>
                <c:pt idx="930">
                  <c:v>42005.645833333336</c:v>
                </c:pt>
                <c:pt idx="931">
                  <c:v>42005.646527777775</c:v>
                </c:pt>
                <c:pt idx="932">
                  <c:v>42005.647222222222</c:v>
                </c:pt>
                <c:pt idx="933">
                  <c:v>42005.647916666669</c:v>
                </c:pt>
                <c:pt idx="934">
                  <c:v>42005.648611111108</c:v>
                </c:pt>
                <c:pt idx="935">
                  <c:v>42005.649305555555</c:v>
                </c:pt>
                <c:pt idx="936">
                  <c:v>42005.65</c:v>
                </c:pt>
                <c:pt idx="937">
                  <c:v>42005.650694444441</c:v>
                </c:pt>
                <c:pt idx="938">
                  <c:v>42005.651388888888</c:v>
                </c:pt>
                <c:pt idx="939">
                  <c:v>42005.652083333334</c:v>
                </c:pt>
                <c:pt idx="940">
                  <c:v>42005.652777777781</c:v>
                </c:pt>
                <c:pt idx="941">
                  <c:v>42005.65347222222</c:v>
                </c:pt>
                <c:pt idx="942">
                  <c:v>42005.654166666667</c:v>
                </c:pt>
                <c:pt idx="943">
                  <c:v>42005.654861111114</c:v>
                </c:pt>
                <c:pt idx="944">
                  <c:v>42005.655555555553</c:v>
                </c:pt>
                <c:pt idx="945">
                  <c:v>42005.65625</c:v>
                </c:pt>
                <c:pt idx="946">
                  <c:v>42005.656944444447</c:v>
                </c:pt>
                <c:pt idx="947">
                  <c:v>42005.657638888886</c:v>
                </c:pt>
                <c:pt idx="948">
                  <c:v>42005.658333333333</c:v>
                </c:pt>
                <c:pt idx="949">
                  <c:v>42005.65902777778</c:v>
                </c:pt>
                <c:pt idx="950">
                  <c:v>42005.659722222219</c:v>
                </c:pt>
                <c:pt idx="951">
                  <c:v>42005.660416666666</c:v>
                </c:pt>
                <c:pt idx="952">
                  <c:v>42005.661111111112</c:v>
                </c:pt>
                <c:pt idx="953">
                  <c:v>42005.661805555559</c:v>
                </c:pt>
                <c:pt idx="954">
                  <c:v>42005.662499999999</c:v>
                </c:pt>
                <c:pt idx="955">
                  <c:v>42005.663194444445</c:v>
                </c:pt>
                <c:pt idx="956">
                  <c:v>42005.663888888892</c:v>
                </c:pt>
                <c:pt idx="957">
                  <c:v>42005.664583333331</c:v>
                </c:pt>
                <c:pt idx="958">
                  <c:v>42005.665277777778</c:v>
                </c:pt>
                <c:pt idx="959">
                  <c:v>42005.665972222225</c:v>
                </c:pt>
                <c:pt idx="960">
                  <c:v>42005.666666666664</c:v>
                </c:pt>
                <c:pt idx="961">
                  <c:v>42005.667361111111</c:v>
                </c:pt>
                <c:pt idx="962">
                  <c:v>42005.668055555558</c:v>
                </c:pt>
                <c:pt idx="963">
                  <c:v>42005.668749999997</c:v>
                </c:pt>
                <c:pt idx="964">
                  <c:v>42005.669444444444</c:v>
                </c:pt>
                <c:pt idx="965">
                  <c:v>42005.670138888891</c:v>
                </c:pt>
                <c:pt idx="966">
                  <c:v>42005.67083333333</c:v>
                </c:pt>
                <c:pt idx="967">
                  <c:v>42005.671527777777</c:v>
                </c:pt>
                <c:pt idx="968">
                  <c:v>42005.672222222223</c:v>
                </c:pt>
                <c:pt idx="969">
                  <c:v>42005.67291666667</c:v>
                </c:pt>
                <c:pt idx="970">
                  <c:v>42005.673611111109</c:v>
                </c:pt>
                <c:pt idx="971">
                  <c:v>42005.674305555556</c:v>
                </c:pt>
                <c:pt idx="972">
                  <c:v>42005.675000000003</c:v>
                </c:pt>
                <c:pt idx="973">
                  <c:v>42005.675694444442</c:v>
                </c:pt>
                <c:pt idx="974">
                  <c:v>42005.676388888889</c:v>
                </c:pt>
                <c:pt idx="975">
                  <c:v>42005.677083333336</c:v>
                </c:pt>
                <c:pt idx="976">
                  <c:v>42005.677777777775</c:v>
                </c:pt>
                <c:pt idx="977">
                  <c:v>42005.678472222222</c:v>
                </c:pt>
                <c:pt idx="978">
                  <c:v>42005.679166666669</c:v>
                </c:pt>
                <c:pt idx="979">
                  <c:v>42005.679861111108</c:v>
                </c:pt>
                <c:pt idx="980">
                  <c:v>42005.680555555555</c:v>
                </c:pt>
                <c:pt idx="981">
                  <c:v>42005.681250000001</c:v>
                </c:pt>
                <c:pt idx="982">
                  <c:v>42005.681944444441</c:v>
                </c:pt>
                <c:pt idx="983">
                  <c:v>42005.682638888888</c:v>
                </c:pt>
                <c:pt idx="984">
                  <c:v>42005.683333333334</c:v>
                </c:pt>
                <c:pt idx="985">
                  <c:v>42005.684027777781</c:v>
                </c:pt>
                <c:pt idx="986">
                  <c:v>42005.68472222222</c:v>
                </c:pt>
                <c:pt idx="987">
                  <c:v>42005.685416666667</c:v>
                </c:pt>
                <c:pt idx="988">
                  <c:v>42005.686111111114</c:v>
                </c:pt>
                <c:pt idx="989">
                  <c:v>42005.686805555553</c:v>
                </c:pt>
                <c:pt idx="990">
                  <c:v>42005.6875</c:v>
                </c:pt>
                <c:pt idx="991">
                  <c:v>42005.688194444447</c:v>
                </c:pt>
                <c:pt idx="992">
                  <c:v>42005.688888888886</c:v>
                </c:pt>
                <c:pt idx="993">
                  <c:v>42005.689583333333</c:v>
                </c:pt>
                <c:pt idx="994">
                  <c:v>42005.69027777778</c:v>
                </c:pt>
                <c:pt idx="995">
                  <c:v>42005.690972222219</c:v>
                </c:pt>
                <c:pt idx="996">
                  <c:v>42005.691666666666</c:v>
                </c:pt>
                <c:pt idx="997">
                  <c:v>42005.692361111112</c:v>
                </c:pt>
                <c:pt idx="998">
                  <c:v>42005.693055555559</c:v>
                </c:pt>
                <c:pt idx="999">
                  <c:v>42005.693749999999</c:v>
                </c:pt>
                <c:pt idx="1000">
                  <c:v>42005.694444444445</c:v>
                </c:pt>
                <c:pt idx="1001">
                  <c:v>42005.695138888892</c:v>
                </c:pt>
                <c:pt idx="1002">
                  <c:v>42005.695833333331</c:v>
                </c:pt>
                <c:pt idx="1003">
                  <c:v>42005.696527777778</c:v>
                </c:pt>
                <c:pt idx="1004">
                  <c:v>42005.697222222225</c:v>
                </c:pt>
                <c:pt idx="1005">
                  <c:v>42005.697916666664</c:v>
                </c:pt>
                <c:pt idx="1006">
                  <c:v>42005.698611111111</c:v>
                </c:pt>
                <c:pt idx="1007">
                  <c:v>42005.699305555558</c:v>
                </c:pt>
                <c:pt idx="1008">
                  <c:v>42005.7</c:v>
                </c:pt>
                <c:pt idx="1009">
                  <c:v>42005.700694444444</c:v>
                </c:pt>
                <c:pt idx="1010">
                  <c:v>42005.701388888891</c:v>
                </c:pt>
                <c:pt idx="1011">
                  <c:v>42005.70208333333</c:v>
                </c:pt>
                <c:pt idx="1012">
                  <c:v>42005.702777777777</c:v>
                </c:pt>
                <c:pt idx="1013">
                  <c:v>42005.703472222223</c:v>
                </c:pt>
                <c:pt idx="1014">
                  <c:v>42005.70416666667</c:v>
                </c:pt>
                <c:pt idx="1015">
                  <c:v>42005.704861111109</c:v>
                </c:pt>
                <c:pt idx="1016">
                  <c:v>42005.705555555556</c:v>
                </c:pt>
                <c:pt idx="1017">
                  <c:v>42005.706250000003</c:v>
                </c:pt>
                <c:pt idx="1018">
                  <c:v>42005.706944444442</c:v>
                </c:pt>
                <c:pt idx="1019">
                  <c:v>42005.707638888889</c:v>
                </c:pt>
                <c:pt idx="1020">
                  <c:v>42005.708333333336</c:v>
                </c:pt>
                <c:pt idx="1021">
                  <c:v>42005.709027777775</c:v>
                </c:pt>
                <c:pt idx="1022">
                  <c:v>42005.709722222222</c:v>
                </c:pt>
                <c:pt idx="1023">
                  <c:v>42005.710416666669</c:v>
                </c:pt>
                <c:pt idx="1024">
                  <c:v>42005.711111111108</c:v>
                </c:pt>
                <c:pt idx="1025">
                  <c:v>42005.711805555555</c:v>
                </c:pt>
                <c:pt idx="1026">
                  <c:v>42005.712500000001</c:v>
                </c:pt>
                <c:pt idx="1027">
                  <c:v>42005.713194444441</c:v>
                </c:pt>
                <c:pt idx="1028">
                  <c:v>42005.713888888888</c:v>
                </c:pt>
                <c:pt idx="1029">
                  <c:v>42005.714583333334</c:v>
                </c:pt>
                <c:pt idx="1030">
                  <c:v>42005.715277777781</c:v>
                </c:pt>
                <c:pt idx="1031">
                  <c:v>42005.71597222222</c:v>
                </c:pt>
                <c:pt idx="1032">
                  <c:v>42005.716666666667</c:v>
                </c:pt>
                <c:pt idx="1033">
                  <c:v>42005.717361111114</c:v>
                </c:pt>
                <c:pt idx="1034">
                  <c:v>42005.718055555553</c:v>
                </c:pt>
                <c:pt idx="1035">
                  <c:v>42005.71875</c:v>
                </c:pt>
                <c:pt idx="1036">
                  <c:v>42005.719444444447</c:v>
                </c:pt>
                <c:pt idx="1037">
                  <c:v>42005.720138888886</c:v>
                </c:pt>
                <c:pt idx="1038">
                  <c:v>42005.720833333333</c:v>
                </c:pt>
                <c:pt idx="1039">
                  <c:v>42005.72152777778</c:v>
                </c:pt>
                <c:pt idx="1040">
                  <c:v>42005.722222222219</c:v>
                </c:pt>
                <c:pt idx="1041">
                  <c:v>42005.722916666666</c:v>
                </c:pt>
                <c:pt idx="1042">
                  <c:v>42005.723611111112</c:v>
                </c:pt>
                <c:pt idx="1043">
                  <c:v>42005.724305555559</c:v>
                </c:pt>
                <c:pt idx="1044">
                  <c:v>42005.724999999999</c:v>
                </c:pt>
                <c:pt idx="1045">
                  <c:v>42005.725694444445</c:v>
                </c:pt>
                <c:pt idx="1046">
                  <c:v>42005.726388888892</c:v>
                </c:pt>
                <c:pt idx="1047">
                  <c:v>42005.727083333331</c:v>
                </c:pt>
                <c:pt idx="1048">
                  <c:v>42005.727777777778</c:v>
                </c:pt>
                <c:pt idx="1049">
                  <c:v>42005.728472222225</c:v>
                </c:pt>
                <c:pt idx="1050">
                  <c:v>42005.729166666664</c:v>
                </c:pt>
                <c:pt idx="1051">
                  <c:v>42005.729861111111</c:v>
                </c:pt>
                <c:pt idx="1052">
                  <c:v>42005.730555555558</c:v>
                </c:pt>
                <c:pt idx="1053">
                  <c:v>42005.731249999997</c:v>
                </c:pt>
                <c:pt idx="1054">
                  <c:v>42005.731944444444</c:v>
                </c:pt>
                <c:pt idx="1055">
                  <c:v>42005.732638888891</c:v>
                </c:pt>
                <c:pt idx="1056">
                  <c:v>42005.73333333333</c:v>
                </c:pt>
                <c:pt idx="1057">
                  <c:v>42005.734027777777</c:v>
                </c:pt>
                <c:pt idx="1058">
                  <c:v>42005.734722222223</c:v>
                </c:pt>
                <c:pt idx="1059">
                  <c:v>42005.73541666667</c:v>
                </c:pt>
                <c:pt idx="1060">
                  <c:v>42005.736111111109</c:v>
                </c:pt>
                <c:pt idx="1061">
                  <c:v>42005.736805555556</c:v>
                </c:pt>
                <c:pt idx="1062">
                  <c:v>42005.737500000003</c:v>
                </c:pt>
                <c:pt idx="1063">
                  <c:v>42005.738194444442</c:v>
                </c:pt>
                <c:pt idx="1064">
                  <c:v>42005.738888888889</c:v>
                </c:pt>
                <c:pt idx="1065">
                  <c:v>42005.739583333336</c:v>
                </c:pt>
                <c:pt idx="1066">
                  <c:v>42005.740277777775</c:v>
                </c:pt>
                <c:pt idx="1067">
                  <c:v>42005.740972222222</c:v>
                </c:pt>
                <c:pt idx="1068">
                  <c:v>42005.741666666669</c:v>
                </c:pt>
                <c:pt idx="1069">
                  <c:v>42005.742361111108</c:v>
                </c:pt>
                <c:pt idx="1070">
                  <c:v>42005.743055555555</c:v>
                </c:pt>
                <c:pt idx="1071">
                  <c:v>42005.743750000001</c:v>
                </c:pt>
                <c:pt idx="1072">
                  <c:v>42005.744444444441</c:v>
                </c:pt>
                <c:pt idx="1073">
                  <c:v>42005.745138888888</c:v>
                </c:pt>
                <c:pt idx="1074">
                  <c:v>42005.745833333334</c:v>
                </c:pt>
                <c:pt idx="1075">
                  <c:v>42005.746527777781</c:v>
                </c:pt>
                <c:pt idx="1076">
                  <c:v>42005.74722222222</c:v>
                </c:pt>
                <c:pt idx="1077">
                  <c:v>42005.747916666667</c:v>
                </c:pt>
                <c:pt idx="1078">
                  <c:v>42005.748611111114</c:v>
                </c:pt>
                <c:pt idx="1079">
                  <c:v>42005.749305555553</c:v>
                </c:pt>
                <c:pt idx="1080">
                  <c:v>42005.75</c:v>
                </c:pt>
                <c:pt idx="1081">
                  <c:v>42005.750694444447</c:v>
                </c:pt>
                <c:pt idx="1082">
                  <c:v>42005.751388888886</c:v>
                </c:pt>
                <c:pt idx="1083">
                  <c:v>42005.752083333333</c:v>
                </c:pt>
                <c:pt idx="1084">
                  <c:v>42005.75277777778</c:v>
                </c:pt>
                <c:pt idx="1085">
                  <c:v>42005.753472222219</c:v>
                </c:pt>
                <c:pt idx="1086">
                  <c:v>42005.754166666666</c:v>
                </c:pt>
                <c:pt idx="1087">
                  <c:v>42005.754861111112</c:v>
                </c:pt>
                <c:pt idx="1088">
                  <c:v>42005.755555555559</c:v>
                </c:pt>
                <c:pt idx="1089">
                  <c:v>42005.756249999999</c:v>
                </c:pt>
                <c:pt idx="1090">
                  <c:v>42005.756944444445</c:v>
                </c:pt>
                <c:pt idx="1091">
                  <c:v>42005.757638888892</c:v>
                </c:pt>
                <c:pt idx="1092">
                  <c:v>42005.758333333331</c:v>
                </c:pt>
                <c:pt idx="1093">
                  <c:v>42005.759027777778</c:v>
                </c:pt>
                <c:pt idx="1094">
                  <c:v>42005.759722222225</c:v>
                </c:pt>
                <c:pt idx="1095">
                  <c:v>42005.760416666664</c:v>
                </c:pt>
                <c:pt idx="1096">
                  <c:v>42005.761111111111</c:v>
                </c:pt>
                <c:pt idx="1097">
                  <c:v>42005.761805555558</c:v>
                </c:pt>
                <c:pt idx="1098">
                  <c:v>42005.762499999997</c:v>
                </c:pt>
                <c:pt idx="1099">
                  <c:v>42005.763194444444</c:v>
                </c:pt>
                <c:pt idx="1100">
                  <c:v>42005.763888888891</c:v>
                </c:pt>
                <c:pt idx="1101">
                  <c:v>42005.76458333333</c:v>
                </c:pt>
                <c:pt idx="1102">
                  <c:v>42005.765277777777</c:v>
                </c:pt>
                <c:pt idx="1103">
                  <c:v>42005.765972222223</c:v>
                </c:pt>
                <c:pt idx="1104">
                  <c:v>42005.76666666667</c:v>
                </c:pt>
                <c:pt idx="1105">
                  <c:v>42005.767361111109</c:v>
                </c:pt>
                <c:pt idx="1106">
                  <c:v>42005.768055555556</c:v>
                </c:pt>
                <c:pt idx="1107">
                  <c:v>42005.768750000003</c:v>
                </c:pt>
                <c:pt idx="1108">
                  <c:v>42005.769444444442</c:v>
                </c:pt>
                <c:pt idx="1109">
                  <c:v>42005.770138888889</c:v>
                </c:pt>
                <c:pt idx="1110">
                  <c:v>42005.770833333336</c:v>
                </c:pt>
                <c:pt idx="1111">
                  <c:v>42005.771527777775</c:v>
                </c:pt>
                <c:pt idx="1112">
                  <c:v>42005.772222222222</c:v>
                </c:pt>
                <c:pt idx="1113">
                  <c:v>42005.772916666669</c:v>
                </c:pt>
                <c:pt idx="1114">
                  <c:v>42005.773611111108</c:v>
                </c:pt>
                <c:pt idx="1115">
                  <c:v>42005.774305555555</c:v>
                </c:pt>
                <c:pt idx="1116">
                  <c:v>42005.775000000001</c:v>
                </c:pt>
                <c:pt idx="1117">
                  <c:v>42005.775694444441</c:v>
                </c:pt>
                <c:pt idx="1118">
                  <c:v>42005.776388888888</c:v>
                </c:pt>
                <c:pt idx="1119">
                  <c:v>42005.777083333334</c:v>
                </c:pt>
                <c:pt idx="1120">
                  <c:v>42005.777777777781</c:v>
                </c:pt>
                <c:pt idx="1121">
                  <c:v>42005.77847222222</c:v>
                </c:pt>
                <c:pt idx="1122">
                  <c:v>42005.779166666667</c:v>
                </c:pt>
                <c:pt idx="1123">
                  <c:v>42005.779861111114</c:v>
                </c:pt>
                <c:pt idx="1124">
                  <c:v>42005.780555555553</c:v>
                </c:pt>
                <c:pt idx="1125">
                  <c:v>42005.78125</c:v>
                </c:pt>
                <c:pt idx="1126">
                  <c:v>42005.781944444447</c:v>
                </c:pt>
                <c:pt idx="1127">
                  <c:v>42005.782638888886</c:v>
                </c:pt>
                <c:pt idx="1128">
                  <c:v>42005.783333333333</c:v>
                </c:pt>
                <c:pt idx="1129">
                  <c:v>42005.78402777778</c:v>
                </c:pt>
                <c:pt idx="1130">
                  <c:v>42005.784722222219</c:v>
                </c:pt>
                <c:pt idx="1131">
                  <c:v>42005.785416666666</c:v>
                </c:pt>
                <c:pt idx="1132">
                  <c:v>42005.786111111112</c:v>
                </c:pt>
                <c:pt idx="1133">
                  <c:v>42005.786805555559</c:v>
                </c:pt>
                <c:pt idx="1134">
                  <c:v>42005.787499999999</c:v>
                </c:pt>
                <c:pt idx="1135">
                  <c:v>42005.788194444445</c:v>
                </c:pt>
                <c:pt idx="1136">
                  <c:v>42005.788888888892</c:v>
                </c:pt>
                <c:pt idx="1137">
                  <c:v>42005.789583333331</c:v>
                </c:pt>
                <c:pt idx="1138">
                  <c:v>42005.790277777778</c:v>
                </c:pt>
                <c:pt idx="1139">
                  <c:v>42005.790972222225</c:v>
                </c:pt>
                <c:pt idx="1140">
                  <c:v>42005.791666666664</c:v>
                </c:pt>
                <c:pt idx="1141">
                  <c:v>42005.792361111111</c:v>
                </c:pt>
                <c:pt idx="1142">
                  <c:v>42005.793055555558</c:v>
                </c:pt>
                <c:pt idx="1143">
                  <c:v>42005.793749999997</c:v>
                </c:pt>
                <c:pt idx="1144">
                  <c:v>42005.794444444444</c:v>
                </c:pt>
                <c:pt idx="1145">
                  <c:v>42005.795138888891</c:v>
                </c:pt>
                <c:pt idx="1146">
                  <c:v>42005.79583333333</c:v>
                </c:pt>
                <c:pt idx="1147">
                  <c:v>42005.796527777777</c:v>
                </c:pt>
                <c:pt idx="1148">
                  <c:v>42005.797222222223</c:v>
                </c:pt>
                <c:pt idx="1149">
                  <c:v>42005.79791666667</c:v>
                </c:pt>
                <c:pt idx="1150">
                  <c:v>42005.798611111109</c:v>
                </c:pt>
                <c:pt idx="1151">
                  <c:v>42005.799305555556</c:v>
                </c:pt>
                <c:pt idx="1152">
                  <c:v>42005.8</c:v>
                </c:pt>
                <c:pt idx="1153">
                  <c:v>42005.800694444442</c:v>
                </c:pt>
                <c:pt idx="1154">
                  <c:v>42005.801388888889</c:v>
                </c:pt>
                <c:pt idx="1155">
                  <c:v>42005.802083333336</c:v>
                </c:pt>
                <c:pt idx="1156">
                  <c:v>42005.802777777775</c:v>
                </c:pt>
                <c:pt idx="1157">
                  <c:v>42005.803472222222</c:v>
                </c:pt>
                <c:pt idx="1158">
                  <c:v>42005.804166666669</c:v>
                </c:pt>
                <c:pt idx="1159">
                  <c:v>42005.804861111108</c:v>
                </c:pt>
                <c:pt idx="1160">
                  <c:v>42005.805555555555</c:v>
                </c:pt>
                <c:pt idx="1161">
                  <c:v>42005.806250000001</c:v>
                </c:pt>
                <c:pt idx="1162">
                  <c:v>42005.806944444441</c:v>
                </c:pt>
                <c:pt idx="1163">
                  <c:v>42005.807638888888</c:v>
                </c:pt>
                <c:pt idx="1164">
                  <c:v>42005.808333333334</c:v>
                </c:pt>
                <c:pt idx="1165">
                  <c:v>42005.809027777781</c:v>
                </c:pt>
                <c:pt idx="1166">
                  <c:v>42005.80972222222</c:v>
                </c:pt>
                <c:pt idx="1167">
                  <c:v>42005.810416666667</c:v>
                </c:pt>
                <c:pt idx="1168">
                  <c:v>42005.811111111114</c:v>
                </c:pt>
                <c:pt idx="1169">
                  <c:v>42005.811805555553</c:v>
                </c:pt>
                <c:pt idx="1170">
                  <c:v>42005.8125</c:v>
                </c:pt>
                <c:pt idx="1171">
                  <c:v>42005.813194444447</c:v>
                </c:pt>
                <c:pt idx="1172">
                  <c:v>42005.813888888886</c:v>
                </c:pt>
                <c:pt idx="1173">
                  <c:v>42005.814583333333</c:v>
                </c:pt>
                <c:pt idx="1174">
                  <c:v>42005.81527777778</c:v>
                </c:pt>
                <c:pt idx="1175">
                  <c:v>42005.815972222219</c:v>
                </c:pt>
                <c:pt idx="1176">
                  <c:v>42005.816666666666</c:v>
                </c:pt>
                <c:pt idx="1177">
                  <c:v>42005.817361111112</c:v>
                </c:pt>
                <c:pt idx="1178">
                  <c:v>42005.818055555559</c:v>
                </c:pt>
                <c:pt idx="1179">
                  <c:v>42005.818749999999</c:v>
                </c:pt>
                <c:pt idx="1180">
                  <c:v>42005.819444444445</c:v>
                </c:pt>
                <c:pt idx="1181">
                  <c:v>42005.820138888892</c:v>
                </c:pt>
                <c:pt idx="1182">
                  <c:v>42005.820833333331</c:v>
                </c:pt>
                <c:pt idx="1183">
                  <c:v>42005.821527777778</c:v>
                </c:pt>
                <c:pt idx="1184">
                  <c:v>42005.822222222225</c:v>
                </c:pt>
                <c:pt idx="1185">
                  <c:v>42005.822916666664</c:v>
                </c:pt>
                <c:pt idx="1186">
                  <c:v>42005.823611111111</c:v>
                </c:pt>
                <c:pt idx="1187">
                  <c:v>42005.824305555558</c:v>
                </c:pt>
                <c:pt idx="1188">
                  <c:v>42005.824999999997</c:v>
                </c:pt>
                <c:pt idx="1189">
                  <c:v>42005.825694444444</c:v>
                </c:pt>
                <c:pt idx="1190">
                  <c:v>42005.826388888891</c:v>
                </c:pt>
                <c:pt idx="1191">
                  <c:v>42005.82708333333</c:v>
                </c:pt>
                <c:pt idx="1192">
                  <c:v>42005.827777777777</c:v>
                </c:pt>
                <c:pt idx="1193">
                  <c:v>42005.828472222223</c:v>
                </c:pt>
                <c:pt idx="1194">
                  <c:v>42005.82916666667</c:v>
                </c:pt>
                <c:pt idx="1195">
                  <c:v>42005.829861111109</c:v>
                </c:pt>
                <c:pt idx="1196">
                  <c:v>42005.830555555556</c:v>
                </c:pt>
                <c:pt idx="1197">
                  <c:v>42005.831250000003</c:v>
                </c:pt>
                <c:pt idx="1198">
                  <c:v>42005.831944444442</c:v>
                </c:pt>
                <c:pt idx="1199">
                  <c:v>42005.832638888889</c:v>
                </c:pt>
                <c:pt idx="1200">
                  <c:v>42005.833333333336</c:v>
                </c:pt>
                <c:pt idx="1201">
                  <c:v>42005.834027777775</c:v>
                </c:pt>
                <c:pt idx="1202">
                  <c:v>42005.834722222222</c:v>
                </c:pt>
                <c:pt idx="1203">
                  <c:v>42005.835416666669</c:v>
                </c:pt>
                <c:pt idx="1204">
                  <c:v>42005.836111111108</c:v>
                </c:pt>
                <c:pt idx="1205">
                  <c:v>42005.836805555555</c:v>
                </c:pt>
                <c:pt idx="1206">
                  <c:v>42005.837500000001</c:v>
                </c:pt>
                <c:pt idx="1207">
                  <c:v>42005.838194444441</c:v>
                </c:pt>
                <c:pt idx="1208">
                  <c:v>42005.838888888888</c:v>
                </c:pt>
                <c:pt idx="1209">
                  <c:v>42005.839583333334</c:v>
                </c:pt>
                <c:pt idx="1210">
                  <c:v>42005.840277777781</c:v>
                </c:pt>
                <c:pt idx="1211">
                  <c:v>42005.84097222222</c:v>
                </c:pt>
                <c:pt idx="1212">
                  <c:v>42005.841666666667</c:v>
                </c:pt>
                <c:pt idx="1213">
                  <c:v>42005.842361111114</c:v>
                </c:pt>
                <c:pt idx="1214">
                  <c:v>42005.843055555553</c:v>
                </c:pt>
                <c:pt idx="1215">
                  <c:v>42005.84375</c:v>
                </c:pt>
                <c:pt idx="1216">
                  <c:v>42005.844444444447</c:v>
                </c:pt>
                <c:pt idx="1217">
                  <c:v>42005.845138888886</c:v>
                </c:pt>
                <c:pt idx="1218">
                  <c:v>42005.845833333333</c:v>
                </c:pt>
                <c:pt idx="1219">
                  <c:v>42005.84652777778</c:v>
                </c:pt>
                <c:pt idx="1220">
                  <c:v>42005.847222222219</c:v>
                </c:pt>
                <c:pt idx="1221">
                  <c:v>42005.847916666666</c:v>
                </c:pt>
                <c:pt idx="1222">
                  <c:v>42005.848611111112</c:v>
                </c:pt>
                <c:pt idx="1223">
                  <c:v>42005.849305555559</c:v>
                </c:pt>
                <c:pt idx="1224">
                  <c:v>42005.85</c:v>
                </c:pt>
                <c:pt idx="1225">
                  <c:v>42005.850694444445</c:v>
                </c:pt>
                <c:pt idx="1226">
                  <c:v>42005.851388888892</c:v>
                </c:pt>
                <c:pt idx="1227">
                  <c:v>42005.852083333331</c:v>
                </c:pt>
                <c:pt idx="1228">
                  <c:v>42005.852777777778</c:v>
                </c:pt>
                <c:pt idx="1229">
                  <c:v>42005.853472222225</c:v>
                </c:pt>
                <c:pt idx="1230">
                  <c:v>42005.854166666664</c:v>
                </c:pt>
                <c:pt idx="1231">
                  <c:v>42005.854861111111</c:v>
                </c:pt>
                <c:pt idx="1232">
                  <c:v>42005.855555555558</c:v>
                </c:pt>
                <c:pt idx="1233">
                  <c:v>42005.856249999997</c:v>
                </c:pt>
                <c:pt idx="1234">
                  <c:v>42005.856944444444</c:v>
                </c:pt>
                <c:pt idx="1235">
                  <c:v>42005.857638888891</c:v>
                </c:pt>
                <c:pt idx="1236">
                  <c:v>42005.85833333333</c:v>
                </c:pt>
                <c:pt idx="1237">
                  <c:v>42005.859027777777</c:v>
                </c:pt>
                <c:pt idx="1238">
                  <c:v>42005.859722222223</c:v>
                </c:pt>
                <c:pt idx="1239">
                  <c:v>42005.86041666667</c:v>
                </c:pt>
                <c:pt idx="1240">
                  <c:v>42005.861111111109</c:v>
                </c:pt>
                <c:pt idx="1241">
                  <c:v>42005.861805555556</c:v>
                </c:pt>
                <c:pt idx="1242">
                  <c:v>42005.862500000003</c:v>
                </c:pt>
                <c:pt idx="1243">
                  <c:v>42005.863194444442</c:v>
                </c:pt>
                <c:pt idx="1244">
                  <c:v>42005.863888888889</c:v>
                </c:pt>
                <c:pt idx="1245">
                  <c:v>42005.864583333336</c:v>
                </c:pt>
                <c:pt idx="1246">
                  <c:v>42005.865277777775</c:v>
                </c:pt>
                <c:pt idx="1247">
                  <c:v>42005.865972222222</c:v>
                </c:pt>
                <c:pt idx="1248">
                  <c:v>42005.866666666669</c:v>
                </c:pt>
                <c:pt idx="1249">
                  <c:v>42005.867361111108</c:v>
                </c:pt>
                <c:pt idx="1250">
                  <c:v>42005.868055555555</c:v>
                </c:pt>
                <c:pt idx="1251">
                  <c:v>42005.868750000001</c:v>
                </c:pt>
                <c:pt idx="1252">
                  <c:v>42005.869444444441</c:v>
                </c:pt>
                <c:pt idx="1253">
                  <c:v>42005.870138888888</c:v>
                </c:pt>
                <c:pt idx="1254">
                  <c:v>42005.870833333334</c:v>
                </c:pt>
                <c:pt idx="1255">
                  <c:v>42005.871527777781</c:v>
                </c:pt>
                <c:pt idx="1256">
                  <c:v>42005.87222222222</c:v>
                </c:pt>
                <c:pt idx="1257">
                  <c:v>42005.872916666667</c:v>
                </c:pt>
                <c:pt idx="1258">
                  <c:v>42005.873611111114</c:v>
                </c:pt>
                <c:pt idx="1259">
                  <c:v>42005.874305555553</c:v>
                </c:pt>
                <c:pt idx="1260">
                  <c:v>42005.875</c:v>
                </c:pt>
                <c:pt idx="1261">
                  <c:v>42005.875694444447</c:v>
                </c:pt>
                <c:pt idx="1262">
                  <c:v>42005.876388888886</c:v>
                </c:pt>
                <c:pt idx="1263">
                  <c:v>42005.877083333333</c:v>
                </c:pt>
                <c:pt idx="1264">
                  <c:v>42005.87777777778</c:v>
                </c:pt>
                <c:pt idx="1265">
                  <c:v>42005.878472222219</c:v>
                </c:pt>
                <c:pt idx="1266">
                  <c:v>42005.879166666666</c:v>
                </c:pt>
                <c:pt idx="1267">
                  <c:v>42005.879861111112</c:v>
                </c:pt>
                <c:pt idx="1268">
                  <c:v>42005.880555555559</c:v>
                </c:pt>
                <c:pt idx="1269">
                  <c:v>42005.881249999999</c:v>
                </c:pt>
                <c:pt idx="1270">
                  <c:v>42005.881944444445</c:v>
                </c:pt>
                <c:pt idx="1271">
                  <c:v>42005.882638888892</c:v>
                </c:pt>
                <c:pt idx="1272">
                  <c:v>42005.883333333331</c:v>
                </c:pt>
                <c:pt idx="1273">
                  <c:v>42005.884027777778</c:v>
                </c:pt>
                <c:pt idx="1274">
                  <c:v>42005.884722222225</c:v>
                </c:pt>
                <c:pt idx="1275">
                  <c:v>42005.885416666664</c:v>
                </c:pt>
                <c:pt idx="1276">
                  <c:v>42005.886111111111</c:v>
                </c:pt>
                <c:pt idx="1277">
                  <c:v>42005.886805555558</c:v>
                </c:pt>
                <c:pt idx="1278">
                  <c:v>42005.887499999997</c:v>
                </c:pt>
                <c:pt idx="1279">
                  <c:v>42005.888194444444</c:v>
                </c:pt>
                <c:pt idx="1280">
                  <c:v>42005.888888888891</c:v>
                </c:pt>
                <c:pt idx="1281">
                  <c:v>42005.88958333333</c:v>
                </c:pt>
                <c:pt idx="1282">
                  <c:v>42005.890277777777</c:v>
                </c:pt>
                <c:pt idx="1283">
                  <c:v>42005.890972222223</c:v>
                </c:pt>
                <c:pt idx="1284">
                  <c:v>42005.89166666667</c:v>
                </c:pt>
                <c:pt idx="1285">
                  <c:v>42005.892361111109</c:v>
                </c:pt>
                <c:pt idx="1286">
                  <c:v>42005.893055555556</c:v>
                </c:pt>
                <c:pt idx="1287">
                  <c:v>42005.893750000003</c:v>
                </c:pt>
                <c:pt idx="1288">
                  <c:v>42005.894444444442</c:v>
                </c:pt>
                <c:pt idx="1289">
                  <c:v>42005.895138888889</c:v>
                </c:pt>
                <c:pt idx="1290">
                  <c:v>42005.895833333336</c:v>
                </c:pt>
                <c:pt idx="1291">
                  <c:v>42005.896527777775</c:v>
                </c:pt>
                <c:pt idx="1292">
                  <c:v>42005.897222222222</c:v>
                </c:pt>
                <c:pt idx="1293">
                  <c:v>42005.897916666669</c:v>
                </c:pt>
                <c:pt idx="1294">
                  <c:v>42005.898611111108</c:v>
                </c:pt>
                <c:pt idx="1295">
                  <c:v>42005.899305555555</c:v>
                </c:pt>
                <c:pt idx="1296">
                  <c:v>42005.9</c:v>
                </c:pt>
                <c:pt idx="1297">
                  <c:v>42005.900694444441</c:v>
                </c:pt>
                <c:pt idx="1298">
                  <c:v>42005.901388888888</c:v>
                </c:pt>
                <c:pt idx="1299">
                  <c:v>42005.902083333334</c:v>
                </c:pt>
                <c:pt idx="1300">
                  <c:v>42005.902777777781</c:v>
                </c:pt>
                <c:pt idx="1301">
                  <c:v>42005.90347222222</c:v>
                </c:pt>
                <c:pt idx="1302">
                  <c:v>42005.904166666667</c:v>
                </c:pt>
                <c:pt idx="1303">
                  <c:v>42005.904861111114</c:v>
                </c:pt>
                <c:pt idx="1304">
                  <c:v>42005.905555555553</c:v>
                </c:pt>
                <c:pt idx="1305">
                  <c:v>42005.90625</c:v>
                </c:pt>
                <c:pt idx="1306">
                  <c:v>42005.906944444447</c:v>
                </c:pt>
                <c:pt idx="1307">
                  <c:v>42005.907638888886</c:v>
                </c:pt>
                <c:pt idx="1308">
                  <c:v>42005.908333333333</c:v>
                </c:pt>
                <c:pt idx="1309">
                  <c:v>42005.90902777778</c:v>
                </c:pt>
                <c:pt idx="1310">
                  <c:v>42005.909722222219</c:v>
                </c:pt>
                <c:pt idx="1311">
                  <c:v>42005.910416666666</c:v>
                </c:pt>
                <c:pt idx="1312">
                  <c:v>42005.911111111112</c:v>
                </c:pt>
                <c:pt idx="1313">
                  <c:v>42005.911805555559</c:v>
                </c:pt>
                <c:pt idx="1314">
                  <c:v>42005.912499999999</c:v>
                </c:pt>
                <c:pt idx="1315">
                  <c:v>42005.913194444445</c:v>
                </c:pt>
                <c:pt idx="1316">
                  <c:v>42005.913888888892</c:v>
                </c:pt>
                <c:pt idx="1317">
                  <c:v>42005.914583333331</c:v>
                </c:pt>
                <c:pt idx="1318">
                  <c:v>42005.915277777778</c:v>
                </c:pt>
                <c:pt idx="1319">
                  <c:v>42005.915972222225</c:v>
                </c:pt>
                <c:pt idx="1320">
                  <c:v>42005.916666666664</c:v>
                </c:pt>
                <c:pt idx="1321">
                  <c:v>42005.917361111111</c:v>
                </c:pt>
                <c:pt idx="1322">
                  <c:v>42005.918055555558</c:v>
                </c:pt>
                <c:pt idx="1323">
                  <c:v>42005.918749999997</c:v>
                </c:pt>
                <c:pt idx="1324">
                  <c:v>42005.919444444444</c:v>
                </c:pt>
                <c:pt idx="1325">
                  <c:v>42005.920138888891</c:v>
                </c:pt>
                <c:pt idx="1326">
                  <c:v>42005.92083333333</c:v>
                </c:pt>
                <c:pt idx="1327">
                  <c:v>42005.921527777777</c:v>
                </c:pt>
                <c:pt idx="1328">
                  <c:v>42005.922222222223</c:v>
                </c:pt>
                <c:pt idx="1329">
                  <c:v>42005.92291666667</c:v>
                </c:pt>
                <c:pt idx="1330">
                  <c:v>42005.923611111109</c:v>
                </c:pt>
                <c:pt idx="1331">
                  <c:v>42005.924305555556</c:v>
                </c:pt>
                <c:pt idx="1332">
                  <c:v>42005.925000000003</c:v>
                </c:pt>
                <c:pt idx="1333">
                  <c:v>42005.925694444442</c:v>
                </c:pt>
                <c:pt idx="1334">
                  <c:v>42005.926388888889</c:v>
                </c:pt>
                <c:pt idx="1335">
                  <c:v>42005.927083333336</c:v>
                </c:pt>
                <c:pt idx="1336">
                  <c:v>42005.927777777775</c:v>
                </c:pt>
                <c:pt idx="1337">
                  <c:v>42005.928472222222</c:v>
                </c:pt>
                <c:pt idx="1338">
                  <c:v>42005.929166666669</c:v>
                </c:pt>
                <c:pt idx="1339">
                  <c:v>42005.929861111108</c:v>
                </c:pt>
                <c:pt idx="1340">
                  <c:v>42005.930555555555</c:v>
                </c:pt>
                <c:pt idx="1341">
                  <c:v>42005.931250000001</c:v>
                </c:pt>
                <c:pt idx="1342">
                  <c:v>42005.931944444441</c:v>
                </c:pt>
                <c:pt idx="1343">
                  <c:v>42005.932638888888</c:v>
                </c:pt>
                <c:pt idx="1344">
                  <c:v>42005.933333333334</c:v>
                </c:pt>
                <c:pt idx="1345">
                  <c:v>42005.934027777781</c:v>
                </c:pt>
                <c:pt idx="1346">
                  <c:v>42005.93472222222</c:v>
                </c:pt>
                <c:pt idx="1347">
                  <c:v>42005.935416666667</c:v>
                </c:pt>
                <c:pt idx="1348">
                  <c:v>42005.936111111114</c:v>
                </c:pt>
                <c:pt idx="1349">
                  <c:v>42005.936805555553</c:v>
                </c:pt>
                <c:pt idx="1350">
                  <c:v>42005.9375</c:v>
                </c:pt>
                <c:pt idx="1351">
                  <c:v>42005.938194444447</c:v>
                </c:pt>
                <c:pt idx="1352">
                  <c:v>42005.938888888886</c:v>
                </c:pt>
                <c:pt idx="1353">
                  <c:v>42005.939583333333</c:v>
                </c:pt>
                <c:pt idx="1354">
                  <c:v>42005.94027777778</c:v>
                </c:pt>
                <c:pt idx="1355">
                  <c:v>42005.940972222219</c:v>
                </c:pt>
                <c:pt idx="1356">
                  <c:v>42005.941666666666</c:v>
                </c:pt>
                <c:pt idx="1357">
                  <c:v>42005.942361111112</c:v>
                </c:pt>
                <c:pt idx="1358">
                  <c:v>42005.943055555559</c:v>
                </c:pt>
                <c:pt idx="1359">
                  <c:v>42005.943749999999</c:v>
                </c:pt>
                <c:pt idx="1360">
                  <c:v>42005.944444444445</c:v>
                </c:pt>
                <c:pt idx="1361">
                  <c:v>42005.945138888892</c:v>
                </c:pt>
                <c:pt idx="1362">
                  <c:v>42005.945833333331</c:v>
                </c:pt>
                <c:pt idx="1363">
                  <c:v>42005.946527777778</c:v>
                </c:pt>
                <c:pt idx="1364">
                  <c:v>42005.947222222225</c:v>
                </c:pt>
                <c:pt idx="1365">
                  <c:v>42005.947916666664</c:v>
                </c:pt>
                <c:pt idx="1366">
                  <c:v>42005.948611111111</c:v>
                </c:pt>
                <c:pt idx="1367">
                  <c:v>42005.949305555558</c:v>
                </c:pt>
                <c:pt idx="1368">
                  <c:v>42005.95</c:v>
                </c:pt>
                <c:pt idx="1369">
                  <c:v>42005.950694444444</c:v>
                </c:pt>
                <c:pt idx="1370">
                  <c:v>42005.951388888891</c:v>
                </c:pt>
                <c:pt idx="1371">
                  <c:v>42005.95208333333</c:v>
                </c:pt>
                <c:pt idx="1372">
                  <c:v>42005.952777777777</c:v>
                </c:pt>
                <c:pt idx="1373">
                  <c:v>42005.953472222223</c:v>
                </c:pt>
                <c:pt idx="1374">
                  <c:v>42005.95416666667</c:v>
                </c:pt>
                <c:pt idx="1375">
                  <c:v>42005.954861111109</c:v>
                </c:pt>
                <c:pt idx="1376">
                  <c:v>42005.955555555556</c:v>
                </c:pt>
                <c:pt idx="1377">
                  <c:v>42005.956250000003</c:v>
                </c:pt>
                <c:pt idx="1378">
                  <c:v>42005.956944444442</c:v>
                </c:pt>
                <c:pt idx="1379">
                  <c:v>42005.957638888889</c:v>
                </c:pt>
                <c:pt idx="1380">
                  <c:v>42005.958333333336</c:v>
                </c:pt>
                <c:pt idx="1381">
                  <c:v>42005.959027777775</c:v>
                </c:pt>
                <c:pt idx="1382">
                  <c:v>42005.959722222222</c:v>
                </c:pt>
                <c:pt idx="1383">
                  <c:v>42005.960416666669</c:v>
                </c:pt>
                <c:pt idx="1384">
                  <c:v>42005.961111111108</c:v>
                </c:pt>
                <c:pt idx="1385">
                  <c:v>42005.961805555555</c:v>
                </c:pt>
                <c:pt idx="1386">
                  <c:v>42005.962500000001</c:v>
                </c:pt>
                <c:pt idx="1387">
                  <c:v>42005.963194444441</c:v>
                </c:pt>
                <c:pt idx="1388">
                  <c:v>42005.963888888888</c:v>
                </c:pt>
                <c:pt idx="1389">
                  <c:v>42005.964583333334</c:v>
                </c:pt>
                <c:pt idx="1390">
                  <c:v>42005.965277777781</c:v>
                </c:pt>
                <c:pt idx="1391">
                  <c:v>42005.96597222222</c:v>
                </c:pt>
                <c:pt idx="1392">
                  <c:v>42005.966666666667</c:v>
                </c:pt>
                <c:pt idx="1393">
                  <c:v>42005.967361111114</c:v>
                </c:pt>
                <c:pt idx="1394">
                  <c:v>42005.968055555553</c:v>
                </c:pt>
                <c:pt idx="1395">
                  <c:v>42005.96875</c:v>
                </c:pt>
                <c:pt idx="1396">
                  <c:v>42005.969444444447</c:v>
                </c:pt>
                <c:pt idx="1397">
                  <c:v>42005.970138888886</c:v>
                </c:pt>
                <c:pt idx="1398">
                  <c:v>42005.970833333333</c:v>
                </c:pt>
                <c:pt idx="1399">
                  <c:v>42005.97152777778</c:v>
                </c:pt>
                <c:pt idx="1400">
                  <c:v>42005.972222222219</c:v>
                </c:pt>
                <c:pt idx="1401">
                  <c:v>42005.972916666666</c:v>
                </c:pt>
                <c:pt idx="1402">
                  <c:v>42005.973611111112</c:v>
                </c:pt>
                <c:pt idx="1403">
                  <c:v>42005.974305555559</c:v>
                </c:pt>
                <c:pt idx="1404">
                  <c:v>42005.974999999999</c:v>
                </c:pt>
                <c:pt idx="1405">
                  <c:v>42005.975694444445</c:v>
                </c:pt>
                <c:pt idx="1406">
                  <c:v>42005.976388888892</c:v>
                </c:pt>
                <c:pt idx="1407">
                  <c:v>42005.977083333331</c:v>
                </c:pt>
                <c:pt idx="1408">
                  <c:v>42005.977777777778</c:v>
                </c:pt>
                <c:pt idx="1409">
                  <c:v>42005.978472222225</c:v>
                </c:pt>
                <c:pt idx="1410">
                  <c:v>42005.979166666664</c:v>
                </c:pt>
                <c:pt idx="1411">
                  <c:v>42005.979861111111</c:v>
                </c:pt>
                <c:pt idx="1412">
                  <c:v>42005.980555555558</c:v>
                </c:pt>
                <c:pt idx="1413">
                  <c:v>42005.981249999997</c:v>
                </c:pt>
                <c:pt idx="1414">
                  <c:v>42005.981944444444</c:v>
                </c:pt>
                <c:pt idx="1415">
                  <c:v>42005.982638888891</c:v>
                </c:pt>
                <c:pt idx="1416">
                  <c:v>42005.98333333333</c:v>
                </c:pt>
                <c:pt idx="1417">
                  <c:v>42005.984027777777</c:v>
                </c:pt>
                <c:pt idx="1418">
                  <c:v>42005.984722222223</c:v>
                </c:pt>
                <c:pt idx="1419">
                  <c:v>42005.98541666667</c:v>
                </c:pt>
                <c:pt idx="1420">
                  <c:v>42005.986111111109</c:v>
                </c:pt>
                <c:pt idx="1421">
                  <c:v>42005.986805555556</c:v>
                </c:pt>
                <c:pt idx="1422">
                  <c:v>42005.987500000003</c:v>
                </c:pt>
                <c:pt idx="1423">
                  <c:v>42005.988194444442</c:v>
                </c:pt>
                <c:pt idx="1424">
                  <c:v>42005.988888888889</c:v>
                </c:pt>
                <c:pt idx="1425">
                  <c:v>42005.989583333336</c:v>
                </c:pt>
                <c:pt idx="1426">
                  <c:v>42005.990277777775</c:v>
                </c:pt>
                <c:pt idx="1427">
                  <c:v>42005.990972222222</c:v>
                </c:pt>
                <c:pt idx="1428">
                  <c:v>42005.991666666669</c:v>
                </c:pt>
                <c:pt idx="1429">
                  <c:v>42005.992361111108</c:v>
                </c:pt>
                <c:pt idx="1430">
                  <c:v>42005.993055555555</c:v>
                </c:pt>
                <c:pt idx="1431">
                  <c:v>42005.993750000001</c:v>
                </c:pt>
                <c:pt idx="1432">
                  <c:v>42005.994444444441</c:v>
                </c:pt>
                <c:pt idx="1433">
                  <c:v>42005.995138888888</c:v>
                </c:pt>
                <c:pt idx="1434">
                  <c:v>42005.995833333334</c:v>
                </c:pt>
                <c:pt idx="1435">
                  <c:v>42005.996527777781</c:v>
                </c:pt>
                <c:pt idx="1436">
                  <c:v>42005.99722222222</c:v>
                </c:pt>
                <c:pt idx="1437">
                  <c:v>42005.997916666667</c:v>
                </c:pt>
                <c:pt idx="1438">
                  <c:v>42005.998611111114</c:v>
                </c:pt>
                <c:pt idx="1439">
                  <c:v>42005.999305555553</c:v>
                </c:pt>
              </c:numCache>
            </c:numRef>
          </c:xVal>
          <c:yVal>
            <c:numRef>
              <c:f>Sheet1!$D$2:$D$1441</c:f>
              <c:numCache>
                <c:formatCode>General</c:formatCode>
                <c:ptCount val="1440"/>
                <c:pt idx="0">
                  <c:v>4.63</c:v>
                </c:pt>
                <c:pt idx="1">
                  <c:v>4.46</c:v>
                </c:pt>
                <c:pt idx="2">
                  <c:v>3.81</c:v>
                </c:pt>
                <c:pt idx="3">
                  <c:v>3.15</c:v>
                </c:pt>
                <c:pt idx="4">
                  <c:v>4.46</c:v>
                </c:pt>
                <c:pt idx="5">
                  <c:v>5.78</c:v>
                </c:pt>
                <c:pt idx="6">
                  <c:v>4.79</c:v>
                </c:pt>
                <c:pt idx="7">
                  <c:v>3.81</c:v>
                </c:pt>
                <c:pt idx="8">
                  <c:v>3.15</c:v>
                </c:pt>
                <c:pt idx="9">
                  <c:v>2.4900000000000002</c:v>
                </c:pt>
                <c:pt idx="10">
                  <c:v>2.4900000000000002</c:v>
                </c:pt>
                <c:pt idx="11">
                  <c:v>2.4900000000000002</c:v>
                </c:pt>
                <c:pt idx="12">
                  <c:v>2.82</c:v>
                </c:pt>
                <c:pt idx="13">
                  <c:v>3.15</c:v>
                </c:pt>
                <c:pt idx="14">
                  <c:v>2.82</c:v>
                </c:pt>
                <c:pt idx="15">
                  <c:v>2.4900000000000002</c:v>
                </c:pt>
                <c:pt idx="16">
                  <c:v>3.48</c:v>
                </c:pt>
                <c:pt idx="17">
                  <c:v>4.46</c:v>
                </c:pt>
                <c:pt idx="18">
                  <c:v>3.81</c:v>
                </c:pt>
                <c:pt idx="19">
                  <c:v>3.15</c:v>
                </c:pt>
                <c:pt idx="20">
                  <c:v>2.98</c:v>
                </c:pt>
                <c:pt idx="21">
                  <c:v>2.82</c:v>
                </c:pt>
                <c:pt idx="22">
                  <c:v>4.13</c:v>
                </c:pt>
                <c:pt idx="23">
                  <c:v>5.45</c:v>
                </c:pt>
                <c:pt idx="24">
                  <c:v>3.97</c:v>
                </c:pt>
                <c:pt idx="25">
                  <c:v>2.4900000000000002</c:v>
                </c:pt>
                <c:pt idx="26">
                  <c:v>2.82</c:v>
                </c:pt>
                <c:pt idx="27">
                  <c:v>3.15</c:v>
                </c:pt>
                <c:pt idx="28">
                  <c:v>2.66</c:v>
                </c:pt>
                <c:pt idx="29">
                  <c:v>2.16</c:v>
                </c:pt>
                <c:pt idx="30">
                  <c:v>3.97</c:v>
                </c:pt>
                <c:pt idx="31">
                  <c:v>5.78</c:v>
                </c:pt>
                <c:pt idx="32">
                  <c:v>5.61</c:v>
                </c:pt>
                <c:pt idx="33">
                  <c:v>5.45</c:v>
                </c:pt>
                <c:pt idx="34">
                  <c:v>4.13</c:v>
                </c:pt>
                <c:pt idx="35">
                  <c:v>2.82</c:v>
                </c:pt>
                <c:pt idx="36">
                  <c:v>2.4900000000000002</c:v>
                </c:pt>
                <c:pt idx="37">
                  <c:v>2.16</c:v>
                </c:pt>
                <c:pt idx="38">
                  <c:v>2.4900000000000002</c:v>
                </c:pt>
                <c:pt idx="39">
                  <c:v>2.82</c:v>
                </c:pt>
                <c:pt idx="40">
                  <c:v>4.13</c:v>
                </c:pt>
                <c:pt idx="41">
                  <c:v>5.45</c:v>
                </c:pt>
                <c:pt idx="42">
                  <c:v>3.97</c:v>
                </c:pt>
                <c:pt idx="43">
                  <c:v>2.4900000000000002</c:v>
                </c:pt>
                <c:pt idx="44">
                  <c:v>3.81</c:v>
                </c:pt>
                <c:pt idx="45">
                  <c:v>5.12</c:v>
                </c:pt>
                <c:pt idx="46">
                  <c:v>5.28</c:v>
                </c:pt>
                <c:pt idx="47">
                  <c:v>5.45</c:v>
                </c:pt>
                <c:pt idx="48">
                  <c:v>3.97</c:v>
                </c:pt>
                <c:pt idx="49">
                  <c:v>2.4900000000000002</c:v>
                </c:pt>
                <c:pt idx="50">
                  <c:v>2.66</c:v>
                </c:pt>
                <c:pt idx="51">
                  <c:v>2.82</c:v>
                </c:pt>
                <c:pt idx="52">
                  <c:v>2.66</c:v>
                </c:pt>
                <c:pt idx="53">
                  <c:v>2.4900000000000002</c:v>
                </c:pt>
                <c:pt idx="54">
                  <c:v>3.64</c:v>
                </c:pt>
                <c:pt idx="55">
                  <c:v>4.79</c:v>
                </c:pt>
                <c:pt idx="56">
                  <c:v>4.95</c:v>
                </c:pt>
                <c:pt idx="57">
                  <c:v>5.12</c:v>
                </c:pt>
                <c:pt idx="58">
                  <c:v>4.46</c:v>
                </c:pt>
                <c:pt idx="59">
                  <c:v>3.81</c:v>
                </c:pt>
                <c:pt idx="60">
                  <c:v>3.48</c:v>
                </c:pt>
                <c:pt idx="61">
                  <c:v>3.15</c:v>
                </c:pt>
                <c:pt idx="62">
                  <c:v>3.31</c:v>
                </c:pt>
                <c:pt idx="63">
                  <c:v>3.48</c:v>
                </c:pt>
                <c:pt idx="64">
                  <c:v>2.82</c:v>
                </c:pt>
                <c:pt idx="65">
                  <c:v>2.16</c:v>
                </c:pt>
                <c:pt idx="66">
                  <c:v>2.33</c:v>
                </c:pt>
                <c:pt idx="67">
                  <c:v>2.4900000000000002</c:v>
                </c:pt>
                <c:pt idx="68">
                  <c:v>2.66</c:v>
                </c:pt>
                <c:pt idx="69">
                  <c:v>2.82</c:v>
                </c:pt>
                <c:pt idx="70">
                  <c:v>4.3</c:v>
                </c:pt>
                <c:pt idx="71">
                  <c:v>5.78</c:v>
                </c:pt>
                <c:pt idx="72">
                  <c:v>4.13</c:v>
                </c:pt>
                <c:pt idx="73">
                  <c:v>2.4900000000000002</c:v>
                </c:pt>
                <c:pt idx="74">
                  <c:v>2.4900000000000002</c:v>
                </c:pt>
                <c:pt idx="75">
                  <c:v>2.4900000000000002</c:v>
                </c:pt>
                <c:pt idx="76">
                  <c:v>2.4900000000000002</c:v>
                </c:pt>
                <c:pt idx="77">
                  <c:v>2.4900000000000002</c:v>
                </c:pt>
                <c:pt idx="78">
                  <c:v>2.33</c:v>
                </c:pt>
                <c:pt idx="79">
                  <c:v>2.16</c:v>
                </c:pt>
                <c:pt idx="80">
                  <c:v>2.4900000000000002</c:v>
                </c:pt>
                <c:pt idx="81">
                  <c:v>2.82</c:v>
                </c:pt>
                <c:pt idx="82">
                  <c:v>3.64</c:v>
                </c:pt>
                <c:pt idx="83">
                  <c:v>4.46</c:v>
                </c:pt>
                <c:pt idx="84">
                  <c:v>4.3</c:v>
                </c:pt>
                <c:pt idx="85">
                  <c:v>4.13</c:v>
                </c:pt>
                <c:pt idx="86">
                  <c:v>4.79</c:v>
                </c:pt>
                <c:pt idx="87">
                  <c:v>5.45</c:v>
                </c:pt>
                <c:pt idx="88">
                  <c:v>4.13</c:v>
                </c:pt>
                <c:pt idx="89">
                  <c:v>2.82</c:v>
                </c:pt>
                <c:pt idx="90">
                  <c:v>2.66</c:v>
                </c:pt>
                <c:pt idx="91">
                  <c:v>2.4900000000000002</c:v>
                </c:pt>
                <c:pt idx="92">
                  <c:v>3.48</c:v>
                </c:pt>
                <c:pt idx="93">
                  <c:v>4.46</c:v>
                </c:pt>
                <c:pt idx="94">
                  <c:v>5.12</c:v>
                </c:pt>
                <c:pt idx="95">
                  <c:v>5.78</c:v>
                </c:pt>
                <c:pt idx="96">
                  <c:v>5.28</c:v>
                </c:pt>
                <c:pt idx="97">
                  <c:v>4.79</c:v>
                </c:pt>
                <c:pt idx="98">
                  <c:v>4.79</c:v>
                </c:pt>
                <c:pt idx="99">
                  <c:v>4.79</c:v>
                </c:pt>
                <c:pt idx="100">
                  <c:v>3.97</c:v>
                </c:pt>
                <c:pt idx="101">
                  <c:v>3.15</c:v>
                </c:pt>
                <c:pt idx="102">
                  <c:v>4.46</c:v>
                </c:pt>
                <c:pt idx="103">
                  <c:v>5.78</c:v>
                </c:pt>
                <c:pt idx="104">
                  <c:v>4.3</c:v>
                </c:pt>
                <c:pt idx="105">
                  <c:v>2.82</c:v>
                </c:pt>
                <c:pt idx="106">
                  <c:v>2.82</c:v>
                </c:pt>
                <c:pt idx="107">
                  <c:v>2.82</c:v>
                </c:pt>
                <c:pt idx="108">
                  <c:v>2.82</c:v>
                </c:pt>
                <c:pt idx="109">
                  <c:v>2.82</c:v>
                </c:pt>
                <c:pt idx="110">
                  <c:v>2.66</c:v>
                </c:pt>
                <c:pt idx="111">
                  <c:v>2.4900000000000002</c:v>
                </c:pt>
                <c:pt idx="112">
                  <c:v>2.4900000000000002</c:v>
                </c:pt>
                <c:pt idx="113">
                  <c:v>2.4900000000000002</c:v>
                </c:pt>
                <c:pt idx="114">
                  <c:v>2.98</c:v>
                </c:pt>
                <c:pt idx="115">
                  <c:v>3.48</c:v>
                </c:pt>
                <c:pt idx="116">
                  <c:v>2.98</c:v>
                </c:pt>
                <c:pt idx="117">
                  <c:v>2.4900000000000002</c:v>
                </c:pt>
                <c:pt idx="118">
                  <c:v>2.66</c:v>
                </c:pt>
                <c:pt idx="119">
                  <c:v>2.82</c:v>
                </c:pt>
                <c:pt idx="120">
                  <c:v>2.66</c:v>
                </c:pt>
                <c:pt idx="121">
                  <c:v>2.4900000000000002</c:v>
                </c:pt>
                <c:pt idx="122">
                  <c:v>3.81</c:v>
                </c:pt>
                <c:pt idx="123">
                  <c:v>5.12</c:v>
                </c:pt>
                <c:pt idx="124">
                  <c:v>4.3</c:v>
                </c:pt>
                <c:pt idx="125">
                  <c:v>3.48</c:v>
                </c:pt>
                <c:pt idx="126">
                  <c:v>2.98</c:v>
                </c:pt>
                <c:pt idx="127">
                  <c:v>2.4900000000000002</c:v>
                </c:pt>
                <c:pt idx="128">
                  <c:v>3.97</c:v>
                </c:pt>
                <c:pt idx="129">
                  <c:v>5.45</c:v>
                </c:pt>
                <c:pt idx="130">
                  <c:v>5.12</c:v>
                </c:pt>
                <c:pt idx="131">
                  <c:v>4.79</c:v>
                </c:pt>
                <c:pt idx="132">
                  <c:v>4.95</c:v>
                </c:pt>
                <c:pt idx="133">
                  <c:v>5.12</c:v>
                </c:pt>
                <c:pt idx="134">
                  <c:v>3.97</c:v>
                </c:pt>
                <c:pt idx="135">
                  <c:v>2.82</c:v>
                </c:pt>
                <c:pt idx="136">
                  <c:v>5.28</c:v>
                </c:pt>
                <c:pt idx="137">
                  <c:v>7.74</c:v>
                </c:pt>
                <c:pt idx="138">
                  <c:v>6.1</c:v>
                </c:pt>
                <c:pt idx="139">
                  <c:v>4.46</c:v>
                </c:pt>
                <c:pt idx="140">
                  <c:v>3.81</c:v>
                </c:pt>
                <c:pt idx="141">
                  <c:v>3.15</c:v>
                </c:pt>
                <c:pt idx="142">
                  <c:v>3.97</c:v>
                </c:pt>
                <c:pt idx="143">
                  <c:v>4.79</c:v>
                </c:pt>
                <c:pt idx="144">
                  <c:v>4.3</c:v>
                </c:pt>
                <c:pt idx="145">
                  <c:v>3.81</c:v>
                </c:pt>
                <c:pt idx="146">
                  <c:v>4.3</c:v>
                </c:pt>
                <c:pt idx="147">
                  <c:v>4.79</c:v>
                </c:pt>
                <c:pt idx="148">
                  <c:v>4.79</c:v>
                </c:pt>
                <c:pt idx="149">
                  <c:v>4.79</c:v>
                </c:pt>
                <c:pt idx="150">
                  <c:v>4.63</c:v>
                </c:pt>
                <c:pt idx="151">
                  <c:v>4.46</c:v>
                </c:pt>
                <c:pt idx="152">
                  <c:v>4.46</c:v>
                </c:pt>
                <c:pt idx="153">
                  <c:v>4.46</c:v>
                </c:pt>
                <c:pt idx="154">
                  <c:v>4.95</c:v>
                </c:pt>
                <c:pt idx="155">
                  <c:v>5.45</c:v>
                </c:pt>
                <c:pt idx="156">
                  <c:v>5.28</c:v>
                </c:pt>
                <c:pt idx="157">
                  <c:v>5.12</c:v>
                </c:pt>
                <c:pt idx="158">
                  <c:v>4.3</c:v>
                </c:pt>
                <c:pt idx="159">
                  <c:v>3.48</c:v>
                </c:pt>
                <c:pt idx="160">
                  <c:v>3.31</c:v>
                </c:pt>
                <c:pt idx="161">
                  <c:v>3.15</c:v>
                </c:pt>
                <c:pt idx="162">
                  <c:v>5.12</c:v>
                </c:pt>
                <c:pt idx="163">
                  <c:v>7.09</c:v>
                </c:pt>
                <c:pt idx="164">
                  <c:v>5.61</c:v>
                </c:pt>
                <c:pt idx="165">
                  <c:v>4.13</c:v>
                </c:pt>
                <c:pt idx="166">
                  <c:v>5.28</c:v>
                </c:pt>
                <c:pt idx="167">
                  <c:v>6.43</c:v>
                </c:pt>
                <c:pt idx="168">
                  <c:v>4.3</c:v>
                </c:pt>
                <c:pt idx="169">
                  <c:v>2.16</c:v>
                </c:pt>
                <c:pt idx="170">
                  <c:v>3.31</c:v>
                </c:pt>
                <c:pt idx="171">
                  <c:v>4.46</c:v>
                </c:pt>
                <c:pt idx="172">
                  <c:v>3.48</c:v>
                </c:pt>
                <c:pt idx="173">
                  <c:v>2.4900000000000002</c:v>
                </c:pt>
                <c:pt idx="174">
                  <c:v>3.31</c:v>
                </c:pt>
                <c:pt idx="175">
                  <c:v>4.13</c:v>
                </c:pt>
                <c:pt idx="176">
                  <c:v>3.64</c:v>
                </c:pt>
                <c:pt idx="177">
                  <c:v>3.15</c:v>
                </c:pt>
                <c:pt idx="178">
                  <c:v>2.33</c:v>
                </c:pt>
                <c:pt idx="179">
                  <c:v>1.51</c:v>
                </c:pt>
                <c:pt idx="180">
                  <c:v>2</c:v>
                </c:pt>
                <c:pt idx="181">
                  <c:v>2.4900000000000002</c:v>
                </c:pt>
                <c:pt idx="182">
                  <c:v>2.4900000000000002</c:v>
                </c:pt>
                <c:pt idx="183">
                  <c:v>2.4900000000000002</c:v>
                </c:pt>
                <c:pt idx="184">
                  <c:v>3.15</c:v>
                </c:pt>
                <c:pt idx="185">
                  <c:v>3.81</c:v>
                </c:pt>
                <c:pt idx="186">
                  <c:v>3.64</c:v>
                </c:pt>
                <c:pt idx="187">
                  <c:v>3.48</c:v>
                </c:pt>
                <c:pt idx="188">
                  <c:v>4.63</c:v>
                </c:pt>
                <c:pt idx="189">
                  <c:v>5.78</c:v>
                </c:pt>
                <c:pt idx="190">
                  <c:v>4.79</c:v>
                </c:pt>
                <c:pt idx="191">
                  <c:v>3.81</c:v>
                </c:pt>
                <c:pt idx="192">
                  <c:v>2.82</c:v>
                </c:pt>
                <c:pt idx="193">
                  <c:v>1.84</c:v>
                </c:pt>
                <c:pt idx="194">
                  <c:v>3.15</c:v>
                </c:pt>
                <c:pt idx="195">
                  <c:v>4.46</c:v>
                </c:pt>
                <c:pt idx="196">
                  <c:v>3.97</c:v>
                </c:pt>
                <c:pt idx="197">
                  <c:v>3.48</c:v>
                </c:pt>
                <c:pt idx="198">
                  <c:v>3.64</c:v>
                </c:pt>
                <c:pt idx="199">
                  <c:v>3.81</c:v>
                </c:pt>
                <c:pt idx="200">
                  <c:v>3.64</c:v>
                </c:pt>
                <c:pt idx="201">
                  <c:v>3.48</c:v>
                </c:pt>
                <c:pt idx="202">
                  <c:v>4.13</c:v>
                </c:pt>
                <c:pt idx="203">
                  <c:v>4.79</c:v>
                </c:pt>
                <c:pt idx="204">
                  <c:v>5.28</c:v>
                </c:pt>
                <c:pt idx="205">
                  <c:v>5.78</c:v>
                </c:pt>
                <c:pt idx="206">
                  <c:v>4.3</c:v>
                </c:pt>
                <c:pt idx="207">
                  <c:v>2.82</c:v>
                </c:pt>
                <c:pt idx="208">
                  <c:v>2.66</c:v>
                </c:pt>
                <c:pt idx="209">
                  <c:v>2.4900000000000002</c:v>
                </c:pt>
                <c:pt idx="210">
                  <c:v>2.82</c:v>
                </c:pt>
                <c:pt idx="211">
                  <c:v>3.15</c:v>
                </c:pt>
                <c:pt idx="212">
                  <c:v>4.46</c:v>
                </c:pt>
                <c:pt idx="213">
                  <c:v>5.78</c:v>
                </c:pt>
                <c:pt idx="214">
                  <c:v>4.79</c:v>
                </c:pt>
                <c:pt idx="215">
                  <c:v>3.81</c:v>
                </c:pt>
                <c:pt idx="216">
                  <c:v>3.48</c:v>
                </c:pt>
                <c:pt idx="217">
                  <c:v>3.15</c:v>
                </c:pt>
                <c:pt idx="218">
                  <c:v>3.48</c:v>
                </c:pt>
                <c:pt idx="219">
                  <c:v>3.81</c:v>
                </c:pt>
                <c:pt idx="220">
                  <c:v>4.3</c:v>
                </c:pt>
                <c:pt idx="221">
                  <c:v>4.79</c:v>
                </c:pt>
                <c:pt idx="222">
                  <c:v>3.81</c:v>
                </c:pt>
                <c:pt idx="223">
                  <c:v>2.82</c:v>
                </c:pt>
                <c:pt idx="224">
                  <c:v>2.66</c:v>
                </c:pt>
                <c:pt idx="225">
                  <c:v>2.4900000000000002</c:v>
                </c:pt>
                <c:pt idx="226">
                  <c:v>3.31</c:v>
                </c:pt>
                <c:pt idx="227">
                  <c:v>4.13</c:v>
                </c:pt>
                <c:pt idx="228">
                  <c:v>4.13</c:v>
                </c:pt>
                <c:pt idx="229">
                  <c:v>4.13</c:v>
                </c:pt>
                <c:pt idx="230">
                  <c:v>4.13</c:v>
                </c:pt>
                <c:pt idx="231">
                  <c:v>4.13</c:v>
                </c:pt>
                <c:pt idx="232">
                  <c:v>3.64</c:v>
                </c:pt>
                <c:pt idx="233">
                  <c:v>3.15</c:v>
                </c:pt>
                <c:pt idx="234">
                  <c:v>2.98</c:v>
                </c:pt>
                <c:pt idx="235">
                  <c:v>2.82</c:v>
                </c:pt>
                <c:pt idx="236">
                  <c:v>2.66</c:v>
                </c:pt>
                <c:pt idx="237">
                  <c:v>2.4900000000000002</c:v>
                </c:pt>
                <c:pt idx="238">
                  <c:v>2.4900000000000002</c:v>
                </c:pt>
                <c:pt idx="239">
                  <c:v>2.4900000000000002</c:v>
                </c:pt>
                <c:pt idx="240">
                  <c:v>2.66</c:v>
                </c:pt>
                <c:pt idx="241">
                  <c:v>2.82</c:v>
                </c:pt>
                <c:pt idx="242">
                  <c:v>2.4900000000000002</c:v>
                </c:pt>
                <c:pt idx="243">
                  <c:v>2.16</c:v>
                </c:pt>
                <c:pt idx="244">
                  <c:v>2.4900000000000002</c:v>
                </c:pt>
                <c:pt idx="245">
                  <c:v>2.82</c:v>
                </c:pt>
                <c:pt idx="246">
                  <c:v>2.4900000000000002</c:v>
                </c:pt>
                <c:pt idx="247">
                  <c:v>2.16</c:v>
                </c:pt>
                <c:pt idx="248">
                  <c:v>3.97</c:v>
                </c:pt>
                <c:pt idx="249">
                  <c:v>5.78</c:v>
                </c:pt>
                <c:pt idx="250">
                  <c:v>4.63</c:v>
                </c:pt>
                <c:pt idx="251">
                  <c:v>3.48</c:v>
                </c:pt>
                <c:pt idx="252">
                  <c:v>2.82</c:v>
                </c:pt>
                <c:pt idx="253">
                  <c:v>2.16</c:v>
                </c:pt>
                <c:pt idx="254">
                  <c:v>4.13</c:v>
                </c:pt>
                <c:pt idx="255">
                  <c:v>6.1</c:v>
                </c:pt>
                <c:pt idx="256">
                  <c:v>4.95</c:v>
                </c:pt>
                <c:pt idx="257">
                  <c:v>3.81</c:v>
                </c:pt>
                <c:pt idx="258">
                  <c:v>2.98</c:v>
                </c:pt>
                <c:pt idx="259">
                  <c:v>2.16</c:v>
                </c:pt>
                <c:pt idx="260">
                  <c:v>2.33</c:v>
                </c:pt>
                <c:pt idx="261">
                  <c:v>2.4900000000000002</c:v>
                </c:pt>
                <c:pt idx="262">
                  <c:v>2.4900000000000002</c:v>
                </c:pt>
                <c:pt idx="263">
                  <c:v>2.4900000000000002</c:v>
                </c:pt>
                <c:pt idx="264">
                  <c:v>3.64</c:v>
                </c:pt>
                <c:pt idx="265">
                  <c:v>4.79</c:v>
                </c:pt>
                <c:pt idx="266">
                  <c:v>3.97</c:v>
                </c:pt>
                <c:pt idx="267">
                  <c:v>3.15</c:v>
                </c:pt>
                <c:pt idx="268">
                  <c:v>3.48</c:v>
                </c:pt>
                <c:pt idx="269">
                  <c:v>3.81</c:v>
                </c:pt>
                <c:pt idx="270">
                  <c:v>3.64</c:v>
                </c:pt>
                <c:pt idx="271">
                  <c:v>3.48</c:v>
                </c:pt>
                <c:pt idx="272">
                  <c:v>4.13</c:v>
                </c:pt>
                <c:pt idx="273">
                  <c:v>4.79</c:v>
                </c:pt>
                <c:pt idx="274">
                  <c:v>3.64</c:v>
                </c:pt>
                <c:pt idx="275">
                  <c:v>2.4900000000000002</c:v>
                </c:pt>
                <c:pt idx="276">
                  <c:v>3.97</c:v>
                </c:pt>
                <c:pt idx="277">
                  <c:v>5.45</c:v>
                </c:pt>
                <c:pt idx="278">
                  <c:v>4.63</c:v>
                </c:pt>
                <c:pt idx="279">
                  <c:v>3.81</c:v>
                </c:pt>
                <c:pt idx="280">
                  <c:v>4.13</c:v>
                </c:pt>
                <c:pt idx="281">
                  <c:v>4.46</c:v>
                </c:pt>
                <c:pt idx="282">
                  <c:v>6.1</c:v>
                </c:pt>
                <c:pt idx="283">
                  <c:v>7.74</c:v>
                </c:pt>
                <c:pt idx="284">
                  <c:v>5.61</c:v>
                </c:pt>
                <c:pt idx="285">
                  <c:v>3.48</c:v>
                </c:pt>
                <c:pt idx="286">
                  <c:v>2.98</c:v>
                </c:pt>
                <c:pt idx="287">
                  <c:v>2.4900000000000002</c:v>
                </c:pt>
                <c:pt idx="288">
                  <c:v>3.48</c:v>
                </c:pt>
                <c:pt idx="289">
                  <c:v>4.46</c:v>
                </c:pt>
                <c:pt idx="290">
                  <c:v>4.79</c:v>
                </c:pt>
                <c:pt idx="291">
                  <c:v>5.12</c:v>
                </c:pt>
                <c:pt idx="292">
                  <c:v>4.46</c:v>
                </c:pt>
                <c:pt idx="293">
                  <c:v>3.81</c:v>
                </c:pt>
                <c:pt idx="294">
                  <c:v>3.64</c:v>
                </c:pt>
                <c:pt idx="295">
                  <c:v>3.48</c:v>
                </c:pt>
                <c:pt idx="296">
                  <c:v>3.31</c:v>
                </c:pt>
                <c:pt idx="297">
                  <c:v>3.15</c:v>
                </c:pt>
                <c:pt idx="298">
                  <c:v>3.15</c:v>
                </c:pt>
                <c:pt idx="299">
                  <c:v>3.15</c:v>
                </c:pt>
                <c:pt idx="300">
                  <c:v>4.46</c:v>
                </c:pt>
                <c:pt idx="301">
                  <c:v>5.78</c:v>
                </c:pt>
                <c:pt idx="302">
                  <c:v>5.12</c:v>
                </c:pt>
                <c:pt idx="303">
                  <c:v>4.46</c:v>
                </c:pt>
                <c:pt idx="304">
                  <c:v>4.79</c:v>
                </c:pt>
                <c:pt idx="305">
                  <c:v>5.12</c:v>
                </c:pt>
                <c:pt idx="306">
                  <c:v>3.97</c:v>
                </c:pt>
                <c:pt idx="307">
                  <c:v>2.82</c:v>
                </c:pt>
                <c:pt idx="308">
                  <c:v>2.4900000000000002</c:v>
                </c:pt>
                <c:pt idx="309">
                  <c:v>2.16</c:v>
                </c:pt>
                <c:pt idx="310">
                  <c:v>2.66</c:v>
                </c:pt>
                <c:pt idx="311">
                  <c:v>3.15</c:v>
                </c:pt>
                <c:pt idx="312">
                  <c:v>3.64</c:v>
                </c:pt>
                <c:pt idx="313">
                  <c:v>4.13</c:v>
                </c:pt>
                <c:pt idx="314">
                  <c:v>3.31</c:v>
                </c:pt>
                <c:pt idx="315">
                  <c:v>2.4900000000000002</c:v>
                </c:pt>
                <c:pt idx="316">
                  <c:v>3.48</c:v>
                </c:pt>
                <c:pt idx="317">
                  <c:v>4.46</c:v>
                </c:pt>
                <c:pt idx="318">
                  <c:v>4.46</c:v>
                </c:pt>
                <c:pt idx="319">
                  <c:v>4.46</c:v>
                </c:pt>
                <c:pt idx="320">
                  <c:v>3.64</c:v>
                </c:pt>
                <c:pt idx="321">
                  <c:v>2.82</c:v>
                </c:pt>
                <c:pt idx="322">
                  <c:v>3.97</c:v>
                </c:pt>
                <c:pt idx="323">
                  <c:v>5.12</c:v>
                </c:pt>
                <c:pt idx="324">
                  <c:v>5.28</c:v>
                </c:pt>
                <c:pt idx="325">
                  <c:v>5.45</c:v>
                </c:pt>
                <c:pt idx="326">
                  <c:v>4.95</c:v>
                </c:pt>
                <c:pt idx="327">
                  <c:v>4.46</c:v>
                </c:pt>
                <c:pt idx="328">
                  <c:v>3.31</c:v>
                </c:pt>
                <c:pt idx="329">
                  <c:v>2.16</c:v>
                </c:pt>
                <c:pt idx="330">
                  <c:v>2.4900000000000002</c:v>
                </c:pt>
                <c:pt idx="331">
                  <c:v>2.82</c:v>
                </c:pt>
                <c:pt idx="332">
                  <c:v>3.48</c:v>
                </c:pt>
                <c:pt idx="333">
                  <c:v>4.13</c:v>
                </c:pt>
                <c:pt idx="334">
                  <c:v>3.31</c:v>
                </c:pt>
                <c:pt idx="335">
                  <c:v>2.4900000000000002</c:v>
                </c:pt>
                <c:pt idx="336">
                  <c:v>2.4900000000000002</c:v>
                </c:pt>
                <c:pt idx="337">
                  <c:v>2.4900000000000002</c:v>
                </c:pt>
                <c:pt idx="338">
                  <c:v>3.31</c:v>
                </c:pt>
                <c:pt idx="339">
                  <c:v>4.13</c:v>
                </c:pt>
                <c:pt idx="340">
                  <c:v>3.31</c:v>
                </c:pt>
                <c:pt idx="341">
                  <c:v>2.4900000000000002</c:v>
                </c:pt>
                <c:pt idx="342">
                  <c:v>2.82</c:v>
                </c:pt>
                <c:pt idx="343">
                  <c:v>3.15</c:v>
                </c:pt>
                <c:pt idx="344">
                  <c:v>3.81</c:v>
                </c:pt>
                <c:pt idx="345">
                  <c:v>4.46</c:v>
                </c:pt>
                <c:pt idx="346">
                  <c:v>3.48</c:v>
                </c:pt>
                <c:pt idx="347">
                  <c:v>2.4900000000000002</c:v>
                </c:pt>
                <c:pt idx="348">
                  <c:v>2.82</c:v>
                </c:pt>
                <c:pt idx="349">
                  <c:v>3.15</c:v>
                </c:pt>
                <c:pt idx="350">
                  <c:v>2.98</c:v>
                </c:pt>
                <c:pt idx="351">
                  <c:v>2.82</c:v>
                </c:pt>
                <c:pt idx="352">
                  <c:v>2.66</c:v>
                </c:pt>
                <c:pt idx="353">
                  <c:v>2.4900000000000002</c:v>
                </c:pt>
                <c:pt idx="354">
                  <c:v>2.4900000000000002</c:v>
                </c:pt>
                <c:pt idx="355">
                  <c:v>2.4900000000000002</c:v>
                </c:pt>
                <c:pt idx="356">
                  <c:v>2.98</c:v>
                </c:pt>
                <c:pt idx="357">
                  <c:v>3.48</c:v>
                </c:pt>
                <c:pt idx="358">
                  <c:v>3.64</c:v>
                </c:pt>
                <c:pt idx="359">
                  <c:v>3.81</c:v>
                </c:pt>
                <c:pt idx="360">
                  <c:v>3.48</c:v>
                </c:pt>
                <c:pt idx="361">
                  <c:v>3.15</c:v>
                </c:pt>
                <c:pt idx="362">
                  <c:v>3.31</c:v>
                </c:pt>
                <c:pt idx="363">
                  <c:v>3.48</c:v>
                </c:pt>
                <c:pt idx="364">
                  <c:v>3.97</c:v>
                </c:pt>
                <c:pt idx="365">
                  <c:v>4.46</c:v>
                </c:pt>
                <c:pt idx="366">
                  <c:v>4.46</c:v>
                </c:pt>
                <c:pt idx="367">
                  <c:v>4.46</c:v>
                </c:pt>
                <c:pt idx="368">
                  <c:v>3.48</c:v>
                </c:pt>
                <c:pt idx="369">
                  <c:v>2.4900000000000002</c:v>
                </c:pt>
                <c:pt idx="370">
                  <c:v>2.66</c:v>
                </c:pt>
                <c:pt idx="371">
                  <c:v>2.82</c:v>
                </c:pt>
                <c:pt idx="372">
                  <c:v>2.4900000000000002</c:v>
                </c:pt>
                <c:pt idx="373">
                  <c:v>2.16</c:v>
                </c:pt>
                <c:pt idx="374">
                  <c:v>3.64</c:v>
                </c:pt>
                <c:pt idx="375">
                  <c:v>5.12</c:v>
                </c:pt>
                <c:pt idx="376">
                  <c:v>4.13</c:v>
                </c:pt>
                <c:pt idx="377">
                  <c:v>3.15</c:v>
                </c:pt>
                <c:pt idx="378">
                  <c:v>3.81</c:v>
                </c:pt>
                <c:pt idx="379">
                  <c:v>4.46</c:v>
                </c:pt>
                <c:pt idx="380">
                  <c:v>3.48</c:v>
                </c:pt>
                <c:pt idx="381">
                  <c:v>2.4900000000000002</c:v>
                </c:pt>
                <c:pt idx="382">
                  <c:v>3.81</c:v>
                </c:pt>
                <c:pt idx="383">
                  <c:v>5.12</c:v>
                </c:pt>
                <c:pt idx="384">
                  <c:v>5.12</c:v>
                </c:pt>
                <c:pt idx="385">
                  <c:v>5.12</c:v>
                </c:pt>
                <c:pt idx="386">
                  <c:v>3.81</c:v>
                </c:pt>
                <c:pt idx="387">
                  <c:v>2.4900000000000002</c:v>
                </c:pt>
                <c:pt idx="388">
                  <c:v>3.81</c:v>
                </c:pt>
                <c:pt idx="389">
                  <c:v>5.12</c:v>
                </c:pt>
                <c:pt idx="390">
                  <c:v>4.79</c:v>
                </c:pt>
                <c:pt idx="391">
                  <c:v>4.46</c:v>
                </c:pt>
                <c:pt idx="392">
                  <c:v>3.64</c:v>
                </c:pt>
                <c:pt idx="393">
                  <c:v>2.82</c:v>
                </c:pt>
                <c:pt idx="394">
                  <c:v>3.81</c:v>
                </c:pt>
                <c:pt idx="395">
                  <c:v>4.79</c:v>
                </c:pt>
                <c:pt idx="396">
                  <c:v>5.45</c:v>
                </c:pt>
                <c:pt idx="397">
                  <c:v>6.1</c:v>
                </c:pt>
                <c:pt idx="398">
                  <c:v>4.46</c:v>
                </c:pt>
                <c:pt idx="399">
                  <c:v>2.82</c:v>
                </c:pt>
                <c:pt idx="400">
                  <c:v>2.4900000000000002</c:v>
                </c:pt>
                <c:pt idx="401">
                  <c:v>2.16</c:v>
                </c:pt>
                <c:pt idx="402">
                  <c:v>3.48</c:v>
                </c:pt>
                <c:pt idx="403">
                  <c:v>4.79</c:v>
                </c:pt>
                <c:pt idx="404">
                  <c:v>4.95</c:v>
                </c:pt>
                <c:pt idx="405">
                  <c:v>5.12</c:v>
                </c:pt>
                <c:pt idx="406">
                  <c:v>5.45</c:v>
                </c:pt>
                <c:pt idx="407">
                  <c:v>5.78</c:v>
                </c:pt>
                <c:pt idx="408">
                  <c:v>4.63</c:v>
                </c:pt>
                <c:pt idx="409">
                  <c:v>3.48</c:v>
                </c:pt>
                <c:pt idx="410">
                  <c:v>4.63</c:v>
                </c:pt>
                <c:pt idx="411">
                  <c:v>5.78</c:v>
                </c:pt>
                <c:pt idx="412">
                  <c:v>4.95</c:v>
                </c:pt>
                <c:pt idx="413">
                  <c:v>4.13</c:v>
                </c:pt>
                <c:pt idx="414">
                  <c:v>3.31</c:v>
                </c:pt>
                <c:pt idx="415">
                  <c:v>2.4900000000000002</c:v>
                </c:pt>
                <c:pt idx="416">
                  <c:v>4.3</c:v>
                </c:pt>
                <c:pt idx="417">
                  <c:v>6.1</c:v>
                </c:pt>
                <c:pt idx="418">
                  <c:v>6.27</c:v>
                </c:pt>
                <c:pt idx="419">
                  <c:v>6.43</c:v>
                </c:pt>
                <c:pt idx="420">
                  <c:v>5.28</c:v>
                </c:pt>
                <c:pt idx="421">
                  <c:v>4.13</c:v>
                </c:pt>
                <c:pt idx="422">
                  <c:v>4.79</c:v>
                </c:pt>
                <c:pt idx="423">
                  <c:v>5.45</c:v>
                </c:pt>
                <c:pt idx="424">
                  <c:v>3.97</c:v>
                </c:pt>
                <c:pt idx="425">
                  <c:v>2.4900000000000002</c:v>
                </c:pt>
                <c:pt idx="426">
                  <c:v>4.79</c:v>
                </c:pt>
                <c:pt idx="427">
                  <c:v>7.09</c:v>
                </c:pt>
                <c:pt idx="428">
                  <c:v>5.12</c:v>
                </c:pt>
                <c:pt idx="429">
                  <c:v>3.15</c:v>
                </c:pt>
                <c:pt idx="430">
                  <c:v>3.31</c:v>
                </c:pt>
                <c:pt idx="431">
                  <c:v>3.48</c:v>
                </c:pt>
                <c:pt idx="432">
                  <c:v>3.48</c:v>
                </c:pt>
                <c:pt idx="433">
                  <c:v>3.48</c:v>
                </c:pt>
                <c:pt idx="434">
                  <c:v>2.98</c:v>
                </c:pt>
                <c:pt idx="435">
                  <c:v>2.4900000000000002</c:v>
                </c:pt>
                <c:pt idx="436">
                  <c:v>2.66</c:v>
                </c:pt>
                <c:pt idx="437">
                  <c:v>2.82</c:v>
                </c:pt>
                <c:pt idx="438">
                  <c:v>3.31</c:v>
                </c:pt>
                <c:pt idx="439">
                  <c:v>3.81</c:v>
                </c:pt>
                <c:pt idx="440">
                  <c:v>3.48</c:v>
                </c:pt>
                <c:pt idx="441">
                  <c:v>3.15</c:v>
                </c:pt>
                <c:pt idx="442">
                  <c:v>3.97</c:v>
                </c:pt>
                <c:pt idx="443">
                  <c:v>4.79</c:v>
                </c:pt>
                <c:pt idx="444">
                  <c:v>3.48</c:v>
                </c:pt>
                <c:pt idx="445">
                  <c:v>2.16</c:v>
                </c:pt>
                <c:pt idx="446">
                  <c:v>2.4900000000000002</c:v>
                </c:pt>
                <c:pt idx="447">
                  <c:v>2.82</c:v>
                </c:pt>
                <c:pt idx="448">
                  <c:v>2.98</c:v>
                </c:pt>
                <c:pt idx="449">
                  <c:v>3.15</c:v>
                </c:pt>
                <c:pt idx="450">
                  <c:v>3.64</c:v>
                </c:pt>
                <c:pt idx="451">
                  <c:v>4.13</c:v>
                </c:pt>
                <c:pt idx="452">
                  <c:v>3.64</c:v>
                </c:pt>
                <c:pt idx="453">
                  <c:v>3.15</c:v>
                </c:pt>
                <c:pt idx="454">
                  <c:v>3.81</c:v>
                </c:pt>
                <c:pt idx="455">
                  <c:v>4.46</c:v>
                </c:pt>
                <c:pt idx="456">
                  <c:v>4.79</c:v>
                </c:pt>
                <c:pt idx="457">
                  <c:v>5.12</c:v>
                </c:pt>
                <c:pt idx="458">
                  <c:v>4.46</c:v>
                </c:pt>
                <c:pt idx="459">
                  <c:v>3.81</c:v>
                </c:pt>
                <c:pt idx="460">
                  <c:v>4.46</c:v>
                </c:pt>
                <c:pt idx="461">
                  <c:v>5.12</c:v>
                </c:pt>
                <c:pt idx="462">
                  <c:v>5.28</c:v>
                </c:pt>
                <c:pt idx="463">
                  <c:v>5.45</c:v>
                </c:pt>
                <c:pt idx="464">
                  <c:v>4.13</c:v>
                </c:pt>
                <c:pt idx="465">
                  <c:v>2.82</c:v>
                </c:pt>
                <c:pt idx="466">
                  <c:v>2.4900000000000002</c:v>
                </c:pt>
                <c:pt idx="467">
                  <c:v>2.16</c:v>
                </c:pt>
                <c:pt idx="468">
                  <c:v>2.33</c:v>
                </c:pt>
                <c:pt idx="469">
                  <c:v>2.4900000000000002</c:v>
                </c:pt>
                <c:pt idx="470">
                  <c:v>4.13</c:v>
                </c:pt>
                <c:pt idx="471">
                  <c:v>5.78</c:v>
                </c:pt>
                <c:pt idx="472">
                  <c:v>5.28</c:v>
                </c:pt>
                <c:pt idx="473">
                  <c:v>4.79</c:v>
                </c:pt>
                <c:pt idx="474">
                  <c:v>4.13</c:v>
                </c:pt>
                <c:pt idx="475">
                  <c:v>3.48</c:v>
                </c:pt>
                <c:pt idx="476">
                  <c:v>4.13</c:v>
                </c:pt>
                <c:pt idx="477">
                  <c:v>4.79</c:v>
                </c:pt>
                <c:pt idx="478">
                  <c:v>3.64</c:v>
                </c:pt>
                <c:pt idx="479">
                  <c:v>2.4900000000000002</c:v>
                </c:pt>
                <c:pt idx="480">
                  <c:v>3.31</c:v>
                </c:pt>
                <c:pt idx="481">
                  <c:v>4.13</c:v>
                </c:pt>
                <c:pt idx="482">
                  <c:v>3.64</c:v>
                </c:pt>
                <c:pt idx="483">
                  <c:v>3.15</c:v>
                </c:pt>
                <c:pt idx="484">
                  <c:v>2.66</c:v>
                </c:pt>
                <c:pt idx="485">
                  <c:v>2.16</c:v>
                </c:pt>
                <c:pt idx="486">
                  <c:v>2.82</c:v>
                </c:pt>
                <c:pt idx="487">
                  <c:v>3.48</c:v>
                </c:pt>
                <c:pt idx="488">
                  <c:v>3.31</c:v>
                </c:pt>
                <c:pt idx="489">
                  <c:v>3.15</c:v>
                </c:pt>
                <c:pt idx="490">
                  <c:v>3.31</c:v>
                </c:pt>
                <c:pt idx="491">
                  <c:v>3.48</c:v>
                </c:pt>
                <c:pt idx="492">
                  <c:v>3.15</c:v>
                </c:pt>
                <c:pt idx="493">
                  <c:v>2.82</c:v>
                </c:pt>
                <c:pt idx="494">
                  <c:v>2.66</c:v>
                </c:pt>
                <c:pt idx="495">
                  <c:v>2.4900000000000002</c:v>
                </c:pt>
                <c:pt idx="496">
                  <c:v>2.98</c:v>
                </c:pt>
                <c:pt idx="497">
                  <c:v>3.48</c:v>
                </c:pt>
                <c:pt idx="498">
                  <c:v>3.15</c:v>
                </c:pt>
                <c:pt idx="499">
                  <c:v>2.82</c:v>
                </c:pt>
                <c:pt idx="500">
                  <c:v>2.66</c:v>
                </c:pt>
                <c:pt idx="501">
                  <c:v>2.4900000000000002</c:v>
                </c:pt>
                <c:pt idx="502">
                  <c:v>4.79</c:v>
                </c:pt>
                <c:pt idx="503">
                  <c:v>7.09</c:v>
                </c:pt>
                <c:pt idx="504">
                  <c:v>5.78</c:v>
                </c:pt>
                <c:pt idx="505">
                  <c:v>4.46</c:v>
                </c:pt>
                <c:pt idx="506">
                  <c:v>4.46</c:v>
                </c:pt>
                <c:pt idx="507">
                  <c:v>4.46</c:v>
                </c:pt>
                <c:pt idx="508">
                  <c:v>5.28</c:v>
                </c:pt>
                <c:pt idx="509">
                  <c:v>6.1</c:v>
                </c:pt>
                <c:pt idx="510">
                  <c:v>4.3</c:v>
                </c:pt>
                <c:pt idx="511">
                  <c:v>2.4900000000000002</c:v>
                </c:pt>
                <c:pt idx="512">
                  <c:v>3.15</c:v>
                </c:pt>
                <c:pt idx="513">
                  <c:v>3.81</c:v>
                </c:pt>
                <c:pt idx="514">
                  <c:v>4.95</c:v>
                </c:pt>
                <c:pt idx="515">
                  <c:v>6.1</c:v>
                </c:pt>
                <c:pt idx="516">
                  <c:v>5.78</c:v>
                </c:pt>
                <c:pt idx="517">
                  <c:v>5.45</c:v>
                </c:pt>
                <c:pt idx="518">
                  <c:v>5.61</c:v>
                </c:pt>
                <c:pt idx="519">
                  <c:v>5.78</c:v>
                </c:pt>
                <c:pt idx="520">
                  <c:v>5.28</c:v>
                </c:pt>
                <c:pt idx="521">
                  <c:v>4.79</c:v>
                </c:pt>
                <c:pt idx="522">
                  <c:v>5.61</c:v>
                </c:pt>
                <c:pt idx="523">
                  <c:v>6.43</c:v>
                </c:pt>
                <c:pt idx="524">
                  <c:v>7.25</c:v>
                </c:pt>
                <c:pt idx="525">
                  <c:v>8.07</c:v>
                </c:pt>
                <c:pt idx="526">
                  <c:v>6.43</c:v>
                </c:pt>
                <c:pt idx="527">
                  <c:v>4.79</c:v>
                </c:pt>
                <c:pt idx="528">
                  <c:v>6.1</c:v>
                </c:pt>
                <c:pt idx="529">
                  <c:v>7.42</c:v>
                </c:pt>
                <c:pt idx="530">
                  <c:v>5.61</c:v>
                </c:pt>
                <c:pt idx="531">
                  <c:v>3.81</c:v>
                </c:pt>
                <c:pt idx="532">
                  <c:v>4.79</c:v>
                </c:pt>
                <c:pt idx="533">
                  <c:v>5.78</c:v>
                </c:pt>
                <c:pt idx="534">
                  <c:v>5.78</c:v>
                </c:pt>
                <c:pt idx="535">
                  <c:v>5.78</c:v>
                </c:pt>
                <c:pt idx="536">
                  <c:v>5.12</c:v>
                </c:pt>
                <c:pt idx="537">
                  <c:v>4.46</c:v>
                </c:pt>
                <c:pt idx="538">
                  <c:v>6.1</c:v>
                </c:pt>
                <c:pt idx="539">
                  <c:v>7.74</c:v>
                </c:pt>
                <c:pt idx="540">
                  <c:v>8.07</c:v>
                </c:pt>
                <c:pt idx="541">
                  <c:v>8.4</c:v>
                </c:pt>
                <c:pt idx="542">
                  <c:v>9.5500000000000007</c:v>
                </c:pt>
                <c:pt idx="543">
                  <c:v>10.7</c:v>
                </c:pt>
                <c:pt idx="544">
                  <c:v>8.89</c:v>
                </c:pt>
                <c:pt idx="545">
                  <c:v>7.09</c:v>
                </c:pt>
                <c:pt idx="546">
                  <c:v>8.24</c:v>
                </c:pt>
                <c:pt idx="547">
                  <c:v>9.39</c:v>
                </c:pt>
                <c:pt idx="548">
                  <c:v>7.91</c:v>
                </c:pt>
                <c:pt idx="549">
                  <c:v>6.43</c:v>
                </c:pt>
                <c:pt idx="550">
                  <c:v>6.92</c:v>
                </c:pt>
                <c:pt idx="551">
                  <c:v>7.42</c:v>
                </c:pt>
                <c:pt idx="552">
                  <c:v>8.73</c:v>
                </c:pt>
                <c:pt idx="553">
                  <c:v>10.039999999999999</c:v>
                </c:pt>
                <c:pt idx="554">
                  <c:v>10.53</c:v>
                </c:pt>
                <c:pt idx="555">
                  <c:v>11.03</c:v>
                </c:pt>
                <c:pt idx="556">
                  <c:v>13.49</c:v>
                </c:pt>
                <c:pt idx="557">
                  <c:v>15.95</c:v>
                </c:pt>
                <c:pt idx="558">
                  <c:v>14.64</c:v>
                </c:pt>
                <c:pt idx="559">
                  <c:v>13.33</c:v>
                </c:pt>
                <c:pt idx="560">
                  <c:v>13.16</c:v>
                </c:pt>
                <c:pt idx="561">
                  <c:v>13</c:v>
                </c:pt>
                <c:pt idx="562">
                  <c:v>13.82</c:v>
                </c:pt>
                <c:pt idx="563">
                  <c:v>14.64</c:v>
                </c:pt>
                <c:pt idx="564">
                  <c:v>16.12</c:v>
                </c:pt>
                <c:pt idx="565">
                  <c:v>17.59</c:v>
                </c:pt>
                <c:pt idx="566">
                  <c:v>16.28</c:v>
                </c:pt>
                <c:pt idx="567">
                  <c:v>14.97</c:v>
                </c:pt>
                <c:pt idx="568">
                  <c:v>15.29</c:v>
                </c:pt>
                <c:pt idx="569">
                  <c:v>15.62</c:v>
                </c:pt>
                <c:pt idx="570">
                  <c:v>17.100000000000001</c:v>
                </c:pt>
                <c:pt idx="571">
                  <c:v>18.579999999999998</c:v>
                </c:pt>
                <c:pt idx="572">
                  <c:v>18.09</c:v>
                </c:pt>
                <c:pt idx="573">
                  <c:v>17.59</c:v>
                </c:pt>
                <c:pt idx="574">
                  <c:v>19.399999999999999</c:v>
                </c:pt>
                <c:pt idx="575">
                  <c:v>21.2</c:v>
                </c:pt>
                <c:pt idx="576">
                  <c:v>22.52</c:v>
                </c:pt>
                <c:pt idx="577">
                  <c:v>23.83</c:v>
                </c:pt>
                <c:pt idx="578">
                  <c:v>25.96</c:v>
                </c:pt>
                <c:pt idx="579">
                  <c:v>28.1</c:v>
                </c:pt>
                <c:pt idx="580">
                  <c:v>27.11</c:v>
                </c:pt>
                <c:pt idx="581">
                  <c:v>26.13</c:v>
                </c:pt>
                <c:pt idx="582">
                  <c:v>30.72</c:v>
                </c:pt>
                <c:pt idx="583">
                  <c:v>35.32</c:v>
                </c:pt>
                <c:pt idx="584">
                  <c:v>31.71</c:v>
                </c:pt>
                <c:pt idx="585">
                  <c:v>28.1</c:v>
                </c:pt>
                <c:pt idx="586">
                  <c:v>24.65</c:v>
                </c:pt>
                <c:pt idx="587">
                  <c:v>21.2</c:v>
                </c:pt>
                <c:pt idx="588">
                  <c:v>30.07</c:v>
                </c:pt>
                <c:pt idx="589">
                  <c:v>38.93</c:v>
                </c:pt>
                <c:pt idx="590">
                  <c:v>36.14</c:v>
                </c:pt>
                <c:pt idx="591">
                  <c:v>33.35</c:v>
                </c:pt>
                <c:pt idx="592">
                  <c:v>31.38</c:v>
                </c:pt>
                <c:pt idx="593">
                  <c:v>29.41</c:v>
                </c:pt>
                <c:pt idx="594">
                  <c:v>30.72</c:v>
                </c:pt>
                <c:pt idx="595">
                  <c:v>32.04</c:v>
                </c:pt>
                <c:pt idx="596">
                  <c:v>33.020000000000003</c:v>
                </c:pt>
                <c:pt idx="597">
                  <c:v>34.01</c:v>
                </c:pt>
                <c:pt idx="598">
                  <c:v>40.57</c:v>
                </c:pt>
                <c:pt idx="599">
                  <c:v>47.14</c:v>
                </c:pt>
                <c:pt idx="600">
                  <c:v>47.3</c:v>
                </c:pt>
                <c:pt idx="601">
                  <c:v>47.47</c:v>
                </c:pt>
                <c:pt idx="602">
                  <c:v>53.37</c:v>
                </c:pt>
                <c:pt idx="603">
                  <c:v>59.28</c:v>
                </c:pt>
                <c:pt idx="604">
                  <c:v>56.33</c:v>
                </c:pt>
                <c:pt idx="605">
                  <c:v>53.37</c:v>
                </c:pt>
                <c:pt idx="606">
                  <c:v>48.12</c:v>
                </c:pt>
                <c:pt idx="607">
                  <c:v>42.87</c:v>
                </c:pt>
                <c:pt idx="608">
                  <c:v>39.75</c:v>
                </c:pt>
                <c:pt idx="609">
                  <c:v>36.630000000000003</c:v>
                </c:pt>
                <c:pt idx="610">
                  <c:v>35.159999999999997</c:v>
                </c:pt>
                <c:pt idx="611">
                  <c:v>33.68</c:v>
                </c:pt>
                <c:pt idx="612">
                  <c:v>35.81</c:v>
                </c:pt>
                <c:pt idx="613">
                  <c:v>37.950000000000003</c:v>
                </c:pt>
                <c:pt idx="614">
                  <c:v>40.08</c:v>
                </c:pt>
                <c:pt idx="615">
                  <c:v>42.21</c:v>
                </c:pt>
                <c:pt idx="616">
                  <c:v>41.72</c:v>
                </c:pt>
                <c:pt idx="617">
                  <c:v>41.23</c:v>
                </c:pt>
                <c:pt idx="618">
                  <c:v>46.97</c:v>
                </c:pt>
                <c:pt idx="619">
                  <c:v>52.72</c:v>
                </c:pt>
                <c:pt idx="620">
                  <c:v>51.4</c:v>
                </c:pt>
                <c:pt idx="621">
                  <c:v>50.09</c:v>
                </c:pt>
                <c:pt idx="622">
                  <c:v>55.02</c:v>
                </c:pt>
                <c:pt idx="623">
                  <c:v>59.94</c:v>
                </c:pt>
                <c:pt idx="624">
                  <c:v>55.34</c:v>
                </c:pt>
                <c:pt idx="625">
                  <c:v>50.75</c:v>
                </c:pt>
                <c:pt idx="626">
                  <c:v>54.85</c:v>
                </c:pt>
                <c:pt idx="627">
                  <c:v>58.96</c:v>
                </c:pt>
                <c:pt idx="628">
                  <c:v>56.82</c:v>
                </c:pt>
                <c:pt idx="629">
                  <c:v>54.69</c:v>
                </c:pt>
                <c:pt idx="630">
                  <c:v>54.03</c:v>
                </c:pt>
                <c:pt idx="631">
                  <c:v>53.37</c:v>
                </c:pt>
                <c:pt idx="632">
                  <c:v>62.57</c:v>
                </c:pt>
                <c:pt idx="633">
                  <c:v>71.760000000000005</c:v>
                </c:pt>
                <c:pt idx="634">
                  <c:v>75.37</c:v>
                </c:pt>
                <c:pt idx="635">
                  <c:v>78.98</c:v>
                </c:pt>
                <c:pt idx="636">
                  <c:v>81.28</c:v>
                </c:pt>
                <c:pt idx="637">
                  <c:v>83.58</c:v>
                </c:pt>
                <c:pt idx="638">
                  <c:v>86.04</c:v>
                </c:pt>
                <c:pt idx="639">
                  <c:v>88.5</c:v>
                </c:pt>
                <c:pt idx="640">
                  <c:v>90.63</c:v>
                </c:pt>
                <c:pt idx="641">
                  <c:v>92.77</c:v>
                </c:pt>
                <c:pt idx="642">
                  <c:v>94.9</c:v>
                </c:pt>
                <c:pt idx="643">
                  <c:v>97.03</c:v>
                </c:pt>
                <c:pt idx="644">
                  <c:v>93.75</c:v>
                </c:pt>
                <c:pt idx="645">
                  <c:v>90.47</c:v>
                </c:pt>
                <c:pt idx="646">
                  <c:v>91.78</c:v>
                </c:pt>
                <c:pt idx="647">
                  <c:v>93.1</c:v>
                </c:pt>
                <c:pt idx="648">
                  <c:v>87.68</c:v>
                </c:pt>
                <c:pt idx="649">
                  <c:v>82.26</c:v>
                </c:pt>
                <c:pt idx="650">
                  <c:v>78.489999999999995</c:v>
                </c:pt>
                <c:pt idx="651">
                  <c:v>74.709999999999994</c:v>
                </c:pt>
                <c:pt idx="652">
                  <c:v>67</c:v>
                </c:pt>
                <c:pt idx="653">
                  <c:v>59.28</c:v>
                </c:pt>
                <c:pt idx="654">
                  <c:v>63.55</c:v>
                </c:pt>
                <c:pt idx="655">
                  <c:v>67.819999999999993</c:v>
                </c:pt>
                <c:pt idx="656">
                  <c:v>64.7</c:v>
                </c:pt>
                <c:pt idx="657">
                  <c:v>61.58</c:v>
                </c:pt>
                <c:pt idx="658">
                  <c:v>62.4</c:v>
                </c:pt>
                <c:pt idx="659">
                  <c:v>63.22</c:v>
                </c:pt>
                <c:pt idx="660">
                  <c:v>63.22</c:v>
                </c:pt>
                <c:pt idx="661">
                  <c:v>63.22</c:v>
                </c:pt>
                <c:pt idx="662">
                  <c:v>64.209999999999994</c:v>
                </c:pt>
                <c:pt idx="663">
                  <c:v>65.19</c:v>
                </c:pt>
                <c:pt idx="664">
                  <c:v>66.34</c:v>
                </c:pt>
                <c:pt idx="665">
                  <c:v>67.489999999999995</c:v>
                </c:pt>
                <c:pt idx="666">
                  <c:v>67.819999999999993</c:v>
                </c:pt>
                <c:pt idx="667">
                  <c:v>68.150000000000006</c:v>
                </c:pt>
                <c:pt idx="668">
                  <c:v>73.400000000000006</c:v>
                </c:pt>
                <c:pt idx="669">
                  <c:v>78.650000000000006</c:v>
                </c:pt>
                <c:pt idx="670">
                  <c:v>80.95</c:v>
                </c:pt>
                <c:pt idx="671">
                  <c:v>83.25</c:v>
                </c:pt>
                <c:pt idx="672">
                  <c:v>79.959999999999994</c:v>
                </c:pt>
                <c:pt idx="673">
                  <c:v>76.680000000000007</c:v>
                </c:pt>
                <c:pt idx="674">
                  <c:v>75.53</c:v>
                </c:pt>
                <c:pt idx="675">
                  <c:v>74.38</c:v>
                </c:pt>
                <c:pt idx="676">
                  <c:v>73.73</c:v>
                </c:pt>
                <c:pt idx="677">
                  <c:v>73.069999999999993</c:v>
                </c:pt>
                <c:pt idx="678">
                  <c:v>76.19</c:v>
                </c:pt>
                <c:pt idx="679">
                  <c:v>79.31</c:v>
                </c:pt>
                <c:pt idx="680">
                  <c:v>81.93</c:v>
                </c:pt>
                <c:pt idx="681">
                  <c:v>84.56</c:v>
                </c:pt>
                <c:pt idx="682">
                  <c:v>86.53</c:v>
                </c:pt>
                <c:pt idx="683">
                  <c:v>88.5</c:v>
                </c:pt>
                <c:pt idx="684">
                  <c:v>90.8</c:v>
                </c:pt>
                <c:pt idx="685">
                  <c:v>93.1</c:v>
                </c:pt>
                <c:pt idx="686">
                  <c:v>94.9</c:v>
                </c:pt>
                <c:pt idx="687">
                  <c:v>96.71</c:v>
                </c:pt>
                <c:pt idx="688">
                  <c:v>97.53</c:v>
                </c:pt>
                <c:pt idx="689">
                  <c:v>98.35</c:v>
                </c:pt>
                <c:pt idx="690">
                  <c:v>99.66</c:v>
                </c:pt>
                <c:pt idx="691">
                  <c:v>100.97</c:v>
                </c:pt>
                <c:pt idx="692">
                  <c:v>101.79</c:v>
                </c:pt>
                <c:pt idx="693">
                  <c:v>102.62</c:v>
                </c:pt>
                <c:pt idx="694">
                  <c:v>103.27</c:v>
                </c:pt>
                <c:pt idx="695">
                  <c:v>103.93</c:v>
                </c:pt>
                <c:pt idx="696">
                  <c:v>104.75</c:v>
                </c:pt>
                <c:pt idx="697">
                  <c:v>105.57</c:v>
                </c:pt>
                <c:pt idx="698">
                  <c:v>105.73</c:v>
                </c:pt>
                <c:pt idx="699">
                  <c:v>105.9</c:v>
                </c:pt>
                <c:pt idx="700">
                  <c:v>107.21</c:v>
                </c:pt>
                <c:pt idx="701">
                  <c:v>108.52</c:v>
                </c:pt>
                <c:pt idx="702">
                  <c:v>106.88</c:v>
                </c:pt>
                <c:pt idx="703">
                  <c:v>105.24</c:v>
                </c:pt>
                <c:pt idx="704">
                  <c:v>102.45</c:v>
                </c:pt>
                <c:pt idx="705">
                  <c:v>99.66</c:v>
                </c:pt>
                <c:pt idx="706">
                  <c:v>97.86</c:v>
                </c:pt>
                <c:pt idx="707">
                  <c:v>96.05</c:v>
                </c:pt>
                <c:pt idx="708">
                  <c:v>95.56</c:v>
                </c:pt>
                <c:pt idx="709">
                  <c:v>95.07</c:v>
                </c:pt>
                <c:pt idx="710">
                  <c:v>93.59</c:v>
                </c:pt>
                <c:pt idx="711">
                  <c:v>92.11</c:v>
                </c:pt>
                <c:pt idx="712">
                  <c:v>93.59</c:v>
                </c:pt>
                <c:pt idx="713">
                  <c:v>95.07</c:v>
                </c:pt>
                <c:pt idx="714">
                  <c:v>94.74</c:v>
                </c:pt>
                <c:pt idx="715">
                  <c:v>94.41</c:v>
                </c:pt>
                <c:pt idx="716">
                  <c:v>90.14</c:v>
                </c:pt>
                <c:pt idx="717">
                  <c:v>85.87</c:v>
                </c:pt>
                <c:pt idx="718">
                  <c:v>82.92</c:v>
                </c:pt>
                <c:pt idx="719">
                  <c:v>79.959999999999994</c:v>
                </c:pt>
                <c:pt idx="720">
                  <c:v>80.95</c:v>
                </c:pt>
                <c:pt idx="721">
                  <c:v>81.93</c:v>
                </c:pt>
                <c:pt idx="722">
                  <c:v>85.71</c:v>
                </c:pt>
                <c:pt idx="723">
                  <c:v>89.48</c:v>
                </c:pt>
                <c:pt idx="724">
                  <c:v>88.83</c:v>
                </c:pt>
                <c:pt idx="725">
                  <c:v>88.17</c:v>
                </c:pt>
                <c:pt idx="726">
                  <c:v>91.13</c:v>
                </c:pt>
                <c:pt idx="727">
                  <c:v>94.08</c:v>
                </c:pt>
                <c:pt idx="728">
                  <c:v>95.72</c:v>
                </c:pt>
                <c:pt idx="729">
                  <c:v>97.36</c:v>
                </c:pt>
                <c:pt idx="730">
                  <c:v>100.15</c:v>
                </c:pt>
                <c:pt idx="731">
                  <c:v>102.94</c:v>
                </c:pt>
                <c:pt idx="732">
                  <c:v>96.71</c:v>
                </c:pt>
                <c:pt idx="733">
                  <c:v>90.47</c:v>
                </c:pt>
                <c:pt idx="734">
                  <c:v>83.74</c:v>
                </c:pt>
                <c:pt idx="735">
                  <c:v>77.010000000000005</c:v>
                </c:pt>
                <c:pt idx="736">
                  <c:v>74.38</c:v>
                </c:pt>
                <c:pt idx="737">
                  <c:v>71.760000000000005</c:v>
                </c:pt>
                <c:pt idx="738">
                  <c:v>72.739999999999995</c:v>
                </c:pt>
                <c:pt idx="739">
                  <c:v>73.73</c:v>
                </c:pt>
                <c:pt idx="740">
                  <c:v>73.400000000000006</c:v>
                </c:pt>
                <c:pt idx="741">
                  <c:v>73.069999999999993</c:v>
                </c:pt>
                <c:pt idx="742">
                  <c:v>73.400000000000006</c:v>
                </c:pt>
                <c:pt idx="743">
                  <c:v>73.73</c:v>
                </c:pt>
                <c:pt idx="744">
                  <c:v>76.52</c:v>
                </c:pt>
                <c:pt idx="745">
                  <c:v>79.31</c:v>
                </c:pt>
                <c:pt idx="746">
                  <c:v>89.81</c:v>
                </c:pt>
                <c:pt idx="747">
                  <c:v>100.32</c:v>
                </c:pt>
                <c:pt idx="748">
                  <c:v>107.54</c:v>
                </c:pt>
                <c:pt idx="749">
                  <c:v>114.76</c:v>
                </c:pt>
                <c:pt idx="750">
                  <c:v>113.28</c:v>
                </c:pt>
                <c:pt idx="751">
                  <c:v>111.81</c:v>
                </c:pt>
                <c:pt idx="752">
                  <c:v>110.82</c:v>
                </c:pt>
                <c:pt idx="753">
                  <c:v>109.84</c:v>
                </c:pt>
                <c:pt idx="754">
                  <c:v>110.17</c:v>
                </c:pt>
                <c:pt idx="755">
                  <c:v>110.49</c:v>
                </c:pt>
                <c:pt idx="756">
                  <c:v>109.51</c:v>
                </c:pt>
                <c:pt idx="757">
                  <c:v>108.52</c:v>
                </c:pt>
                <c:pt idx="758">
                  <c:v>108.69</c:v>
                </c:pt>
                <c:pt idx="759">
                  <c:v>108.85</c:v>
                </c:pt>
                <c:pt idx="760">
                  <c:v>107.21</c:v>
                </c:pt>
                <c:pt idx="761">
                  <c:v>105.57</c:v>
                </c:pt>
                <c:pt idx="762">
                  <c:v>102.45</c:v>
                </c:pt>
                <c:pt idx="763">
                  <c:v>99.33</c:v>
                </c:pt>
                <c:pt idx="764">
                  <c:v>96.05</c:v>
                </c:pt>
                <c:pt idx="765">
                  <c:v>92.77</c:v>
                </c:pt>
                <c:pt idx="766">
                  <c:v>91.95</c:v>
                </c:pt>
                <c:pt idx="767">
                  <c:v>91.13</c:v>
                </c:pt>
                <c:pt idx="768">
                  <c:v>93.1</c:v>
                </c:pt>
                <c:pt idx="769">
                  <c:v>95.07</c:v>
                </c:pt>
                <c:pt idx="770">
                  <c:v>94.74</c:v>
                </c:pt>
                <c:pt idx="771">
                  <c:v>94.41</c:v>
                </c:pt>
                <c:pt idx="772">
                  <c:v>97.2</c:v>
                </c:pt>
                <c:pt idx="773">
                  <c:v>99.99</c:v>
                </c:pt>
                <c:pt idx="774">
                  <c:v>99</c:v>
                </c:pt>
                <c:pt idx="775">
                  <c:v>98.02</c:v>
                </c:pt>
                <c:pt idx="776">
                  <c:v>98.84</c:v>
                </c:pt>
                <c:pt idx="777">
                  <c:v>99.66</c:v>
                </c:pt>
                <c:pt idx="778">
                  <c:v>99.66</c:v>
                </c:pt>
                <c:pt idx="779">
                  <c:v>99.66</c:v>
                </c:pt>
                <c:pt idx="780">
                  <c:v>94.57</c:v>
                </c:pt>
                <c:pt idx="781">
                  <c:v>89.48</c:v>
                </c:pt>
                <c:pt idx="782">
                  <c:v>88.83</c:v>
                </c:pt>
                <c:pt idx="783">
                  <c:v>88.17</c:v>
                </c:pt>
                <c:pt idx="784">
                  <c:v>85.71</c:v>
                </c:pt>
                <c:pt idx="785">
                  <c:v>83.25</c:v>
                </c:pt>
                <c:pt idx="786">
                  <c:v>79.8</c:v>
                </c:pt>
                <c:pt idx="787">
                  <c:v>76.349999999999994</c:v>
                </c:pt>
                <c:pt idx="788">
                  <c:v>79.31</c:v>
                </c:pt>
                <c:pt idx="789">
                  <c:v>82.26</c:v>
                </c:pt>
                <c:pt idx="790">
                  <c:v>75.53</c:v>
                </c:pt>
                <c:pt idx="791">
                  <c:v>68.8</c:v>
                </c:pt>
                <c:pt idx="792">
                  <c:v>62.4</c:v>
                </c:pt>
                <c:pt idx="793">
                  <c:v>56</c:v>
                </c:pt>
                <c:pt idx="794">
                  <c:v>53.05</c:v>
                </c:pt>
                <c:pt idx="795">
                  <c:v>50.09</c:v>
                </c:pt>
                <c:pt idx="796">
                  <c:v>49.6</c:v>
                </c:pt>
                <c:pt idx="797">
                  <c:v>49.11</c:v>
                </c:pt>
                <c:pt idx="798">
                  <c:v>45.66</c:v>
                </c:pt>
                <c:pt idx="799">
                  <c:v>42.21</c:v>
                </c:pt>
                <c:pt idx="800">
                  <c:v>40.74</c:v>
                </c:pt>
                <c:pt idx="801">
                  <c:v>39.26</c:v>
                </c:pt>
                <c:pt idx="802">
                  <c:v>40.9</c:v>
                </c:pt>
                <c:pt idx="803">
                  <c:v>42.54</c:v>
                </c:pt>
                <c:pt idx="804">
                  <c:v>46.97</c:v>
                </c:pt>
                <c:pt idx="805">
                  <c:v>51.4</c:v>
                </c:pt>
                <c:pt idx="806">
                  <c:v>50.75</c:v>
                </c:pt>
                <c:pt idx="807">
                  <c:v>50.09</c:v>
                </c:pt>
                <c:pt idx="808">
                  <c:v>52.55</c:v>
                </c:pt>
                <c:pt idx="809">
                  <c:v>55.02</c:v>
                </c:pt>
                <c:pt idx="810">
                  <c:v>48.94</c:v>
                </c:pt>
                <c:pt idx="811">
                  <c:v>42.87</c:v>
                </c:pt>
                <c:pt idx="812">
                  <c:v>42.38</c:v>
                </c:pt>
                <c:pt idx="813">
                  <c:v>41.89</c:v>
                </c:pt>
                <c:pt idx="814">
                  <c:v>38.44</c:v>
                </c:pt>
                <c:pt idx="815">
                  <c:v>34.99</c:v>
                </c:pt>
                <c:pt idx="816">
                  <c:v>35.979999999999997</c:v>
                </c:pt>
                <c:pt idx="817">
                  <c:v>36.96</c:v>
                </c:pt>
                <c:pt idx="818">
                  <c:v>39.26</c:v>
                </c:pt>
                <c:pt idx="819">
                  <c:v>41.56</c:v>
                </c:pt>
                <c:pt idx="820">
                  <c:v>41.39</c:v>
                </c:pt>
                <c:pt idx="821">
                  <c:v>41.23</c:v>
                </c:pt>
                <c:pt idx="822">
                  <c:v>39.590000000000003</c:v>
                </c:pt>
                <c:pt idx="823">
                  <c:v>37.950000000000003</c:v>
                </c:pt>
                <c:pt idx="824">
                  <c:v>34.5</c:v>
                </c:pt>
                <c:pt idx="825">
                  <c:v>31.05</c:v>
                </c:pt>
                <c:pt idx="826">
                  <c:v>31.38</c:v>
                </c:pt>
                <c:pt idx="827">
                  <c:v>31.71</c:v>
                </c:pt>
                <c:pt idx="828">
                  <c:v>35.159999999999997</c:v>
                </c:pt>
                <c:pt idx="829">
                  <c:v>38.6</c:v>
                </c:pt>
                <c:pt idx="830">
                  <c:v>34.17</c:v>
                </c:pt>
                <c:pt idx="831">
                  <c:v>29.74</c:v>
                </c:pt>
                <c:pt idx="832">
                  <c:v>28.59</c:v>
                </c:pt>
                <c:pt idx="833">
                  <c:v>27.44</c:v>
                </c:pt>
                <c:pt idx="834">
                  <c:v>31.71</c:v>
                </c:pt>
                <c:pt idx="835">
                  <c:v>35.979999999999997</c:v>
                </c:pt>
                <c:pt idx="836">
                  <c:v>38.270000000000003</c:v>
                </c:pt>
                <c:pt idx="837">
                  <c:v>40.57</c:v>
                </c:pt>
                <c:pt idx="838">
                  <c:v>37.450000000000003</c:v>
                </c:pt>
                <c:pt idx="839">
                  <c:v>34.33</c:v>
                </c:pt>
                <c:pt idx="840">
                  <c:v>36.630000000000003</c:v>
                </c:pt>
                <c:pt idx="841">
                  <c:v>38.93</c:v>
                </c:pt>
                <c:pt idx="842">
                  <c:v>35.32</c:v>
                </c:pt>
                <c:pt idx="843">
                  <c:v>31.71</c:v>
                </c:pt>
                <c:pt idx="844">
                  <c:v>31.54</c:v>
                </c:pt>
                <c:pt idx="845">
                  <c:v>31.38</c:v>
                </c:pt>
                <c:pt idx="846">
                  <c:v>29.41</c:v>
                </c:pt>
                <c:pt idx="847">
                  <c:v>27.44</c:v>
                </c:pt>
                <c:pt idx="848">
                  <c:v>25.64</c:v>
                </c:pt>
                <c:pt idx="849">
                  <c:v>23.83</c:v>
                </c:pt>
                <c:pt idx="850">
                  <c:v>23.01</c:v>
                </c:pt>
                <c:pt idx="851">
                  <c:v>22.19</c:v>
                </c:pt>
                <c:pt idx="852">
                  <c:v>21.2</c:v>
                </c:pt>
                <c:pt idx="853">
                  <c:v>20.22</c:v>
                </c:pt>
                <c:pt idx="854">
                  <c:v>18.91</c:v>
                </c:pt>
                <c:pt idx="855">
                  <c:v>17.59</c:v>
                </c:pt>
                <c:pt idx="856">
                  <c:v>19.559999999999999</c:v>
                </c:pt>
                <c:pt idx="857">
                  <c:v>21.53</c:v>
                </c:pt>
                <c:pt idx="858">
                  <c:v>21.7</c:v>
                </c:pt>
                <c:pt idx="859">
                  <c:v>21.86</c:v>
                </c:pt>
                <c:pt idx="860">
                  <c:v>19.559999999999999</c:v>
                </c:pt>
                <c:pt idx="861">
                  <c:v>17.260000000000002</c:v>
                </c:pt>
                <c:pt idx="862">
                  <c:v>16.61</c:v>
                </c:pt>
                <c:pt idx="863">
                  <c:v>15.95</c:v>
                </c:pt>
                <c:pt idx="864">
                  <c:v>14.97</c:v>
                </c:pt>
                <c:pt idx="865">
                  <c:v>13.98</c:v>
                </c:pt>
                <c:pt idx="866">
                  <c:v>13.82</c:v>
                </c:pt>
                <c:pt idx="867">
                  <c:v>13.65</c:v>
                </c:pt>
                <c:pt idx="868">
                  <c:v>13.82</c:v>
                </c:pt>
                <c:pt idx="869">
                  <c:v>13.98</c:v>
                </c:pt>
                <c:pt idx="870">
                  <c:v>13.82</c:v>
                </c:pt>
                <c:pt idx="871">
                  <c:v>13.65</c:v>
                </c:pt>
                <c:pt idx="872">
                  <c:v>12.83</c:v>
                </c:pt>
                <c:pt idx="873">
                  <c:v>12.01</c:v>
                </c:pt>
                <c:pt idx="874">
                  <c:v>10.37</c:v>
                </c:pt>
                <c:pt idx="875">
                  <c:v>8.73</c:v>
                </c:pt>
                <c:pt idx="876">
                  <c:v>10.86</c:v>
                </c:pt>
                <c:pt idx="877">
                  <c:v>13</c:v>
                </c:pt>
                <c:pt idx="878">
                  <c:v>13.16</c:v>
                </c:pt>
                <c:pt idx="879">
                  <c:v>13.33</c:v>
                </c:pt>
                <c:pt idx="880">
                  <c:v>13.49</c:v>
                </c:pt>
                <c:pt idx="881">
                  <c:v>13.65</c:v>
                </c:pt>
                <c:pt idx="882">
                  <c:v>12.67</c:v>
                </c:pt>
                <c:pt idx="883">
                  <c:v>11.68</c:v>
                </c:pt>
                <c:pt idx="884">
                  <c:v>14.15</c:v>
                </c:pt>
                <c:pt idx="885">
                  <c:v>16.61</c:v>
                </c:pt>
                <c:pt idx="886">
                  <c:v>16.28</c:v>
                </c:pt>
                <c:pt idx="887">
                  <c:v>15.95</c:v>
                </c:pt>
                <c:pt idx="888">
                  <c:v>16.440000000000001</c:v>
                </c:pt>
                <c:pt idx="889">
                  <c:v>16.940000000000001</c:v>
                </c:pt>
                <c:pt idx="890">
                  <c:v>17.920000000000002</c:v>
                </c:pt>
                <c:pt idx="891">
                  <c:v>18.91</c:v>
                </c:pt>
                <c:pt idx="892">
                  <c:v>17.920000000000002</c:v>
                </c:pt>
                <c:pt idx="893">
                  <c:v>16.940000000000001</c:v>
                </c:pt>
                <c:pt idx="894">
                  <c:v>18.41</c:v>
                </c:pt>
                <c:pt idx="895">
                  <c:v>19.89</c:v>
                </c:pt>
                <c:pt idx="896">
                  <c:v>18.739999999999998</c:v>
                </c:pt>
                <c:pt idx="897">
                  <c:v>17.59</c:v>
                </c:pt>
                <c:pt idx="898">
                  <c:v>17.59</c:v>
                </c:pt>
                <c:pt idx="899">
                  <c:v>17.59</c:v>
                </c:pt>
                <c:pt idx="900">
                  <c:v>16.77</c:v>
                </c:pt>
                <c:pt idx="901">
                  <c:v>15.95</c:v>
                </c:pt>
                <c:pt idx="902">
                  <c:v>15.13</c:v>
                </c:pt>
                <c:pt idx="903">
                  <c:v>14.31</c:v>
                </c:pt>
                <c:pt idx="904">
                  <c:v>13.49</c:v>
                </c:pt>
                <c:pt idx="905">
                  <c:v>12.67</c:v>
                </c:pt>
                <c:pt idx="906">
                  <c:v>12.5</c:v>
                </c:pt>
                <c:pt idx="907">
                  <c:v>12.34</c:v>
                </c:pt>
                <c:pt idx="908">
                  <c:v>12.01</c:v>
                </c:pt>
                <c:pt idx="909">
                  <c:v>11.68</c:v>
                </c:pt>
                <c:pt idx="910">
                  <c:v>10.039999999999999</c:v>
                </c:pt>
                <c:pt idx="911">
                  <c:v>8.4</c:v>
                </c:pt>
                <c:pt idx="912">
                  <c:v>8.57</c:v>
                </c:pt>
                <c:pt idx="913">
                  <c:v>8.73</c:v>
                </c:pt>
                <c:pt idx="914">
                  <c:v>10.53</c:v>
                </c:pt>
                <c:pt idx="915">
                  <c:v>12.34</c:v>
                </c:pt>
                <c:pt idx="916">
                  <c:v>12.01</c:v>
                </c:pt>
                <c:pt idx="917">
                  <c:v>11.68</c:v>
                </c:pt>
                <c:pt idx="918">
                  <c:v>11.85</c:v>
                </c:pt>
                <c:pt idx="919">
                  <c:v>12.01</c:v>
                </c:pt>
                <c:pt idx="920">
                  <c:v>11.19</c:v>
                </c:pt>
                <c:pt idx="921">
                  <c:v>10.37</c:v>
                </c:pt>
                <c:pt idx="922">
                  <c:v>11.19</c:v>
                </c:pt>
                <c:pt idx="923">
                  <c:v>12.01</c:v>
                </c:pt>
                <c:pt idx="924">
                  <c:v>10.7</c:v>
                </c:pt>
                <c:pt idx="925">
                  <c:v>9.39</c:v>
                </c:pt>
                <c:pt idx="926">
                  <c:v>11.85</c:v>
                </c:pt>
                <c:pt idx="927">
                  <c:v>14.31</c:v>
                </c:pt>
                <c:pt idx="928">
                  <c:v>11.03</c:v>
                </c:pt>
                <c:pt idx="929">
                  <c:v>7.74</c:v>
                </c:pt>
                <c:pt idx="930">
                  <c:v>9.2200000000000006</c:v>
                </c:pt>
                <c:pt idx="931">
                  <c:v>10.7</c:v>
                </c:pt>
                <c:pt idx="932">
                  <c:v>11.19</c:v>
                </c:pt>
                <c:pt idx="933">
                  <c:v>11.68</c:v>
                </c:pt>
                <c:pt idx="934">
                  <c:v>12.67</c:v>
                </c:pt>
                <c:pt idx="935">
                  <c:v>13.65</c:v>
                </c:pt>
                <c:pt idx="936">
                  <c:v>13.16</c:v>
                </c:pt>
                <c:pt idx="937">
                  <c:v>12.67</c:v>
                </c:pt>
                <c:pt idx="938">
                  <c:v>12.01</c:v>
                </c:pt>
                <c:pt idx="939">
                  <c:v>11.36</c:v>
                </c:pt>
                <c:pt idx="940">
                  <c:v>8.07</c:v>
                </c:pt>
                <c:pt idx="941">
                  <c:v>4.79</c:v>
                </c:pt>
                <c:pt idx="942">
                  <c:v>5.45</c:v>
                </c:pt>
                <c:pt idx="943">
                  <c:v>6.1</c:v>
                </c:pt>
                <c:pt idx="944">
                  <c:v>6.27</c:v>
                </c:pt>
                <c:pt idx="945">
                  <c:v>6.43</c:v>
                </c:pt>
                <c:pt idx="946">
                  <c:v>6.1</c:v>
                </c:pt>
                <c:pt idx="947">
                  <c:v>5.78</c:v>
                </c:pt>
                <c:pt idx="948">
                  <c:v>4.95</c:v>
                </c:pt>
                <c:pt idx="949">
                  <c:v>4.13</c:v>
                </c:pt>
                <c:pt idx="950">
                  <c:v>5.45</c:v>
                </c:pt>
                <c:pt idx="951">
                  <c:v>6.76</c:v>
                </c:pt>
                <c:pt idx="952">
                  <c:v>5.45</c:v>
                </c:pt>
                <c:pt idx="953">
                  <c:v>4.13</c:v>
                </c:pt>
                <c:pt idx="954">
                  <c:v>4.95</c:v>
                </c:pt>
                <c:pt idx="955">
                  <c:v>5.78</c:v>
                </c:pt>
                <c:pt idx="956">
                  <c:v>5.12</c:v>
                </c:pt>
                <c:pt idx="957">
                  <c:v>4.46</c:v>
                </c:pt>
                <c:pt idx="958">
                  <c:v>4.46</c:v>
                </c:pt>
                <c:pt idx="959">
                  <c:v>4.46</c:v>
                </c:pt>
                <c:pt idx="960">
                  <c:v>4.63</c:v>
                </c:pt>
                <c:pt idx="961">
                  <c:v>4.79</c:v>
                </c:pt>
                <c:pt idx="962">
                  <c:v>3.81</c:v>
                </c:pt>
                <c:pt idx="963">
                  <c:v>2.82</c:v>
                </c:pt>
                <c:pt idx="964">
                  <c:v>2.66</c:v>
                </c:pt>
                <c:pt idx="965">
                  <c:v>2.4900000000000002</c:v>
                </c:pt>
                <c:pt idx="966">
                  <c:v>2.98</c:v>
                </c:pt>
                <c:pt idx="967">
                  <c:v>3.48</c:v>
                </c:pt>
                <c:pt idx="968">
                  <c:v>4.3</c:v>
                </c:pt>
                <c:pt idx="969">
                  <c:v>5.12</c:v>
                </c:pt>
                <c:pt idx="970">
                  <c:v>4.95</c:v>
                </c:pt>
                <c:pt idx="971">
                  <c:v>4.79</c:v>
                </c:pt>
                <c:pt idx="972">
                  <c:v>5.12</c:v>
                </c:pt>
                <c:pt idx="973">
                  <c:v>5.45</c:v>
                </c:pt>
                <c:pt idx="974">
                  <c:v>5.61</c:v>
                </c:pt>
                <c:pt idx="975">
                  <c:v>5.78</c:v>
                </c:pt>
                <c:pt idx="976">
                  <c:v>4.79</c:v>
                </c:pt>
                <c:pt idx="977">
                  <c:v>3.81</c:v>
                </c:pt>
                <c:pt idx="978">
                  <c:v>3.81</c:v>
                </c:pt>
                <c:pt idx="979">
                  <c:v>3.81</c:v>
                </c:pt>
                <c:pt idx="980">
                  <c:v>4.46</c:v>
                </c:pt>
                <c:pt idx="981">
                  <c:v>5.12</c:v>
                </c:pt>
                <c:pt idx="982">
                  <c:v>5.28</c:v>
                </c:pt>
                <c:pt idx="983">
                  <c:v>5.45</c:v>
                </c:pt>
                <c:pt idx="984">
                  <c:v>5.28</c:v>
                </c:pt>
                <c:pt idx="985">
                  <c:v>5.12</c:v>
                </c:pt>
                <c:pt idx="986">
                  <c:v>5.28</c:v>
                </c:pt>
                <c:pt idx="987">
                  <c:v>5.45</c:v>
                </c:pt>
                <c:pt idx="988">
                  <c:v>5.12</c:v>
                </c:pt>
                <c:pt idx="989">
                  <c:v>4.79</c:v>
                </c:pt>
                <c:pt idx="990">
                  <c:v>3.97</c:v>
                </c:pt>
                <c:pt idx="991">
                  <c:v>3.15</c:v>
                </c:pt>
                <c:pt idx="992">
                  <c:v>3.64</c:v>
                </c:pt>
                <c:pt idx="993">
                  <c:v>4.13</c:v>
                </c:pt>
                <c:pt idx="994">
                  <c:v>4.46</c:v>
                </c:pt>
                <c:pt idx="995">
                  <c:v>4.79</c:v>
                </c:pt>
                <c:pt idx="996">
                  <c:v>4.46</c:v>
                </c:pt>
                <c:pt idx="997">
                  <c:v>4.13</c:v>
                </c:pt>
                <c:pt idx="998">
                  <c:v>3.31</c:v>
                </c:pt>
                <c:pt idx="999">
                  <c:v>2.4900000000000002</c:v>
                </c:pt>
                <c:pt idx="1000">
                  <c:v>2.4900000000000002</c:v>
                </c:pt>
                <c:pt idx="1001">
                  <c:v>2.4900000000000002</c:v>
                </c:pt>
                <c:pt idx="1002">
                  <c:v>2.4900000000000002</c:v>
                </c:pt>
                <c:pt idx="1003">
                  <c:v>2.4900000000000002</c:v>
                </c:pt>
                <c:pt idx="1004">
                  <c:v>2.82</c:v>
                </c:pt>
                <c:pt idx="1005">
                  <c:v>3.15</c:v>
                </c:pt>
                <c:pt idx="1006">
                  <c:v>2.82</c:v>
                </c:pt>
                <c:pt idx="1007">
                  <c:v>2.4900000000000002</c:v>
                </c:pt>
                <c:pt idx="1008">
                  <c:v>2.66</c:v>
                </c:pt>
                <c:pt idx="1009">
                  <c:v>2.82</c:v>
                </c:pt>
                <c:pt idx="1010">
                  <c:v>2.98</c:v>
                </c:pt>
                <c:pt idx="1011">
                  <c:v>3.15</c:v>
                </c:pt>
                <c:pt idx="1012">
                  <c:v>2.82</c:v>
                </c:pt>
                <c:pt idx="1013">
                  <c:v>2.4900000000000002</c:v>
                </c:pt>
                <c:pt idx="1014">
                  <c:v>2.4900000000000002</c:v>
                </c:pt>
                <c:pt idx="1015">
                  <c:v>2.4900000000000002</c:v>
                </c:pt>
                <c:pt idx="1016">
                  <c:v>2.4900000000000002</c:v>
                </c:pt>
                <c:pt idx="1017">
                  <c:v>2.4900000000000002</c:v>
                </c:pt>
                <c:pt idx="1018">
                  <c:v>3.64</c:v>
                </c:pt>
                <c:pt idx="1019">
                  <c:v>4.79</c:v>
                </c:pt>
                <c:pt idx="1020">
                  <c:v>3.48</c:v>
                </c:pt>
                <c:pt idx="1021">
                  <c:v>2.16</c:v>
                </c:pt>
                <c:pt idx="1022">
                  <c:v>2.4900000000000002</c:v>
                </c:pt>
                <c:pt idx="1023">
                  <c:v>2.82</c:v>
                </c:pt>
                <c:pt idx="1024">
                  <c:v>2.82</c:v>
                </c:pt>
                <c:pt idx="1025">
                  <c:v>2.82</c:v>
                </c:pt>
                <c:pt idx="1026">
                  <c:v>2.4900000000000002</c:v>
                </c:pt>
                <c:pt idx="1027">
                  <c:v>2.16</c:v>
                </c:pt>
                <c:pt idx="1028">
                  <c:v>3.97</c:v>
                </c:pt>
                <c:pt idx="1029">
                  <c:v>5.78</c:v>
                </c:pt>
                <c:pt idx="1030">
                  <c:v>3.97</c:v>
                </c:pt>
                <c:pt idx="1031">
                  <c:v>2.16</c:v>
                </c:pt>
                <c:pt idx="1032">
                  <c:v>2.16</c:v>
                </c:pt>
                <c:pt idx="1033">
                  <c:v>2.16</c:v>
                </c:pt>
                <c:pt idx="1034">
                  <c:v>2.33</c:v>
                </c:pt>
                <c:pt idx="1035">
                  <c:v>2.4900000000000002</c:v>
                </c:pt>
                <c:pt idx="1036">
                  <c:v>2.66</c:v>
                </c:pt>
                <c:pt idx="1037">
                  <c:v>2.82</c:v>
                </c:pt>
                <c:pt idx="1038">
                  <c:v>2.66</c:v>
                </c:pt>
                <c:pt idx="1039">
                  <c:v>2.4900000000000002</c:v>
                </c:pt>
                <c:pt idx="1040">
                  <c:v>2.66</c:v>
                </c:pt>
                <c:pt idx="1041">
                  <c:v>2.82</c:v>
                </c:pt>
                <c:pt idx="1042">
                  <c:v>2.4900000000000002</c:v>
                </c:pt>
                <c:pt idx="1043">
                  <c:v>2.16</c:v>
                </c:pt>
                <c:pt idx="1044">
                  <c:v>2.98</c:v>
                </c:pt>
                <c:pt idx="1045">
                  <c:v>3.81</c:v>
                </c:pt>
                <c:pt idx="1046">
                  <c:v>2.98</c:v>
                </c:pt>
                <c:pt idx="1047">
                  <c:v>2.16</c:v>
                </c:pt>
                <c:pt idx="1048">
                  <c:v>2.4900000000000002</c:v>
                </c:pt>
                <c:pt idx="1049">
                  <c:v>2.82</c:v>
                </c:pt>
                <c:pt idx="1050">
                  <c:v>2.98</c:v>
                </c:pt>
                <c:pt idx="1051">
                  <c:v>3.15</c:v>
                </c:pt>
                <c:pt idx="1052">
                  <c:v>3.97</c:v>
                </c:pt>
                <c:pt idx="1053">
                  <c:v>4.79</c:v>
                </c:pt>
                <c:pt idx="1054">
                  <c:v>3.81</c:v>
                </c:pt>
                <c:pt idx="1055">
                  <c:v>2.82</c:v>
                </c:pt>
                <c:pt idx="1056">
                  <c:v>3.97</c:v>
                </c:pt>
                <c:pt idx="1057">
                  <c:v>5.12</c:v>
                </c:pt>
                <c:pt idx="1058">
                  <c:v>3.64</c:v>
                </c:pt>
                <c:pt idx="1059">
                  <c:v>2.16</c:v>
                </c:pt>
                <c:pt idx="1060">
                  <c:v>3.15</c:v>
                </c:pt>
                <c:pt idx="1061">
                  <c:v>4.13</c:v>
                </c:pt>
                <c:pt idx="1062">
                  <c:v>4.3</c:v>
                </c:pt>
                <c:pt idx="1063">
                  <c:v>4.46</c:v>
                </c:pt>
                <c:pt idx="1064">
                  <c:v>4.95</c:v>
                </c:pt>
                <c:pt idx="1065">
                  <c:v>5.45</c:v>
                </c:pt>
                <c:pt idx="1066">
                  <c:v>5.28</c:v>
                </c:pt>
                <c:pt idx="1067">
                  <c:v>5.12</c:v>
                </c:pt>
                <c:pt idx="1068">
                  <c:v>5.28</c:v>
                </c:pt>
                <c:pt idx="1069">
                  <c:v>5.45</c:v>
                </c:pt>
                <c:pt idx="1070">
                  <c:v>4.13</c:v>
                </c:pt>
                <c:pt idx="1071">
                  <c:v>2.82</c:v>
                </c:pt>
                <c:pt idx="1072">
                  <c:v>4.3</c:v>
                </c:pt>
                <c:pt idx="1073">
                  <c:v>5.78</c:v>
                </c:pt>
                <c:pt idx="1074">
                  <c:v>5.28</c:v>
                </c:pt>
                <c:pt idx="1075">
                  <c:v>4.79</c:v>
                </c:pt>
                <c:pt idx="1076">
                  <c:v>4.95</c:v>
                </c:pt>
                <c:pt idx="1077">
                  <c:v>5.12</c:v>
                </c:pt>
                <c:pt idx="1078">
                  <c:v>4.95</c:v>
                </c:pt>
                <c:pt idx="1079">
                  <c:v>4.79</c:v>
                </c:pt>
                <c:pt idx="1080">
                  <c:v>4.13</c:v>
                </c:pt>
                <c:pt idx="1081">
                  <c:v>3.48</c:v>
                </c:pt>
                <c:pt idx="1082">
                  <c:v>3.15</c:v>
                </c:pt>
                <c:pt idx="1083">
                  <c:v>2.82</c:v>
                </c:pt>
                <c:pt idx="1084">
                  <c:v>2.82</c:v>
                </c:pt>
                <c:pt idx="1085">
                  <c:v>2.82</c:v>
                </c:pt>
                <c:pt idx="1086">
                  <c:v>3.97</c:v>
                </c:pt>
                <c:pt idx="1087">
                  <c:v>5.12</c:v>
                </c:pt>
                <c:pt idx="1088">
                  <c:v>3.64</c:v>
                </c:pt>
                <c:pt idx="1089">
                  <c:v>2.16</c:v>
                </c:pt>
                <c:pt idx="1090">
                  <c:v>2.16</c:v>
                </c:pt>
                <c:pt idx="1091">
                  <c:v>2.16</c:v>
                </c:pt>
                <c:pt idx="1092">
                  <c:v>2.16</c:v>
                </c:pt>
                <c:pt idx="1093">
                  <c:v>2.16</c:v>
                </c:pt>
                <c:pt idx="1094">
                  <c:v>2.4900000000000002</c:v>
                </c:pt>
                <c:pt idx="1095">
                  <c:v>2.82</c:v>
                </c:pt>
                <c:pt idx="1096">
                  <c:v>3.81</c:v>
                </c:pt>
                <c:pt idx="1097">
                  <c:v>4.79</c:v>
                </c:pt>
                <c:pt idx="1098">
                  <c:v>4.46</c:v>
                </c:pt>
                <c:pt idx="1099">
                  <c:v>4.13</c:v>
                </c:pt>
                <c:pt idx="1100">
                  <c:v>4.13</c:v>
                </c:pt>
                <c:pt idx="1101">
                  <c:v>4.13</c:v>
                </c:pt>
                <c:pt idx="1102">
                  <c:v>3.15</c:v>
                </c:pt>
                <c:pt idx="1103">
                  <c:v>2.16</c:v>
                </c:pt>
                <c:pt idx="1104">
                  <c:v>3.31</c:v>
                </c:pt>
                <c:pt idx="1105">
                  <c:v>4.46</c:v>
                </c:pt>
                <c:pt idx="1106">
                  <c:v>3.81</c:v>
                </c:pt>
                <c:pt idx="1107">
                  <c:v>3.15</c:v>
                </c:pt>
                <c:pt idx="1108">
                  <c:v>3.15</c:v>
                </c:pt>
                <c:pt idx="1109">
                  <c:v>3.15</c:v>
                </c:pt>
                <c:pt idx="1110">
                  <c:v>3.15</c:v>
                </c:pt>
                <c:pt idx="1111">
                  <c:v>3.15</c:v>
                </c:pt>
                <c:pt idx="1112">
                  <c:v>2.66</c:v>
                </c:pt>
                <c:pt idx="1113">
                  <c:v>2.16</c:v>
                </c:pt>
                <c:pt idx="1114">
                  <c:v>2.66</c:v>
                </c:pt>
                <c:pt idx="1115">
                  <c:v>3.15</c:v>
                </c:pt>
                <c:pt idx="1116">
                  <c:v>2.66</c:v>
                </c:pt>
                <c:pt idx="1117">
                  <c:v>2.16</c:v>
                </c:pt>
                <c:pt idx="1118">
                  <c:v>2.16</c:v>
                </c:pt>
                <c:pt idx="1119">
                  <c:v>2.16</c:v>
                </c:pt>
                <c:pt idx="1120">
                  <c:v>2</c:v>
                </c:pt>
                <c:pt idx="1121">
                  <c:v>1.84</c:v>
                </c:pt>
                <c:pt idx="1122">
                  <c:v>2</c:v>
                </c:pt>
                <c:pt idx="1123">
                  <c:v>2.16</c:v>
                </c:pt>
                <c:pt idx="1124">
                  <c:v>2.4900000000000002</c:v>
                </c:pt>
                <c:pt idx="1125">
                  <c:v>2.82</c:v>
                </c:pt>
                <c:pt idx="1126">
                  <c:v>3.31</c:v>
                </c:pt>
                <c:pt idx="1127">
                  <c:v>3.81</c:v>
                </c:pt>
                <c:pt idx="1128">
                  <c:v>3.31</c:v>
                </c:pt>
                <c:pt idx="1129">
                  <c:v>2.82</c:v>
                </c:pt>
                <c:pt idx="1130">
                  <c:v>2.66</c:v>
                </c:pt>
                <c:pt idx="1131">
                  <c:v>2.4900000000000002</c:v>
                </c:pt>
                <c:pt idx="1132">
                  <c:v>2.4900000000000002</c:v>
                </c:pt>
                <c:pt idx="1133">
                  <c:v>2.4900000000000002</c:v>
                </c:pt>
                <c:pt idx="1134">
                  <c:v>2.4900000000000002</c:v>
                </c:pt>
                <c:pt idx="1135">
                  <c:v>2.4900000000000002</c:v>
                </c:pt>
                <c:pt idx="1136">
                  <c:v>2.33</c:v>
                </c:pt>
                <c:pt idx="1137">
                  <c:v>2.16</c:v>
                </c:pt>
                <c:pt idx="1138">
                  <c:v>2.4900000000000002</c:v>
                </c:pt>
                <c:pt idx="1139">
                  <c:v>2.82</c:v>
                </c:pt>
                <c:pt idx="1140">
                  <c:v>4.13</c:v>
                </c:pt>
                <c:pt idx="1141">
                  <c:v>5.45</c:v>
                </c:pt>
                <c:pt idx="1142">
                  <c:v>5.12</c:v>
                </c:pt>
                <c:pt idx="1143">
                  <c:v>4.79</c:v>
                </c:pt>
                <c:pt idx="1144">
                  <c:v>3.81</c:v>
                </c:pt>
                <c:pt idx="1145">
                  <c:v>2.82</c:v>
                </c:pt>
                <c:pt idx="1146">
                  <c:v>2.98</c:v>
                </c:pt>
                <c:pt idx="1147">
                  <c:v>3.15</c:v>
                </c:pt>
                <c:pt idx="1148">
                  <c:v>4.46</c:v>
                </c:pt>
                <c:pt idx="1149">
                  <c:v>5.78</c:v>
                </c:pt>
                <c:pt idx="1150">
                  <c:v>4.13</c:v>
                </c:pt>
                <c:pt idx="1151">
                  <c:v>2.4900000000000002</c:v>
                </c:pt>
                <c:pt idx="1152">
                  <c:v>5.78</c:v>
                </c:pt>
                <c:pt idx="1153">
                  <c:v>9.06</c:v>
                </c:pt>
                <c:pt idx="1154">
                  <c:v>6.92</c:v>
                </c:pt>
                <c:pt idx="1155">
                  <c:v>4.79</c:v>
                </c:pt>
                <c:pt idx="1156">
                  <c:v>4.46</c:v>
                </c:pt>
                <c:pt idx="1157">
                  <c:v>4.13</c:v>
                </c:pt>
                <c:pt idx="1158">
                  <c:v>3.64</c:v>
                </c:pt>
                <c:pt idx="1159">
                  <c:v>3.15</c:v>
                </c:pt>
                <c:pt idx="1160">
                  <c:v>3.81</c:v>
                </c:pt>
                <c:pt idx="1161">
                  <c:v>4.46</c:v>
                </c:pt>
                <c:pt idx="1162">
                  <c:v>3.15</c:v>
                </c:pt>
                <c:pt idx="1163">
                  <c:v>1.84</c:v>
                </c:pt>
                <c:pt idx="1164">
                  <c:v>2.4900000000000002</c:v>
                </c:pt>
                <c:pt idx="1165">
                  <c:v>3.15</c:v>
                </c:pt>
                <c:pt idx="1166">
                  <c:v>2.66</c:v>
                </c:pt>
                <c:pt idx="1167">
                  <c:v>2.16</c:v>
                </c:pt>
                <c:pt idx="1168">
                  <c:v>3.64</c:v>
                </c:pt>
                <c:pt idx="1169">
                  <c:v>5.12</c:v>
                </c:pt>
                <c:pt idx="1170">
                  <c:v>5.45</c:v>
                </c:pt>
                <c:pt idx="1171">
                  <c:v>5.78</c:v>
                </c:pt>
                <c:pt idx="1172">
                  <c:v>3.97</c:v>
                </c:pt>
                <c:pt idx="1173">
                  <c:v>2.16</c:v>
                </c:pt>
                <c:pt idx="1174">
                  <c:v>2.98</c:v>
                </c:pt>
                <c:pt idx="1175">
                  <c:v>3.81</c:v>
                </c:pt>
                <c:pt idx="1176">
                  <c:v>3.81</c:v>
                </c:pt>
                <c:pt idx="1177">
                  <c:v>3.81</c:v>
                </c:pt>
                <c:pt idx="1178">
                  <c:v>4.63</c:v>
                </c:pt>
                <c:pt idx="1179">
                  <c:v>5.45</c:v>
                </c:pt>
                <c:pt idx="1180">
                  <c:v>4.95</c:v>
                </c:pt>
                <c:pt idx="1181">
                  <c:v>4.46</c:v>
                </c:pt>
                <c:pt idx="1182">
                  <c:v>4.13</c:v>
                </c:pt>
                <c:pt idx="1183">
                  <c:v>3.81</c:v>
                </c:pt>
                <c:pt idx="1184">
                  <c:v>3.31</c:v>
                </c:pt>
                <c:pt idx="1185">
                  <c:v>2.82</c:v>
                </c:pt>
                <c:pt idx="1186">
                  <c:v>4.13</c:v>
                </c:pt>
                <c:pt idx="1187">
                  <c:v>5.45</c:v>
                </c:pt>
                <c:pt idx="1188">
                  <c:v>4.3</c:v>
                </c:pt>
                <c:pt idx="1189">
                  <c:v>3.15</c:v>
                </c:pt>
                <c:pt idx="1190">
                  <c:v>3.81</c:v>
                </c:pt>
                <c:pt idx="1191">
                  <c:v>4.46</c:v>
                </c:pt>
                <c:pt idx="1192">
                  <c:v>3.31</c:v>
                </c:pt>
                <c:pt idx="1193">
                  <c:v>2.16</c:v>
                </c:pt>
                <c:pt idx="1194">
                  <c:v>2.66</c:v>
                </c:pt>
                <c:pt idx="1195">
                  <c:v>3.15</c:v>
                </c:pt>
                <c:pt idx="1196">
                  <c:v>2.98</c:v>
                </c:pt>
                <c:pt idx="1197">
                  <c:v>2.82</c:v>
                </c:pt>
                <c:pt idx="1198">
                  <c:v>2.98</c:v>
                </c:pt>
                <c:pt idx="1199">
                  <c:v>3.15</c:v>
                </c:pt>
                <c:pt idx="1200">
                  <c:v>4.3</c:v>
                </c:pt>
                <c:pt idx="1201">
                  <c:v>5.45</c:v>
                </c:pt>
                <c:pt idx="1202">
                  <c:v>3.97</c:v>
                </c:pt>
                <c:pt idx="1203">
                  <c:v>2.4900000000000002</c:v>
                </c:pt>
                <c:pt idx="1204">
                  <c:v>2.33</c:v>
                </c:pt>
                <c:pt idx="1205">
                  <c:v>2.16</c:v>
                </c:pt>
                <c:pt idx="1206">
                  <c:v>3.48</c:v>
                </c:pt>
                <c:pt idx="1207">
                  <c:v>4.79</c:v>
                </c:pt>
                <c:pt idx="1208">
                  <c:v>4.79</c:v>
                </c:pt>
                <c:pt idx="1209">
                  <c:v>4.79</c:v>
                </c:pt>
                <c:pt idx="1210">
                  <c:v>5.12</c:v>
                </c:pt>
                <c:pt idx="1211">
                  <c:v>5.45</c:v>
                </c:pt>
                <c:pt idx="1212">
                  <c:v>5.12</c:v>
                </c:pt>
                <c:pt idx="1213">
                  <c:v>4.79</c:v>
                </c:pt>
                <c:pt idx="1214">
                  <c:v>4.3</c:v>
                </c:pt>
                <c:pt idx="1215">
                  <c:v>3.81</c:v>
                </c:pt>
                <c:pt idx="1216">
                  <c:v>3.15</c:v>
                </c:pt>
                <c:pt idx="1217">
                  <c:v>2.4900000000000002</c:v>
                </c:pt>
                <c:pt idx="1218">
                  <c:v>2.98</c:v>
                </c:pt>
                <c:pt idx="1219">
                  <c:v>3.48</c:v>
                </c:pt>
                <c:pt idx="1220">
                  <c:v>4.46</c:v>
                </c:pt>
                <c:pt idx="1221">
                  <c:v>5.45</c:v>
                </c:pt>
                <c:pt idx="1222">
                  <c:v>6.1</c:v>
                </c:pt>
                <c:pt idx="1223">
                  <c:v>6.76</c:v>
                </c:pt>
                <c:pt idx="1224">
                  <c:v>7.74</c:v>
                </c:pt>
                <c:pt idx="1225">
                  <c:v>8.73</c:v>
                </c:pt>
                <c:pt idx="1226">
                  <c:v>7.25</c:v>
                </c:pt>
                <c:pt idx="1227">
                  <c:v>5.78</c:v>
                </c:pt>
                <c:pt idx="1228">
                  <c:v>6.43</c:v>
                </c:pt>
                <c:pt idx="1229">
                  <c:v>7.09</c:v>
                </c:pt>
                <c:pt idx="1230">
                  <c:v>4.95</c:v>
                </c:pt>
                <c:pt idx="1231">
                  <c:v>2.82</c:v>
                </c:pt>
                <c:pt idx="1232">
                  <c:v>3.31</c:v>
                </c:pt>
                <c:pt idx="1233">
                  <c:v>3.81</c:v>
                </c:pt>
                <c:pt idx="1234">
                  <c:v>3.81</c:v>
                </c:pt>
                <c:pt idx="1235">
                  <c:v>3.81</c:v>
                </c:pt>
                <c:pt idx="1236">
                  <c:v>3.15</c:v>
                </c:pt>
                <c:pt idx="1237">
                  <c:v>2.4900000000000002</c:v>
                </c:pt>
                <c:pt idx="1238">
                  <c:v>4.46</c:v>
                </c:pt>
                <c:pt idx="1239">
                  <c:v>6.43</c:v>
                </c:pt>
                <c:pt idx="1240">
                  <c:v>5.61</c:v>
                </c:pt>
                <c:pt idx="1241">
                  <c:v>4.79</c:v>
                </c:pt>
                <c:pt idx="1242">
                  <c:v>5.94</c:v>
                </c:pt>
                <c:pt idx="1243">
                  <c:v>7.09</c:v>
                </c:pt>
                <c:pt idx="1244">
                  <c:v>5.28</c:v>
                </c:pt>
                <c:pt idx="1245">
                  <c:v>3.48</c:v>
                </c:pt>
                <c:pt idx="1246">
                  <c:v>4.46</c:v>
                </c:pt>
                <c:pt idx="1247">
                  <c:v>5.45</c:v>
                </c:pt>
                <c:pt idx="1248">
                  <c:v>4.95</c:v>
                </c:pt>
                <c:pt idx="1249">
                  <c:v>4.46</c:v>
                </c:pt>
                <c:pt idx="1250">
                  <c:v>4.13</c:v>
                </c:pt>
                <c:pt idx="1251">
                  <c:v>3.81</c:v>
                </c:pt>
                <c:pt idx="1252">
                  <c:v>4.63</c:v>
                </c:pt>
                <c:pt idx="1253">
                  <c:v>5.45</c:v>
                </c:pt>
                <c:pt idx="1254">
                  <c:v>5.28</c:v>
                </c:pt>
                <c:pt idx="1255">
                  <c:v>5.12</c:v>
                </c:pt>
                <c:pt idx="1256">
                  <c:v>3.48</c:v>
                </c:pt>
                <c:pt idx="1257">
                  <c:v>1.84</c:v>
                </c:pt>
                <c:pt idx="1258">
                  <c:v>2.16</c:v>
                </c:pt>
                <c:pt idx="1259">
                  <c:v>2.4900000000000002</c:v>
                </c:pt>
                <c:pt idx="1260">
                  <c:v>3.48</c:v>
                </c:pt>
                <c:pt idx="1261">
                  <c:v>4.46</c:v>
                </c:pt>
                <c:pt idx="1262">
                  <c:v>3.48</c:v>
                </c:pt>
                <c:pt idx="1263">
                  <c:v>2.4900000000000002</c:v>
                </c:pt>
                <c:pt idx="1264">
                  <c:v>3.15</c:v>
                </c:pt>
                <c:pt idx="1265">
                  <c:v>3.81</c:v>
                </c:pt>
                <c:pt idx="1266">
                  <c:v>3.15</c:v>
                </c:pt>
                <c:pt idx="1267">
                  <c:v>2.4900000000000002</c:v>
                </c:pt>
                <c:pt idx="1268">
                  <c:v>2.66</c:v>
                </c:pt>
                <c:pt idx="1269">
                  <c:v>2.82</c:v>
                </c:pt>
                <c:pt idx="1270">
                  <c:v>3.15</c:v>
                </c:pt>
                <c:pt idx="1271">
                  <c:v>3.48</c:v>
                </c:pt>
                <c:pt idx="1272">
                  <c:v>2.98</c:v>
                </c:pt>
                <c:pt idx="1273">
                  <c:v>2.4900000000000002</c:v>
                </c:pt>
                <c:pt idx="1274">
                  <c:v>3.81</c:v>
                </c:pt>
                <c:pt idx="1275">
                  <c:v>5.12</c:v>
                </c:pt>
                <c:pt idx="1276">
                  <c:v>4.95</c:v>
                </c:pt>
                <c:pt idx="1277">
                  <c:v>4.79</c:v>
                </c:pt>
                <c:pt idx="1278">
                  <c:v>3.64</c:v>
                </c:pt>
                <c:pt idx="1279">
                  <c:v>2.4900000000000002</c:v>
                </c:pt>
                <c:pt idx="1280">
                  <c:v>3.31</c:v>
                </c:pt>
                <c:pt idx="1281">
                  <c:v>4.13</c:v>
                </c:pt>
                <c:pt idx="1282">
                  <c:v>3.81</c:v>
                </c:pt>
                <c:pt idx="1283">
                  <c:v>3.48</c:v>
                </c:pt>
                <c:pt idx="1284">
                  <c:v>2.98</c:v>
                </c:pt>
                <c:pt idx="1285">
                  <c:v>2.4900000000000002</c:v>
                </c:pt>
                <c:pt idx="1286">
                  <c:v>2.16</c:v>
                </c:pt>
                <c:pt idx="1287">
                  <c:v>1.84</c:v>
                </c:pt>
                <c:pt idx="1288">
                  <c:v>3.15</c:v>
                </c:pt>
                <c:pt idx="1289">
                  <c:v>4.46</c:v>
                </c:pt>
                <c:pt idx="1290">
                  <c:v>3.64</c:v>
                </c:pt>
                <c:pt idx="1291">
                  <c:v>2.82</c:v>
                </c:pt>
                <c:pt idx="1292">
                  <c:v>2.66</c:v>
                </c:pt>
                <c:pt idx="1293">
                  <c:v>2.4900000000000002</c:v>
                </c:pt>
                <c:pt idx="1294">
                  <c:v>2.33</c:v>
                </c:pt>
                <c:pt idx="1295">
                  <c:v>2.16</c:v>
                </c:pt>
                <c:pt idx="1296">
                  <c:v>2.33</c:v>
                </c:pt>
                <c:pt idx="1297">
                  <c:v>2.4900000000000002</c:v>
                </c:pt>
                <c:pt idx="1298">
                  <c:v>2.98</c:v>
                </c:pt>
                <c:pt idx="1299">
                  <c:v>3.48</c:v>
                </c:pt>
                <c:pt idx="1300">
                  <c:v>2.98</c:v>
                </c:pt>
                <c:pt idx="1301">
                  <c:v>2.4900000000000002</c:v>
                </c:pt>
                <c:pt idx="1302">
                  <c:v>2.66</c:v>
                </c:pt>
                <c:pt idx="1303">
                  <c:v>2.82</c:v>
                </c:pt>
                <c:pt idx="1304">
                  <c:v>4.13</c:v>
                </c:pt>
                <c:pt idx="1305">
                  <c:v>5.45</c:v>
                </c:pt>
                <c:pt idx="1306">
                  <c:v>5.61</c:v>
                </c:pt>
                <c:pt idx="1307">
                  <c:v>5.78</c:v>
                </c:pt>
                <c:pt idx="1308">
                  <c:v>4.3</c:v>
                </c:pt>
                <c:pt idx="1309">
                  <c:v>2.82</c:v>
                </c:pt>
                <c:pt idx="1310">
                  <c:v>2.4900000000000002</c:v>
                </c:pt>
                <c:pt idx="1311">
                  <c:v>2.16</c:v>
                </c:pt>
                <c:pt idx="1312">
                  <c:v>2.33</c:v>
                </c:pt>
                <c:pt idx="1313">
                  <c:v>2.4900000000000002</c:v>
                </c:pt>
                <c:pt idx="1314">
                  <c:v>2.66</c:v>
                </c:pt>
                <c:pt idx="1315">
                  <c:v>2.82</c:v>
                </c:pt>
                <c:pt idx="1316">
                  <c:v>2.66</c:v>
                </c:pt>
                <c:pt idx="1317">
                  <c:v>2.4900000000000002</c:v>
                </c:pt>
                <c:pt idx="1318">
                  <c:v>2.66</c:v>
                </c:pt>
                <c:pt idx="1319">
                  <c:v>2.82</c:v>
                </c:pt>
                <c:pt idx="1320">
                  <c:v>2.66</c:v>
                </c:pt>
                <c:pt idx="1321">
                  <c:v>2.4900000000000002</c:v>
                </c:pt>
                <c:pt idx="1322">
                  <c:v>3.97</c:v>
                </c:pt>
                <c:pt idx="1323">
                  <c:v>5.45</c:v>
                </c:pt>
                <c:pt idx="1324">
                  <c:v>4.3</c:v>
                </c:pt>
                <c:pt idx="1325">
                  <c:v>3.15</c:v>
                </c:pt>
                <c:pt idx="1326">
                  <c:v>2.66</c:v>
                </c:pt>
                <c:pt idx="1327">
                  <c:v>2.16</c:v>
                </c:pt>
                <c:pt idx="1328">
                  <c:v>3.64</c:v>
                </c:pt>
                <c:pt idx="1329">
                  <c:v>5.12</c:v>
                </c:pt>
                <c:pt idx="1330">
                  <c:v>4.46</c:v>
                </c:pt>
                <c:pt idx="1331">
                  <c:v>3.81</c:v>
                </c:pt>
                <c:pt idx="1332">
                  <c:v>4.46</c:v>
                </c:pt>
                <c:pt idx="1333">
                  <c:v>5.12</c:v>
                </c:pt>
                <c:pt idx="1334">
                  <c:v>4.3</c:v>
                </c:pt>
                <c:pt idx="1335">
                  <c:v>3.48</c:v>
                </c:pt>
                <c:pt idx="1336">
                  <c:v>5.61</c:v>
                </c:pt>
                <c:pt idx="1337">
                  <c:v>7.74</c:v>
                </c:pt>
                <c:pt idx="1338">
                  <c:v>6.76</c:v>
                </c:pt>
                <c:pt idx="1339">
                  <c:v>5.78</c:v>
                </c:pt>
                <c:pt idx="1340">
                  <c:v>5.94</c:v>
                </c:pt>
                <c:pt idx="1341">
                  <c:v>6.1</c:v>
                </c:pt>
                <c:pt idx="1342">
                  <c:v>5.12</c:v>
                </c:pt>
                <c:pt idx="1343">
                  <c:v>4.13</c:v>
                </c:pt>
                <c:pt idx="1344">
                  <c:v>3.81</c:v>
                </c:pt>
                <c:pt idx="1345">
                  <c:v>3.48</c:v>
                </c:pt>
                <c:pt idx="1346">
                  <c:v>4.13</c:v>
                </c:pt>
                <c:pt idx="1347">
                  <c:v>4.79</c:v>
                </c:pt>
                <c:pt idx="1348">
                  <c:v>4.13</c:v>
                </c:pt>
                <c:pt idx="1349">
                  <c:v>3.48</c:v>
                </c:pt>
                <c:pt idx="1350">
                  <c:v>2.98</c:v>
                </c:pt>
                <c:pt idx="1351">
                  <c:v>2.4900000000000002</c:v>
                </c:pt>
                <c:pt idx="1352">
                  <c:v>2.4900000000000002</c:v>
                </c:pt>
                <c:pt idx="1353">
                  <c:v>2.4900000000000002</c:v>
                </c:pt>
                <c:pt idx="1354">
                  <c:v>2.33</c:v>
                </c:pt>
                <c:pt idx="1355">
                  <c:v>2.16</c:v>
                </c:pt>
                <c:pt idx="1356">
                  <c:v>2.4900000000000002</c:v>
                </c:pt>
                <c:pt idx="1357">
                  <c:v>2.82</c:v>
                </c:pt>
                <c:pt idx="1358">
                  <c:v>2.66</c:v>
                </c:pt>
                <c:pt idx="1359">
                  <c:v>2.4900000000000002</c:v>
                </c:pt>
                <c:pt idx="1360">
                  <c:v>3.15</c:v>
                </c:pt>
                <c:pt idx="1361">
                  <c:v>3.81</c:v>
                </c:pt>
                <c:pt idx="1362">
                  <c:v>3.31</c:v>
                </c:pt>
                <c:pt idx="1363">
                  <c:v>2.82</c:v>
                </c:pt>
                <c:pt idx="1364">
                  <c:v>2.66</c:v>
                </c:pt>
                <c:pt idx="1365">
                  <c:v>2.4900000000000002</c:v>
                </c:pt>
                <c:pt idx="1366">
                  <c:v>3.64</c:v>
                </c:pt>
                <c:pt idx="1367">
                  <c:v>4.79</c:v>
                </c:pt>
                <c:pt idx="1368">
                  <c:v>5.45</c:v>
                </c:pt>
                <c:pt idx="1369">
                  <c:v>6.1</c:v>
                </c:pt>
                <c:pt idx="1370">
                  <c:v>4.13</c:v>
                </c:pt>
                <c:pt idx="1371">
                  <c:v>2.16</c:v>
                </c:pt>
                <c:pt idx="1372">
                  <c:v>2.33</c:v>
                </c:pt>
                <c:pt idx="1373">
                  <c:v>2.4900000000000002</c:v>
                </c:pt>
                <c:pt idx="1374">
                  <c:v>2.66</c:v>
                </c:pt>
                <c:pt idx="1375">
                  <c:v>2.82</c:v>
                </c:pt>
                <c:pt idx="1376">
                  <c:v>3.81</c:v>
                </c:pt>
                <c:pt idx="1377">
                  <c:v>4.79</c:v>
                </c:pt>
                <c:pt idx="1378">
                  <c:v>5.28</c:v>
                </c:pt>
                <c:pt idx="1379">
                  <c:v>5.78</c:v>
                </c:pt>
                <c:pt idx="1380">
                  <c:v>4.95</c:v>
                </c:pt>
                <c:pt idx="1381">
                  <c:v>4.13</c:v>
                </c:pt>
                <c:pt idx="1382">
                  <c:v>3.15</c:v>
                </c:pt>
                <c:pt idx="1383">
                  <c:v>2.16</c:v>
                </c:pt>
                <c:pt idx="1384">
                  <c:v>2.66</c:v>
                </c:pt>
                <c:pt idx="1385">
                  <c:v>3.15</c:v>
                </c:pt>
                <c:pt idx="1386">
                  <c:v>2.66</c:v>
                </c:pt>
                <c:pt idx="1387">
                  <c:v>2.16</c:v>
                </c:pt>
                <c:pt idx="1388">
                  <c:v>2.66</c:v>
                </c:pt>
                <c:pt idx="1389">
                  <c:v>3.15</c:v>
                </c:pt>
                <c:pt idx="1390">
                  <c:v>4.13</c:v>
                </c:pt>
                <c:pt idx="1391">
                  <c:v>5.12</c:v>
                </c:pt>
                <c:pt idx="1392">
                  <c:v>4.95</c:v>
                </c:pt>
                <c:pt idx="1393">
                  <c:v>4.79</c:v>
                </c:pt>
                <c:pt idx="1394">
                  <c:v>3.81</c:v>
                </c:pt>
                <c:pt idx="1395">
                  <c:v>2.82</c:v>
                </c:pt>
                <c:pt idx="1396">
                  <c:v>2.98</c:v>
                </c:pt>
                <c:pt idx="1397">
                  <c:v>3.15</c:v>
                </c:pt>
                <c:pt idx="1398">
                  <c:v>2.98</c:v>
                </c:pt>
                <c:pt idx="1399">
                  <c:v>2.82</c:v>
                </c:pt>
                <c:pt idx="1400">
                  <c:v>2.66</c:v>
                </c:pt>
                <c:pt idx="1401">
                  <c:v>2.4900000000000002</c:v>
                </c:pt>
                <c:pt idx="1402">
                  <c:v>2.4900000000000002</c:v>
                </c:pt>
                <c:pt idx="1403">
                  <c:v>2.4900000000000002</c:v>
                </c:pt>
                <c:pt idx="1404">
                  <c:v>2.4900000000000002</c:v>
                </c:pt>
                <c:pt idx="1405">
                  <c:v>2.4900000000000002</c:v>
                </c:pt>
                <c:pt idx="1406">
                  <c:v>2.16</c:v>
                </c:pt>
                <c:pt idx="1407">
                  <c:v>1.84</c:v>
                </c:pt>
                <c:pt idx="1408">
                  <c:v>2.4900000000000002</c:v>
                </c:pt>
                <c:pt idx="1409">
                  <c:v>3.15</c:v>
                </c:pt>
                <c:pt idx="1410">
                  <c:v>2.98</c:v>
                </c:pt>
                <c:pt idx="1411">
                  <c:v>2.82</c:v>
                </c:pt>
                <c:pt idx="1412">
                  <c:v>2.66</c:v>
                </c:pt>
                <c:pt idx="1413">
                  <c:v>2.4900000000000002</c:v>
                </c:pt>
                <c:pt idx="1414">
                  <c:v>2.16</c:v>
                </c:pt>
                <c:pt idx="1415">
                  <c:v>1.84</c:v>
                </c:pt>
                <c:pt idx="1416">
                  <c:v>2</c:v>
                </c:pt>
                <c:pt idx="1417">
                  <c:v>2.16</c:v>
                </c:pt>
                <c:pt idx="1418">
                  <c:v>2.4900000000000002</c:v>
                </c:pt>
                <c:pt idx="1419">
                  <c:v>2.82</c:v>
                </c:pt>
                <c:pt idx="1420">
                  <c:v>2.82</c:v>
                </c:pt>
                <c:pt idx="1421">
                  <c:v>2.82</c:v>
                </c:pt>
                <c:pt idx="1422">
                  <c:v>2.66</c:v>
                </c:pt>
                <c:pt idx="1423">
                  <c:v>2.4900000000000002</c:v>
                </c:pt>
                <c:pt idx="1424">
                  <c:v>2.66</c:v>
                </c:pt>
                <c:pt idx="1425">
                  <c:v>2.82</c:v>
                </c:pt>
                <c:pt idx="1426">
                  <c:v>2.66</c:v>
                </c:pt>
                <c:pt idx="1427">
                  <c:v>2.4900000000000002</c:v>
                </c:pt>
                <c:pt idx="1428">
                  <c:v>2</c:v>
                </c:pt>
                <c:pt idx="1429">
                  <c:v>1.51</c:v>
                </c:pt>
                <c:pt idx="1430">
                  <c:v>1.67</c:v>
                </c:pt>
                <c:pt idx="1431">
                  <c:v>1.84</c:v>
                </c:pt>
                <c:pt idx="1432">
                  <c:v>2.33</c:v>
                </c:pt>
                <c:pt idx="1433">
                  <c:v>2.82</c:v>
                </c:pt>
                <c:pt idx="1434">
                  <c:v>3.81</c:v>
                </c:pt>
                <c:pt idx="1435">
                  <c:v>4.79</c:v>
                </c:pt>
                <c:pt idx="1436">
                  <c:v>5.94</c:v>
                </c:pt>
                <c:pt idx="1437">
                  <c:v>7.09</c:v>
                </c:pt>
                <c:pt idx="1438">
                  <c:v>6.27</c:v>
                </c:pt>
                <c:pt idx="1439">
                  <c:v>5.45</c:v>
                </c:pt>
              </c:numCache>
            </c:numRef>
          </c:yVal>
          <c:smooth val="1"/>
          <c:extLst>
            <c:ext xmlns:c16="http://schemas.microsoft.com/office/drawing/2014/chart" uri="{C3380CC4-5D6E-409C-BE32-E72D297353CC}">
              <c16:uniqueId val="{00000002-6AD3-4F03-877B-898B8FEDB671}"/>
            </c:ext>
          </c:extLst>
        </c:ser>
        <c:dLbls>
          <c:showLegendKey val="0"/>
          <c:showVal val="0"/>
          <c:showCatName val="0"/>
          <c:showSerName val="0"/>
          <c:showPercent val="0"/>
          <c:showBubbleSize val="0"/>
        </c:dLbls>
        <c:axId val="87281024"/>
        <c:axId val="87291392"/>
      </c:scatterChart>
      <c:valAx>
        <c:axId val="87281024"/>
        <c:scaling>
          <c:orientation val="minMax"/>
          <c:max val="42006"/>
          <c:min val="4200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b="0">
                    <a:latin typeface="Times New Roman" panose="02020603050405020304" pitchFamily="18" charset="0"/>
                    <a:cs typeface="Times New Roman" panose="02020603050405020304" pitchFamily="18" charset="0"/>
                  </a:rPr>
                  <a:t>Time</a:t>
                </a:r>
              </a:p>
            </c:rich>
          </c:tx>
          <c:layout>
            <c:manualLayout>
              <c:xMode val="edge"/>
              <c:yMode val="edge"/>
              <c:x val="0.49481382902254589"/>
              <c:y val="0.94389353128462139"/>
            </c:manualLayout>
          </c:layout>
          <c:overlay val="0"/>
          <c:spPr>
            <a:noFill/>
            <a:ln>
              <a:noFill/>
            </a:ln>
            <a:effectLst/>
          </c:spPr>
        </c:title>
        <c:numFmt formatCode="h:mm" sourceLinked="1"/>
        <c:majorTickMark val="out"/>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7291392"/>
        <c:crosses val="autoZero"/>
        <c:crossBetween val="midCat"/>
        <c:majorUnit val="0.25"/>
        <c:minorUnit val="5.000000000000001E-2"/>
      </c:valAx>
      <c:valAx>
        <c:axId val="87291392"/>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b="0">
                    <a:latin typeface="Times New Roman" panose="02020603050405020304" pitchFamily="18" charset="0"/>
                    <a:cs typeface="Times New Roman" panose="02020603050405020304" pitchFamily="18" charset="0"/>
                  </a:rPr>
                  <a:t>Irrance (W/m</a:t>
                </a:r>
                <a:r>
                  <a:rPr lang="en-GB" sz="1200" b="0" baseline="30000">
                    <a:latin typeface="Times New Roman" panose="02020603050405020304" pitchFamily="18" charset="0"/>
                    <a:cs typeface="Times New Roman" panose="02020603050405020304" pitchFamily="18" charset="0"/>
                  </a:rPr>
                  <a:t>2</a:t>
                </a:r>
                <a:r>
                  <a:rPr lang="en-GB" sz="1200" b="0">
                    <a:latin typeface="Times New Roman" panose="02020603050405020304" pitchFamily="18" charset="0"/>
                    <a:cs typeface="Times New Roman" panose="02020603050405020304" pitchFamily="18" charset="0"/>
                  </a:rPr>
                  <a:t>)</a:t>
                </a:r>
              </a:p>
            </c:rich>
          </c:tx>
          <c:layout>
            <c:manualLayout>
              <c:xMode val="edge"/>
              <c:yMode val="edge"/>
              <c:x val="6.2597809076682318E-3"/>
              <c:y val="0.41453040676440484"/>
            </c:manualLayout>
          </c:layout>
          <c:overlay val="0"/>
          <c:spPr>
            <a:noFill/>
            <a:ln>
              <a:noFill/>
            </a:ln>
            <a:effectLst/>
          </c:spPr>
        </c:title>
        <c:numFmt formatCode="General" sourceLinked="1"/>
        <c:majorTickMark val="out"/>
        <c:minorTickMark val="out"/>
        <c:tickLblPos val="nextTo"/>
        <c:spPr>
          <a:noFill/>
          <a:ln w="1587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7281024"/>
        <c:crosses val="autoZero"/>
        <c:crossBetween val="midCat"/>
      </c:valAx>
      <c:spPr>
        <a:noFill/>
        <a:ln>
          <a:noFill/>
        </a:ln>
        <a:effectLst/>
      </c:spPr>
    </c:plotArea>
    <c:legend>
      <c:legendPos val="b"/>
      <c:layout>
        <c:manualLayout>
          <c:xMode val="edge"/>
          <c:yMode val="edge"/>
          <c:x val="2.0865936358894104E-3"/>
          <c:y val="0.95401415072078644"/>
          <c:w val="0.99598322510155712"/>
          <c:h val="3.6764963203129018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62181020475889"/>
          <c:y val="3.980988383047198E-2"/>
          <c:w val="0.81367122213171628"/>
          <c:h val="0.8658960645899646"/>
        </c:manualLayout>
      </c:layout>
      <c:scatterChart>
        <c:scatterStyle val="smoothMarker"/>
        <c:varyColors val="0"/>
        <c:ser>
          <c:idx val="0"/>
          <c:order val="0"/>
          <c:tx>
            <c:strRef>
              <c:f>Sheet1!$B$1</c:f>
              <c:strCache>
                <c:ptCount val="1"/>
                <c:pt idx="0">
                  <c:v>Direct iradiance (W/m2)</c:v>
                </c:pt>
              </c:strCache>
            </c:strRef>
          </c:tx>
          <c:spPr>
            <a:ln w="12700" cap="rnd">
              <a:solidFill>
                <a:srgbClr val="00B050"/>
              </a:solidFill>
              <a:round/>
            </a:ln>
            <a:effectLst/>
          </c:spPr>
          <c:marker>
            <c:symbol val="none"/>
          </c:marker>
          <c:xVal>
            <c:numRef>
              <c:f>Sheet1!$A$2:$A$1441</c:f>
              <c:numCache>
                <c:formatCode>h:mm</c:formatCode>
                <c:ptCount val="1440"/>
                <c:pt idx="0">
                  <c:v>41702</c:v>
                </c:pt>
                <c:pt idx="1">
                  <c:v>41702.000694444447</c:v>
                </c:pt>
                <c:pt idx="2">
                  <c:v>41702.001388888886</c:v>
                </c:pt>
                <c:pt idx="3">
                  <c:v>41702.002083333333</c:v>
                </c:pt>
                <c:pt idx="4">
                  <c:v>41702.00277777778</c:v>
                </c:pt>
                <c:pt idx="5">
                  <c:v>41702.003472222219</c:v>
                </c:pt>
                <c:pt idx="6">
                  <c:v>41702.004166666666</c:v>
                </c:pt>
                <c:pt idx="7">
                  <c:v>41702.004861111112</c:v>
                </c:pt>
                <c:pt idx="8">
                  <c:v>41702.005555555559</c:v>
                </c:pt>
                <c:pt idx="9">
                  <c:v>41702.006249999999</c:v>
                </c:pt>
                <c:pt idx="10">
                  <c:v>41702.006944444445</c:v>
                </c:pt>
                <c:pt idx="11">
                  <c:v>41702.007638888892</c:v>
                </c:pt>
                <c:pt idx="12">
                  <c:v>41702.008333333331</c:v>
                </c:pt>
                <c:pt idx="13">
                  <c:v>41702.009027777778</c:v>
                </c:pt>
                <c:pt idx="14">
                  <c:v>41702.009722222225</c:v>
                </c:pt>
                <c:pt idx="15">
                  <c:v>41702.010416666664</c:v>
                </c:pt>
                <c:pt idx="16">
                  <c:v>41702.011111111111</c:v>
                </c:pt>
                <c:pt idx="17">
                  <c:v>41702.011805555558</c:v>
                </c:pt>
                <c:pt idx="18">
                  <c:v>41702.012499999997</c:v>
                </c:pt>
                <c:pt idx="19">
                  <c:v>41702.013194444444</c:v>
                </c:pt>
                <c:pt idx="20">
                  <c:v>41702.013888888891</c:v>
                </c:pt>
                <c:pt idx="21">
                  <c:v>41702.01458333333</c:v>
                </c:pt>
                <c:pt idx="22">
                  <c:v>41702.015277777777</c:v>
                </c:pt>
                <c:pt idx="23">
                  <c:v>41702.015972222223</c:v>
                </c:pt>
                <c:pt idx="24">
                  <c:v>41702.01666666667</c:v>
                </c:pt>
                <c:pt idx="25">
                  <c:v>41702.017361111109</c:v>
                </c:pt>
                <c:pt idx="26">
                  <c:v>41702.018055555556</c:v>
                </c:pt>
                <c:pt idx="27">
                  <c:v>41702.018750000003</c:v>
                </c:pt>
                <c:pt idx="28">
                  <c:v>41702.019444444442</c:v>
                </c:pt>
                <c:pt idx="29">
                  <c:v>41702.020138888889</c:v>
                </c:pt>
                <c:pt idx="30">
                  <c:v>41702.020833333336</c:v>
                </c:pt>
                <c:pt idx="31">
                  <c:v>41702.021527777775</c:v>
                </c:pt>
                <c:pt idx="32">
                  <c:v>41702.022222222222</c:v>
                </c:pt>
                <c:pt idx="33">
                  <c:v>41702.022916666669</c:v>
                </c:pt>
                <c:pt idx="34">
                  <c:v>41702.023611111108</c:v>
                </c:pt>
                <c:pt idx="35">
                  <c:v>41702.024305555555</c:v>
                </c:pt>
                <c:pt idx="36">
                  <c:v>41702.025000000001</c:v>
                </c:pt>
                <c:pt idx="37">
                  <c:v>41702.025694444441</c:v>
                </c:pt>
                <c:pt idx="38">
                  <c:v>41702.026388888888</c:v>
                </c:pt>
                <c:pt idx="39">
                  <c:v>41702.027083333334</c:v>
                </c:pt>
                <c:pt idx="40">
                  <c:v>41702.027777777781</c:v>
                </c:pt>
                <c:pt idx="41">
                  <c:v>41702.02847222222</c:v>
                </c:pt>
                <c:pt idx="42">
                  <c:v>41702.029166666667</c:v>
                </c:pt>
                <c:pt idx="43">
                  <c:v>41702.029861111114</c:v>
                </c:pt>
                <c:pt idx="44">
                  <c:v>41702.030555555553</c:v>
                </c:pt>
                <c:pt idx="45">
                  <c:v>41702.03125</c:v>
                </c:pt>
                <c:pt idx="46">
                  <c:v>41702.031944444447</c:v>
                </c:pt>
                <c:pt idx="47">
                  <c:v>41702.032638888886</c:v>
                </c:pt>
                <c:pt idx="48">
                  <c:v>41702.033333333333</c:v>
                </c:pt>
                <c:pt idx="49">
                  <c:v>41702.03402777778</c:v>
                </c:pt>
                <c:pt idx="50">
                  <c:v>41702.034722222219</c:v>
                </c:pt>
                <c:pt idx="51">
                  <c:v>41702.035416666666</c:v>
                </c:pt>
                <c:pt idx="52">
                  <c:v>41702.036111111112</c:v>
                </c:pt>
                <c:pt idx="53">
                  <c:v>41702.036805555559</c:v>
                </c:pt>
                <c:pt idx="54">
                  <c:v>41702.037499999999</c:v>
                </c:pt>
                <c:pt idx="55">
                  <c:v>41702.038194444445</c:v>
                </c:pt>
                <c:pt idx="56">
                  <c:v>41702.038888888892</c:v>
                </c:pt>
                <c:pt idx="57">
                  <c:v>41702.039583333331</c:v>
                </c:pt>
                <c:pt idx="58">
                  <c:v>41702.040277777778</c:v>
                </c:pt>
                <c:pt idx="59">
                  <c:v>41702.040972222225</c:v>
                </c:pt>
                <c:pt idx="60">
                  <c:v>41702.041666666664</c:v>
                </c:pt>
                <c:pt idx="61">
                  <c:v>41702.042361111111</c:v>
                </c:pt>
                <c:pt idx="62">
                  <c:v>41702.043055555558</c:v>
                </c:pt>
                <c:pt idx="63">
                  <c:v>41702.043749999997</c:v>
                </c:pt>
                <c:pt idx="64">
                  <c:v>41702.044444444444</c:v>
                </c:pt>
                <c:pt idx="65">
                  <c:v>41702.045138888891</c:v>
                </c:pt>
                <c:pt idx="66">
                  <c:v>41702.04583333333</c:v>
                </c:pt>
                <c:pt idx="67">
                  <c:v>41702.046527777777</c:v>
                </c:pt>
                <c:pt idx="68">
                  <c:v>41702.047222222223</c:v>
                </c:pt>
                <c:pt idx="69">
                  <c:v>41702.04791666667</c:v>
                </c:pt>
                <c:pt idx="70">
                  <c:v>41702.048611111109</c:v>
                </c:pt>
                <c:pt idx="71">
                  <c:v>41702.049305555556</c:v>
                </c:pt>
                <c:pt idx="72">
                  <c:v>41702.050000000003</c:v>
                </c:pt>
                <c:pt idx="73">
                  <c:v>41702.050694444442</c:v>
                </c:pt>
                <c:pt idx="74">
                  <c:v>41702.051388888889</c:v>
                </c:pt>
                <c:pt idx="75">
                  <c:v>41702.052083333336</c:v>
                </c:pt>
                <c:pt idx="76">
                  <c:v>41702.052777777775</c:v>
                </c:pt>
                <c:pt idx="77">
                  <c:v>41702.053472222222</c:v>
                </c:pt>
                <c:pt idx="78">
                  <c:v>41702.054166666669</c:v>
                </c:pt>
                <c:pt idx="79">
                  <c:v>41702.054861111108</c:v>
                </c:pt>
                <c:pt idx="80">
                  <c:v>41702.055555555555</c:v>
                </c:pt>
                <c:pt idx="81">
                  <c:v>41702.056250000001</c:v>
                </c:pt>
                <c:pt idx="82">
                  <c:v>41702.056944444441</c:v>
                </c:pt>
                <c:pt idx="83">
                  <c:v>41702.057638888888</c:v>
                </c:pt>
                <c:pt idx="84">
                  <c:v>41702.058333333334</c:v>
                </c:pt>
                <c:pt idx="85">
                  <c:v>41702.059027777781</c:v>
                </c:pt>
                <c:pt idx="86">
                  <c:v>41702.05972222222</c:v>
                </c:pt>
                <c:pt idx="87">
                  <c:v>41702.060416666667</c:v>
                </c:pt>
                <c:pt idx="88">
                  <c:v>41702.061111111114</c:v>
                </c:pt>
                <c:pt idx="89">
                  <c:v>41702.061805555553</c:v>
                </c:pt>
                <c:pt idx="90">
                  <c:v>41702.0625</c:v>
                </c:pt>
                <c:pt idx="91">
                  <c:v>41702.063194444447</c:v>
                </c:pt>
                <c:pt idx="92">
                  <c:v>41702.063888888886</c:v>
                </c:pt>
                <c:pt idx="93">
                  <c:v>41702.064583333333</c:v>
                </c:pt>
                <c:pt idx="94">
                  <c:v>41702.06527777778</c:v>
                </c:pt>
                <c:pt idx="95">
                  <c:v>41702.065972222219</c:v>
                </c:pt>
                <c:pt idx="96">
                  <c:v>41702.066666666666</c:v>
                </c:pt>
                <c:pt idx="97">
                  <c:v>41702.067361111112</c:v>
                </c:pt>
                <c:pt idx="98">
                  <c:v>41702.068055555559</c:v>
                </c:pt>
                <c:pt idx="99">
                  <c:v>41702.068749999999</c:v>
                </c:pt>
                <c:pt idx="100">
                  <c:v>41702.069444444445</c:v>
                </c:pt>
                <c:pt idx="101">
                  <c:v>41702.070138888892</c:v>
                </c:pt>
                <c:pt idx="102">
                  <c:v>41702.070833333331</c:v>
                </c:pt>
                <c:pt idx="103">
                  <c:v>41702.071527777778</c:v>
                </c:pt>
                <c:pt idx="104">
                  <c:v>41702.072222222225</c:v>
                </c:pt>
                <c:pt idx="105">
                  <c:v>41702.072916666664</c:v>
                </c:pt>
                <c:pt idx="106">
                  <c:v>41702.073611111111</c:v>
                </c:pt>
                <c:pt idx="107">
                  <c:v>41702.074305555558</c:v>
                </c:pt>
                <c:pt idx="108">
                  <c:v>41702.074999999997</c:v>
                </c:pt>
                <c:pt idx="109">
                  <c:v>41702.075694444444</c:v>
                </c:pt>
                <c:pt idx="110">
                  <c:v>41702.076388888891</c:v>
                </c:pt>
                <c:pt idx="111">
                  <c:v>41702.07708333333</c:v>
                </c:pt>
                <c:pt idx="112">
                  <c:v>41702.077777777777</c:v>
                </c:pt>
                <c:pt idx="113">
                  <c:v>41702.078472222223</c:v>
                </c:pt>
                <c:pt idx="114">
                  <c:v>41702.07916666667</c:v>
                </c:pt>
                <c:pt idx="115">
                  <c:v>41702.079861111109</c:v>
                </c:pt>
                <c:pt idx="116">
                  <c:v>41702.080555555556</c:v>
                </c:pt>
                <c:pt idx="117">
                  <c:v>41702.081250000003</c:v>
                </c:pt>
                <c:pt idx="118">
                  <c:v>41702.081944444442</c:v>
                </c:pt>
                <c:pt idx="119">
                  <c:v>41702.082638888889</c:v>
                </c:pt>
                <c:pt idx="120">
                  <c:v>41702.083333333336</c:v>
                </c:pt>
                <c:pt idx="121">
                  <c:v>41702.084027777775</c:v>
                </c:pt>
                <c:pt idx="122">
                  <c:v>41702.084722222222</c:v>
                </c:pt>
                <c:pt idx="123">
                  <c:v>41702.085416666669</c:v>
                </c:pt>
                <c:pt idx="124">
                  <c:v>41702.086111111108</c:v>
                </c:pt>
                <c:pt idx="125">
                  <c:v>41702.086805555555</c:v>
                </c:pt>
                <c:pt idx="126">
                  <c:v>41702.087500000001</c:v>
                </c:pt>
                <c:pt idx="127">
                  <c:v>41702.088194444441</c:v>
                </c:pt>
                <c:pt idx="128">
                  <c:v>41702.088888888888</c:v>
                </c:pt>
                <c:pt idx="129">
                  <c:v>41702.089583333334</c:v>
                </c:pt>
                <c:pt idx="130">
                  <c:v>41702.090277777781</c:v>
                </c:pt>
                <c:pt idx="131">
                  <c:v>41702.09097222222</c:v>
                </c:pt>
                <c:pt idx="132">
                  <c:v>41702.091666666667</c:v>
                </c:pt>
                <c:pt idx="133">
                  <c:v>41702.092361111114</c:v>
                </c:pt>
                <c:pt idx="134">
                  <c:v>41702.093055555553</c:v>
                </c:pt>
                <c:pt idx="135">
                  <c:v>41702.09375</c:v>
                </c:pt>
                <c:pt idx="136">
                  <c:v>41702.094444444447</c:v>
                </c:pt>
                <c:pt idx="137">
                  <c:v>41702.095138888886</c:v>
                </c:pt>
                <c:pt idx="138">
                  <c:v>41702.095833333333</c:v>
                </c:pt>
                <c:pt idx="139">
                  <c:v>41702.09652777778</c:v>
                </c:pt>
                <c:pt idx="140">
                  <c:v>41702.097222222219</c:v>
                </c:pt>
                <c:pt idx="141">
                  <c:v>41702.097916666666</c:v>
                </c:pt>
                <c:pt idx="142">
                  <c:v>41702.098611111112</c:v>
                </c:pt>
                <c:pt idx="143">
                  <c:v>41702.099305555559</c:v>
                </c:pt>
                <c:pt idx="144">
                  <c:v>41702.1</c:v>
                </c:pt>
                <c:pt idx="145">
                  <c:v>41702.100694444445</c:v>
                </c:pt>
                <c:pt idx="146">
                  <c:v>41702.101388888892</c:v>
                </c:pt>
                <c:pt idx="147">
                  <c:v>41702.102083333331</c:v>
                </c:pt>
                <c:pt idx="148">
                  <c:v>41702.102777777778</c:v>
                </c:pt>
                <c:pt idx="149">
                  <c:v>41702.103472222225</c:v>
                </c:pt>
                <c:pt idx="150">
                  <c:v>41702.104166666664</c:v>
                </c:pt>
                <c:pt idx="151">
                  <c:v>41702.104861111111</c:v>
                </c:pt>
                <c:pt idx="152">
                  <c:v>41702.105555555558</c:v>
                </c:pt>
                <c:pt idx="153">
                  <c:v>41702.106249999997</c:v>
                </c:pt>
                <c:pt idx="154">
                  <c:v>41702.106944444444</c:v>
                </c:pt>
                <c:pt idx="155">
                  <c:v>41702.107638888891</c:v>
                </c:pt>
                <c:pt idx="156">
                  <c:v>41702.10833333333</c:v>
                </c:pt>
                <c:pt idx="157">
                  <c:v>41702.109027777777</c:v>
                </c:pt>
                <c:pt idx="158">
                  <c:v>41702.109722222223</c:v>
                </c:pt>
                <c:pt idx="159">
                  <c:v>41702.11041666667</c:v>
                </c:pt>
                <c:pt idx="160">
                  <c:v>41702.111111111109</c:v>
                </c:pt>
                <c:pt idx="161">
                  <c:v>41702.111805555556</c:v>
                </c:pt>
                <c:pt idx="162">
                  <c:v>41702.112500000003</c:v>
                </c:pt>
                <c:pt idx="163">
                  <c:v>41702.113194444442</c:v>
                </c:pt>
                <c:pt idx="164">
                  <c:v>41702.113888888889</c:v>
                </c:pt>
                <c:pt idx="165">
                  <c:v>41702.114583333336</c:v>
                </c:pt>
                <c:pt idx="166">
                  <c:v>41702.115277777775</c:v>
                </c:pt>
                <c:pt idx="167">
                  <c:v>41702.115972222222</c:v>
                </c:pt>
                <c:pt idx="168">
                  <c:v>41702.116666666669</c:v>
                </c:pt>
                <c:pt idx="169">
                  <c:v>41702.117361111108</c:v>
                </c:pt>
                <c:pt idx="170">
                  <c:v>41702.118055555555</c:v>
                </c:pt>
                <c:pt idx="171">
                  <c:v>41702.118750000001</c:v>
                </c:pt>
                <c:pt idx="172">
                  <c:v>41702.119444444441</c:v>
                </c:pt>
                <c:pt idx="173">
                  <c:v>41702.120138888888</c:v>
                </c:pt>
                <c:pt idx="174">
                  <c:v>41702.120833333334</c:v>
                </c:pt>
                <c:pt idx="175">
                  <c:v>41702.121527777781</c:v>
                </c:pt>
                <c:pt idx="176">
                  <c:v>41702.12222222222</c:v>
                </c:pt>
                <c:pt idx="177">
                  <c:v>41702.122916666667</c:v>
                </c:pt>
                <c:pt idx="178">
                  <c:v>41702.123611111114</c:v>
                </c:pt>
                <c:pt idx="179">
                  <c:v>41702.124305555553</c:v>
                </c:pt>
                <c:pt idx="180">
                  <c:v>41702.125</c:v>
                </c:pt>
                <c:pt idx="181">
                  <c:v>41702.125694444447</c:v>
                </c:pt>
                <c:pt idx="182">
                  <c:v>41702.126388888886</c:v>
                </c:pt>
                <c:pt idx="183">
                  <c:v>41702.127083333333</c:v>
                </c:pt>
                <c:pt idx="184">
                  <c:v>41702.12777777778</c:v>
                </c:pt>
                <c:pt idx="185">
                  <c:v>41702.128472222219</c:v>
                </c:pt>
                <c:pt idx="186">
                  <c:v>41702.129166666666</c:v>
                </c:pt>
                <c:pt idx="187">
                  <c:v>41702.129861111112</c:v>
                </c:pt>
                <c:pt idx="188">
                  <c:v>41702.130555555559</c:v>
                </c:pt>
                <c:pt idx="189">
                  <c:v>41702.131249999999</c:v>
                </c:pt>
                <c:pt idx="190">
                  <c:v>41702.131944444445</c:v>
                </c:pt>
                <c:pt idx="191">
                  <c:v>41702.132638888892</c:v>
                </c:pt>
                <c:pt idx="192">
                  <c:v>41702.133333333331</c:v>
                </c:pt>
                <c:pt idx="193">
                  <c:v>41702.134027777778</c:v>
                </c:pt>
                <c:pt idx="194">
                  <c:v>41702.134722222225</c:v>
                </c:pt>
                <c:pt idx="195">
                  <c:v>41702.135416666664</c:v>
                </c:pt>
                <c:pt idx="196">
                  <c:v>41702.136111111111</c:v>
                </c:pt>
                <c:pt idx="197">
                  <c:v>41702.136805555558</c:v>
                </c:pt>
                <c:pt idx="198">
                  <c:v>41702.137499999997</c:v>
                </c:pt>
                <c:pt idx="199">
                  <c:v>41702.138194444444</c:v>
                </c:pt>
                <c:pt idx="200">
                  <c:v>41702.138888888891</c:v>
                </c:pt>
                <c:pt idx="201">
                  <c:v>41702.13958333333</c:v>
                </c:pt>
                <c:pt idx="202">
                  <c:v>41702.140277777777</c:v>
                </c:pt>
                <c:pt idx="203">
                  <c:v>41702.140972222223</c:v>
                </c:pt>
                <c:pt idx="204">
                  <c:v>41702.14166666667</c:v>
                </c:pt>
                <c:pt idx="205">
                  <c:v>41702.142361111109</c:v>
                </c:pt>
                <c:pt idx="206">
                  <c:v>41702.143055555556</c:v>
                </c:pt>
                <c:pt idx="207">
                  <c:v>41702.143750000003</c:v>
                </c:pt>
                <c:pt idx="208">
                  <c:v>41702.144444444442</c:v>
                </c:pt>
                <c:pt idx="209">
                  <c:v>41702.145138888889</c:v>
                </c:pt>
                <c:pt idx="210">
                  <c:v>41702.145833333336</c:v>
                </c:pt>
                <c:pt idx="211">
                  <c:v>41702.146527777775</c:v>
                </c:pt>
                <c:pt idx="212">
                  <c:v>41702.147222222222</c:v>
                </c:pt>
                <c:pt idx="213">
                  <c:v>41702.147916666669</c:v>
                </c:pt>
                <c:pt idx="214">
                  <c:v>41702.148611111108</c:v>
                </c:pt>
                <c:pt idx="215">
                  <c:v>41702.149305555555</c:v>
                </c:pt>
                <c:pt idx="216">
                  <c:v>41702.15</c:v>
                </c:pt>
                <c:pt idx="217">
                  <c:v>41702.150694444441</c:v>
                </c:pt>
                <c:pt idx="218">
                  <c:v>41702.151388888888</c:v>
                </c:pt>
                <c:pt idx="219">
                  <c:v>41702.152083333334</c:v>
                </c:pt>
                <c:pt idx="220">
                  <c:v>41702.152777777781</c:v>
                </c:pt>
                <c:pt idx="221">
                  <c:v>41702.15347222222</c:v>
                </c:pt>
                <c:pt idx="222">
                  <c:v>41702.154166666667</c:v>
                </c:pt>
                <c:pt idx="223">
                  <c:v>41702.154861111114</c:v>
                </c:pt>
                <c:pt idx="224">
                  <c:v>41702.155555555553</c:v>
                </c:pt>
                <c:pt idx="225">
                  <c:v>41702.15625</c:v>
                </c:pt>
                <c:pt idx="226">
                  <c:v>41702.156944444447</c:v>
                </c:pt>
                <c:pt idx="227">
                  <c:v>41702.157638888886</c:v>
                </c:pt>
                <c:pt idx="228">
                  <c:v>41702.158333333333</c:v>
                </c:pt>
                <c:pt idx="229">
                  <c:v>41702.15902777778</c:v>
                </c:pt>
                <c:pt idx="230">
                  <c:v>41702.159722222219</c:v>
                </c:pt>
                <c:pt idx="231">
                  <c:v>41702.160416666666</c:v>
                </c:pt>
                <c:pt idx="232">
                  <c:v>41702.161111111112</c:v>
                </c:pt>
                <c:pt idx="233">
                  <c:v>41702.161805555559</c:v>
                </c:pt>
                <c:pt idx="234">
                  <c:v>41702.162499999999</c:v>
                </c:pt>
                <c:pt idx="235">
                  <c:v>41702.163194444445</c:v>
                </c:pt>
                <c:pt idx="236">
                  <c:v>41702.163888888892</c:v>
                </c:pt>
                <c:pt idx="237">
                  <c:v>41702.164583333331</c:v>
                </c:pt>
                <c:pt idx="238">
                  <c:v>41702.165277777778</c:v>
                </c:pt>
                <c:pt idx="239">
                  <c:v>41702.165972222225</c:v>
                </c:pt>
                <c:pt idx="240">
                  <c:v>41702.166666666664</c:v>
                </c:pt>
                <c:pt idx="241">
                  <c:v>41702.167361111111</c:v>
                </c:pt>
                <c:pt idx="242">
                  <c:v>41702.168055555558</c:v>
                </c:pt>
                <c:pt idx="243">
                  <c:v>41702.168749999997</c:v>
                </c:pt>
                <c:pt idx="244">
                  <c:v>41702.169444444444</c:v>
                </c:pt>
                <c:pt idx="245">
                  <c:v>41702.170138888891</c:v>
                </c:pt>
                <c:pt idx="246">
                  <c:v>41702.17083333333</c:v>
                </c:pt>
                <c:pt idx="247">
                  <c:v>41702.171527777777</c:v>
                </c:pt>
                <c:pt idx="248">
                  <c:v>41702.172222222223</c:v>
                </c:pt>
                <c:pt idx="249">
                  <c:v>41702.17291666667</c:v>
                </c:pt>
                <c:pt idx="250">
                  <c:v>41702.173611111109</c:v>
                </c:pt>
                <c:pt idx="251">
                  <c:v>41702.174305555556</c:v>
                </c:pt>
                <c:pt idx="252">
                  <c:v>41702.175000000003</c:v>
                </c:pt>
                <c:pt idx="253">
                  <c:v>41702.175694444442</c:v>
                </c:pt>
                <c:pt idx="254">
                  <c:v>41702.176388888889</c:v>
                </c:pt>
                <c:pt idx="255">
                  <c:v>41702.177083333336</c:v>
                </c:pt>
                <c:pt idx="256">
                  <c:v>41702.177777777775</c:v>
                </c:pt>
                <c:pt idx="257">
                  <c:v>41702.178472222222</c:v>
                </c:pt>
                <c:pt idx="258">
                  <c:v>41702.179166666669</c:v>
                </c:pt>
                <c:pt idx="259">
                  <c:v>41702.179861111108</c:v>
                </c:pt>
                <c:pt idx="260">
                  <c:v>41702.180555555555</c:v>
                </c:pt>
                <c:pt idx="261">
                  <c:v>41702.181250000001</c:v>
                </c:pt>
                <c:pt idx="262">
                  <c:v>41702.181944444441</c:v>
                </c:pt>
                <c:pt idx="263">
                  <c:v>41702.182638888888</c:v>
                </c:pt>
                <c:pt idx="264">
                  <c:v>41702.183333333334</c:v>
                </c:pt>
                <c:pt idx="265">
                  <c:v>41702.184027777781</c:v>
                </c:pt>
                <c:pt idx="266">
                  <c:v>41702.18472222222</c:v>
                </c:pt>
                <c:pt idx="267">
                  <c:v>41702.185416666667</c:v>
                </c:pt>
                <c:pt idx="268">
                  <c:v>41702.186111111114</c:v>
                </c:pt>
                <c:pt idx="269">
                  <c:v>41702.186805555553</c:v>
                </c:pt>
                <c:pt idx="270">
                  <c:v>41702.1875</c:v>
                </c:pt>
                <c:pt idx="271">
                  <c:v>41702.188194444447</c:v>
                </c:pt>
                <c:pt idx="272">
                  <c:v>41702.188888888886</c:v>
                </c:pt>
                <c:pt idx="273">
                  <c:v>41702.189583333333</c:v>
                </c:pt>
                <c:pt idx="274">
                  <c:v>41702.19027777778</c:v>
                </c:pt>
                <c:pt idx="275">
                  <c:v>41702.190972222219</c:v>
                </c:pt>
                <c:pt idx="276">
                  <c:v>41702.191666666666</c:v>
                </c:pt>
                <c:pt idx="277">
                  <c:v>41702.192361111112</c:v>
                </c:pt>
                <c:pt idx="278">
                  <c:v>41702.193055555559</c:v>
                </c:pt>
                <c:pt idx="279">
                  <c:v>41702.193749999999</c:v>
                </c:pt>
                <c:pt idx="280">
                  <c:v>41702.194444444445</c:v>
                </c:pt>
                <c:pt idx="281">
                  <c:v>41702.195138888892</c:v>
                </c:pt>
                <c:pt idx="282">
                  <c:v>41702.195833333331</c:v>
                </c:pt>
                <c:pt idx="283">
                  <c:v>41702.196527777778</c:v>
                </c:pt>
                <c:pt idx="284">
                  <c:v>41702.197222222225</c:v>
                </c:pt>
                <c:pt idx="285">
                  <c:v>41702.197916666664</c:v>
                </c:pt>
                <c:pt idx="286">
                  <c:v>41702.198611111111</c:v>
                </c:pt>
                <c:pt idx="287">
                  <c:v>41702.199305555558</c:v>
                </c:pt>
                <c:pt idx="288">
                  <c:v>41702.199999999997</c:v>
                </c:pt>
                <c:pt idx="289">
                  <c:v>41702.200694444444</c:v>
                </c:pt>
                <c:pt idx="290">
                  <c:v>41702.201388888891</c:v>
                </c:pt>
                <c:pt idx="291">
                  <c:v>41702.20208333333</c:v>
                </c:pt>
                <c:pt idx="292">
                  <c:v>41702.202777777777</c:v>
                </c:pt>
                <c:pt idx="293">
                  <c:v>41702.203472222223</c:v>
                </c:pt>
                <c:pt idx="294">
                  <c:v>41702.20416666667</c:v>
                </c:pt>
                <c:pt idx="295">
                  <c:v>41702.204861111109</c:v>
                </c:pt>
                <c:pt idx="296">
                  <c:v>41702.205555555556</c:v>
                </c:pt>
                <c:pt idx="297">
                  <c:v>41702.206250000003</c:v>
                </c:pt>
                <c:pt idx="298">
                  <c:v>41702.206944444442</c:v>
                </c:pt>
                <c:pt idx="299">
                  <c:v>41702.207638888889</c:v>
                </c:pt>
                <c:pt idx="300">
                  <c:v>41702.208333333336</c:v>
                </c:pt>
                <c:pt idx="301">
                  <c:v>41702.209027777775</c:v>
                </c:pt>
                <c:pt idx="302">
                  <c:v>41702.209722222222</c:v>
                </c:pt>
                <c:pt idx="303">
                  <c:v>41702.210416666669</c:v>
                </c:pt>
                <c:pt idx="304">
                  <c:v>41702.211111111108</c:v>
                </c:pt>
                <c:pt idx="305">
                  <c:v>41702.211805555555</c:v>
                </c:pt>
                <c:pt idx="306">
                  <c:v>41702.212500000001</c:v>
                </c:pt>
                <c:pt idx="307">
                  <c:v>41702.213194444441</c:v>
                </c:pt>
                <c:pt idx="308">
                  <c:v>41702.213888888888</c:v>
                </c:pt>
                <c:pt idx="309">
                  <c:v>41702.214583333334</c:v>
                </c:pt>
                <c:pt idx="310">
                  <c:v>41702.215277777781</c:v>
                </c:pt>
                <c:pt idx="311">
                  <c:v>41702.21597222222</c:v>
                </c:pt>
                <c:pt idx="312">
                  <c:v>41702.216666666667</c:v>
                </c:pt>
                <c:pt idx="313">
                  <c:v>41702.217361111114</c:v>
                </c:pt>
                <c:pt idx="314">
                  <c:v>41702.218055555553</c:v>
                </c:pt>
                <c:pt idx="315">
                  <c:v>41702.21875</c:v>
                </c:pt>
                <c:pt idx="316">
                  <c:v>41702.219444444447</c:v>
                </c:pt>
                <c:pt idx="317">
                  <c:v>41702.220138888886</c:v>
                </c:pt>
                <c:pt idx="318">
                  <c:v>41702.220833333333</c:v>
                </c:pt>
                <c:pt idx="319">
                  <c:v>41702.22152777778</c:v>
                </c:pt>
                <c:pt idx="320">
                  <c:v>41702.222222222219</c:v>
                </c:pt>
                <c:pt idx="321">
                  <c:v>41702.222916666666</c:v>
                </c:pt>
                <c:pt idx="322">
                  <c:v>41702.223611111112</c:v>
                </c:pt>
                <c:pt idx="323">
                  <c:v>41702.224305555559</c:v>
                </c:pt>
                <c:pt idx="324">
                  <c:v>41702.224999999999</c:v>
                </c:pt>
                <c:pt idx="325">
                  <c:v>41702.225694444445</c:v>
                </c:pt>
                <c:pt idx="326">
                  <c:v>41702.226388888892</c:v>
                </c:pt>
                <c:pt idx="327">
                  <c:v>41702.227083333331</c:v>
                </c:pt>
                <c:pt idx="328">
                  <c:v>41702.227777777778</c:v>
                </c:pt>
                <c:pt idx="329">
                  <c:v>41702.228472222225</c:v>
                </c:pt>
                <c:pt idx="330">
                  <c:v>41702.229166666664</c:v>
                </c:pt>
                <c:pt idx="331">
                  <c:v>41702.229861111111</c:v>
                </c:pt>
                <c:pt idx="332">
                  <c:v>41702.230555555558</c:v>
                </c:pt>
                <c:pt idx="333">
                  <c:v>41702.231249999997</c:v>
                </c:pt>
                <c:pt idx="334">
                  <c:v>41702.231944444444</c:v>
                </c:pt>
                <c:pt idx="335">
                  <c:v>41702.232638888891</c:v>
                </c:pt>
                <c:pt idx="336">
                  <c:v>41702.23333333333</c:v>
                </c:pt>
                <c:pt idx="337">
                  <c:v>41702.234027777777</c:v>
                </c:pt>
                <c:pt idx="338">
                  <c:v>41702.234722222223</c:v>
                </c:pt>
                <c:pt idx="339">
                  <c:v>41702.23541666667</c:v>
                </c:pt>
                <c:pt idx="340">
                  <c:v>41702.236111111109</c:v>
                </c:pt>
                <c:pt idx="341">
                  <c:v>41702.236805555556</c:v>
                </c:pt>
                <c:pt idx="342">
                  <c:v>41702.237500000003</c:v>
                </c:pt>
                <c:pt idx="343">
                  <c:v>41702.238194444442</c:v>
                </c:pt>
                <c:pt idx="344">
                  <c:v>41702.238888888889</c:v>
                </c:pt>
                <c:pt idx="345">
                  <c:v>41702.239583333336</c:v>
                </c:pt>
                <c:pt idx="346">
                  <c:v>41702.240277777775</c:v>
                </c:pt>
                <c:pt idx="347">
                  <c:v>41702.240972222222</c:v>
                </c:pt>
                <c:pt idx="348">
                  <c:v>41702.241666666669</c:v>
                </c:pt>
                <c:pt idx="349">
                  <c:v>41702.242361111108</c:v>
                </c:pt>
                <c:pt idx="350">
                  <c:v>41702.243055555555</c:v>
                </c:pt>
                <c:pt idx="351">
                  <c:v>41702.243750000001</c:v>
                </c:pt>
                <c:pt idx="352">
                  <c:v>41702.244444444441</c:v>
                </c:pt>
                <c:pt idx="353">
                  <c:v>41702.245138888888</c:v>
                </c:pt>
                <c:pt idx="354">
                  <c:v>41702.245833333334</c:v>
                </c:pt>
                <c:pt idx="355">
                  <c:v>41702.246527777781</c:v>
                </c:pt>
                <c:pt idx="356">
                  <c:v>41702.24722222222</c:v>
                </c:pt>
                <c:pt idx="357">
                  <c:v>41702.247916666667</c:v>
                </c:pt>
                <c:pt idx="358">
                  <c:v>41702.248611111114</c:v>
                </c:pt>
                <c:pt idx="359">
                  <c:v>41702.249305555553</c:v>
                </c:pt>
                <c:pt idx="360">
                  <c:v>41702.25</c:v>
                </c:pt>
                <c:pt idx="361">
                  <c:v>41702.250694444447</c:v>
                </c:pt>
                <c:pt idx="362">
                  <c:v>41702.251388888886</c:v>
                </c:pt>
                <c:pt idx="363">
                  <c:v>41702.252083333333</c:v>
                </c:pt>
                <c:pt idx="364">
                  <c:v>41702.25277777778</c:v>
                </c:pt>
                <c:pt idx="365">
                  <c:v>41702.253472222219</c:v>
                </c:pt>
                <c:pt idx="366">
                  <c:v>41702.254166666666</c:v>
                </c:pt>
                <c:pt idx="367">
                  <c:v>41702.254861111112</c:v>
                </c:pt>
                <c:pt idx="368">
                  <c:v>41702.255555555559</c:v>
                </c:pt>
                <c:pt idx="369">
                  <c:v>41702.256249999999</c:v>
                </c:pt>
                <c:pt idx="370">
                  <c:v>41702.256944444445</c:v>
                </c:pt>
                <c:pt idx="371">
                  <c:v>41702.257638888892</c:v>
                </c:pt>
                <c:pt idx="372">
                  <c:v>41702.258333333331</c:v>
                </c:pt>
                <c:pt idx="373">
                  <c:v>41702.259027777778</c:v>
                </c:pt>
                <c:pt idx="374">
                  <c:v>41702.259722222225</c:v>
                </c:pt>
                <c:pt idx="375">
                  <c:v>41702.260416666664</c:v>
                </c:pt>
                <c:pt idx="376">
                  <c:v>41702.261111111111</c:v>
                </c:pt>
                <c:pt idx="377">
                  <c:v>41702.261805555558</c:v>
                </c:pt>
                <c:pt idx="378">
                  <c:v>41702.262499999997</c:v>
                </c:pt>
                <c:pt idx="379">
                  <c:v>41702.263194444444</c:v>
                </c:pt>
                <c:pt idx="380">
                  <c:v>41702.263888888891</c:v>
                </c:pt>
                <c:pt idx="381">
                  <c:v>41702.26458333333</c:v>
                </c:pt>
                <c:pt idx="382">
                  <c:v>41702.265277777777</c:v>
                </c:pt>
                <c:pt idx="383">
                  <c:v>41702.265972222223</c:v>
                </c:pt>
                <c:pt idx="384">
                  <c:v>41702.26666666667</c:v>
                </c:pt>
                <c:pt idx="385">
                  <c:v>41702.267361111109</c:v>
                </c:pt>
                <c:pt idx="386">
                  <c:v>41702.268055555556</c:v>
                </c:pt>
                <c:pt idx="387">
                  <c:v>41702.268750000003</c:v>
                </c:pt>
                <c:pt idx="388">
                  <c:v>41702.269444444442</c:v>
                </c:pt>
                <c:pt idx="389">
                  <c:v>41702.270138888889</c:v>
                </c:pt>
                <c:pt idx="390">
                  <c:v>41702.270833333336</c:v>
                </c:pt>
                <c:pt idx="391">
                  <c:v>41702.271527777775</c:v>
                </c:pt>
                <c:pt idx="392">
                  <c:v>41702.272222222222</c:v>
                </c:pt>
                <c:pt idx="393">
                  <c:v>41702.272916666669</c:v>
                </c:pt>
                <c:pt idx="394">
                  <c:v>41702.273611111108</c:v>
                </c:pt>
                <c:pt idx="395">
                  <c:v>41702.274305555555</c:v>
                </c:pt>
                <c:pt idx="396">
                  <c:v>41702.275000000001</c:v>
                </c:pt>
                <c:pt idx="397">
                  <c:v>41702.275694444441</c:v>
                </c:pt>
                <c:pt idx="398">
                  <c:v>41702.276388888888</c:v>
                </c:pt>
                <c:pt idx="399">
                  <c:v>41702.277083333334</c:v>
                </c:pt>
                <c:pt idx="400">
                  <c:v>41702.277777777781</c:v>
                </c:pt>
                <c:pt idx="401">
                  <c:v>41702.27847222222</c:v>
                </c:pt>
                <c:pt idx="402">
                  <c:v>41702.279166666667</c:v>
                </c:pt>
                <c:pt idx="403">
                  <c:v>41702.279861111114</c:v>
                </c:pt>
                <c:pt idx="404">
                  <c:v>41702.280555555553</c:v>
                </c:pt>
                <c:pt idx="405">
                  <c:v>41702.28125</c:v>
                </c:pt>
                <c:pt idx="406">
                  <c:v>41702.281944444447</c:v>
                </c:pt>
                <c:pt idx="407">
                  <c:v>41702.282638888886</c:v>
                </c:pt>
                <c:pt idx="408">
                  <c:v>41702.283333333333</c:v>
                </c:pt>
                <c:pt idx="409">
                  <c:v>41702.28402777778</c:v>
                </c:pt>
                <c:pt idx="410">
                  <c:v>41702.284722222219</c:v>
                </c:pt>
                <c:pt idx="411">
                  <c:v>41702.285416666666</c:v>
                </c:pt>
                <c:pt idx="412">
                  <c:v>41702.286111111112</c:v>
                </c:pt>
                <c:pt idx="413">
                  <c:v>41702.286805555559</c:v>
                </c:pt>
                <c:pt idx="414">
                  <c:v>41702.287499999999</c:v>
                </c:pt>
                <c:pt idx="415">
                  <c:v>41702.288194444445</c:v>
                </c:pt>
                <c:pt idx="416">
                  <c:v>41702.288888888892</c:v>
                </c:pt>
                <c:pt idx="417">
                  <c:v>41702.289583333331</c:v>
                </c:pt>
                <c:pt idx="418">
                  <c:v>41702.290277777778</c:v>
                </c:pt>
                <c:pt idx="419">
                  <c:v>41702.290972222225</c:v>
                </c:pt>
                <c:pt idx="420">
                  <c:v>41702.291666666664</c:v>
                </c:pt>
                <c:pt idx="421">
                  <c:v>41702.292361111111</c:v>
                </c:pt>
                <c:pt idx="422">
                  <c:v>41702.293055555558</c:v>
                </c:pt>
                <c:pt idx="423">
                  <c:v>41702.293749999997</c:v>
                </c:pt>
                <c:pt idx="424">
                  <c:v>41702.294444444444</c:v>
                </c:pt>
                <c:pt idx="425">
                  <c:v>41702.295138888891</c:v>
                </c:pt>
                <c:pt idx="426">
                  <c:v>41702.29583333333</c:v>
                </c:pt>
                <c:pt idx="427">
                  <c:v>41702.296527777777</c:v>
                </c:pt>
                <c:pt idx="428">
                  <c:v>41702.297222222223</c:v>
                </c:pt>
                <c:pt idx="429">
                  <c:v>41702.29791666667</c:v>
                </c:pt>
                <c:pt idx="430">
                  <c:v>41702.298611111109</c:v>
                </c:pt>
                <c:pt idx="431">
                  <c:v>41702.299305555556</c:v>
                </c:pt>
                <c:pt idx="432">
                  <c:v>41702.300000000003</c:v>
                </c:pt>
                <c:pt idx="433">
                  <c:v>41702.300694444442</c:v>
                </c:pt>
                <c:pt idx="434">
                  <c:v>41702.301388888889</c:v>
                </c:pt>
                <c:pt idx="435">
                  <c:v>41702.302083333336</c:v>
                </c:pt>
                <c:pt idx="436">
                  <c:v>41702.302777777775</c:v>
                </c:pt>
                <c:pt idx="437">
                  <c:v>41702.303472222222</c:v>
                </c:pt>
                <c:pt idx="438">
                  <c:v>41702.304166666669</c:v>
                </c:pt>
                <c:pt idx="439">
                  <c:v>41702.304861111108</c:v>
                </c:pt>
                <c:pt idx="440">
                  <c:v>41702.305555555555</c:v>
                </c:pt>
                <c:pt idx="441">
                  <c:v>41702.306250000001</c:v>
                </c:pt>
                <c:pt idx="442">
                  <c:v>41702.306944444441</c:v>
                </c:pt>
                <c:pt idx="443">
                  <c:v>41702.307638888888</c:v>
                </c:pt>
                <c:pt idx="444">
                  <c:v>41702.308333333334</c:v>
                </c:pt>
                <c:pt idx="445">
                  <c:v>41702.309027777781</c:v>
                </c:pt>
                <c:pt idx="446">
                  <c:v>41702.30972222222</c:v>
                </c:pt>
                <c:pt idx="447">
                  <c:v>41702.310416666667</c:v>
                </c:pt>
                <c:pt idx="448">
                  <c:v>41702.311111111114</c:v>
                </c:pt>
                <c:pt idx="449">
                  <c:v>41702.311805555553</c:v>
                </c:pt>
                <c:pt idx="450">
                  <c:v>41702.3125</c:v>
                </c:pt>
                <c:pt idx="451">
                  <c:v>41702.313194444447</c:v>
                </c:pt>
                <c:pt idx="452">
                  <c:v>41702.313888888886</c:v>
                </c:pt>
                <c:pt idx="453">
                  <c:v>41702.314583333333</c:v>
                </c:pt>
                <c:pt idx="454">
                  <c:v>41702.31527777778</c:v>
                </c:pt>
                <c:pt idx="455">
                  <c:v>41702.315972222219</c:v>
                </c:pt>
                <c:pt idx="456">
                  <c:v>41702.316666666666</c:v>
                </c:pt>
                <c:pt idx="457">
                  <c:v>41702.317361111112</c:v>
                </c:pt>
                <c:pt idx="458">
                  <c:v>41702.318055555559</c:v>
                </c:pt>
                <c:pt idx="459">
                  <c:v>41702.318749999999</c:v>
                </c:pt>
                <c:pt idx="460">
                  <c:v>41702.319444444445</c:v>
                </c:pt>
                <c:pt idx="461">
                  <c:v>41702.320138888892</c:v>
                </c:pt>
                <c:pt idx="462">
                  <c:v>41702.320833333331</c:v>
                </c:pt>
                <c:pt idx="463">
                  <c:v>41702.321527777778</c:v>
                </c:pt>
                <c:pt idx="464">
                  <c:v>41702.322222222225</c:v>
                </c:pt>
                <c:pt idx="465">
                  <c:v>41702.322916666664</c:v>
                </c:pt>
                <c:pt idx="466">
                  <c:v>41702.323611111111</c:v>
                </c:pt>
                <c:pt idx="467">
                  <c:v>41702.324305555558</c:v>
                </c:pt>
                <c:pt idx="468">
                  <c:v>41702.324999999997</c:v>
                </c:pt>
                <c:pt idx="469">
                  <c:v>41702.325694444444</c:v>
                </c:pt>
                <c:pt idx="470">
                  <c:v>41702.326388888891</c:v>
                </c:pt>
                <c:pt idx="471">
                  <c:v>41702.32708333333</c:v>
                </c:pt>
                <c:pt idx="472">
                  <c:v>41702.327777777777</c:v>
                </c:pt>
                <c:pt idx="473">
                  <c:v>41702.328472222223</c:v>
                </c:pt>
                <c:pt idx="474">
                  <c:v>41702.32916666667</c:v>
                </c:pt>
                <c:pt idx="475">
                  <c:v>41702.329861111109</c:v>
                </c:pt>
                <c:pt idx="476">
                  <c:v>41702.330555555556</c:v>
                </c:pt>
                <c:pt idx="477">
                  <c:v>41702.331250000003</c:v>
                </c:pt>
                <c:pt idx="478">
                  <c:v>41702.331944444442</c:v>
                </c:pt>
                <c:pt idx="479">
                  <c:v>41702.332638888889</c:v>
                </c:pt>
                <c:pt idx="480">
                  <c:v>41702.333333333336</c:v>
                </c:pt>
                <c:pt idx="481">
                  <c:v>41702.334027777775</c:v>
                </c:pt>
                <c:pt idx="482">
                  <c:v>41702.334722222222</c:v>
                </c:pt>
                <c:pt idx="483">
                  <c:v>41702.335416666669</c:v>
                </c:pt>
                <c:pt idx="484">
                  <c:v>41702.336111111108</c:v>
                </c:pt>
                <c:pt idx="485">
                  <c:v>41702.336805555555</c:v>
                </c:pt>
                <c:pt idx="486">
                  <c:v>41702.337500000001</c:v>
                </c:pt>
                <c:pt idx="487">
                  <c:v>41702.338194444441</c:v>
                </c:pt>
                <c:pt idx="488">
                  <c:v>41702.338888888888</c:v>
                </c:pt>
                <c:pt idx="489">
                  <c:v>41702.339583333334</c:v>
                </c:pt>
                <c:pt idx="490">
                  <c:v>41702.340277777781</c:v>
                </c:pt>
                <c:pt idx="491">
                  <c:v>41702.34097222222</c:v>
                </c:pt>
                <c:pt idx="492">
                  <c:v>41702.341666666667</c:v>
                </c:pt>
                <c:pt idx="493">
                  <c:v>41702.342361111114</c:v>
                </c:pt>
                <c:pt idx="494">
                  <c:v>41702.343055555553</c:v>
                </c:pt>
                <c:pt idx="495">
                  <c:v>41702.34375</c:v>
                </c:pt>
                <c:pt idx="496">
                  <c:v>41702.344444444447</c:v>
                </c:pt>
                <c:pt idx="497">
                  <c:v>41702.345138888886</c:v>
                </c:pt>
                <c:pt idx="498">
                  <c:v>41702.345833333333</c:v>
                </c:pt>
                <c:pt idx="499">
                  <c:v>41702.34652777778</c:v>
                </c:pt>
                <c:pt idx="500">
                  <c:v>41702.347222222219</c:v>
                </c:pt>
                <c:pt idx="501">
                  <c:v>41702.347916666666</c:v>
                </c:pt>
                <c:pt idx="502">
                  <c:v>41702.348611111112</c:v>
                </c:pt>
                <c:pt idx="503">
                  <c:v>41702.349305555559</c:v>
                </c:pt>
                <c:pt idx="504">
                  <c:v>41702.35</c:v>
                </c:pt>
                <c:pt idx="505">
                  <c:v>41702.350694444445</c:v>
                </c:pt>
                <c:pt idx="506">
                  <c:v>41702.351388888892</c:v>
                </c:pt>
                <c:pt idx="507">
                  <c:v>41702.352083333331</c:v>
                </c:pt>
                <c:pt idx="508">
                  <c:v>41702.352777777778</c:v>
                </c:pt>
                <c:pt idx="509">
                  <c:v>41702.353472222225</c:v>
                </c:pt>
                <c:pt idx="510">
                  <c:v>41702.354166666664</c:v>
                </c:pt>
                <c:pt idx="511">
                  <c:v>41702.354861111111</c:v>
                </c:pt>
                <c:pt idx="512">
                  <c:v>41702.355555555558</c:v>
                </c:pt>
                <c:pt idx="513">
                  <c:v>41702.356249999997</c:v>
                </c:pt>
                <c:pt idx="514">
                  <c:v>41702.356944444444</c:v>
                </c:pt>
                <c:pt idx="515">
                  <c:v>41702.357638888891</c:v>
                </c:pt>
                <c:pt idx="516">
                  <c:v>41702.35833333333</c:v>
                </c:pt>
                <c:pt idx="517">
                  <c:v>41702.359027777777</c:v>
                </c:pt>
                <c:pt idx="518">
                  <c:v>41702.359722222223</c:v>
                </c:pt>
                <c:pt idx="519">
                  <c:v>41702.36041666667</c:v>
                </c:pt>
                <c:pt idx="520">
                  <c:v>41702.361111111109</c:v>
                </c:pt>
                <c:pt idx="521">
                  <c:v>41702.361805555556</c:v>
                </c:pt>
                <c:pt idx="522">
                  <c:v>41702.362500000003</c:v>
                </c:pt>
                <c:pt idx="523">
                  <c:v>41702.363194444442</c:v>
                </c:pt>
                <c:pt idx="524">
                  <c:v>41702.363888888889</c:v>
                </c:pt>
                <c:pt idx="525">
                  <c:v>41702.364583333336</c:v>
                </c:pt>
                <c:pt idx="526">
                  <c:v>41702.365277777775</c:v>
                </c:pt>
                <c:pt idx="527">
                  <c:v>41702.365972222222</c:v>
                </c:pt>
                <c:pt idx="528">
                  <c:v>41702.366666666669</c:v>
                </c:pt>
                <c:pt idx="529">
                  <c:v>41702.367361111108</c:v>
                </c:pt>
                <c:pt idx="530">
                  <c:v>41702.368055555555</c:v>
                </c:pt>
                <c:pt idx="531">
                  <c:v>41702.368750000001</c:v>
                </c:pt>
                <c:pt idx="532">
                  <c:v>41702.369444444441</c:v>
                </c:pt>
                <c:pt idx="533">
                  <c:v>41702.370138888888</c:v>
                </c:pt>
                <c:pt idx="534">
                  <c:v>41702.370833333334</c:v>
                </c:pt>
                <c:pt idx="535">
                  <c:v>41702.371527777781</c:v>
                </c:pt>
                <c:pt idx="536">
                  <c:v>41702.37222222222</c:v>
                </c:pt>
                <c:pt idx="537">
                  <c:v>41702.372916666667</c:v>
                </c:pt>
                <c:pt idx="538">
                  <c:v>41702.373611111114</c:v>
                </c:pt>
                <c:pt idx="539">
                  <c:v>41702.374305555553</c:v>
                </c:pt>
                <c:pt idx="540">
                  <c:v>41702.375</c:v>
                </c:pt>
                <c:pt idx="541">
                  <c:v>41702.375694444447</c:v>
                </c:pt>
                <c:pt idx="542">
                  <c:v>41702.376388888886</c:v>
                </c:pt>
                <c:pt idx="543">
                  <c:v>41702.377083333333</c:v>
                </c:pt>
                <c:pt idx="544">
                  <c:v>41702.37777777778</c:v>
                </c:pt>
                <c:pt idx="545">
                  <c:v>41702.378472222219</c:v>
                </c:pt>
                <c:pt idx="546">
                  <c:v>41702.379166666666</c:v>
                </c:pt>
                <c:pt idx="547">
                  <c:v>41702.379861111112</c:v>
                </c:pt>
                <c:pt idx="548">
                  <c:v>41702.380555555559</c:v>
                </c:pt>
                <c:pt idx="549">
                  <c:v>41702.381249999999</c:v>
                </c:pt>
                <c:pt idx="550">
                  <c:v>41702.381944444445</c:v>
                </c:pt>
                <c:pt idx="551">
                  <c:v>41702.382638888892</c:v>
                </c:pt>
                <c:pt idx="552">
                  <c:v>41702.383333333331</c:v>
                </c:pt>
                <c:pt idx="553">
                  <c:v>41702.384027777778</c:v>
                </c:pt>
                <c:pt idx="554">
                  <c:v>41702.384722222225</c:v>
                </c:pt>
                <c:pt idx="555">
                  <c:v>41702.385416666664</c:v>
                </c:pt>
                <c:pt idx="556">
                  <c:v>41702.386111111111</c:v>
                </c:pt>
                <c:pt idx="557">
                  <c:v>41702.386805555558</c:v>
                </c:pt>
                <c:pt idx="558">
                  <c:v>41702.387499999997</c:v>
                </c:pt>
                <c:pt idx="559">
                  <c:v>41702.388194444444</c:v>
                </c:pt>
                <c:pt idx="560">
                  <c:v>41702.388888888891</c:v>
                </c:pt>
                <c:pt idx="561">
                  <c:v>41702.38958333333</c:v>
                </c:pt>
                <c:pt idx="562">
                  <c:v>41702.390277777777</c:v>
                </c:pt>
                <c:pt idx="563">
                  <c:v>41702.390972222223</c:v>
                </c:pt>
                <c:pt idx="564">
                  <c:v>41702.39166666667</c:v>
                </c:pt>
                <c:pt idx="565">
                  <c:v>41702.392361111109</c:v>
                </c:pt>
                <c:pt idx="566">
                  <c:v>41702.393055555556</c:v>
                </c:pt>
                <c:pt idx="567">
                  <c:v>41702.393750000003</c:v>
                </c:pt>
                <c:pt idx="568">
                  <c:v>41702.394444444442</c:v>
                </c:pt>
                <c:pt idx="569">
                  <c:v>41702.395138888889</c:v>
                </c:pt>
                <c:pt idx="570">
                  <c:v>41702.395833333336</c:v>
                </c:pt>
                <c:pt idx="571">
                  <c:v>41702.396527777775</c:v>
                </c:pt>
                <c:pt idx="572">
                  <c:v>41702.397222222222</c:v>
                </c:pt>
                <c:pt idx="573">
                  <c:v>41702.397916666669</c:v>
                </c:pt>
                <c:pt idx="574">
                  <c:v>41702.398611111108</c:v>
                </c:pt>
                <c:pt idx="575">
                  <c:v>41702.399305555555</c:v>
                </c:pt>
                <c:pt idx="576">
                  <c:v>41702.400000000001</c:v>
                </c:pt>
                <c:pt idx="577">
                  <c:v>41702.400694444441</c:v>
                </c:pt>
                <c:pt idx="578">
                  <c:v>41702.401388888888</c:v>
                </c:pt>
                <c:pt idx="579">
                  <c:v>41702.402083333334</c:v>
                </c:pt>
                <c:pt idx="580">
                  <c:v>41702.402777777781</c:v>
                </c:pt>
                <c:pt idx="581">
                  <c:v>41702.40347222222</c:v>
                </c:pt>
                <c:pt idx="582">
                  <c:v>41702.404166666667</c:v>
                </c:pt>
                <c:pt idx="583">
                  <c:v>41702.404861111114</c:v>
                </c:pt>
                <c:pt idx="584">
                  <c:v>41702.405555555553</c:v>
                </c:pt>
                <c:pt idx="585">
                  <c:v>41702.40625</c:v>
                </c:pt>
                <c:pt idx="586">
                  <c:v>41702.406944444447</c:v>
                </c:pt>
                <c:pt idx="587">
                  <c:v>41702.407638888886</c:v>
                </c:pt>
                <c:pt idx="588">
                  <c:v>41702.408333333333</c:v>
                </c:pt>
                <c:pt idx="589">
                  <c:v>41702.40902777778</c:v>
                </c:pt>
                <c:pt idx="590">
                  <c:v>41702.409722222219</c:v>
                </c:pt>
                <c:pt idx="591">
                  <c:v>41702.410416666666</c:v>
                </c:pt>
                <c:pt idx="592">
                  <c:v>41702.411111111112</c:v>
                </c:pt>
                <c:pt idx="593">
                  <c:v>41702.411805555559</c:v>
                </c:pt>
                <c:pt idx="594">
                  <c:v>41702.412499999999</c:v>
                </c:pt>
                <c:pt idx="595">
                  <c:v>41702.413194444445</c:v>
                </c:pt>
                <c:pt idx="596">
                  <c:v>41702.413888888892</c:v>
                </c:pt>
                <c:pt idx="597">
                  <c:v>41702.414583333331</c:v>
                </c:pt>
                <c:pt idx="598">
                  <c:v>41702.415277777778</c:v>
                </c:pt>
                <c:pt idx="599">
                  <c:v>41702.415972222225</c:v>
                </c:pt>
                <c:pt idx="600">
                  <c:v>41702.416666666664</c:v>
                </c:pt>
                <c:pt idx="601">
                  <c:v>41702.417361111111</c:v>
                </c:pt>
                <c:pt idx="602">
                  <c:v>41702.418055555558</c:v>
                </c:pt>
                <c:pt idx="603">
                  <c:v>41702.418749999997</c:v>
                </c:pt>
                <c:pt idx="604">
                  <c:v>41702.419444444444</c:v>
                </c:pt>
                <c:pt idx="605">
                  <c:v>41702.420138888891</c:v>
                </c:pt>
                <c:pt idx="606">
                  <c:v>41702.42083333333</c:v>
                </c:pt>
                <c:pt idx="607">
                  <c:v>41702.421527777777</c:v>
                </c:pt>
                <c:pt idx="608">
                  <c:v>41702.422222222223</c:v>
                </c:pt>
                <c:pt idx="609">
                  <c:v>41702.42291666667</c:v>
                </c:pt>
                <c:pt idx="610">
                  <c:v>41702.423611111109</c:v>
                </c:pt>
                <c:pt idx="611">
                  <c:v>41702.424305555556</c:v>
                </c:pt>
                <c:pt idx="612">
                  <c:v>41702.425000000003</c:v>
                </c:pt>
                <c:pt idx="613">
                  <c:v>41702.425694444442</c:v>
                </c:pt>
                <c:pt idx="614">
                  <c:v>41702.426388888889</c:v>
                </c:pt>
                <c:pt idx="615">
                  <c:v>41702.427083333336</c:v>
                </c:pt>
                <c:pt idx="616">
                  <c:v>41702.427777777775</c:v>
                </c:pt>
                <c:pt idx="617">
                  <c:v>41702.428472222222</c:v>
                </c:pt>
                <c:pt idx="618">
                  <c:v>41702.429166666669</c:v>
                </c:pt>
                <c:pt idx="619">
                  <c:v>41702.429861111108</c:v>
                </c:pt>
                <c:pt idx="620">
                  <c:v>41702.430555555555</c:v>
                </c:pt>
                <c:pt idx="621">
                  <c:v>41702.431250000001</c:v>
                </c:pt>
                <c:pt idx="622">
                  <c:v>41702.431944444441</c:v>
                </c:pt>
                <c:pt idx="623">
                  <c:v>41702.432638888888</c:v>
                </c:pt>
                <c:pt idx="624">
                  <c:v>41702.433333333334</c:v>
                </c:pt>
                <c:pt idx="625">
                  <c:v>41702.434027777781</c:v>
                </c:pt>
                <c:pt idx="626">
                  <c:v>41702.43472222222</c:v>
                </c:pt>
                <c:pt idx="627">
                  <c:v>41702.435416666667</c:v>
                </c:pt>
                <c:pt idx="628">
                  <c:v>41702.436111111114</c:v>
                </c:pt>
                <c:pt idx="629">
                  <c:v>41702.436805555553</c:v>
                </c:pt>
                <c:pt idx="630">
                  <c:v>41702.4375</c:v>
                </c:pt>
                <c:pt idx="631">
                  <c:v>41702.438194444447</c:v>
                </c:pt>
                <c:pt idx="632">
                  <c:v>41702.438888888886</c:v>
                </c:pt>
                <c:pt idx="633">
                  <c:v>41702.439583333333</c:v>
                </c:pt>
                <c:pt idx="634">
                  <c:v>41702.44027777778</c:v>
                </c:pt>
                <c:pt idx="635">
                  <c:v>41702.440972222219</c:v>
                </c:pt>
                <c:pt idx="636">
                  <c:v>41702.441666666666</c:v>
                </c:pt>
                <c:pt idx="637">
                  <c:v>41702.442361111112</c:v>
                </c:pt>
                <c:pt idx="638">
                  <c:v>41702.443055555559</c:v>
                </c:pt>
                <c:pt idx="639">
                  <c:v>41702.443749999999</c:v>
                </c:pt>
                <c:pt idx="640">
                  <c:v>41702.444444444445</c:v>
                </c:pt>
                <c:pt idx="641">
                  <c:v>41702.445138888892</c:v>
                </c:pt>
                <c:pt idx="642">
                  <c:v>41702.445833333331</c:v>
                </c:pt>
                <c:pt idx="643">
                  <c:v>41702.446527777778</c:v>
                </c:pt>
                <c:pt idx="644">
                  <c:v>41702.447222222225</c:v>
                </c:pt>
                <c:pt idx="645">
                  <c:v>41702.447916666664</c:v>
                </c:pt>
                <c:pt idx="646">
                  <c:v>41702.448611111111</c:v>
                </c:pt>
                <c:pt idx="647">
                  <c:v>41702.449305555558</c:v>
                </c:pt>
                <c:pt idx="648">
                  <c:v>41702.449999999997</c:v>
                </c:pt>
                <c:pt idx="649">
                  <c:v>41702.450694444444</c:v>
                </c:pt>
                <c:pt idx="650">
                  <c:v>41702.451388888891</c:v>
                </c:pt>
                <c:pt idx="651">
                  <c:v>41702.45208333333</c:v>
                </c:pt>
                <c:pt idx="652">
                  <c:v>41702.452777777777</c:v>
                </c:pt>
                <c:pt idx="653">
                  <c:v>41702.453472222223</c:v>
                </c:pt>
                <c:pt idx="654">
                  <c:v>41702.45416666667</c:v>
                </c:pt>
                <c:pt idx="655">
                  <c:v>41702.454861111109</c:v>
                </c:pt>
                <c:pt idx="656">
                  <c:v>41702.455555555556</c:v>
                </c:pt>
                <c:pt idx="657">
                  <c:v>41702.456250000003</c:v>
                </c:pt>
                <c:pt idx="658">
                  <c:v>41702.456944444442</c:v>
                </c:pt>
                <c:pt idx="659">
                  <c:v>41702.457638888889</c:v>
                </c:pt>
                <c:pt idx="660">
                  <c:v>41702.458333333336</c:v>
                </c:pt>
                <c:pt idx="661">
                  <c:v>41702.459027777775</c:v>
                </c:pt>
                <c:pt idx="662">
                  <c:v>41702.459722222222</c:v>
                </c:pt>
                <c:pt idx="663">
                  <c:v>41702.460416666669</c:v>
                </c:pt>
                <c:pt idx="664">
                  <c:v>41702.461111111108</c:v>
                </c:pt>
                <c:pt idx="665">
                  <c:v>41702.461805555555</c:v>
                </c:pt>
                <c:pt idx="666">
                  <c:v>41702.462500000001</c:v>
                </c:pt>
                <c:pt idx="667">
                  <c:v>41702.463194444441</c:v>
                </c:pt>
                <c:pt idx="668">
                  <c:v>41702.463888888888</c:v>
                </c:pt>
                <c:pt idx="669">
                  <c:v>41702.464583333334</c:v>
                </c:pt>
                <c:pt idx="670">
                  <c:v>41702.465277777781</c:v>
                </c:pt>
                <c:pt idx="671">
                  <c:v>41702.46597222222</c:v>
                </c:pt>
                <c:pt idx="672">
                  <c:v>41702.466666666667</c:v>
                </c:pt>
                <c:pt idx="673">
                  <c:v>41702.467361111114</c:v>
                </c:pt>
                <c:pt idx="674">
                  <c:v>41702.468055555553</c:v>
                </c:pt>
                <c:pt idx="675">
                  <c:v>41702.46875</c:v>
                </c:pt>
                <c:pt idx="676">
                  <c:v>41702.469444444447</c:v>
                </c:pt>
                <c:pt idx="677">
                  <c:v>41702.470138888886</c:v>
                </c:pt>
                <c:pt idx="678">
                  <c:v>41702.470833333333</c:v>
                </c:pt>
                <c:pt idx="679">
                  <c:v>41702.47152777778</c:v>
                </c:pt>
                <c:pt idx="680">
                  <c:v>41702.472222222219</c:v>
                </c:pt>
                <c:pt idx="681">
                  <c:v>41702.472916666666</c:v>
                </c:pt>
                <c:pt idx="682">
                  <c:v>41702.473611111112</c:v>
                </c:pt>
                <c:pt idx="683">
                  <c:v>41702.474305555559</c:v>
                </c:pt>
                <c:pt idx="684">
                  <c:v>41702.474999999999</c:v>
                </c:pt>
                <c:pt idx="685">
                  <c:v>41702.475694444445</c:v>
                </c:pt>
                <c:pt idx="686">
                  <c:v>41702.476388888892</c:v>
                </c:pt>
                <c:pt idx="687">
                  <c:v>41702.477083333331</c:v>
                </c:pt>
                <c:pt idx="688">
                  <c:v>41702.477777777778</c:v>
                </c:pt>
                <c:pt idx="689">
                  <c:v>41702.478472222225</c:v>
                </c:pt>
                <c:pt idx="690">
                  <c:v>41702.479166666664</c:v>
                </c:pt>
                <c:pt idx="691">
                  <c:v>41702.479861111111</c:v>
                </c:pt>
                <c:pt idx="692">
                  <c:v>41702.480555555558</c:v>
                </c:pt>
                <c:pt idx="693">
                  <c:v>41702.481249999997</c:v>
                </c:pt>
                <c:pt idx="694">
                  <c:v>41702.481944444444</c:v>
                </c:pt>
                <c:pt idx="695">
                  <c:v>41702.482638888891</c:v>
                </c:pt>
                <c:pt idx="696">
                  <c:v>41702.48333333333</c:v>
                </c:pt>
                <c:pt idx="697">
                  <c:v>41702.484027777777</c:v>
                </c:pt>
                <c:pt idx="698">
                  <c:v>41702.484722222223</c:v>
                </c:pt>
                <c:pt idx="699">
                  <c:v>41702.48541666667</c:v>
                </c:pt>
                <c:pt idx="700">
                  <c:v>41702.486111111109</c:v>
                </c:pt>
                <c:pt idx="701">
                  <c:v>41702.486805555556</c:v>
                </c:pt>
                <c:pt idx="702">
                  <c:v>41702.487500000003</c:v>
                </c:pt>
                <c:pt idx="703">
                  <c:v>41702.488194444442</c:v>
                </c:pt>
                <c:pt idx="704">
                  <c:v>41702.488888888889</c:v>
                </c:pt>
                <c:pt idx="705">
                  <c:v>41702.489583333336</c:v>
                </c:pt>
                <c:pt idx="706">
                  <c:v>41702.490277777775</c:v>
                </c:pt>
                <c:pt idx="707">
                  <c:v>41702.490972222222</c:v>
                </c:pt>
                <c:pt idx="708">
                  <c:v>41702.491666666669</c:v>
                </c:pt>
                <c:pt idx="709">
                  <c:v>41702.492361111108</c:v>
                </c:pt>
                <c:pt idx="710">
                  <c:v>41702.493055555555</c:v>
                </c:pt>
                <c:pt idx="711">
                  <c:v>41702.493750000001</c:v>
                </c:pt>
                <c:pt idx="712">
                  <c:v>41702.494444444441</c:v>
                </c:pt>
                <c:pt idx="713">
                  <c:v>41702.495138888888</c:v>
                </c:pt>
                <c:pt idx="714">
                  <c:v>41702.495833333334</c:v>
                </c:pt>
                <c:pt idx="715">
                  <c:v>41702.496527777781</c:v>
                </c:pt>
                <c:pt idx="716">
                  <c:v>41702.49722222222</c:v>
                </c:pt>
                <c:pt idx="717">
                  <c:v>41702.497916666667</c:v>
                </c:pt>
                <c:pt idx="718">
                  <c:v>41702.498611111114</c:v>
                </c:pt>
                <c:pt idx="719">
                  <c:v>41702.499305555553</c:v>
                </c:pt>
                <c:pt idx="720">
                  <c:v>41702.5</c:v>
                </c:pt>
                <c:pt idx="721">
                  <c:v>41702.500694444447</c:v>
                </c:pt>
                <c:pt idx="722">
                  <c:v>41702.501388888886</c:v>
                </c:pt>
                <c:pt idx="723">
                  <c:v>41702.502083333333</c:v>
                </c:pt>
                <c:pt idx="724">
                  <c:v>41702.50277777778</c:v>
                </c:pt>
                <c:pt idx="725">
                  <c:v>41702.503472222219</c:v>
                </c:pt>
                <c:pt idx="726">
                  <c:v>41702.504166666666</c:v>
                </c:pt>
                <c:pt idx="727">
                  <c:v>41702.504861111112</c:v>
                </c:pt>
                <c:pt idx="728">
                  <c:v>41702.505555555559</c:v>
                </c:pt>
                <c:pt idx="729">
                  <c:v>41702.506249999999</c:v>
                </c:pt>
                <c:pt idx="730">
                  <c:v>41702.506944444445</c:v>
                </c:pt>
                <c:pt idx="731">
                  <c:v>41702.507638888892</c:v>
                </c:pt>
                <c:pt idx="732">
                  <c:v>41702.508333333331</c:v>
                </c:pt>
                <c:pt idx="733">
                  <c:v>41702.509027777778</c:v>
                </c:pt>
                <c:pt idx="734">
                  <c:v>41702.509722222225</c:v>
                </c:pt>
                <c:pt idx="735">
                  <c:v>41702.510416666664</c:v>
                </c:pt>
                <c:pt idx="736">
                  <c:v>41702.511111111111</c:v>
                </c:pt>
                <c:pt idx="737">
                  <c:v>41702.511805555558</c:v>
                </c:pt>
                <c:pt idx="738">
                  <c:v>41702.512499999997</c:v>
                </c:pt>
                <c:pt idx="739">
                  <c:v>41702.513194444444</c:v>
                </c:pt>
                <c:pt idx="740">
                  <c:v>41702.513888888891</c:v>
                </c:pt>
                <c:pt idx="741">
                  <c:v>41702.51458333333</c:v>
                </c:pt>
                <c:pt idx="742">
                  <c:v>41702.515277777777</c:v>
                </c:pt>
                <c:pt idx="743">
                  <c:v>41702.515972222223</c:v>
                </c:pt>
                <c:pt idx="744">
                  <c:v>41702.51666666667</c:v>
                </c:pt>
                <c:pt idx="745">
                  <c:v>41702.517361111109</c:v>
                </c:pt>
                <c:pt idx="746">
                  <c:v>41702.518055555556</c:v>
                </c:pt>
                <c:pt idx="747">
                  <c:v>41702.518750000003</c:v>
                </c:pt>
                <c:pt idx="748">
                  <c:v>41702.519444444442</c:v>
                </c:pt>
                <c:pt idx="749">
                  <c:v>41702.520138888889</c:v>
                </c:pt>
                <c:pt idx="750">
                  <c:v>41702.520833333336</c:v>
                </c:pt>
                <c:pt idx="751">
                  <c:v>41702.521527777775</c:v>
                </c:pt>
                <c:pt idx="752">
                  <c:v>41702.522222222222</c:v>
                </c:pt>
                <c:pt idx="753">
                  <c:v>41702.522916666669</c:v>
                </c:pt>
                <c:pt idx="754">
                  <c:v>41702.523611111108</c:v>
                </c:pt>
                <c:pt idx="755">
                  <c:v>41702.524305555555</c:v>
                </c:pt>
                <c:pt idx="756">
                  <c:v>41702.525000000001</c:v>
                </c:pt>
                <c:pt idx="757">
                  <c:v>41702.525694444441</c:v>
                </c:pt>
                <c:pt idx="758">
                  <c:v>41702.526388888888</c:v>
                </c:pt>
                <c:pt idx="759">
                  <c:v>41702.527083333334</c:v>
                </c:pt>
                <c:pt idx="760">
                  <c:v>41702.527777777781</c:v>
                </c:pt>
                <c:pt idx="761">
                  <c:v>41702.52847222222</c:v>
                </c:pt>
                <c:pt idx="762">
                  <c:v>41702.529166666667</c:v>
                </c:pt>
                <c:pt idx="763">
                  <c:v>41702.529861111114</c:v>
                </c:pt>
                <c:pt idx="764">
                  <c:v>41702.530555555553</c:v>
                </c:pt>
                <c:pt idx="765">
                  <c:v>41702.53125</c:v>
                </c:pt>
                <c:pt idx="766">
                  <c:v>41702.531944444447</c:v>
                </c:pt>
                <c:pt idx="767">
                  <c:v>41702.532638888886</c:v>
                </c:pt>
                <c:pt idx="768">
                  <c:v>41702.533333333333</c:v>
                </c:pt>
                <c:pt idx="769">
                  <c:v>41702.53402777778</c:v>
                </c:pt>
                <c:pt idx="770">
                  <c:v>41702.534722222219</c:v>
                </c:pt>
                <c:pt idx="771">
                  <c:v>41702.535416666666</c:v>
                </c:pt>
                <c:pt idx="772">
                  <c:v>41702.536111111112</c:v>
                </c:pt>
                <c:pt idx="773">
                  <c:v>41702.536805555559</c:v>
                </c:pt>
                <c:pt idx="774">
                  <c:v>41702.537499999999</c:v>
                </c:pt>
                <c:pt idx="775">
                  <c:v>41702.538194444445</c:v>
                </c:pt>
                <c:pt idx="776">
                  <c:v>41702.538888888892</c:v>
                </c:pt>
                <c:pt idx="777">
                  <c:v>41702.539583333331</c:v>
                </c:pt>
                <c:pt idx="778">
                  <c:v>41702.540277777778</c:v>
                </c:pt>
                <c:pt idx="779">
                  <c:v>41702.540972222225</c:v>
                </c:pt>
                <c:pt idx="780">
                  <c:v>41702.541666666664</c:v>
                </c:pt>
                <c:pt idx="781">
                  <c:v>41702.542361111111</c:v>
                </c:pt>
                <c:pt idx="782">
                  <c:v>41702.543055555558</c:v>
                </c:pt>
                <c:pt idx="783">
                  <c:v>41702.543749999997</c:v>
                </c:pt>
                <c:pt idx="784">
                  <c:v>41702.544444444444</c:v>
                </c:pt>
                <c:pt idx="785">
                  <c:v>41702.545138888891</c:v>
                </c:pt>
                <c:pt idx="786">
                  <c:v>41702.54583333333</c:v>
                </c:pt>
                <c:pt idx="787">
                  <c:v>41702.546527777777</c:v>
                </c:pt>
                <c:pt idx="788">
                  <c:v>41702.547222222223</c:v>
                </c:pt>
                <c:pt idx="789">
                  <c:v>41702.54791666667</c:v>
                </c:pt>
                <c:pt idx="790">
                  <c:v>41702.548611111109</c:v>
                </c:pt>
                <c:pt idx="791">
                  <c:v>41702.549305555556</c:v>
                </c:pt>
                <c:pt idx="792">
                  <c:v>41702.550000000003</c:v>
                </c:pt>
                <c:pt idx="793">
                  <c:v>41702.550694444442</c:v>
                </c:pt>
                <c:pt idx="794">
                  <c:v>41702.551388888889</c:v>
                </c:pt>
                <c:pt idx="795">
                  <c:v>41702.552083333336</c:v>
                </c:pt>
                <c:pt idx="796">
                  <c:v>41702.552777777775</c:v>
                </c:pt>
                <c:pt idx="797">
                  <c:v>41702.553472222222</c:v>
                </c:pt>
                <c:pt idx="798">
                  <c:v>41702.554166666669</c:v>
                </c:pt>
                <c:pt idx="799">
                  <c:v>41702.554861111108</c:v>
                </c:pt>
                <c:pt idx="800">
                  <c:v>41702.555555555555</c:v>
                </c:pt>
                <c:pt idx="801">
                  <c:v>41702.556250000001</c:v>
                </c:pt>
                <c:pt idx="802">
                  <c:v>41702.556944444441</c:v>
                </c:pt>
                <c:pt idx="803">
                  <c:v>41702.557638888888</c:v>
                </c:pt>
                <c:pt idx="804">
                  <c:v>41702.558333333334</c:v>
                </c:pt>
                <c:pt idx="805">
                  <c:v>41702.559027777781</c:v>
                </c:pt>
                <c:pt idx="806">
                  <c:v>41702.55972222222</c:v>
                </c:pt>
                <c:pt idx="807">
                  <c:v>41702.560416666667</c:v>
                </c:pt>
                <c:pt idx="808">
                  <c:v>41702.561111111114</c:v>
                </c:pt>
                <c:pt idx="809">
                  <c:v>41702.561805555553</c:v>
                </c:pt>
                <c:pt idx="810">
                  <c:v>41702.5625</c:v>
                </c:pt>
                <c:pt idx="811">
                  <c:v>41702.563194444447</c:v>
                </c:pt>
                <c:pt idx="812">
                  <c:v>41702.563888888886</c:v>
                </c:pt>
                <c:pt idx="813">
                  <c:v>41702.564583333333</c:v>
                </c:pt>
                <c:pt idx="814">
                  <c:v>41702.56527777778</c:v>
                </c:pt>
                <c:pt idx="815">
                  <c:v>41702.565972222219</c:v>
                </c:pt>
                <c:pt idx="816">
                  <c:v>41702.566666666666</c:v>
                </c:pt>
                <c:pt idx="817">
                  <c:v>41702.567361111112</c:v>
                </c:pt>
                <c:pt idx="818">
                  <c:v>41702.568055555559</c:v>
                </c:pt>
                <c:pt idx="819">
                  <c:v>41702.568749999999</c:v>
                </c:pt>
                <c:pt idx="820">
                  <c:v>41702.569444444445</c:v>
                </c:pt>
                <c:pt idx="821">
                  <c:v>41702.570138888892</c:v>
                </c:pt>
                <c:pt idx="822">
                  <c:v>41702.570833333331</c:v>
                </c:pt>
                <c:pt idx="823">
                  <c:v>41702.571527777778</c:v>
                </c:pt>
                <c:pt idx="824">
                  <c:v>41702.572222222225</c:v>
                </c:pt>
                <c:pt idx="825">
                  <c:v>41702.572916666664</c:v>
                </c:pt>
                <c:pt idx="826">
                  <c:v>41702.573611111111</c:v>
                </c:pt>
                <c:pt idx="827">
                  <c:v>41702.574305555558</c:v>
                </c:pt>
                <c:pt idx="828">
                  <c:v>41702.574999999997</c:v>
                </c:pt>
                <c:pt idx="829">
                  <c:v>41702.575694444444</c:v>
                </c:pt>
                <c:pt idx="830">
                  <c:v>41702.576388888891</c:v>
                </c:pt>
                <c:pt idx="831">
                  <c:v>41702.57708333333</c:v>
                </c:pt>
                <c:pt idx="832">
                  <c:v>41702.577777777777</c:v>
                </c:pt>
                <c:pt idx="833">
                  <c:v>41702.578472222223</c:v>
                </c:pt>
                <c:pt idx="834">
                  <c:v>41702.57916666667</c:v>
                </c:pt>
                <c:pt idx="835">
                  <c:v>41702.579861111109</c:v>
                </c:pt>
                <c:pt idx="836">
                  <c:v>41702.580555555556</c:v>
                </c:pt>
                <c:pt idx="837">
                  <c:v>41702.581250000003</c:v>
                </c:pt>
                <c:pt idx="838">
                  <c:v>41702.581944444442</c:v>
                </c:pt>
                <c:pt idx="839">
                  <c:v>41702.582638888889</c:v>
                </c:pt>
                <c:pt idx="840">
                  <c:v>41702.583333333336</c:v>
                </c:pt>
                <c:pt idx="841">
                  <c:v>41702.584027777775</c:v>
                </c:pt>
                <c:pt idx="842">
                  <c:v>41702.584722222222</c:v>
                </c:pt>
                <c:pt idx="843">
                  <c:v>41702.585416666669</c:v>
                </c:pt>
                <c:pt idx="844">
                  <c:v>41702.586111111108</c:v>
                </c:pt>
                <c:pt idx="845">
                  <c:v>41702.586805555555</c:v>
                </c:pt>
                <c:pt idx="846">
                  <c:v>41702.587500000001</c:v>
                </c:pt>
                <c:pt idx="847">
                  <c:v>41702.588194444441</c:v>
                </c:pt>
                <c:pt idx="848">
                  <c:v>41702.588888888888</c:v>
                </c:pt>
                <c:pt idx="849">
                  <c:v>41702.589583333334</c:v>
                </c:pt>
                <c:pt idx="850">
                  <c:v>41702.590277777781</c:v>
                </c:pt>
                <c:pt idx="851">
                  <c:v>41702.59097222222</c:v>
                </c:pt>
                <c:pt idx="852">
                  <c:v>41702.591666666667</c:v>
                </c:pt>
                <c:pt idx="853">
                  <c:v>41702.592361111114</c:v>
                </c:pt>
                <c:pt idx="854">
                  <c:v>41702.593055555553</c:v>
                </c:pt>
                <c:pt idx="855">
                  <c:v>41702.59375</c:v>
                </c:pt>
                <c:pt idx="856">
                  <c:v>41702.594444444447</c:v>
                </c:pt>
                <c:pt idx="857">
                  <c:v>41702.595138888886</c:v>
                </c:pt>
                <c:pt idx="858">
                  <c:v>41702.595833333333</c:v>
                </c:pt>
                <c:pt idx="859">
                  <c:v>41702.59652777778</c:v>
                </c:pt>
                <c:pt idx="860">
                  <c:v>41702.597222222219</c:v>
                </c:pt>
                <c:pt idx="861">
                  <c:v>41702.597916666666</c:v>
                </c:pt>
                <c:pt idx="862">
                  <c:v>41702.598611111112</c:v>
                </c:pt>
                <c:pt idx="863">
                  <c:v>41702.599305555559</c:v>
                </c:pt>
                <c:pt idx="864">
                  <c:v>41702.6</c:v>
                </c:pt>
                <c:pt idx="865">
                  <c:v>41702.600694444445</c:v>
                </c:pt>
                <c:pt idx="866">
                  <c:v>41702.601388888892</c:v>
                </c:pt>
                <c:pt idx="867">
                  <c:v>41702.602083333331</c:v>
                </c:pt>
                <c:pt idx="868">
                  <c:v>41702.602777777778</c:v>
                </c:pt>
                <c:pt idx="869">
                  <c:v>41702.603472222225</c:v>
                </c:pt>
                <c:pt idx="870">
                  <c:v>41702.604166666664</c:v>
                </c:pt>
                <c:pt idx="871">
                  <c:v>41702.604861111111</c:v>
                </c:pt>
                <c:pt idx="872">
                  <c:v>41702.605555555558</c:v>
                </c:pt>
                <c:pt idx="873">
                  <c:v>41702.606249999997</c:v>
                </c:pt>
                <c:pt idx="874">
                  <c:v>41702.606944444444</c:v>
                </c:pt>
                <c:pt idx="875">
                  <c:v>41702.607638888891</c:v>
                </c:pt>
                <c:pt idx="876">
                  <c:v>41702.60833333333</c:v>
                </c:pt>
                <c:pt idx="877">
                  <c:v>41702.609027777777</c:v>
                </c:pt>
                <c:pt idx="878">
                  <c:v>41702.609722222223</c:v>
                </c:pt>
                <c:pt idx="879">
                  <c:v>41702.61041666667</c:v>
                </c:pt>
                <c:pt idx="880">
                  <c:v>41702.611111111109</c:v>
                </c:pt>
                <c:pt idx="881">
                  <c:v>41702.611805555556</c:v>
                </c:pt>
                <c:pt idx="882">
                  <c:v>41702.612500000003</c:v>
                </c:pt>
                <c:pt idx="883">
                  <c:v>41702.613194444442</c:v>
                </c:pt>
                <c:pt idx="884">
                  <c:v>41702.613888888889</c:v>
                </c:pt>
                <c:pt idx="885">
                  <c:v>41702.614583333336</c:v>
                </c:pt>
                <c:pt idx="886">
                  <c:v>41702.615277777775</c:v>
                </c:pt>
                <c:pt idx="887">
                  <c:v>41702.615972222222</c:v>
                </c:pt>
                <c:pt idx="888">
                  <c:v>41702.616666666669</c:v>
                </c:pt>
                <c:pt idx="889">
                  <c:v>41702.617361111108</c:v>
                </c:pt>
                <c:pt idx="890">
                  <c:v>41702.618055555555</c:v>
                </c:pt>
                <c:pt idx="891">
                  <c:v>41702.618750000001</c:v>
                </c:pt>
                <c:pt idx="892">
                  <c:v>41702.619444444441</c:v>
                </c:pt>
                <c:pt idx="893">
                  <c:v>41702.620138888888</c:v>
                </c:pt>
                <c:pt idx="894">
                  <c:v>41702.620833333334</c:v>
                </c:pt>
                <c:pt idx="895">
                  <c:v>41702.621527777781</c:v>
                </c:pt>
                <c:pt idx="896">
                  <c:v>41702.62222222222</c:v>
                </c:pt>
                <c:pt idx="897">
                  <c:v>41702.622916666667</c:v>
                </c:pt>
                <c:pt idx="898">
                  <c:v>41702.623611111114</c:v>
                </c:pt>
                <c:pt idx="899">
                  <c:v>41702.624305555553</c:v>
                </c:pt>
                <c:pt idx="900">
                  <c:v>41702.625</c:v>
                </c:pt>
                <c:pt idx="901">
                  <c:v>41702.625694444447</c:v>
                </c:pt>
                <c:pt idx="902">
                  <c:v>41702.626388888886</c:v>
                </c:pt>
                <c:pt idx="903">
                  <c:v>41702.627083333333</c:v>
                </c:pt>
                <c:pt idx="904">
                  <c:v>41702.62777777778</c:v>
                </c:pt>
                <c:pt idx="905">
                  <c:v>41702.628472222219</c:v>
                </c:pt>
                <c:pt idx="906">
                  <c:v>41702.629166666666</c:v>
                </c:pt>
                <c:pt idx="907">
                  <c:v>41702.629861111112</c:v>
                </c:pt>
                <c:pt idx="908">
                  <c:v>41702.630555555559</c:v>
                </c:pt>
                <c:pt idx="909">
                  <c:v>41702.631249999999</c:v>
                </c:pt>
                <c:pt idx="910">
                  <c:v>41702.631944444445</c:v>
                </c:pt>
                <c:pt idx="911">
                  <c:v>41702.632638888892</c:v>
                </c:pt>
                <c:pt idx="912">
                  <c:v>41702.633333333331</c:v>
                </c:pt>
                <c:pt idx="913">
                  <c:v>41702.634027777778</c:v>
                </c:pt>
                <c:pt idx="914">
                  <c:v>41702.634722222225</c:v>
                </c:pt>
                <c:pt idx="915">
                  <c:v>41702.635416666664</c:v>
                </c:pt>
                <c:pt idx="916">
                  <c:v>41702.636111111111</c:v>
                </c:pt>
                <c:pt idx="917">
                  <c:v>41702.636805555558</c:v>
                </c:pt>
                <c:pt idx="918">
                  <c:v>41702.637499999997</c:v>
                </c:pt>
                <c:pt idx="919">
                  <c:v>41702.638194444444</c:v>
                </c:pt>
                <c:pt idx="920">
                  <c:v>41702.638888888891</c:v>
                </c:pt>
                <c:pt idx="921">
                  <c:v>41702.63958333333</c:v>
                </c:pt>
                <c:pt idx="922">
                  <c:v>41702.640277777777</c:v>
                </c:pt>
                <c:pt idx="923">
                  <c:v>41702.640972222223</c:v>
                </c:pt>
                <c:pt idx="924">
                  <c:v>41702.64166666667</c:v>
                </c:pt>
                <c:pt idx="925">
                  <c:v>41702.642361111109</c:v>
                </c:pt>
                <c:pt idx="926">
                  <c:v>41702.643055555556</c:v>
                </c:pt>
                <c:pt idx="927">
                  <c:v>41702.643750000003</c:v>
                </c:pt>
                <c:pt idx="928">
                  <c:v>41702.644444444442</c:v>
                </c:pt>
                <c:pt idx="929">
                  <c:v>41702.645138888889</c:v>
                </c:pt>
                <c:pt idx="930">
                  <c:v>41702.645833333336</c:v>
                </c:pt>
                <c:pt idx="931">
                  <c:v>41702.646527777775</c:v>
                </c:pt>
                <c:pt idx="932">
                  <c:v>41702.647222222222</c:v>
                </c:pt>
                <c:pt idx="933">
                  <c:v>41702.647916666669</c:v>
                </c:pt>
                <c:pt idx="934">
                  <c:v>41702.648611111108</c:v>
                </c:pt>
                <c:pt idx="935">
                  <c:v>41702.649305555555</c:v>
                </c:pt>
                <c:pt idx="936">
                  <c:v>41702.65</c:v>
                </c:pt>
                <c:pt idx="937">
                  <c:v>41702.650694444441</c:v>
                </c:pt>
                <c:pt idx="938">
                  <c:v>41702.651388888888</c:v>
                </c:pt>
                <c:pt idx="939">
                  <c:v>41702.652083333334</c:v>
                </c:pt>
                <c:pt idx="940">
                  <c:v>41702.652777777781</c:v>
                </c:pt>
                <c:pt idx="941">
                  <c:v>41702.65347222222</c:v>
                </c:pt>
                <c:pt idx="942">
                  <c:v>41702.654166666667</c:v>
                </c:pt>
                <c:pt idx="943">
                  <c:v>41702.654861111114</c:v>
                </c:pt>
                <c:pt idx="944">
                  <c:v>41702.655555555553</c:v>
                </c:pt>
                <c:pt idx="945">
                  <c:v>41702.65625</c:v>
                </c:pt>
                <c:pt idx="946">
                  <c:v>41702.656944444447</c:v>
                </c:pt>
                <c:pt idx="947">
                  <c:v>41702.657638888886</c:v>
                </c:pt>
                <c:pt idx="948">
                  <c:v>41702.658333333333</c:v>
                </c:pt>
                <c:pt idx="949">
                  <c:v>41702.65902777778</c:v>
                </c:pt>
                <c:pt idx="950">
                  <c:v>41702.659722222219</c:v>
                </c:pt>
                <c:pt idx="951">
                  <c:v>41702.660416666666</c:v>
                </c:pt>
                <c:pt idx="952">
                  <c:v>41702.661111111112</c:v>
                </c:pt>
                <c:pt idx="953">
                  <c:v>41702.661805555559</c:v>
                </c:pt>
                <c:pt idx="954">
                  <c:v>41702.662499999999</c:v>
                </c:pt>
                <c:pt idx="955">
                  <c:v>41702.663194444445</c:v>
                </c:pt>
                <c:pt idx="956">
                  <c:v>41702.663888888892</c:v>
                </c:pt>
                <c:pt idx="957">
                  <c:v>41702.664583333331</c:v>
                </c:pt>
                <c:pt idx="958">
                  <c:v>41702.665277777778</c:v>
                </c:pt>
                <c:pt idx="959">
                  <c:v>41702.665972222225</c:v>
                </c:pt>
                <c:pt idx="960">
                  <c:v>41702.666666666664</c:v>
                </c:pt>
                <c:pt idx="961">
                  <c:v>41702.667361111111</c:v>
                </c:pt>
                <c:pt idx="962">
                  <c:v>41702.668055555558</c:v>
                </c:pt>
                <c:pt idx="963">
                  <c:v>41702.668749999997</c:v>
                </c:pt>
                <c:pt idx="964">
                  <c:v>41702.669444444444</c:v>
                </c:pt>
                <c:pt idx="965">
                  <c:v>41702.670138888891</c:v>
                </c:pt>
                <c:pt idx="966">
                  <c:v>41702.67083333333</c:v>
                </c:pt>
                <c:pt idx="967">
                  <c:v>41702.671527777777</c:v>
                </c:pt>
                <c:pt idx="968">
                  <c:v>41702.672222222223</c:v>
                </c:pt>
                <c:pt idx="969">
                  <c:v>41702.67291666667</c:v>
                </c:pt>
                <c:pt idx="970">
                  <c:v>41702.673611111109</c:v>
                </c:pt>
                <c:pt idx="971">
                  <c:v>41702.674305555556</c:v>
                </c:pt>
                <c:pt idx="972">
                  <c:v>41702.675000000003</c:v>
                </c:pt>
                <c:pt idx="973">
                  <c:v>41702.675694444442</c:v>
                </c:pt>
                <c:pt idx="974">
                  <c:v>41702.676388888889</c:v>
                </c:pt>
                <c:pt idx="975">
                  <c:v>41702.677083333336</c:v>
                </c:pt>
                <c:pt idx="976">
                  <c:v>41702.677777777775</c:v>
                </c:pt>
                <c:pt idx="977">
                  <c:v>41702.678472222222</c:v>
                </c:pt>
                <c:pt idx="978">
                  <c:v>41702.679166666669</c:v>
                </c:pt>
                <c:pt idx="979">
                  <c:v>41702.679861111108</c:v>
                </c:pt>
                <c:pt idx="980">
                  <c:v>41702.680555555555</c:v>
                </c:pt>
                <c:pt idx="981">
                  <c:v>41702.681250000001</c:v>
                </c:pt>
                <c:pt idx="982">
                  <c:v>41702.681944444441</c:v>
                </c:pt>
                <c:pt idx="983">
                  <c:v>41702.682638888888</c:v>
                </c:pt>
                <c:pt idx="984">
                  <c:v>41702.683333333334</c:v>
                </c:pt>
                <c:pt idx="985">
                  <c:v>41702.684027777781</c:v>
                </c:pt>
                <c:pt idx="986">
                  <c:v>41702.68472222222</c:v>
                </c:pt>
                <c:pt idx="987">
                  <c:v>41702.685416666667</c:v>
                </c:pt>
                <c:pt idx="988">
                  <c:v>41702.686111111114</c:v>
                </c:pt>
                <c:pt idx="989">
                  <c:v>41702.686805555553</c:v>
                </c:pt>
                <c:pt idx="990">
                  <c:v>41702.6875</c:v>
                </c:pt>
                <c:pt idx="991">
                  <c:v>41702.688194444447</c:v>
                </c:pt>
                <c:pt idx="992">
                  <c:v>41702.688888888886</c:v>
                </c:pt>
                <c:pt idx="993">
                  <c:v>41702.689583333333</c:v>
                </c:pt>
                <c:pt idx="994">
                  <c:v>41702.69027777778</c:v>
                </c:pt>
                <c:pt idx="995">
                  <c:v>41702.690972222219</c:v>
                </c:pt>
                <c:pt idx="996">
                  <c:v>41702.691666666666</c:v>
                </c:pt>
                <c:pt idx="997">
                  <c:v>41702.692361111112</c:v>
                </c:pt>
                <c:pt idx="998">
                  <c:v>41702.693055555559</c:v>
                </c:pt>
                <c:pt idx="999">
                  <c:v>41702.693749999999</c:v>
                </c:pt>
                <c:pt idx="1000">
                  <c:v>41702.694444444445</c:v>
                </c:pt>
                <c:pt idx="1001">
                  <c:v>41702.695138888892</c:v>
                </c:pt>
                <c:pt idx="1002">
                  <c:v>41702.695833333331</c:v>
                </c:pt>
                <c:pt idx="1003">
                  <c:v>41702.696527777778</c:v>
                </c:pt>
                <c:pt idx="1004">
                  <c:v>41702.697222222225</c:v>
                </c:pt>
                <c:pt idx="1005">
                  <c:v>41702.697916666664</c:v>
                </c:pt>
                <c:pt idx="1006">
                  <c:v>41702.698611111111</c:v>
                </c:pt>
                <c:pt idx="1007">
                  <c:v>41702.699305555558</c:v>
                </c:pt>
                <c:pt idx="1008">
                  <c:v>41702.699999999997</c:v>
                </c:pt>
                <c:pt idx="1009">
                  <c:v>41702.700694444444</c:v>
                </c:pt>
                <c:pt idx="1010">
                  <c:v>41702.701388888891</c:v>
                </c:pt>
                <c:pt idx="1011">
                  <c:v>41702.70208333333</c:v>
                </c:pt>
                <c:pt idx="1012">
                  <c:v>41702.702777777777</c:v>
                </c:pt>
                <c:pt idx="1013">
                  <c:v>41702.703472222223</c:v>
                </c:pt>
                <c:pt idx="1014">
                  <c:v>41702.70416666667</c:v>
                </c:pt>
                <c:pt idx="1015">
                  <c:v>41702.704861111109</c:v>
                </c:pt>
                <c:pt idx="1016">
                  <c:v>41702.705555555556</c:v>
                </c:pt>
                <c:pt idx="1017">
                  <c:v>41702.706250000003</c:v>
                </c:pt>
                <c:pt idx="1018">
                  <c:v>41702.706944444442</c:v>
                </c:pt>
                <c:pt idx="1019">
                  <c:v>41702.707638888889</c:v>
                </c:pt>
                <c:pt idx="1020">
                  <c:v>41702.708333333336</c:v>
                </c:pt>
                <c:pt idx="1021">
                  <c:v>41702.709027777775</c:v>
                </c:pt>
                <c:pt idx="1022">
                  <c:v>41702.709722222222</c:v>
                </c:pt>
                <c:pt idx="1023">
                  <c:v>41702.710416666669</c:v>
                </c:pt>
                <c:pt idx="1024">
                  <c:v>41702.711111111108</c:v>
                </c:pt>
                <c:pt idx="1025">
                  <c:v>41702.711805555555</c:v>
                </c:pt>
                <c:pt idx="1026">
                  <c:v>41702.712500000001</c:v>
                </c:pt>
                <c:pt idx="1027">
                  <c:v>41702.713194444441</c:v>
                </c:pt>
                <c:pt idx="1028">
                  <c:v>41702.713888888888</c:v>
                </c:pt>
                <c:pt idx="1029">
                  <c:v>41702.714583333334</c:v>
                </c:pt>
                <c:pt idx="1030">
                  <c:v>41702.715277777781</c:v>
                </c:pt>
                <c:pt idx="1031">
                  <c:v>41702.71597222222</c:v>
                </c:pt>
                <c:pt idx="1032">
                  <c:v>41702.716666666667</c:v>
                </c:pt>
                <c:pt idx="1033">
                  <c:v>41702.717361111114</c:v>
                </c:pt>
                <c:pt idx="1034">
                  <c:v>41702.718055555553</c:v>
                </c:pt>
                <c:pt idx="1035">
                  <c:v>41702.71875</c:v>
                </c:pt>
                <c:pt idx="1036">
                  <c:v>41702.719444444447</c:v>
                </c:pt>
                <c:pt idx="1037">
                  <c:v>41702.720138888886</c:v>
                </c:pt>
                <c:pt idx="1038">
                  <c:v>41702.720833333333</c:v>
                </c:pt>
                <c:pt idx="1039">
                  <c:v>41702.72152777778</c:v>
                </c:pt>
                <c:pt idx="1040">
                  <c:v>41702.722222222219</c:v>
                </c:pt>
                <c:pt idx="1041">
                  <c:v>41702.722916666666</c:v>
                </c:pt>
                <c:pt idx="1042">
                  <c:v>41702.723611111112</c:v>
                </c:pt>
                <c:pt idx="1043">
                  <c:v>41702.724305555559</c:v>
                </c:pt>
                <c:pt idx="1044">
                  <c:v>41702.724999999999</c:v>
                </c:pt>
                <c:pt idx="1045">
                  <c:v>41702.725694444445</c:v>
                </c:pt>
                <c:pt idx="1046">
                  <c:v>41702.726388888892</c:v>
                </c:pt>
                <c:pt idx="1047">
                  <c:v>41702.727083333331</c:v>
                </c:pt>
                <c:pt idx="1048">
                  <c:v>41702.727777777778</c:v>
                </c:pt>
                <c:pt idx="1049">
                  <c:v>41702.728472222225</c:v>
                </c:pt>
                <c:pt idx="1050">
                  <c:v>41702.729166666664</c:v>
                </c:pt>
                <c:pt idx="1051">
                  <c:v>41702.729861111111</c:v>
                </c:pt>
                <c:pt idx="1052">
                  <c:v>41702.730555555558</c:v>
                </c:pt>
                <c:pt idx="1053">
                  <c:v>41702.731249999997</c:v>
                </c:pt>
                <c:pt idx="1054">
                  <c:v>41702.731944444444</c:v>
                </c:pt>
                <c:pt idx="1055">
                  <c:v>41702.732638888891</c:v>
                </c:pt>
                <c:pt idx="1056">
                  <c:v>41702.73333333333</c:v>
                </c:pt>
                <c:pt idx="1057">
                  <c:v>41702.734027777777</c:v>
                </c:pt>
                <c:pt idx="1058">
                  <c:v>41702.734722222223</c:v>
                </c:pt>
                <c:pt idx="1059">
                  <c:v>41702.73541666667</c:v>
                </c:pt>
                <c:pt idx="1060">
                  <c:v>41702.736111111109</c:v>
                </c:pt>
                <c:pt idx="1061">
                  <c:v>41702.736805555556</c:v>
                </c:pt>
                <c:pt idx="1062">
                  <c:v>41702.737500000003</c:v>
                </c:pt>
                <c:pt idx="1063">
                  <c:v>41702.738194444442</c:v>
                </c:pt>
                <c:pt idx="1064">
                  <c:v>41702.738888888889</c:v>
                </c:pt>
                <c:pt idx="1065">
                  <c:v>41702.739583333336</c:v>
                </c:pt>
                <c:pt idx="1066">
                  <c:v>41702.740277777775</c:v>
                </c:pt>
                <c:pt idx="1067">
                  <c:v>41702.740972222222</c:v>
                </c:pt>
                <c:pt idx="1068">
                  <c:v>41702.741666666669</c:v>
                </c:pt>
                <c:pt idx="1069">
                  <c:v>41702.742361111108</c:v>
                </c:pt>
                <c:pt idx="1070">
                  <c:v>41702.743055555555</c:v>
                </c:pt>
                <c:pt idx="1071">
                  <c:v>41702.743750000001</c:v>
                </c:pt>
                <c:pt idx="1072">
                  <c:v>41702.744444444441</c:v>
                </c:pt>
                <c:pt idx="1073">
                  <c:v>41702.745138888888</c:v>
                </c:pt>
                <c:pt idx="1074">
                  <c:v>41702.745833333334</c:v>
                </c:pt>
                <c:pt idx="1075">
                  <c:v>41702.746527777781</c:v>
                </c:pt>
                <c:pt idx="1076">
                  <c:v>41702.74722222222</c:v>
                </c:pt>
                <c:pt idx="1077">
                  <c:v>41702.747916666667</c:v>
                </c:pt>
                <c:pt idx="1078">
                  <c:v>41702.748611111114</c:v>
                </c:pt>
                <c:pt idx="1079">
                  <c:v>41702.749305555553</c:v>
                </c:pt>
                <c:pt idx="1080">
                  <c:v>41702.75</c:v>
                </c:pt>
                <c:pt idx="1081">
                  <c:v>41702.750694444447</c:v>
                </c:pt>
                <c:pt idx="1082">
                  <c:v>41702.751388888886</c:v>
                </c:pt>
                <c:pt idx="1083">
                  <c:v>41702.752083333333</c:v>
                </c:pt>
                <c:pt idx="1084">
                  <c:v>41702.75277777778</c:v>
                </c:pt>
                <c:pt idx="1085">
                  <c:v>41702.753472222219</c:v>
                </c:pt>
                <c:pt idx="1086">
                  <c:v>41702.754166666666</c:v>
                </c:pt>
                <c:pt idx="1087">
                  <c:v>41702.754861111112</c:v>
                </c:pt>
                <c:pt idx="1088">
                  <c:v>41702.755555555559</c:v>
                </c:pt>
                <c:pt idx="1089">
                  <c:v>41702.756249999999</c:v>
                </c:pt>
                <c:pt idx="1090">
                  <c:v>41702.756944444445</c:v>
                </c:pt>
                <c:pt idx="1091">
                  <c:v>41702.757638888892</c:v>
                </c:pt>
                <c:pt idx="1092">
                  <c:v>41702.758333333331</c:v>
                </c:pt>
                <c:pt idx="1093">
                  <c:v>41702.759027777778</c:v>
                </c:pt>
                <c:pt idx="1094">
                  <c:v>41702.759722222225</c:v>
                </c:pt>
                <c:pt idx="1095">
                  <c:v>41702.760416666664</c:v>
                </c:pt>
                <c:pt idx="1096">
                  <c:v>41702.761111111111</c:v>
                </c:pt>
                <c:pt idx="1097">
                  <c:v>41702.761805555558</c:v>
                </c:pt>
                <c:pt idx="1098">
                  <c:v>41702.762499999997</c:v>
                </c:pt>
                <c:pt idx="1099">
                  <c:v>41702.763194444444</c:v>
                </c:pt>
                <c:pt idx="1100">
                  <c:v>41702.763888888891</c:v>
                </c:pt>
                <c:pt idx="1101">
                  <c:v>41702.76458333333</c:v>
                </c:pt>
                <c:pt idx="1102">
                  <c:v>41702.765277777777</c:v>
                </c:pt>
                <c:pt idx="1103">
                  <c:v>41702.765972222223</c:v>
                </c:pt>
                <c:pt idx="1104">
                  <c:v>41702.76666666667</c:v>
                </c:pt>
                <c:pt idx="1105">
                  <c:v>41702.767361111109</c:v>
                </c:pt>
                <c:pt idx="1106">
                  <c:v>41702.768055555556</c:v>
                </c:pt>
                <c:pt idx="1107">
                  <c:v>41702.768750000003</c:v>
                </c:pt>
                <c:pt idx="1108">
                  <c:v>41702.769444444442</c:v>
                </c:pt>
                <c:pt idx="1109">
                  <c:v>41702.770138888889</c:v>
                </c:pt>
                <c:pt idx="1110">
                  <c:v>41702.770833333336</c:v>
                </c:pt>
                <c:pt idx="1111">
                  <c:v>41702.771527777775</c:v>
                </c:pt>
                <c:pt idx="1112">
                  <c:v>41702.772222222222</c:v>
                </c:pt>
                <c:pt idx="1113">
                  <c:v>41702.772916666669</c:v>
                </c:pt>
                <c:pt idx="1114">
                  <c:v>41702.773611111108</c:v>
                </c:pt>
                <c:pt idx="1115">
                  <c:v>41702.774305555555</c:v>
                </c:pt>
                <c:pt idx="1116">
                  <c:v>41702.775000000001</c:v>
                </c:pt>
                <c:pt idx="1117">
                  <c:v>41702.775694444441</c:v>
                </c:pt>
                <c:pt idx="1118">
                  <c:v>41702.776388888888</c:v>
                </c:pt>
                <c:pt idx="1119">
                  <c:v>41702.777083333334</c:v>
                </c:pt>
                <c:pt idx="1120">
                  <c:v>41702.777777777781</c:v>
                </c:pt>
                <c:pt idx="1121">
                  <c:v>41702.77847222222</c:v>
                </c:pt>
                <c:pt idx="1122">
                  <c:v>41702.779166666667</c:v>
                </c:pt>
                <c:pt idx="1123">
                  <c:v>41702.779861111114</c:v>
                </c:pt>
                <c:pt idx="1124">
                  <c:v>41702.780555555553</c:v>
                </c:pt>
                <c:pt idx="1125">
                  <c:v>41702.78125</c:v>
                </c:pt>
                <c:pt idx="1126">
                  <c:v>41702.781944444447</c:v>
                </c:pt>
                <c:pt idx="1127">
                  <c:v>41702.782638888886</c:v>
                </c:pt>
                <c:pt idx="1128">
                  <c:v>41702.783333333333</c:v>
                </c:pt>
                <c:pt idx="1129">
                  <c:v>41702.78402777778</c:v>
                </c:pt>
                <c:pt idx="1130">
                  <c:v>41702.784722222219</c:v>
                </c:pt>
                <c:pt idx="1131">
                  <c:v>41702.785416666666</c:v>
                </c:pt>
                <c:pt idx="1132">
                  <c:v>41702.786111111112</c:v>
                </c:pt>
                <c:pt idx="1133">
                  <c:v>41702.786805555559</c:v>
                </c:pt>
                <c:pt idx="1134">
                  <c:v>41702.787499999999</c:v>
                </c:pt>
                <c:pt idx="1135">
                  <c:v>41702.788194444445</c:v>
                </c:pt>
                <c:pt idx="1136">
                  <c:v>41702.788888888892</c:v>
                </c:pt>
                <c:pt idx="1137">
                  <c:v>41702.789583333331</c:v>
                </c:pt>
                <c:pt idx="1138">
                  <c:v>41702.790277777778</c:v>
                </c:pt>
                <c:pt idx="1139">
                  <c:v>41702.790972222225</c:v>
                </c:pt>
                <c:pt idx="1140">
                  <c:v>41702.791666666664</c:v>
                </c:pt>
                <c:pt idx="1141">
                  <c:v>41702.792361111111</c:v>
                </c:pt>
                <c:pt idx="1142">
                  <c:v>41702.793055555558</c:v>
                </c:pt>
                <c:pt idx="1143">
                  <c:v>41702.793749999997</c:v>
                </c:pt>
                <c:pt idx="1144">
                  <c:v>41702.794444444444</c:v>
                </c:pt>
                <c:pt idx="1145">
                  <c:v>41702.795138888891</c:v>
                </c:pt>
                <c:pt idx="1146">
                  <c:v>41702.79583333333</c:v>
                </c:pt>
                <c:pt idx="1147">
                  <c:v>41702.796527777777</c:v>
                </c:pt>
                <c:pt idx="1148">
                  <c:v>41702.797222222223</c:v>
                </c:pt>
                <c:pt idx="1149">
                  <c:v>41702.79791666667</c:v>
                </c:pt>
                <c:pt idx="1150">
                  <c:v>41702.798611111109</c:v>
                </c:pt>
                <c:pt idx="1151">
                  <c:v>41702.799305555556</c:v>
                </c:pt>
                <c:pt idx="1152">
                  <c:v>41702.800000000003</c:v>
                </c:pt>
                <c:pt idx="1153">
                  <c:v>41702.800694444442</c:v>
                </c:pt>
                <c:pt idx="1154">
                  <c:v>41702.801388888889</c:v>
                </c:pt>
                <c:pt idx="1155">
                  <c:v>41702.802083333336</c:v>
                </c:pt>
                <c:pt idx="1156">
                  <c:v>41702.802777777775</c:v>
                </c:pt>
                <c:pt idx="1157">
                  <c:v>41702.803472222222</c:v>
                </c:pt>
                <c:pt idx="1158">
                  <c:v>41702.804166666669</c:v>
                </c:pt>
                <c:pt idx="1159">
                  <c:v>41702.804861111108</c:v>
                </c:pt>
                <c:pt idx="1160">
                  <c:v>41702.805555555555</c:v>
                </c:pt>
                <c:pt idx="1161">
                  <c:v>41702.806250000001</c:v>
                </c:pt>
                <c:pt idx="1162">
                  <c:v>41702.806944444441</c:v>
                </c:pt>
                <c:pt idx="1163">
                  <c:v>41702.807638888888</c:v>
                </c:pt>
                <c:pt idx="1164">
                  <c:v>41702.808333333334</c:v>
                </c:pt>
                <c:pt idx="1165">
                  <c:v>41702.809027777781</c:v>
                </c:pt>
                <c:pt idx="1166">
                  <c:v>41702.80972222222</c:v>
                </c:pt>
                <c:pt idx="1167">
                  <c:v>41702.810416666667</c:v>
                </c:pt>
                <c:pt idx="1168">
                  <c:v>41702.811111111114</c:v>
                </c:pt>
                <c:pt idx="1169">
                  <c:v>41702.811805555553</c:v>
                </c:pt>
                <c:pt idx="1170">
                  <c:v>41702.8125</c:v>
                </c:pt>
                <c:pt idx="1171">
                  <c:v>41702.813194444447</c:v>
                </c:pt>
                <c:pt idx="1172">
                  <c:v>41702.813888888886</c:v>
                </c:pt>
                <c:pt idx="1173">
                  <c:v>41702.814583333333</c:v>
                </c:pt>
                <c:pt idx="1174">
                  <c:v>41702.81527777778</c:v>
                </c:pt>
                <c:pt idx="1175">
                  <c:v>41702.815972222219</c:v>
                </c:pt>
                <c:pt idx="1176">
                  <c:v>41702.816666666666</c:v>
                </c:pt>
                <c:pt idx="1177">
                  <c:v>41702.817361111112</c:v>
                </c:pt>
                <c:pt idx="1178">
                  <c:v>41702.818055555559</c:v>
                </c:pt>
                <c:pt idx="1179">
                  <c:v>41702.818749999999</c:v>
                </c:pt>
                <c:pt idx="1180">
                  <c:v>41702.819444444445</c:v>
                </c:pt>
                <c:pt idx="1181">
                  <c:v>41702.820138888892</c:v>
                </c:pt>
                <c:pt idx="1182">
                  <c:v>41702.820833333331</c:v>
                </c:pt>
                <c:pt idx="1183">
                  <c:v>41702.821527777778</c:v>
                </c:pt>
                <c:pt idx="1184">
                  <c:v>41702.822222222225</c:v>
                </c:pt>
                <c:pt idx="1185">
                  <c:v>41702.822916666664</c:v>
                </c:pt>
                <c:pt idx="1186">
                  <c:v>41702.823611111111</c:v>
                </c:pt>
                <c:pt idx="1187">
                  <c:v>41702.824305555558</c:v>
                </c:pt>
                <c:pt idx="1188">
                  <c:v>41702.824999999997</c:v>
                </c:pt>
                <c:pt idx="1189">
                  <c:v>41702.825694444444</c:v>
                </c:pt>
                <c:pt idx="1190">
                  <c:v>41702.826388888891</c:v>
                </c:pt>
                <c:pt idx="1191">
                  <c:v>41702.82708333333</c:v>
                </c:pt>
                <c:pt idx="1192">
                  <c:v>41702.827777777777</c:v>
                </c:pt>
                <c:pt idx="1193">
                  <c:v>41702.828472222223</c:v>
                </c:pt>
                <c:pt idx="1194">
                  <c:v>41702.82916666667</c:v>
                </c:pt>
                <c:pt idx="1195">
                  <c:v>41702.829861111109</c:v>
                </c:pt>
                <c:pt idx="1196">
                  <c:v>41702.830555555556</c:v>
                </c:pt>
                <c:pt idx="1197">
                  <c:v>41702.831250000003</c:v>
                </c:pt>
                <c:pt idx="1198">
                  <c:v>41702.831944444442</c:v>
                </c:pt>
                <c:pt idx="1199">
                  <c:v>41702.832638888889</c:v>
                </c:pt>
                <c:pt idx="1200">
                  <c:v>41702.833333333336</c:v>
                </c:pt>
                <c:pt idx="1201">
                  <c:v>41702.834027777775</c:v>
                </c:pt>
                <c:pt idx="1202">
                  <c:v>41702.834722222222</c:v>
                </c:pt>
                <c:pt idx="1203">
                  <c:v>41702.835416666669</c:v>
                </c:pt>
                <c:pt idx="1204">
                  <c:v>41702.836111111108</c:v>
                </c:pt>
                <c:pt idx="1205">
                  <c:v>41702.836805555555</c:v>
                </c:pt>
                <c:pt idx="1206">
                  <c:v>41702.837500000001</c:v>
                </c:pt>
                <c:pt idx="1207">
                  <c:v>41702.838194444441</c:v>
                </c:pt>
                <c:pt idx="1208">
                  <c:v>41702.838888888888</c:v>
                </c:pt>
                <c:pt idx="1209">
                  <c:v>41702.839583333334</c:v>
                </c:pt>
                <c:pt idx="1210">
                  <c:v>41702.840277777781</c:v>
                </c:pt>
                <c:pt idx="1211">
                  <c:v>41702.84097222222</c:v>
                </c:pt>
                <c:pt idx="1212">
                  <c:v>41702.841666666667</c:v>
                </c:pt>
                <c:pt idx="1213">
                  <c:v>41702.842361111114</c:v>
                </c:pt>
                <c:pt idx="1214">
                  <c:v>41702.843055555553</c:v>
                </c:pt>
                <c:pt idx="1215">
                  <c:v>41702.84375</c:v>
                </c:pt>
                <c:pt idx="1216">
                  <c:v>41702.844444444447</c:v>
                </c:pt>
                <c:pt idx="1217">
                  <c:v>41702.845138888886</c:v>
                </c:pt>
                <c:pt idx="1218">
                  <c:v>41702.845833333333</c:v>
                </c:pt>
                <c:pt idx="1219">
                  <c:v>41702.84652777778</c:v>
                </c:pt>
                <c:pt idx="1220">
                  <c:v>41702.847222222219</c:v>
                </c:pt>
                <c:pt idx="1221">
                  <c:v>41702.847916666666</c:v>
                </c:pt>
                <c:pt idx="1222">
                  <c:v>41702.848611111112</c:v>
                </c:pt>
                <c:pt idx="1223">
                  <c:v>41702.849305555559</c:v>
                </c:pt>
                <c:pt idx="1224">
                  <c:v>41702.85</c:v>
                </c:pt>
                <c:pt idx="1225">
                  <c:v>41702.850694444445</c:v>
                </c:pt>
                <c:pt idx="1226">
                  <c:v>41702.851388888892</c:v>
                </c:pt>
                <c:pt idx="1227">
                  <c:v>41702.852083333331</c:v>
                </c:pt>
                <c:pt idx="1228">
                  <c:v>41702.852777777778</c:v>
                </c:pt>
                <c:pt idx="1229">
                  <c:v>41702.853472222225</c:v>
                </c:pt>
                <c:pt idx="1230">
                  <c:v>41702.854166666664</c:v>
                </c:pt>
                <c:pt idx="1231">
                  <c:v>41702.854861111111</c:v>
                </c:pt>
                <c:pt idx="1232">
                  <c:v>41702.855555555558</c:v>
                </c:pt>
                <c:pt idx="1233">
                  <c:v>41702.856249999997</c:v>
                </c:pt>
                <c:pt idx="1234">
                  <c:v>41702.856944444444</c:v>
                </c:pt>
                <c:pt idx="1235">
                  <c:v>41702.857638888891</c:v>
                </c:pt>
                <c:pt idx="1236">
                  <c:v>41702.85833333333</c:v>
                </c:pt>
                <c:pt idx="1237">
                  <c:v>41702.859027777777</c:v>
                </c:pt>
                <c:pt idx="1238">
                  <c:v>41702.859722222223</c:v>
                </c:pt>
                <c:pt idx="1239">
                  <c:v>41702.86041666667</c:v>
                </c:pt>
                <c:pt idx="1240">
                  <c:v>41702.861111111109</c:v>
                </c:pt>
                <c:pt idx="1241">
                  <c:v>41702.861805555556</c:v>
                </c:pt>
                <c:pt idx="1242">
                  <c:v>41702.862500000003</c:v>
                </c:pt>
                <c:pt idx="1243">
                  <c:v>41702.863194444442</c:v>
                </c:pt>
                <c:pt idx="1244">
                  <c:v>41702.863888888889</c:v>
                </c:pt>
                <c:pt idx="1245">
                  <c:v>41702.864583333336</c:v>
                </c:pt>
                <c:pt idx="1246">
                  <c:v>41702.865277777775</c:v>
                </c:pt>
                <c:pt idx="1247">
                  <c:v>41702.865972222222</c:v>
                </c:pt>
                <c:pt idx="1248">
                  <c:v>41702.866666666669</c:v>
                </c:pt>
                <c:pt idx="1249">
                  <c:v>41702.867361111108</c:v>
                </c:pt>
                <c:pt idx="1250">
                  <c:v>41702.868055555555</c:v>
                </c:pt>
                <c:pt idx="1251">
                  <c:v>41702.868750000001</c:v>
                </c:pt>
                <c:pt idx="1252">
                  <c:v>41702.869444444441</c:v>
                </c:pt>
                <c:pt idx="1253">
                  <c:v>41702.870138888888</c:v>
                </c:pt>
                <c:pt idx="1254">
                  <c:v>41702.870833333334</c:v>
                </c:pt>
                <c:pt idx="1255">
                  <c:v>41702.871527777781</c:v>
                </c:pt>
                <c:pt idx="1256">
                  <c:v>41702.87222222222</c:v>
                </c:pt>
                <c:pt idx="1257">
                  <c:v>41702.872916666667</c:v>
                </c:pt>
                <c:pt idx="1258">
                  <c:v>41702.873611111114</c:v>
                </c:pt>
                <c:pt idx="1259">
                  <c:v>41702.874305555553</c:v>
                </c:pt>
                <c:pt idx="1260">
                  <c:v>41702.875</c:v>
                </c:pt>
                <c:pt idx="1261">
                  <c:v>41702.875694444447</c:v>
                </c:pt>
                <c:pt idx="1262">
                  <c:v>41702.876388888886</c:v>
                </c:pt>
                <c:pt idx="1263">
                  <c:v>41702.877083333333</c:v>
                </c:pt>
                <c:pt idx="1264">
                  <c:v>41702.87777777778</c:v>
                </c:pt>
                <c:pt idx="1265">
                  <c:v>41702.878472222219</c:v>
                </c:pt>
                <c:pt idx="1266">
                  <c:v>41702.879166666666</c:v>
                </c:pt>
                <c:pt idx="1267">
                  <c:v>41702.879861111112</c:v>
                </c:pt>
                <c:pt idx="1268">
                  <c:v>41702.880555555559</c:v>
                </c:pt>
                <c:pt idx="1269">
                  <c:v>41702.881249999999</c:v>
                </c:pt>
                <c:pt idx="1270">
                  <c:v>41702.881944444445</c:v>
                </c:pt>
                <c:pt idx="1271">
                  <c:v>41702.882638888892</c:v>
                </c:pt>
                <c:pt idx="1272">
                  <c:v>41702.883333333331</c:v>
                </c:pt>
                <c:pt idx="1273">
                  <c:v>41702.884027777778</c:v>
                </c:pt>
                <c:pt idx="1274">
                  <c:v>41702.884722222225</c:v>
                </c:pt>
                <c:pt idx="1275">
                  <c:v>41702.885416666664</c:v>
                </c:pt>
                <c:pt idx="1276">
                  <c:v>41702.886111111111</c:v>
                </c:pt>
                <c:pt idx="1277">
                  <c:v>41702.886805555558</c:v>
                </c:pt>
                <c:pt idx="1278">
                  <c:v>41702.887499999997</c:v>
                </c:pt>
                <c:pt idx="1279">
                  <c:v>41702.888194444444</c:v>
                </c:pt>
                <c:pt idx="1280">
                  <c:v>41702.888888888891</c:v>
                </c:pt>
                <c:pt idx="1281">
                  <c:v>41702.88958333333</c:v>
                </c:pt>
                <c:pt idx="1282">
                  <c:v>41702.890277777777</c:v>
                </c:pt>
                <c:pt idx="1283">
                  <c:v>41702.890972222223</c:v>
                </c:pt>
                <c:pt idx="1284">
                  <c:v>41702.89166666667</c:v>
                </c:pt>
                <c:pt idx="1285">
                  <c:v>41702.892361111109</c:v>
                </c:pt>
                <c:pt idx="1286">
                  <c:v>41702.893055555556</c:v>
                </c:pt>
                <c:pt idx="1287">
                  <c:v>41702.893750000003</c:v>
                </c:pt>
                <c:pt idx="1288">
                  <c:v>41702.894444444442</c:v>
                </c:pt>
                <c:pt idx="1289">
                  <c:v>41702.895138888889</c:v>
                </c:pt>
                <c:pt idx="1290">
                  <c:v>41702.895833333336</c:v>
                </c:pt>
                <c:pt idx="1291">
                  <c:v>41702.896527777775</c:v>
                </c:pt>
                <c:pt idx="1292">
                  <c:v>41702.897222222222</c:v>
                </c:pt>
                <c:pt idx="1293">
                  <c:v>41702.897916666669</c:v>
                </c:pt>
                <c:pt idx="1294">
                  <c:v>41702.898611111108</c:v>
                </c:pt>
                <c:pt idx="1295">
                  <c:v>41702.899305555555</c:v>
                </c:pt>
                <c:pt idx="1296">
                  <c:v>41702.9</c:v>
                </c:pt>
                <c:pt idx="1297">
                  <c:v>41702.900694444441</c:v>
                </c:pt>
                <c:pt idx="1298">
                  <c:v>41702.901388888888</c:v>
                </c:pt>
                <c:pt idx="1299">
                  <c:v>41702.902083333334</c:v>
                </c:pt>
                <c:pt idx="1300">
                  <c:v>41702.902777777781</c:v>
                </c:pt>
                <c:pt idx="1301">
                  <c:v>41702.90347222222</c:v>
                </c:pt>
                <c:pt idx="1302">
                  <c:v>41702.904166666667</c:v>
                </c:pt>
                <c:pt idx="1303">
                  <c:v>41702.904861111114</c:v>
                </c:pt>
                <c:pt idx="1304">
                  <c:v>41702.905555555553</c:v>
                </c:pt>
                <c:pt idx="1305">
                  <c:v>41702.90625</c:v>
                </c:pt>
                <c:pt idx="1306">
                  <c:v>41702.906944444447</c:v>
                </c:pt>
                <c:pt idx="1307">
                  <c:v>41702.907638888886</c:v>
                </c:pt>
                <c:pt idx="1308">
                  <c:v>41702.908333333333</c:v>
                </c:pt>
                <c:pt idx="1309">
                  <c:v>41702.90902777778</c:v>
                </c:pt>
                <c:pt idx="1310">
                  <c:v>41702.909722222219</c:v>
                </c:pt>
                <c:pt idx="1311">
                  <c:v>41702.910416666666</c:v>
                </c:pt>
                <c:pt idx="1312">
                  <c:v>41702.911111111112</c:v>
                </c:pt>
                <c:pt idx="1313">
                  <c:v>41702.911805555559</c:v>
                </c:pt>
                <c:pt idx="1314">
                  <c:v>41702.912499999999</c:v>
                </c:pt>
                <c:pt idx="1315">
                  <c:v>41702.913194444445</c:v>
                </c:pt>
                <c:pt idx="1316">
                  <c:v>41702.913888888892</c:v>
                </c:pt>
                <c:pt idx="1317">
                  <c:v>41702.914583333331</c:v>
                </c:pt>
                <c:pt idx="1318">
                  <c:v>41702.915277777778</c:v>
                </c:pt>
                <c:pt idx="1319">
                  <c:v>41702.915972222225</c:v>
                </c:pt>
                <c:pt idx="1320">
                  <c:v>41702.916666666664</c:v>
                </c:pt>
                <c:pt idx="1321">
                  <c:v>41702.917361111111</c:v>
                </c:pt>
                <c:pt idx="1322">
                  <c:v>41702.918055555558</c:v>
                </c:pt>
                <c:pt idx="1323">
                  <c:v>41702.918749999997</c:v>
                </c:pt>
                <c:pt idx="1324">
                  <c:v>41702.919444444444</c:v>
                </c:pt>
                <c:pt idx="1325">
                  <c:v>41702.920138888891</c:v>
                </c:pt>
                <c:pt idx="1326">
                  <c:v>41702.92083333333</c:v>
                </c:pt>
                <c:pt idx="1327">
                  <c:v>41702.921527777777</c:v>
                </c:pt>
                <c:pt idx="1328">
                  <c:v>41702.922222222223</c:v>
                </c:pt>
                <c:pt idx="1329">
                  <c:v>41702.92291666667</c:v>
                </c:pt>
                <c:pt idx="1330">
                  <c:v>41702.923611111109</c:v>
                </c:pt>
                <c:pt idx="1331">
                  <c:v>41702.924305555556</c:v>
                </c:pt>
                <c:pt idx="1332">
                  <c:v>41702.925000000003</c:v>
                </c:pt>
                <c:pt idx="1333">
                  <c:v>41702.925694444442</c:v>
                </c:pt>
                <c:pt idx="1334">
                  <c:v>41702.926388888889</c:v>
                </c:pt>
                <c:pt idx="1335">
                  <c:v>41702.927083333336</c:v>
                </c:pt>
                <c:pt idx="1336">
                  <c:v>41702.927777777775</c:v>
                </c:pt>
                <c:pt idx="1337">
                  <c:v>41702.928472222222</c:v>
                </c:pt>
                <c:pt idx="1338">
                  <c:v>41702.929166666669</c:v>
                </c:pt>
                <c:pt idx="1339">
                  <c:v>41702.929861111108</c:v>
                </c:pt>
                <c:pt idx="1340">
                  <c:v>41702.930555555555</c:v>
                </c:pt>
                <c:pt idx="1341">
                  <c:v>41702.931250000001</c:v>
                </c:pt>
                <c:pt idx="1342">
                  <c:v>41702.931944444441</c:v>
                </c:pt>
                <c:pt idx="1343">
                  <c:v>41702.932638888888</c:v>
                </c:pt>
                <c:pt idx="1344">
                  <c:v>41702.933333333334</c:v>
                </c:pt>
                <c:pt idx="1345">
                  <c:v>41702.934027777781</c:v>
                </c:pt>
                <c:pt idx="1346">
                  <c:v>41702.93472222222</c:v>
                </c:pt>
                <c:pt idx="1347">
                  <c:v>41702.935416666667</c:v>
                </c:pt>
                <c:pt idx="1348">
                  <c:v>41702.936111111114</c:v>
                </c:pt>
                <c:pt idx="1349">
                  <c:v>41702.936805555553</c:v>
                </c:pt>
                <c:pt idx="1350">
                  <c:v>41702.9375</c:v>
                </c:pt>
                <c:pt idx="1351">
                  <c:v>41702.938194444447</c:v>
                </c:pt>
                <c:pt idx="1352">
                  <c:v>41702.938888888886</c:v>
                </c:pt>
                <c:pt idx="1353">
                  <c:v>41702.939583333333</c:v>
                </c:pt>
                <c:pt idx="1354">
                  <c:v>41702.94027777778</c:v>
                </c:pt>
                <c:pt idx="1355">
                  <c:v>41702.940972222219</c:v>
                </c:pt>
                <c:pt idx="1356">
                  <c:v>41702.941666666666</c:v>
                </c:pt>
                <c:pt idx="1357">
                  <c:v>41702.942361111112</c:v>
                </c:pt>
                <c:pt idx="1358">
                  <c:v>41702.943055555559</c:v>
                </c:pt>
                <c:pt idx="1359">
                  <c:v>41702.943749999999</c:v>
                </c:pt>
                <c:pt idx="1360">
                  <c:v>41702.944444444445</c:v>
                </c:pt>
                <c:pt idx="1361">
                  <c:v>41702.945138888892</c:v>
                </c:pt>
                <c:pt idx="1362">
                  <c:v>41702.945833333331</c:v>
                </c:pt>
                <c:pt idx="1363">
                  <c:v>41702.946527777778</c:v>
                </c:pt>
                <c:pt idx="1364">
                  <c:v>41702.947222222225</c:v>
                </c:pt>
                <c:pt idx="1365">
                  <c:v>41702.947916666664</c:v>
                </c:pt>
                <c:pt idx="1366">
                  <c:v>41702.948611111111</c:v>
                </c:pt>
                <c:pt idx="1367">
                  <c:v>41702.949305555558</c:v>
                </c:pt>
                <c:pt idx="1368">
                  <c:v>41702.949999999997</c:v>
                </c:pt>
                <c:pt idx="1369">
                  <c:v>41702.950694444444</c:v>
                </c:pt>
                <c:pt idx="1370">
                  <c:v>41702.951388888891</c:v>
                </c:pt>
                <c:pt idx="1371">
                  <c:v>41702.95208333333</c:v>
                </c:pt>
                <c:pt idx="1372">
                  <c:v>41702.952777777777</c:v>
                </c:pt>
                <c:pt idx="1373">
                  <c:v>41702.953472222223</c:v>
                </c:pt>
                <c:pt idx="1374">
                  <c:v>41702.95416666667</c:v>
                </c:pt>
                <c:pt idx="1375">
                  <c:v>41702.954861111109</c:v>
                </c:pt>
                <c:pt idx="1376">
                  <c:v>41702.955555555556</c:v>
                </c:pt>
                <c:pt idx="1377">
                  <c:v>41702.956250000003</c:v>
                </c:pt>
                <c:pt idx="1378">
                  <c:v>41702.956944444442</c:v>
                </c:pt>
                <c:pt idx="1379">
                  <c:v>41702.957638888889</c:v>
                </c:pt>
                <c:pt idx="1380">
                  <c:v>41702.958333333336</c:v>
                </c:pt>
                <c:pt idx="1381">
                  <c:v>41702.959027777775</c:v>
                </c:pt>
                <c:pt idx="1382">
                  <c:v>41702.959722222222</c:v>
                </c:pt>
                <c:pt idx="1383">
                  <c:v>41702.960416666669</c:v>
                </c:pt>
                <c:pt idx="1384">
                  <c:v>41702.961111111108</c:v>
                </c:pt>
                <c:pt idx="1385">
                  <c:v>41702.961805555555</c:v>
                </c:pt>
                <c:pt idx="1386">
                  <c:v>41702.962500000001</c:v>
                </c:pt>
                <c:pt idx="1387">
                  <c:v>41702.963194444441</c:v>
                </c:pt>
                <c:pt idx="1388">
                  <c:v>41702.963888888888</c:v>
                </c:pt>
                <c:pt idx="1389">
                  <c:v>41702.964583333334</c:v>
                </c:pt>
                <c:pt idx="1390">
                  <c:v>41702.965277777781</c:v>
                </c:pt>
                <c:pt idx="1391">
                  <c:v>41702.96597222222</c:v>
                </c:pt>
                <c:pt idx="1392">
                  <c:v>41702.966666666667</c:v>
                </c:pt>
                <c:pt idx="1393">
                  <c:v>41702.967361111114</c:v>
                </c:pt>
                <c:pt idx="1394">
                  <c:v>41702.968055555553</c:v>
                </c:pt>
                <c:pt idx="1395">
                  <c:v>41702.96875</c:v>
                </c:pt>
                <c:pt idx="1396">
                  <c:v>41702.969444444447</c:v>
                </c:pt>
                <c:pt idx="1397">
                  <c:v>41702.970138888886</c:v>
                </c:pt>
                <c:pt idx="1398">
                  <c:v>41702.970833333333</c:v>
                </c:pt>
                <c:pt idx="1399">
                  <c:v>41702.97152777778</c:v>
                </c:pt>
                <c:pt idx="1400">
                  <c:v>41702.972222222219</c:v>
                </c:pt>
                <c:pt idx="1401">
                  <c:v>41702.972916666666</c:v>
                </c:pt>
                <c:pt idx="1402">
                  <c:v>41702.973611111112</c:v>
                </c:pt>
                <c:pt idx="1403">
                  <c:v>41702.974305555559</c:v>
                </c:pt>
                <c:pt idx="1404">
                  <c:v>41702.974999999999</c:v>
                </c:pt>
                <c:pt idx="1405">
                  <c:v>41702.975694444445</c:v>
                </c:pt>
                <c:pt idx="1406">
                  <c:v>41702.976388888892</c:v>
                </c:pt>
                <c:pt idx="1407">
                  <c:v>41702.977083333331</c:v>
                </c:pt>
                <c:pt idx="1408">
                  <c:v>41702.977777777778</c:v>
                </c:pt>
                <c:pt idx="1409">
                  <c:v>41702.978472222225</c:v>
                </c:pt>
                <c:pt idx="1410">
                  <c:v>41702.979166666664</c:v>
                </c:pt>
                <c:pt idx="1411">
                  <c:v>41702.979861111111</c:v>
                </c:pt>
                <c:pt idx="1412">
                  <c:v>41702.980555555558</c:v>
                </c:pt>
                <c:pt idx="1413">
                  <c:v>41702.981249999997</c:v>
                </c:pt>
                <c:pt idx="1414">
                  <c:v>41702.981944444444</c:v>
                </c:pt>
                <c:pt idx="1415">
                  <c:v>41702.982638888891</c:v>
                </c:pt>
                <c:pt idx="1416">
                  <c:v>41702.98333333333</c:v>
                </c:pt>
                <c:pt idx="1417">
                  <c:v>41702.984027777777</c:v>
                </c:pt>
                <c:pt idx="1418">
                  <c:v>41702.984722222223</c:v>
                </c:pt>
                <c:pt idx="1419">
                  <c:v>41702.98541666667</c:v>
                </c:pt>
                <c:pt idx="1420">
                  <c:v>41702.986111111109</c:v>
                </c:pt>
                <c:pt idx="1421">
                  <c:v>41702.986805555556</c:v>
                </c:pt>
                <c:pt idx="1422">
                  <c:v>41702.987500000003</c:v>
                </c:pt>
                <c:pt idx="1423">
                  <c:v>41702.988194444442</c:v>
                </c:pt>
                <c:pt idx="1424">
                  <c:v>41702.988888888889</c:v>
                </c:pt>
                <c:pt idx="1425">
                  <c:v>41702.989583333336</c:v>
                </c:pt>
                <c:pt idx="1426">
                  <c:v>41702.990277777775</c:v>
                </c:pt>
                <c:pt idx="1427">
                  <c:v>41702.990972222222</c:v>
                </c:pt>
                <c:pt idx="1428">
                  <c:v>41702.991666666669</c:v>
                </c:pt>
                <c:pt idx="1429">
                  <c:v>41702.992361111108</c:v>
                </c:pt>
                <c:pt idx="1430">
                  <c:v>41702.993055555555</c:v>
                </c:pt>
                <c:pt idx="1431">
                  <c:v>41702.993750000001</c:v>
                </c:pt>
                <c:pt idx="1432">
                  <c:v>41702.994444444441</c:v>
                </c:pt>
                <c:pt idx="1433">
                  <c:v>41702.995138888888</c:v>
                </c:pt>
                <c:pt idx="1434">
                  <c:v>41702.995833333334</c:v>
                </c:pt>
                <c:pt idx="1435">
                  <c:v>41702.996527777781</c:v>
                </c:pt>
                <c:pt idx="1436">
                  <c:v>41702.99722222222</c:v>
                </c:pt>
                <c:pt idx="1437">
                  <c:v>41702.997916666667</c:v>
                </c:pt>
                <c:pt idx="1438">
                  <c:v>41702.998611111114</c:v>
                </c:pt>
                <c:pt idx="1439">
                  <c:v>41702.999305555553</c:v>
                </c:pt>
              </c:numCache>
            </c:numRef>
          </c:xVal>
          <c:yVal>
            <c:numRef>
              <c:f>Sheet1!$B$2:$B$1441</c:f>
              <c:numCache>
                <c:formatCode>General</c:formatCode>
                <c:ptCount val="1440"/>
                <c:pt idx="0">
                  <c:v>0.6</c:v>
                </c:pt>
                <c:pt idx="1">
                  <c:v>0.85</c:v>
                </c:pt>
                <c:pt idx="2">
                  <c:v>1.1000000000000001</c:v>
                </c:pt>
                <c:pt idx="3">
                  <c:v>1.1000000000000001</c:v>
                </c:pt>
                <c:pt idx="4">
                  <c:v>1.1000000000000001</c:v>
                </c:pt>
                <c:pt idx="5">
                  <c:v>1.3</c:v>
                </c:pt>
                <c:pt idx="6">
                  <c:v>1.5</c:v>
                </c:pt>
                <c:pt idx="7">
                  <c:v>1.1000000000000001</c:v>
                </c:pt>
                <c:pt idx="8">
                  <c:v>0.7</c:v>
                </c:pt>
                <c:pt idx="9">
                  <c:v>0.9</c:v>
                </c:pt>
                <c:pt idx="10">
                  <c:v>1.1000000000000001</c:v>
                </c:pt>
                <c:pt idx="11">
                  <c:v>0.8</c:v>
                </c:pt>
                <c:pt idx="12">
                  <c:v>0.5</c:v>
                </c:pt>
                <c:pt idx="13">
                  <c:v>0.45</c:v>
                </c:pt>
                <c:pt idx="14">
                  <c:v>0.4</c:v>
                </c:pt>
                <c:pt idx="15">
                  <c:v>0.95</c:v>
                </c:pt>
                <c:pt idx="16">
                  <c:v>1.5</c:v>
                </c:pt>
                <c:pt idx="17">
                  <c:v>1.85</c:v>
                </c:pt>
                <c:pt idx="18">
                  <c:v>2.2000000000000002</c:v>
                </c:pt>
                <c:pt idx="19">
                  <c:v>1.6</c:v>
                </c:pt>
                <c:pt idx="20">
                  <c:v>1</c:v>
                </c:pt>
                <c:pt idx="21">
                  <c:v>1.3</c:v>
                </c:pt>
                <c:pt idx="22">
                  <c:v>1.6</c:v>
                </c:pt>
                <c:pt idx="23">
                  <c:v>1.1000000000000001</c:v>
                </c:pt>
                <c:pt idx="24">
                  <c:v>0.6</c:v>
                </c:pt>
                <c:pt idx="25">
                  <c:v>0.65</c:v>
                </c:pt>
                <c:pt idx="26">
                  <c:v>0.7</c:v>
                </c:pt>
                <c:pt idx="27">
                  <c:v>0.7</c:v>
                </c:pt>
                <c:pt idx="28">
                  <c:v>0.7</c:v>
                </c:pt>
                <c:pt idx="29">
                  <c:v>0.85</c:v>
                </c:pt>
                <c:pt idx="30">
                  <c:v>1</c:v>
                </c:pt>
                <c:pt idx="31">
                  <c:v>0.85</c:v>
                </c:pt>
                <c:pt idx="32">
                  <c:v>0.7</c:v>
                </c:pt>
                <c:pt idx="33">
                  <c:v>1.1499999999999999</c:v>
                </c:pt>
                <c:pt idx="34">
                  <c:v>1.6</c:v>
                </c:pt>
                <c:pt idx="35">
                  <c:v>1.4</c:v>
                </c:pt>
                <c:pt idx="36">
                  <c:v>1.2</c:v>
                </c:pt>
                <c:pt idx="37">
                  <c:v>0.85</c:v>
                </c:pt>
                <c:pt idx="38">
                  <c:v>0.5</c:v>
                </c:pt>
                <c:pt idx="39">
                  <c:v>0.75</c:v>
                </c:pt>
                <c:pt idx="40">
                  <c:v>1</c:v>
                </c:pt>
                <c:pt idx="41">
                  <c:v>1.4</c:v>
                </c:pt>
                <c:pt idx="42">
                  <c:v>1.8</c:v>
                </c:pt>
                <c:pt idx="43">
                  <c:v>1.1499999999999999</c:v>
                </c:pt>
                <c:pt idx="44">
                  <c:v>0.5</c:v>
                </c:pt>
                <c:pt idx="45">
                  <c:v>0.9</c:v>
                </c:pt>
                <c:pt idx="46">
                  <c:v>1.3</c:v>
                </c:pt>
                <c:pt idx="47">
                  <c:v>1.3</c:v>
                </c:pt>
                <c:pt idx="48">
                  <c:v>1.3</c:v>
                </c:pt>
                <c:pt idx="49">
                  <c:v>1.45</c:v>
                </c:pt>
                <c:pt idx="50">
                  <c:v>1.6</c:v>
                </c:pt>
                <c:pt idx="51">
                  <c:v>1.35</c:v>
                </c:pt>
                <c:pt idx="52">
                  <c:v>1.1000000000000001</c:v>
                </c:pt>
                <c:pt idx="53">
                  <c:v>0.85</c:v>
                </c:pt>
                <c:pt idx="54">
                  <c:v>0.6</c:v>
                </c:pt>
                <c:pt idx="55">
                  <c:v>0.85</c:v>
                </c:pt>
                <c:pt idx="56">
                  <c:v>1.1000000000000001</c:v>
                </c:pt>
                <c:pt idx="57">
                  <c:v>1.35</c:v>
                </c:pt>
                <c:pt idx="58">
                  <c:v>1.6</c:v>
                </c:pt>
                <c:pt idx="59">
                  <c:v>1.3</c:v>
                </c:pt>
                <c:pt idx="60">
                  <c:v>1</c:v>
                </c:pt>
                <c:pt idx="61">
                  <c:v>1</c:v>
                </c:pt>
                <c:pt idx="62">
                  <c:v>1</c:v>
                </c:pt>
                <c:pt idx="63">
                  <c:v>1.05</c:v>
                </c:pt>
                <c:pt idx="64">
                  <c:v>1.1000000000000001</c:v>
                </c:pt>
                <c:pt idx="65">
                  <c:v>1.1000000000000001</c:v>
                </c:pt>
                <c:pt idx="66">
                  <c:v>1.1000000000000001</c:v>
                </c:pt>
                <c:pt idx="67">
                  <c:v>1.1000000000000001</c:v>
                </c:pt>
                <c:pt idx="68">
                  <c:v>1.1000000000000001</c:v>
                </c:pt>
                <c:pt idx="69">
                  <c:v>1.1000000000000001</c:v>
                </c:pt>
                <c:pt idx="70">
                  <c:v>1.1000000000000001</c:v>
                </c:pt>
                <c:pt idx="71">
                  <c:v>1.1000000000000001</c:v>
                </c:pt>
                <c:pt idx="72">
                  <c:v>1.1000000000000001</c:v>
                </c:pt>
                <c:pt idx="73">
                  <c:v>1.05</c:v>
                </c:pt>
                <c:pt idx="74">
                  <c:v>1</c:v>
                </c:pt>
                <c:pt idx="75">
                  <c:v>1.3</c:v>
                </c:pt>
                <c:pt idx="76">
                  <c:v>1.6</c:v>
                </c:pt>
                <c:pt idx="77">
                  <c:v>1.55</c:v>
                </c:pt>
                <c:pt idx="78">
                  <c:v>1.5</c:v>
                </c:pt>
                <c:pt idx="79">
                  <c:v>1.25</c:v>
                </c:pt>
                <c:pt idx="80">
                  <c:v>1</c:v>
                </c:pt>
                <c:pt idx="81">
                  <c:v>1.05</c:v>
                </c:pt>
                <c:pt idx="82">
                  <c:v>1.1000000000000001</c:v>
                </c:pt>
                <c:pt idx="83">
                  <c:v>0.85</c:v>
                </c:pt>
                <c:pt idx="84">
                  <c:v>0.6</c:v>
                </c:pt>
                <c:pt idx="85">
                  <c:v>0.95</c:v>
                </c:pt>
                <c:pt idx="86">
                  <c:v>1.3</c:v>
                </c:pt>
                <c:pt idx="87">
                  <c:v>1</c:v>
                </c:pt>
                <c:pt idx="88">
                  <c:v>0.7</c:v>
                </c:pt>
                <c:pt idx="89">
                  <c:v>0.95</c:v>
                </c:pt>
                <c:pt idx="90">
                  <c:v>1.2</c:v>
                </c:pt>
                <c:pt idx="91">
                  <c:v>1.4</c:v>
                </c:pt>
                <c:pt idx="92">
                  <c:v>1.6</c:v>
                </c:pt>
                <c:pt idx="93">
                  <c:v>1.6</c:v>
                </c:pt>
                <c:pt idx="94">
                  <c:v>1.6</c:v>
                </c:pt>
                <c:pt idx="95">
                  <c:v>1.35</c:v>
                </c:pt>
                <c:pt idx="96">
                  <c:v>1.1000000000000001</c:v>
                </c:pt>
                <c:pt idx="97">
                  <c:v>1.35</c:v>
                </c:pt>
                <c:pt idx="98">
                  <c:v>1.6</c:v>
                </c:pt>
                <c:pt idx="99">
                  <c:v>1.05</c:v>
                </c:pt>
                <c:pt idx="100">
                  <c:v>0.5</c:v>
                </c:pt>
                <c:pt idx="101">
                  <c:v>0.85</c:v>
                </c:pt>
                <c:pt idx="102">
                  <c:v>1.2</c:v>
                </c:pt>
                <c:pt idx="103">
                  <c:v>1.1499999999999999</c:v>
                </c:pt>
                <c:pt idx="104">
                  <c:v>1.1000000000000001</c:v>
                </c:pt>
                <c:pt idx="105">
                  <c:v>0.85</c:v>
                </c:pt>
                <c:pt idx="106">
                  <c:v>0.6</c:v>
                </c:pt>
                <c:pt idx="107">
                  <c:v>0.9</c:v>
                </c:pt>
                <c:pt idx="108">
                  <c:v>1.2</c:v>
                </c:pt>
                <c:pt idx="109">
                  <c:v>1.1499999999999999</c:v>
                </c:pt>
                <c:pt idx="110">
                  <c:v>1.1000000000000001</c:v>
                </c:pt>
                <c:pt idx="111">
                  <c:v>1.1000000000000001</c:v>
                </c:pt>
                <c:pt idx="112">
                  <c:v>1.1000000000000001</c:v>
                </c:pt>
                <c:pt idx="113">
                  <c:v>1.45</c:v>
                </c:pt>
                <c:pt idx="114">
                  <c:v>1.8</c:v>
                </c:pt>
                <c:pt idx="115">
                  <c:v>1.25</c:v>
                </c:pt>
                <c:pt idx="116">
                  <c:v>0.7</c:v>
                </c:pt>
                <c:pt idx="117">
                  <c:v>1.1000000000000001</c:v>
                </c:pt>
                <c:pt idx="118">
                  <c:v>1.5</c:v>
                </c:pt>
                <c:pt idx="119">
                  <c:v>1.3</c:v>
                </c:pt>
                <c:pt idx="120">
                  <c:v>1.1000000000000001</c:v>
                </c:pt>
                <c:pt idx="121">
                  <c:v>0.9</c:v>
                </c:pt>
                <c:pt idx="122">
                  <c:v>0.7</c:v>
                </c:pt>
                <c:pt idx="123">
                  <c:v>0.85</c:v>
                </c:pt>
                <c:pt idx="124">
                  <c:v>1</c:v>
                </c:pt>
                <c:pt idx="125">
                  <c:v>0.75</c:v>
                </c:pt>
                <c:pt idx="126">
                  <c:v>0.5</c:v>
                </c:pt>
                <c:pt idx="127">
                  <c:v>1.05</c:v>
                </c:pt>
                <c:pt idx="128">
                  <c:v>1.6</c:v>
                </c:pt>
                <c:pt idx="129">
                  <c:v>1.1499999999999999</c:v>
                </c:pt>
                <c:pt idx="130">
                  <c:v>0.7</c:v>
                </c:pt>
                <c:pt idx="131">
                  <c:v>0.65</c:v>
                </c:pt>
                <c:pt idx="132">
                  <c:v>0.6</c:v>
                </c:pt>
                <c:pt idx="133">
                  <c:v>0.85</c:v>
                </c:pt>
                <c:pt idx="134">
                  <c:v>1.1000000000000001</c:v>
                </c:pt>
                <c:pt idx="135">
                  <c:v>1.1499999999999999</c:v>
                </c:pt>
                <c:pt idx="136">
                  <c:v>1.2</c:v>
                </c:pt>
                <c:pt idx="137">
                  <c:v>1.5</c:v>
                </c:pt>
                <c:pt idx="138">
                  <c:v>1.8</c:v>
                </c:pt>
                <c:pt idx="139">
                  <c:v>1.7</c:v>
                </c:pt>
                <c:pt idx="140">
                  <c:v>1.6</c:v>
                </c:pt>
                <c:pt idx="141">
                  <c:v>1.4</c:v>
                </c:pt>
                <c:pt idx="142">
                  <c:v>1.2</c:v>
                </c:pt>
                <c:pt idx="143">
                  <c:v>1.1499999999999999</c:v>
                </c:pt>
                <c:pt idx="144">
                  <c:v>1.1000000000000001</c:v>
                </c:pt>
                <c:pt idx="145">
                  <c:v>1.1000000000000001</c:v>
                </c:pt>
                <c:pt idx="146">
                  <c:v>1.1000000000000001</c:v>
                </c:pt>
                <c:pt idx="147">
                  <c:v>1.05</c:v>
                </c:pt>
                <c:pt idx="148">
                  <c:v>1</c:v>
                </c:pt>
                <c:pt idx="149">
                  <c:v>1.35</c:v>
                </c:pt>
                <c:pt idx="150">
                  <c:v>1.7</c:v>
                </c:pt>
                <c:pt idx="151">
                  <c:v>1.7</c:v>
                </c:pt>
                <c:pt idx="152">
                  <c:v>1.7</c:v>
                </c:pt>
                <c:pt idx="153">
                  <c:v>1.35</c:v>
                </c:pt>
                <c:pt idx="154">
                  <c:v>1</c:v>
                </c:pt>
                <c:pt idx="155">
                  <c:v>1</c:v>
                </c:pt>
                <c:pt idx="156">
                  <c:v>1</c:v>
                </c:pt>
                <c:pt idx="157">
                  <c:v>0.8</c:v>
                </c:pt>
                <c:pt idx="158">
                  <c:v>0.6</c:v>
                </c:pt>
                <c:pt idx="159">
                  <c:v>0.9</c:v>
                </c:pt>
                <c:pt idx="160">
                  <c:v>1.2</c:v>
                </c:pt>
                <c:pt idx="161">
                  <c:v>0.9</c:v>
                </c:pt>
                <c:pt idx="162">
                  <c:v>0.6</c:v>
                </c:pt>
                <c:pt idx="163">
                  <c:v>0.9</c:v>
                </c:pt>
                <c:pt idx="164">
                  <c:v>1.2</c:v>
                </c:pt>
                <c:pt idx="165">
                  <c:v>1.4</c:v>
                </c:pt>
                <c:pt idx="166">
                  <c:v>1.6</c:v>
                </c:pt>
                <c:pt idx="167">
                  <c:v>1.1000000000000001</c:v>
                </c:pt>
                <c:pt idx="168">
                  <c:v>0.6</c:v>
                </c:pt>
                <c:pt idx="169">
                  <c:v>0.85</c:v>
                </c:pt>
                <c:pt idx="170">
                  <c:v>1.1000000000000001</c:v>
                </c:pt>
                <c:pt idx="171">
                  <c:v>0.85</c:v>
                </c:pt>
                <c:pt idx="172">
                  <c:v>0.6</c:v>
                </c:pt>
                <c:pt idx="173">
                  <c:v>0.65</c:v>
                </c:pt>
                <c:pt idx="174">
                  <c:v>0.7</c:v>
                </c:pt>
                <c:pt idx="175">
                  <c:v>0.9</c:v>
                </c:pt>
                <c:pt idx="176">
                  <c:v>1.1000000000000001</c:v>
                </c:pt>
                <c:pt idx="177">
                  <c:v>0.85</c:v>
                </c:pt>
                <c:pt idx="178">
                  <c:v>0.6</c:v>
                </c:pt>
                <c:pt idx="179">
                  <c:v>0.9</c:v>
                </c:pt>
                <c:pt idx="180">
                  <c:v>1.2</c:v>
                </c:pt>
                <c:pt idx="181">
                  <c:v>1.1499999999999999</c:v>
                </c:pt>
                <c:pt idx="182">
                  <c:v>1.1000000000000001</c:v>
                </c:pt>
                <c:pt idx="183">
                  <c:v>1.1000000000000001</c:v>
                </c:pt>
                <c:pt idx="184">
                  <c:v>1.1000000000000001</c:v>
                </c:pt>
                <c:pt idx="185">
                  <c:v>0.85</c:v>
                </c:pt>
                <c:pt idx="186">
                  <c:v>0.6</c:v>
                </c:pt>
                <c:pt idx="187">
                  <c:v>1.1000000000000001</c:v>
                </c:pt>
                <c:pt idx="188">
                  <c:v>1.6</c:v>
                </c:pt>
                <c:pt idx="189">
                  <c:v>1.35</c:v>
                </c:pt>
                <c:pt idx="190">
                  <c:v>1.1000000000000001</c:v>
                </c:pt>
                <c:pt idx="191">
                  <c:v>1.1499999999999999</c:v>
                </c:pt>
                <c:pt idx="192">
                  <c:v>1.2</c:v>
                </c:pt>
                <c:pt idx="193">
                  <c:v>1.1000000000000001</c:v>
                </c:pt>
                <c:pt idx="194">
                  <c:v>1</c:v>
                </c:pt>
                <c:pt idx="195">
                  <c:v>1.05</c:v>
                </c:pt>
                <c:pt idx="196">
                  <c:v>1.1000000000000001</c:v>
                </c:pt>
                <c:pt idx="197">
                  <c:v>1.3</c:v>
                </c:pt>
                <c:pt idx="198">
                  <c:v>1.5</c:v>
                </c:pt>
                <c:pt idx="199">
                  <c:v>1.05</c:v>
                </c:pt>
                <c:pt idx="200">
                  <c:v>0.6</c:v>
                </c:pt>
                <c:pt idx="201">
                  <c:v>0.85</c:v>
                </c:pt>
                <c:pt idx="202">
                  <c:v>1.1000000000000001</c:v>
                </c:pt>
                <c:pt idx="203">
                  <c:v>1.3</c:v>
                </c:pt>
                <c:pt idx="204">
                  <c:v>1.5</c:v>
                </c:pt>
                <c:pt idx="205">
                  <c:v>1.35</c:v>
                </c:pt>
                <c:pt idx="206">
                  <c:v>1.2</c:v>
                </c:pt>
                <c:pt idx="207">
                  <c:v>1.2</c:v>
                </c:pt>
                <c:pt idx="208">
                  <c:v>1.2</c:v>
                </c:pt>
                <c:pt idx="209">
                  <c:v>0.65</c:v>
                </c:pt>
                <c:pt idx="210">
                  <c:v>0.1</c:v>
                </c:pt>
                <c:pt idx="211">
                  <c:v>0.55000000000000004</c:v>
                </c:pt>
                <c:pt idx="212">
                  <c:v>1</c:v>
                </c:pt>
                <c:pt idx="213">
                  <c:v>1.1000000000000001</c:v>
                </c:pt>
                <c:pt idx="214">
                  <c:v>1.2</c:v>
                </c:pt>
                <c:pt idx="215">
                  <c:v>1.1499999999999999</c:v>
                </c:pt>
                <c:pt idx="216">
                  <c:v>1.1000000000000001</c:v>
                </c:pt>
                <c:pt idx="217">
                  <c:v>1.1499999999999999</c:v>
                </c:pt>
                <c:pt idx="218">
                  <c:v>1.2</c:v>
                </c:pt>
                <c:pt idx="219">
                  <c:v>0.9</c:v>
                </c:pt>
                <c:pt idx="220">
                  <c:v>0.6</c:v>
                </c:pt>
                <c:pt idx="221">
                  <c:v>0.8</c:v>
                </c:pt>
                <c:pt idx="222">
                  <c:v>1</c:v>
                </c:pt>
                <c:pt idx="223">
                  <c:v>1.05</c:v>
                </c:pt>
                <c:pt idx="224">
                  <c:v>1.1000000000000001</c:v>
                </c:pt>
                <c:pt idx="225">
                  <c:v>0.9</c:v>
                </c:pt>
                <c:pt idx="226">
                  <c:v>0.7</c:v>
                </c:pt>
                <c:pt idx="227">
                  <c:v>0.9</c:v>
                </c:pt>
                <c:pt idx="228">
                  <c:v>1.1000000000000001</c:v>
                </c:pt>
                <c:pt idx="229">
                  <c:v>0.8</c:v>
                </c:pt>
                <c:pt idx="230">
                  <c:v>0.5</c:v>
                </c:pt>
                <c:pt idx="231">
                  <c:v>0.8</c:v>
                </c:pt>
                <c:pt idx="232">
                  <c:v>1.1000000000000001</c:v>
                </c:pt>
                <c:pt idx="233">
                  <c:v>0.85</c:v>
                </c:pt>
                <c:pt idx="234">
                  <c:v>0.6</c:v>
                </c:pt>
                <c:pt idx="235">
                  <c:v>0.8</c:v>
                </c:pt>
                <c:pt idx="236">
                  <c:v>1</c:v>
                </c:pt>
                <c:pt idx="237">
                  <c:v>0.85</c:v>
                </c:pt>
                <c:pt idx="238">
                  <c:v>0.7</c:v>
                </c:pt>
                <c:pt idx="239">
                  <c:v>0.9</c:v>
                </c:pt>
                <c:pt idx="240">
                  <c:v>1.1000000000000001</c:v>
                </c:pt>
                <c:pt idx="241">
                  <c:v>1.1000000000000001</c:v>
                </c:pt>
                <c:pt idx="242">
                  <c:v>1.1000000000000001</c:v>
                </c:pt>
                <c:pt idx="243">
                  <c:v>1.1000000000000001</c:v>
                </c:pt>
                <c:pt idx="244">
                  <c:v>1.1000000000000001</c:v>
                </c:pt>
                <c:pt idx="245">
                  <c:v>0.85</c:v>
                </c:pt>
                <c:pt idx="246">
                  <c:v>0.6</c:v>
                </c:pt>
                <c:pt idx="247">
                  <c:v>0.65</c:v>
                </c:pt>
                <c:pt idx="248">
                  <c:v>0.7</c:v>
                </c:pt>
                <c:pt idx="249">
                  <c:v>0.7</c:v>
                </c:pt>
                <c:pt idx="250">
                  <c:v>0.7</c:v>
                </c:pt>
                <c:pt idx="251">
                  <c:v>0.9</c:v>
                </c:pt>
                <c:pt idx="252">
                  <c:v>1.1000000000000001</c:v>
                </c:pt>
                <c:pt idx="253">
                  <c:v>1.05</c:v>
                </c:pt>
                <c:pt idx="254">
                  <c:v>1</c:v>
                </c:pt>
                <c:pt idx="255">
                  <c:v>0.8</c:v>
                </c:pt>
                <c:pt idx="256">
                  <c:v>0.6</c:v>
                </c:pt>
                <c:pt idx="257">
                  <c:v>0.9</c:v>
                </c:pt>
                <c:pt idx="258">
                  <c:v>1.2</c:v>
                </c:pt>
                <c:pt idx="259">
                  <c:v>0.9</c:v>
                </c:pt>
                <c:pt idx="260">
                  <c:v>0.6</c:v>
                </c:pt>
                <c:pt idx="261">
                  <c:v>0.9</c:v>
                </c:pt>
                <c:pt idx="262">
                  <c:v>1.2</c:v>
                </c:pt>
                <c:pt idx="263">
                  <c:v>1.2</c:v>
                </c:pt>
                <c:pt idx="264">
                  <c:v>1.2</c:v>
                </c:pt>
                <c:pt idx="265">
                  <c:v>0.85</c:v>
                </c:pt>
                <c:pt idx="266">
                  <c:v>0.5</c:v>
                </c:pt>
                <c:pt idx="267">
                  <c:v>0.55000000000000004</c:v>
                </c:pt>
                <c:pt idx="268">
                  <c:v>0.6</c:v>
                </c:pt>
                <c:pt idx="269">
                  <c:v>0.55000000000000004</c:v>
                </c:pt>
                <c:pt idx="270">
                  <c:v>0.5</c:v>
                </c:pt>
                <c:pt idx="271">
                  <c:v>0.8</c:v>
                </c:pt>
                <c:pt idx="272">
                  <c:v>1.1000000000000001</c:v>
                </c:pt>
                <c:pt idx="273">
                  <c:v>0.6</c:v>
                </c:pt>
                <c:pt idx="274">
                  <c:v>0.1</c:v>
                </c:pt>
                <c:pt idx="275">
                  <c:v>0.6</c:v>
                </c:pt>
                <c:pt idx="276">
                  <c:v>1.1000000000000001</c:v>
                </c:pt>
                <c:pt idx="277">
                  <c:v>1.05</c:v>
                </c:pt>
                <c:pt idx="278">
                  <c:v>1</c:v>
                </c:pt>
                <c:pt idx="279">
                  <c:v>1.1000000000000001</c:v>
                </c:pt>
                <c:pt idx="280">
                  <c:v>1.2</c:v>
                </c:pt>
                <c:pt idx="281">
                  <c:v>1.1499999999999999</c:v>
                </c:pt>
                <c:pt idx="282">
                  <c:v>1.1000000000000001</c:v>
                </c:pt>
                <c:pt idx="283">
                  <c:v>1.1000000000000001</c:v>
                </c:pt>
                <c:pt idx="284">
                  <c:v>1.1000000000000001</c:v>
                </c:pt>
                <c:pt idx="285">
                  <c:v>0.85</c:v>
                </c:pt>
                <c:pt idx="286">
                  <c:v>0.6</c:v>
                </c:pt>
                <c:pt idx="287">
                  <c:v>0.6</c:v>
                </c:pt>
                <c:pt idx="288">
                  <c:v>0.6</c:v>
                </c:pt>
                <c:pt idx="289">
                  <c:v>1.05</c:v>
                </c:pt>
                <c:pt idx="290">
                  <c:v>1.5</c:v>
                </c:pt>
                <c:pt idx="291">
                  <c:v>1.05</c:v>
                </c:pt>
                <c:pt idx="292">
                  <c:v>0.6</c:v>
                </c:pt>
                <c:pt idx="293">
                  <c:v>1.1000000000000001</c:v>
                </c:pt>
                <c:pt idx="294">
                  <c:v>1.6</c:v>
                </c:pt>
                <c:pt idx="295">
                  <c:v>1.35</c:v>
                </c:pt>
                <c:pt idx="296">
                  <c:v>1.1000000000000001</c:v>
                </c:pt>
                <c:pt idx="297">
                  <c:v>0.9</c:v>
                </c:pt>
                <c:pt idx="298">
                  <c:v>0.7</c:v>
                </c:pt>
                <c:pt idx="299">
                  <c:v>0.65</c:v>
                </c:pt>
                <c:pt idx="300">
                  <c:v>0.6</c:v>
                </c:pt>
                <c:pt idx="301">
                  <c:v>0.65</c:v>
                </c:pt>
                <c:pt idx="302">
                  <c:v>0.7</c:v>
                </c:pt>
                <c:pt idx="303">
                  <c:v>0.65</c:v>
                </c:pt>
                <c:pt idx="304">
                  <c:v>0.6</c:v>
                </c:pt>
                <c:pt idx="305">
                  <c:v>0.55000000000000004</c:v>
                </c:pt>
                <c:pt idx="306">
                  <c:v>0.5</c:v>
                </c:pt>
                <c:pt idx="307">
                  <c:v>1.05</c:v>
                </c:pt>
                <c:pt idx="308">
                  <c:v>1.6</c:v>
                </c:pt>
                <c:pt idx="309">
                  <c:v>1.1000000000000001</c:v>
                </c:pt>
                <c:pt idx="310">
                  <c:v>0.6</c:v>
                </c:pt>
                <c:pt idx="311">
                  <c:v>0.9</c:v>
                </c:pt>
                <c:pt idx="312">
                  <c:v>1.2</c:v>
                </c:pt>
                <c:pt idx="313">
                  <c:v>0.9</c:v>
                </c:pt>
                <c:pt idx="314">
                  <c:v>0.6</c:v>
                </c:pt>
                <c:pt idx="315">
                  <c:v>0.85</c:v>
                </c:pt>
                <c:pt idx="316">
                  <c:v>1.1000000000000001</c:v>
                </c:pt>
                <c:pt idx="317">
                  <c:v>1.1499999999999999</c:v>
                </c:pt>
                <c:pt idx="318">
                  <c:v>1.2</c:v>
                </c:pt>
                <c:pt idx="319">
                  <c:v>1.2</c:v>
                </c:pt>
                <c:pt idx="320">
                  <c:v>1.2</c:v>
                </c:pt>
                <c:pt idx="321">
                  <c:v>0.85</c:v>
                </c:pt>
                <c:pt idx="322">
                  <c:v>0.5</c:v>
                </c:pt>
                <c:pt idx="323">
                  <c:v>0.8</c:v>
                </c:pt>
                <c:pt idx="324">
                  <c:v>1.1000000000000001</c:v>
                </c:pt>
                <c:pt idx="325">
                  <c:v>1.1000000000000001</c:v>
                </c:pt>
                <c:pt idx="326">
                  <c:v>1.1000000000000001</c:v>
                </c:pt>
                <c:pt idx="327">
                  <c:v>0.9</c:v>
                </c:pt>
                <c:pt idx="328">
                  <c:v>0.7</c:v>
                </c:pt>
                <c:pt idx="329">
                  <c:v>0.65</c:v>
                </c:pt>
                <c:pt idx="330">
                  <c:v>0.6</c:v>
                </c:pt>
                <c:pt idx="331">
                  <c:v>0.6</c:v>
                </c:pt>
                <c:pt idx="332">
                  <c:v>0.6</c:v>
                </c:pt>
                <c:pt idx="333">
                  <c:v>0.85</c:v>
                </c:pt>
                <c:pt idx="334">
                  <c:v>1.1000000000000001</c:v>
                </c:pt>
                <c:pt idx="335">
                  <c:v>1.1499999999999999</c:v>
                </c:pt>
                <c:pt idx="336">
                  <c:v>1.2</c:v>
                </c:pt>
                <c:pt idx="337">
                  <c:v>0.85</c:v>
                </c:pt>
                <c:pt idx="338">
                  <c:v>0.5</c:v>
                </c:pt>
                <c:pt idx="339">
                  <c:v>0.5</c:v>
                </c:pt>
                <c:pt idx="340">
                  <c:v>0.5</c:v>
                </c:pt>
                <c:pt idx="341">
                  <c:v>0.55000000000000004</c:v>
                </c:pt>
                <c:pt idx="342">
                  <c:v>0.6</c:v>
                </c:pt>
                <c:pt idx="343">
                  <c:v>0.6</c:v>
                </c:pt>
                <c:pt idx="344">
                  <c:v>0.6</c:v>
                </c:pt>
                <c:pt idx="345">
                  <c:v>0.8</c:v>
                </c:pt>
                <c:pt idx="346">
                  <c:v>1</c:v>
                </c:pt>
                <c:pt idx="347">
                  <c:v>1.3</c:v>
                </c:pt>
                <c:pt idx="348">
                  <c:v>1.6</c:v>
                </c:pt>
                <c:pt idx="349">
                  <c:v>1.3</c:v>
                </c:pt>
                <c:pt idx="350">
                  <c:v>1</c:v>
                </c:pt>
                <c:pt idx="351">
                  <c:v>1</c:v>
                </c:pt>
                <c:pt idx="352">
                  <c:v>1</c:v>
                </c:pt>
                <c:pt idx="353">
                  <c:v>1.05</c:v>
                </c:pt>
                <c:pt idx="354">
                  <c:v>1.1000000000000001</c:v>
                </c:pt>
                <c:pt idx="355">
                  <c:v>0.85</c:v>
                </c:pt>
                <c:pt idx="356">
                  <c:v>0.6</c:v>
                </c:pt>
                <c:pt idx="357">
                  <c:v>0.55000000000000004</c:v>
                </c:pt>
                <c:pt idx="358">
                  <c:v>0.5</c:v>
                </c:pt>
                <c:pt idx="359">
                  <c:v>0.85</c:v>
                </c:pt>
                <c:pt idx="360">
                  <c:v>1.2</c:v>
                </c:pt>
                <c:pt idx="361">
                  <c:v>1.2</c:v>
                </c:pt>
                <c:pt idx="362">
                  <c:v>1.2</c:v>
                </c:pt>
                <c:pt idx="363">
                  <c:v>1.1499999999999999</c:v>
                </c:pt>
                <c:pt idx="364">
                  <c:v>1.1000000000000001</c:v>
                </c:pt>
                <c:pt idx="365">
                  <c:v>1.1000000000000001</c:v>
                </c:pt>
                <c:pt idx="366">
                  <c:v>1.1000000000000001</c:v>
                </c:pt>
                <c:pt idx="367">
                  <c:v>0.85</c:v>
                </c:pt>
                <c:pt idx="368">
                  <c:v>0.6</c:v>
                </c:pt>
                <c:pt idx="369">
                  <c:v>0.55000000000000004</c:v>
                </c:pt>
                <c:pt idx="370">
                  <c:v>0.5</c:v>
                </c:pt>
                <c:pt idx="371">
                  <c:v>0.55000000000000004</c:v>
                </c:pt>
                <c:pt idx="372">
                  <c:v>0.6</c:v>
                </c:pt>
                <c:pt idx="373">
                  <c:v>0.85</c:v>
                </c:pt>
                <c:pt idx="374">
                  <c:v>1.1000000000000001</c:v>
                </c:pt>
                <c:pt idx="375">
                  <c:v>1.4</c:v>
                </c:pt>
                <c:pt idx="376">
                  <c:v>1.7</c:v>
                </c:pt>
                <c:pt idx="377">
                  <c:v>1.1000000000000001</c:v>
                </c:pt>
                <c:pt idx="378">
                  <c:v>0.5</c:v>
                </c:pt>
                <c:pt idx="379">
                  <c:v>1.3</c:v>
                </c:pt>
                <c:pt idx="380">
                  <c:v>2.1</c:v>
                </c:pt>
                <c:pt idx="381">
                  <c:v>1.55</c:v>
                </c:pt>
                <c:pt idx="382">
                  <c:v>1</c:v>
                </c:pt>
                <c:pt idx="383">
                  <c:v>0.8</c:v>
                </c:pt>
                <c:pt idx="384">
                  <c:v>0.6</c:v>
                </c:pt>
                <c:pt idx="385">
                  <c:v>0.65</c:v>
                </c:pt>
                <c:pt idx="386">
                  <c:v>0.7</c:v>
                </c:pt>
                <c:pt idx="387">
                  <c:v>1</c:v>
                </c:pt>
                <c:pt idx="388">
                  <c:v>1.3</c:v>
                </c:pt>
                <c:pt idx="389">
                  <c:v>1.4</c:v>
                </c:pt>
                <c:pt idx="390">
                  <c:v>1.5</c:v>
                </c:pt>
                <c:pt idx="391">
                  <c:v>1.3</c:v>
                </c:pt>
                <c:pt idx="392">
                  <c:v>1.1000000000000001</c:v>
                </c:pt>
                <c:pt idx="393">
                  <c:v>0.85</c:v>
                </c:pt>
                <c:pt idx="394">
                  <c:v>0.6</c:v>
                </c:pt>
                <c:pt idx="395">
                  <c:v>0.8</c:v>
                </c:pt>
                <c:pt idx="396">
                  <c:v>1</c:v>
                </c:pt>
                <c:pt idx="397">
                  <c:v>1.1000000000000001</c:v>
                </c:pt>
                <c:pt idx="398">
                  <c:v>1.2</c:v>
                </c:pt>
                <c:pt idx="399">
                  <c:v>1.1499999999999999</c:v>
                </c:pt>
                <c:pt idx="400">
                  <c:v>1.1000000000000001</c:v>
                </c:pt>
                <c:pt idx="401">
                  <c:v>1.1000000000000001</c:v>
                </c:pt>
                <c:pt idx="402">
                  <c:v>1.1000000000000001</c:v>
                </c:pt>
                <c:pt idx="403">
                  <c:v>1.1000000000000001</c:v>
                </c:pt>
                <c:pt idx="404">
                  <c:v>1.1000000000000001</c:v>
                </c:pt>
                <c:pt idx="405">
                  <c:v>1.1000000000000001</c:v>
                </c:pt>
                <c:pt idx="406">
                  <c:v>1.1000000000000001</c:v>
                </c:pt>
                <c:pt idx="407">
                  <c:v>1.1000000000000001</c:v>
                </c:pt>
                <c:pt idx="408">
                  <c:v>1.1000000000000001</c:v>
                </c:pt>
                <c:pt idx="409">
                  <c:v>0.85</c:v>
                </c:pt>
                <c:pt idx="410">
                  <c:v>0.6</c:v>
                </c:pt>
                <c:pt idx="411">
                  <c:v>0.8</c:v>
                </c:pt>
                <c:pt idx="412">
                  <c:v>1</c:v>
                </c:pt>
                <c:pt idx="413">
                  <c:v>1.25</c:v>
                </c:pt>
                <c:pt idx="414">
                  <c:v>1.5</c:v>
                </c:pt>
                <c:pt idx="415">
                  <c:v>1.05</c:v>
                </c:pt>
                <c:pt idx="416">
                  <c:v>0.6</c:v>
                </c:pt>
                <c:pt idx="417">
                  <c:v>0.5</c:v>
                </c:pt>
                <c:pt idx="418">
                  <c:v>0.4</c:v>
                </c:pt>
                <c:pt idx="419">
                  <c:v>0.8</c:v>
                </c:pt>
                <c:pt idx="420">
                  <c:v>1.2</c:v>
                </c:pt>
                <c:pt idx="421">
                  <c:v>1.05</c:v>
                </c:pt>
                <c:pt idx="422">
                  <c:v>0.9</c:v>
                </c:pt>
                <c:pt idx="423">
                  <c:v>1.2</c:v>
                </c:pt>
                <c:pt idx="424">
                  <c:v>1.5</c:v>
                </c:pt>
                <c:pt idx="425">
                  <c:v>2.0499999999999998</c:v>
                </c:pt>
                <c:pt idx="426">
                  <c:v>2.6</c:v>
                </c:pt>
                <c:pt idx="427">
                  <c:v>2.85</c:v>
                </c:pt>
                <c:pt idx="428">
                  <c:v>3.1</c:v>
                </c:pt>
                <c:pt idx="429">
                  <c:v>3.6</c:v>
                </c:pt>
                <c:pt idx="430">
                  <c:v>4.0999999999999996</c:v>
                </c:pt>
                <c:pt idx="431">
                  <c:v>4.1500000000000004</c:v>
                </c:pt>
                <c:pt idx="432">
                  <c:v>4.2</c:v>
                </c:pt>
                <c:pt idx="433">
                  <c:v>3.35</c:v>
                </c:pt>
                <c:pt idx="434">
                  <c:v>2.5</c:v>
                </c:pt>
                <c:pt idx="435">
                  <c:v>2.2000000000000002</c:v>
                </c:pt>
                <c:pt idx="436">
                  <c:v>1.9</c:v>
                </c:pt>
                <c:pt idx="437">
                  <c:v>1.6</c:v>
                </c:pt>
                <c:pt idx="438">
                  <c:v>1.3</c:v>
                </c:pt>
                <c:pt idx="439">
                  <c:v>1.1499999999999999</c:v>
                </c:pt>
                <c:pt idx="440">
                  <c:v>1</c:v>
                </c:pt>
                <c:pt idx="441">
                  <c:v>1.25</c:v>
                </c:pt>
                <c:pt idx="442">
                  <c:v>1.5</c:v>
                </c:pt>
                <c:pt idx="443">
                  <c:v>0.95</c:v>
                </c:pt>
                <c:pt idx="444">
                  <c:v>0.4</c:v>
                </c:pt>
                <c:pt idx="445">
                  <c:v>0.5</c:v>
                </c:pt>
                <c:pt idx="446">
                  <c:v>0.6</c:v>
                </c:pt>
                <c:pt idx="447">
                  <c:v>0.75</c:v>
                </c:pt>
                <c:pt idx="448">
                  <c:v>0.9</c:v>
                </c:pt>
                <c:pt idx="449">
                  <c:v>0.85</c:v>
                </c:pt>
                <c:pt idx="450">
                  <c:v>0.8</c:v>
                </c:pt>
                <c:pt idx="451">
                  <c:v>1.2</c:v>
                </c:pt>
                <c:pt idx="452">
                  <c:v>1.6</c:v>
                </c:pt>
                <c:pt idx="453">
                  <c:v>1.4</c:v>
                </c:pt>
                <c:pt idx="454">
                  <c:v>1.2</c:v>
                </c:pt>
                <c:pt idx="455">
                  <c:v>1.2</c:v>
                </c:pt>
                <c:pt idx="456">
                  <c:v>1.2</c:v>
                </c:pt>
                <c:pt idx="457">
                  <c:v>1.1000000000000001</c:v>
                </c:pt>
                <c:pt idx="458">
                  <c:v>1</c:v>
                </c:pt>
                <c:pt idx="459">
                  <c:v>1.3</c:v>
                </c:pt>
                <c:pt idx="460">
                  <c:v>1.6</c:v>
                </c:pt>
                <c:pt idx="461">
                  <c:v>1.35</c:v>
                </c:pt>
                <c:pt idx="462">
                  <c:v>1.1000000000000001</c:v>
                </c:pt>
                <c:pt idx="463">
                  <c:v>1.3</c:v>
                </c:pt>
                <c:pt idx="464">
                  <c:v>1.5</c:v>
                </c:pt>
                <c:pt idx="465">
                  <c:v>0.9</c:v>
                </c:pt>
                <c:pt idx="466">
                  <c:v>0.3</c:v>
                </c:pt>
                <c:pt idx="467">
                  <c:v>0.7</c:v>
                </c:pt>
                <c:pt idx="468">
                  <c:v>1.1000000000000001</c:v>
                </c:pt>
                <c:pt idx="469">
                  <c:v>1</c:v>
                </c:pt>
                <c:pt idx="470">
                  <c:v>0.9</c:v>
                </c:pt>
                <c:pt idx="471">
                  <c:v>0.9</c:v>
                </c:pt>
                <c:pt idx="472">
                  <c:v>0.9</c:v>
                </c:pt>
                <c:pt idx="473">
                  <c:v>0.9</c:v>
                </c:pt>
                <c:pt idx="474">
                  <c:v>0.9</c:v>
                </c:pt>
                <c:pt idx="475">
                  <c:v>0.6</c:v>
                </c:pt>
                <c:pt idx="476">
                  <c:v>0.3</c:v>
                </c:pt>
                <c:pt idx="477">
                  <c:v>0.6</c:v>
                </c:pt>
                <c:pt idx="478">
                  <c:v>0.9</c:v>
                </c:pt>
                <c:pt idx="479">
                  <c:v>0.45</c:v>
                </c:pt>
                <c:pt idx="480">
                  <c:v>0</c:v>
                </c:pt>
                <c:pt idx="481">
                  <c:v>0.5</c:v>
                </c:pt>
                <c:pt idx="482">
                  <c:v>1</c:v>
                </c:pt>
                <c:pt idx="483">
                  <c:v>1</c:v>
                </c:pt>
                <c:pt idx="484">
                  <c:v>1</c:v>
                </c:pt>
                <c:pt idx="485">
                  <c:v>0.95</c:v>
                </c:pt>
                <c:pt idx="486">
                  <c:v>0.9</c:v>
                </c:pt>
                <c:pt idx="487">
                  <c:v>1.5</c:v>
                </c:pt>
                <c:pt idx="488">
                  <c:v>2.1</c:v>
                </c:pt>
                <c:pt idx="489">
                  <c:v>1.6</c:v>
                </c:pt>
                <c:pt idx="490">
                  <c:v>1.1000000000000001</c:v>
                </c:pt>
                <c:pt idx="491">
                  <c:v>1.2</c:v>
                </c:pt>
                <c:pt idx="492">
                  <c:v>1.3</c:v>
                </c:pt>
                <c:pt idx="493">
                  <c:v>1.45</c:v>
                </c:pt>
                <c:pt idx="494">
                  <c:v>1.6</c:v>
                </c:pt>
                <c:pt idx="495">
                  <c:v>1.6</c:v>
                </c:pt>
                <c:pt idx="496">
                  <c:v>1.6</c:v>
                </c:pt>
                <c:pt idx="497">
                  <c:v>1.4</c:v>
                </c:pt>
                <c:pt idx="498">
                  <c:v>1.2</c:v>
                </c:pt>
                <c:pt idx="499">
                  <c:v>0.85</c:v>
                </c:pt>
                <c:pt idx="500">
                  <c:v>0.5</c:v>
                </c:pt>
                <c:pt idx="501">
                  <c:v>0.4</c:v>
                </c:pt>
                <c:pt idx="502">
                  <c:v>0.3</c:v>
                </c:pt>
                <c:pt idx="503">
                  <c:v>1.3</c:v>
                </c:pt>
                <c:pt idx="504">
                  <c:v>2.2999999999999998</c:v>
                </c:pt>
                <c:pt idx="505">
                  <c:v>2.0499999999999998</c:v>
                </c:pt>
                <c:pt idx="506">
                  <c:v>1.8</c:v>
                </c:pt>
                <c:pt idx="507">
                  <c:v>1.35</c:v>
                </c:pt>
                <c:pt idx="508">
                  <c:v>0.9</c:v>
                </c:pt>
                <c:pt idx="509">
                  <c:v>1</c:v>
                </c:pt>
                <c:pt idx="510">
                  <c:v>1.1000000000000001</c:v>
                </c:pt>
                <c:pt idx="511">
                  <c:v>1.9</c:v>
                </c:pt>
                <c:pt idx="512">
                  <c:v>2.7</c:v>
                </c:pt>
                <c:pt idx="513">
                  <c:v>2.0499999999999998</c:v>
                </c:pt>
                <c:pt idx="514">
                  <c:v>1.4</c:v>
                </c:pt>
                <c:pt idx="515">
                  <c:v>2.0499999999999998</c:v>
                </c:pt>
                <c:pt idx="516">
                  <c:v>2.7</c:v>
                </c:pt>
                <c:pt idx="517">
                  <c:v>3.7</c:v>
                </c:pt>
                <c:pt idx="518">
                  <c:v>4.7</c:v>
                </c:pt>
                <c:pt idx="519">
                  <c:v>5</c:v>
                </c:pt>
                <c:pt idx="520">
                  <c:v>5.3</c:v>
                </c:pt>
                <c:pt idx="521">
                  <c:v>73.650000000000006</c:v>
                </c:pt>
                <c:pt idx="522">
                  <c:v>142</c:v>
                </c:pt>
                <c:pt idx="523">
                  <c:v>135.35</c:v>
                </c:pt>
                <c:pt idx="524">
                  <c:v>128.69999999999999</c:v>
                </c:pt>
                <c:pt idx="525">
                  <c:v>79.05</c:v>
                </c:pt>
                <c:pt idx="526">
                  <c:v>29.4</c:v>
                </c:pt>
                <c:pt idx="527">
                  <c:v>28.05</c:v>
                </c:pt>
                <c:pt idx="528">
                  <c:v>26.7</c:v>
                </c:pt>
                <c:pt idx="529">
                  <c:v>29.5</c:v>
                </c:pt>
                <c:pt idx="530">
                  <c:v>32.299999999999997</c:v>
                </c:pt>
                <c:pt idx="531">
                  <c:v>107.4</c:v>
                </c:pt>
                <c:pt idx="532">
                  <c:v>182.5</c:v>
                </c:pt>
                <c:pt idx="533">
                  <c:v>94.7</c:v>
                </c:pt>
                <c:pt idx="534">
                  <c:v>6.9</c:v>
                </c:pt>
                <c:pt idx="535">
                  <c:v>6.25</c:v>
                </c:pt>
                <c:pt idx="536">
                  <c:v>5.6</c:v>
                </c:pt>
                <c:pt idx="537">
                  <c:v>9.85</c:v>
                </c:pt>
                <c:pt idx="538">
                  <c:v>14.1</c:v>
                </c:pt>
                <c:pt idx="539">
                  <c:v>11.85</c:v>
                </c:pt>
                <c:pt idx="540">
                  <c:v>9.6</c:v>
                </c:pt>
                <c:pt idx="541">
                  <c:v>6.9</c:v>
                </c:pt>
                <c:pt idx="542">
                  <c:v>4.2</c:v>
                </c:pt>
                <c:pt idx="543">
                  <c:v>3.5</c:v>
                </c:pt>
                <c:pt idx="544">
                  <c:v>2.8</c:v>
                </c:pt>
                <c:pt idx="545">
                  <c:v>2.4500000000000002</c:v>
                </c:pt>
                <c:pt idx="546">
                  <c:v>2.1</c:v>
                </c:pt>
                <c:pt idx="547">
                  <c:v>2.7</c:v>
                </c:pt>
                <c:pt idx="548">
                  <c:v>3.3</c:v>
                </c:pt>
                <c:pt idx="549">
                  <c:v>4</c:v>
                </c:pt>
                <c:pt idx="550">
                  <c:v>4.7</c:v>
                </c:pt>
                <c:pt idx="551">
                  <c:v>7.4</c:v>
                </c:pt>
                <c:pt idx="552">
                  <c:v>10.1</c:v>
                </c:pt>
                <c:pt idx="553">
                  <c:v>9.9</c:v>
                </c:pt>
                <c:pt idx="554">
                  <c:v>9.6999999999999993</c:v>
                </c:pt>
                <c:pt idx="555">
                  <c:v>106.4</c:v>
                </c:pt>
                <c:pt idx="556">
                  <c:v>203.1</c:v>
                </c:pt>
                <c:pt idx="557">
                  <c:v>138.9</c:v>
                </c:pt>
                <c:pt idx="558">
                  <c:v>74.7</c:v>
                </c:pt>
                <c:pt idx="559">
                  <c:v>41.9</c:v>
                </c:pt>
                <c:pt idx="560">
                  <c:v>9.1</c:v>
                </c:pt>
                <c:pt idx="561">
                  <c:v>9.4</c:v>
                </c:pt>
                <c:pt idx="562">
                  <c:v>9.6999999999999993</c:v>
                </c:pt>
                <c:pt idx="563">
                  <c:v>17.7</c:v>
                </c:pt>
                <c:pt idx="564">
                  <c:v>25.7</c:v>
                </c:pt>
                <c:pt idx="565">
                  <c:v>17.649999999999999</c:v>
                </c:pt>
                <c:pt idx="566">
                  <c:v>9.6</c:v>
                </c:pt>
                <c:pt idx="567">
                  <c:v>8.4</c:v>
                </c:pt>
                <c:pt idx="568">
                  <c:v>7.2</c:v>
                </c:pt>
                <c:pt idx="569">
                  <c:v>8.15</c:v>
                </c:pt>
                <c:pt idx="570">
                  <c:v>9.1</c:v>
                </c:pt>
                <c:pt idx="571">
                  <c:v>10.35</c:v>
                </c:pt>
                <c:pt idx="572">
                  <c:v>11.6</c:v>
                </c:pt>
                <c:pt idx="573">
                  <c:v>9.6</c:v>
                </c:pt>
                <c:pt idx="574">
                  <c:v>7.6</c:v>
                </c:pt>
                <c:pt idx="575">
                  <c:v>7.95</c:v>
                </c:pt>
                <c:pt idx="576">
                  <c:v>8.3000000000000007</c:v>
                </c:pt>
                <c:pt idx="577">
                  <c:v>9.9499999999999993</c:v>
                </c:pt>
                <c:pt idx="578">
                  <c:v>11.6</c:v>
                </c:pt>
                <c:pt idx="579">
                  <c:v>9.1999999999999993</c:v>
                </c:pt>
                <c:pt idx="580">
                  <c:v>6.8</c:v>
                </c:pt>
                <c:pt idx="581">
                  <c:v>5.4</c:v>
                </c:pt>
                <c:pt idx="582">
                  <c:v>4</c:v>
                </c:pt>
                <c:pt idx="583">
                  <c:v>5.75</c:v>
                </c:pt>
                <c:pt idx="584">
                  <c:v>7.5</c:v>
                </c:pt>
                <c:pt idx="585">
                  <c:v>6.35</c:v>
                </c:pt>
                <c:pt idx="586">
                  <c:v>5.2</c:v>
                </c:pt>
                <c:pt idx="587">
                  <c:v>5.45</c:v>
                </c:pt>
                <c:pt idx="588">
                  <c:v>5.7</c:v>
                </c:pt>
                <c:pt idx="589">
                  <c:v>5.9</c:v>
                </c:pt>
                <c:pt idx="590">
                  <c:v>6.1</c:v>
                </c:pt>
                <c:pt idx="591">
                  <c:v>5.3</c:v>
                </c:pt>
                <c:pt idx="592">
                  <c:v>4.5</c:v>
                </c:pt>
                <c:pt idx="593">
                  <c:v>4.0999999999999996</c:v>
                </c:pt>
                <c:pt idx="594">
                  <c:v>3.7</c:v>
                </c:pt>
                <c:pt idx="595">
                  <c:v>2.75</c:v>
                </c:pt>
                <c:pt idx="596">
                  <c:v>1.8</c:v>
                </c:pt>
                <c:pt idx="597">
                  <c:v>3.95</c:v>
                </c:pt>
                <c:pt idx="598">
                  <c:v>6.1</c:v>
                </c:pt>
                <c:pt idx="599">
                  <c:v>5.15</c:v>
                </c:pt>
                <c:pt idx="600">
                  <c:v>4.2</c:v>
                </c:pt>
                <c:pt idx="601">
                  <c:v>3.55</c:v>
                </c:pt>
                <c:pt idx="602">
                  <c:v>2.9</c:v>
                </c:pt>
                <c:pt idx="603">
                  <c:v>6.9</c:v>
                </c:pt>
                <c:pt idx="604">
                  <c:v>10.9</c:v>
                </c:pt>
                <c:pt idx="605">
                  <c:v>7.75</c:v>
                </c:pt>
                <c:pt idx="606">
                  <c:v>4.5999999999999996</c:v>
                </c:pt>
                <c:pt idx="607">
                  <c:v>2.7</c:v>
                </c:pt>
                <c:pt idx="608">
                  <c:v>0.8</c:v>
                </c:pt>
                <c:pt idx="609">
                  <c:v>2.5499999999999998</c:v>
                </c:pt>
                <c:pt idx="610">
                  <c:v>4.3</c:v>
                </c:pt>
                <c:pt idx="611">
                  <c:v>10.65</c:v>
                </c:pt>
                <c:pt idx="612">
                  <c:v>17</c:v>
                </c:pt>
                <c:pt idx="613">
                  <c:v>170.25</c:v>
                </c:pt>
                <c:pt idx="614">
                  <c:v>323.5</c:v>
                </c:pt>
                <c:pt idx="615">
                  <c:v>346.65</c:v>
                </c:pt>
                <c:pt idx="616">
                  <c:v>369.8</c:v>
                </c:pt>
                <c:pt idx="617">
                  <c:v>303.25</c:v>
                </c:pt>
                <c:pt idx="618">
                  <c:v>236.7</c:v>
                </c:pt>
                <c:pt idx="619">
                  <c:v>195.55</c:v>
                </c:pt>
                <c:pt idx="620">
                  <c:v>154.4</c:v>
                </c:pt>
                <c:pt idx="621">
                  <c:v>93.3</c:v>
                </c:pt>
                <c:pt idx="622">
                  <c:v>32.200000000000003</c:v>
                </c:pt>
                <c:pt idx="623">
                  <c:v>24.2</c:v>
                </c:pt>
                <c:pt idx="624">
                  <c:v>16.2</c:v>
                </c:pt>
                <c:pt idx="625">
                  <c:v>9.75</c:v>
                </c:pt>
                <c:pt idx="626">
                  <c:v>3.3</c:v>
                </c:pt>
                <c:pt idx="627">
                  <c:v>26.2</c:v>
                </c:pt>
                <c:pt idx="628">
                  <c:v>49.1</c:v>
                </c:pt>
                <c:pt idx="629">
                  <c:v>33.65</c:v>
                </c:pt>
                <c:pt idx="630">
                  <c:v>18.2</c:v>
                </c:pt>
                <c:pt idx="631">
                  <c:v>20.9</c:v>
                </c:pt>
                <c:pt idx="632">
                  <c:v>23.6</c:v>
                </c:pt>
                <c:pt idx="633">
                  <c:v>21.1</c:v>
                </c:pt>
                <c:pt idx="634">
                  <c:v>18.600000000000001</c:v>
                </c:pt>
                <c:pt idx="635">
                  <c:v>25.55</c:v>
                </c:pt>
                <c:pt idx="636">
                  <c:v>32.5</c:v>
                </c:pt>
                <c:pt idx="637">
                  <c:v>41.75</c:v>
                </c:pt>
                <c:pt idx="638">
                  <c:v>51</c:v>
                </c:pt>
                <c:pt idx="639">
                  <c:v>153.30000000000001</c:v>
                </c:pt>
                <c:pt idx="640">
                  <c:v>255.6</c:v>
                </c:pt>
                <c:pt idx="641">
                  <c:v>134.69999999999999</c:v>
                </c:pt>
                <c:pt idx="642">
                  <c:v>13.8</c:v>
                </c:pt>
                <c:pt idx="643">
                  <c:v>10.45</c:v>
                </c:pt>
                <c:pt idx="644">
                  <c:v>7.1</c:v>
                </c:pt>
                <c:pt idx="645">
                  <c:v>11.85</c:v>
                </c:pt>
                <c:pt idx="646">
                  <c:v>16.600000000000001</c:v>
                </c:pt>
                <c:pt idx="647">
                  <c:v>14.2</c:v>
                </c:pt>
                <c:pt idx="648">
                  <c:v>11.8</c:v>
                </c:pt>
                <c:pt idx="649">
                  <c:v>12</c:v>
                </c:pt>
                <c:pt idx="650">
                  <c:v>12.2</c:v>
                </c:pt>
                <c:pt idx="651">
                  <c:v>9.85</c:v>
                </c:pt>
                <c:pt idx="652">
                  <c:v>7.5</c:v>
                </c:pt>
                <c:pt idx="653">
                  <c:v>6.7</c:v>
                </c:pt>
                <c:pt idx="654">
                  <c:v>5.9</c:v>
                </c:pt>
                <c:pt idx="655">
                  <c:v>2.95</c:v>
                </c:pt>
                <c:pt idx="656">
                  <c:v>0</c:v>
                </c:pt>
                <c:pt idx="657">
                  <c:v>0</c:v>
                </c:pt>
                <c:pt idx="658">
                  <c:v>0</c:v>
                </c:pt>
                <c:pt idx="659">
                  <c:v>1.1000000000000001</c:v>
                </c:pt>
                <c:pt idx="660">
                  <c:v>2.2000000000000002</c:v>
                </c:pt>
                <c:pt idx="661">
                  <c:v>3.8</c:v>
                </c:pt>
                <c:pt idx="662">
                  <c:v>5.4</c:v>
                </c:pt>
                <c:pt idx="663">
                  <c:v>10.35</c:v>
                </c:pt>
                <c:pt idx="664">
                  <c:v>15.3</c:v>
                </c:pt>
                <c:pt idx="665">
                  <c:v>28.1</c:v>
                </c:pt>
                <c:pt idx="666">
                  <c:v>40.9</c:v>
                </c:pt>
                <c:pt idx="667">
                  <c:v>50.25</c:v>
                </c:pt>
                <c:pt idx="668">
                  <c:v>59.6</c:v>
                </c:pt>
                <c:pt idx="669">
                  <c:v>83.05</c:v>
                </c:pt>
                <c:pt idx="670">
                  <c:v>106.5</c:v>
                </c:pt>
                <c:pt idx="671">
                  <c:v>62.55</c:v>
                </c:pt>
                <c:pt idx="672">
                  <c:v>18.600000000000001</c:v>
                </c:pt>
                <c:pt idx="673">
                  <c:v>15.05</c:v>
                </c:pt>
                <c:pt idx="674">
                  <c:v>11.5</c:v>
                </c:pt>
                <c:pt idx="675">
                  <c:v>61.35</c:v>
                </c:pt>
                <c:pt idx="676">
                  <c:v>111.2</c:v>
                </c:pt>
                <c:pt idx="677">
                  <c:v>202</c:v>
                </c:pt>
                <c:pt idx="678">
                  <c:v>292.8</c:v>
                </c:pt>
                <c:pt idx="679">
                  <c:v>340.1</c:v>
                </c:pt>
                <c:pt idx="680">
                  <c:v>387.4</c:v>
                </c:pt>
                <c:pt idx="681">
                  <c:v>398.15</c:v>
                </c:pt>
                <c:pt idx="682">
                  <c:v>408.9</c:v>
                </c:pt>
                <c:pt idx="683">
                  <c:v>301.3</c:v>
                </c:pt>
                <c:pt idx="684">
                  <c:v>193.7</c:v>
                </c:pt>
                <c:pt idx="685">
                  <c:v>115.55</c:v>
                </c:pt>
                <c:pt idx="686">
                  <c:v>37.4</c:v>
                </c:pt>
                <c:pt idx="687">
                  <c:v>22.45</c:v>
                </c:pt>
                <c:pt idx="688">
                  <c:v>7.5</c:v>
                </c:pt>
                <c:pt idx="689">
                  <c:v>6.35</c:v>
                </c:pt>
                <c:pt idx="690">
                  <c:v>5.2</c:v>
                </c:pt>
                <c:pt idx="691">
                  <c:v>13.95</c:v>
                </c:pt>
                <c:pt idx="692">
                  <c:v>22.7</c:v>
                </c:pt>
                <c:pt idx="693">
                  <c:v>42.1</c:v>
                </c:pt>
                <c:pt idx="694">
                  <c:v>61.5</c:v>
                </c:pt>
                <c:pt idx="695">
                  <c:v>249.5</c:v>
                </c:pt>
                <c:pt idx="696">
                  <c:v>437.5</c:v>
                </c:pt>
                <c:pt idx="697">
                  <c:v>232.05</c:v>
                </c:pt>
                <c:pt idx="698">
                  <c:v>26.6</c:v>
                </c:pt>
                <c:pt idx="699">
                  <c:v>24.65</c:v>
                </c:pt>
                <c:pt idx="700">
                  <c:v>22.7</c:v>
                </c:pt>
                <c:pt idx="701">
                  <c:v>12</c:v>
                </c:pt>
                <c:pt idx="702">
                  <c:v>1.3</c:v>
                </c:pt>
                <c:pt idx="703">
                  <c:v>9.1</c:v>
                </c:pt>
                <c:pt idx="704">
                  <c:v>16.899999999999999</c:v>
                </c:pt>
                <c:pt idx="705">
                  <c:v>15</c:v>
                </c:pt>
                <c:pt idx="706">
                  <c:v>13.1</c:v>
                </c:pt>
                <c:pt idx="707">
                  <c:v>8.3000000000000007</c:v>
                </c:pt>
                <c:pt idx="708">
                  <c:v>3.5</c:v>
                </c:pt>
                <c:pt idx="709">
                  <c:v>2.35</c:v>
                </c:pt>
                <c:pt idx="710">
                  <c:v>1.2</c:v>
                </c:pt>
                <c:pt idx="711">
                  <c:v>0.8</c:v>
                </c:pt>
                <c:pt idx="712">
                  <c:v>0.4</c:v>
                </c:pt>
                <c:pt idx="713">
                  <c:v>1.2</c:v>
                </c:pt>
                <c:pt idx="714">
                  <c:v>2</c:v>
                </c:pt>
                <c:pt idx="715">
                  <c:v>1.5</c:v>
                </c:pt>
                <c:pt idx="716">
                  <c:v>1</c:v>
                </c:pt>
                <c:pt idx="717">
                  <c:v>1.25</c:v>
                </c:pt>
                <c:pt idx="718">
                  <c:v>1.5</c:v>
                </c:pt>
                <c:pt idx="719">
                  <c:v>0.75</c:v>
                </c:pt>
                <c:pt idx="720">
                  <c:v>0</c:v>
                </c:pt>
                <c:pt idx="721">
                  <c:v>0</c:v>
                </c:pt>
                <c:pt idx="722">
                  <c:v>0</c:v>
                </c:pt>
                <c:pt idx="723">
                  <c:v>0</c:v>
                </c:pt>
                <c:pt idx="724">
                  <c:v>0</c:v>
                </c:pt>
                <c:pt idx="725">
                  <c:v>0.95</c:v>
                </c:pt>
                <c:pt idx="726">
                  <c:v>1.9</c:v>
                </c:pt>
                <c:pt idx="727">
                  <c:v>0.95</c:v>
                </c:pt>
                <c:pt idx="728">
                  <c:v>0</c:v>
                </c:pt>
                <c:pt idx="729">
                  <c:v>4.0999999999999996</c:v>
                </c:pt>
                <c:pt idx="730">
                  <c:v>8.1999999999999993</c:v>
                </c:pt>
                <c:pt idx="731">
                  <c:v>9.1</c:v>
                </c:pt>
                <c:pt idx="732">
                  <c:v>10</c:v>
                </c:pt>
                <c:pt idx="733">
                  <c:v>7.7</c:v>
                </c:pt>
                <c:pt idx="734">
                  <c:v>5.4</c:v>
                </c:pt>
                <c:pt idx="735">
                  <c:v>3.05</c:v>
                </c:pt>
                <c:pt idx="736">
                  <c:v>0.7</c:v>
                </c:pt>
                <c:pt idx="737">
                  <c:v>1.8</c:v>
                </c:pt>
                <c:pt idx="738">
                  <c:v>2.9</c:v>
                </c:pt>
                <c:pt idx="739">
                  <c:v>3.45</c:v>
                </c:pt>
                <c:pt idx="740">
                  <c:v>4</c:v>
                </c:pt>
                <c:pt idx="741">
                  <c:v>6.35</c:v>
                </c:pt>
                <c:pt idx="742">
                  <c:v>8.6999999999999993</c:v>
                </c:pt>
                <c:pt idx="743">
                  <c:v>11.15</c:v>
                </c:pt>
                <c:pt idx="744">
                  <c:v>13.6</c:v>
                </c:pt>
                <c:pt idx="745">
                  <c:v>8.9499999999999993</c:v>
                </c:pt>
                <c:pt idx="746">
                  <c:v>4.3</c:v>
                </c:pt>
                <c:pt idx="747">
                  <c:v>20.45</c:v>
                </c:pt>
                <c:pt idx="748">
                  <c:v>36.6</c:v>
                </c:pt>
                <c:pt idx="749">
                  <c:v>30.55</c:v>
                </c:pt>
                <c:pt idx="750">
                  <c:v>24.5</c:v>
                </c:pt>
                <c:pt idx="751">
                  <c:v>24.6</c:v>
                </c:pt>
                <c:pt idx="752">
                  <c:v>24.7</c:v>
                </c:pt>
                <c:pt idx="753">
                  <c:v>27.4</c:v>
                </c:pt>
                <c:pt idx="754">
                  <c:v>30.1</c:v>
                </c:pt>
                <c:pt idx="755">
                  <c:v>37.700000000000003</c:v>
                </c:pt>
                <c:pt idx="756">
                  <c:v>45.3</c:v>
                </c:pt>
                <c:pt idx="757">
                  <c:v>28.05</c:v>
                </c:pt>
                <c:pt idx="758">
                  <c:v>10.8</c:v>
                </c:pt>
                <c:pt idx="759">
                  <c:v>12.8</c:v>
                </c:pt>
                <c:pt idx="760">
                  <c:v>14.8</c:v>
                </c:pt>
                <c:pt idx="761">
                  <c:v>23.1</c:v>
                </c:pt>
                <c:pt idx="762">
                  <c:v>31.4</c:v>
                </c:pt>
                <c:pt idx="763">
                  <c:v>23.7</c:v>
                </c:pt>
                <c:pt idx="764">
                  <c:v>16</c:v>
                </c:pt>
                <c:pt idx="765">
                  <c:v>12.9</c:v>
                </c:pt>
                <c:pt idx="766">
                  <c:v>9.8000000000000007</c:v>
                </c:pt>
                <c:pt idx="767">
                  <c:v>29.75</c:v>
                </c:pt>
                <c:pt idx="768">
                  <c:v>49.7</c:v>
                </c:pt>
                <c:pt idx="769">
                  <c:v>29.55</c:v>
                </c:pt>
                <c:pt idx="770">
                  <c:v>9.4</c:v>
                </c:pt>
                <c:pt idx="771">
                  <c:v>6.95</c:v>
                </c:pt>
                <c:pt idx="772">
                  <c:v>4.5</c:v>
                </c:pt>
                <c:pt idx="773">
                  <c:v>6.45</c:v>
                </c:pt>
                <c:pt idx="774">
                  <c:v>8.4</c:v>
                </c:pt>
                <c:pt idx="775">
                  <c:v>180.6</c:v>
                </c:pt>
                <c:pt idx="776">
                  <c:v>352.8</c:v>
                </c:pt>
                <c:pt idx="777">
                  <c:v>243.95</c:v>
                </c:pt>
                <c:pt idx="778">
                  <c:v>135.1</c:v>
                </c:pt>
                <c:pt idx="779">
                  <c:v>89.2</c:v>
                </c:pt>
                <c:pt idx="780">
                  <c:v>43.3</c:v>
                </c:pt>
                <c:pt idx="781">
                  <c:v>36.85</c:v>
                </c:pt>
                <c:pt idx="782">
                  <c:v>30.4</c:v>
                </c:pt>
                <c:pt idx="783">
                  <c:v>62.35</c:v>
                </c:pt>
                <c:pt idx="784">
                  <c:v>94.3</c:v>
                </c:pt>
                <c:pt idx="785">
                  <c:v>68.599999999999994</c:v>
                </c:pt>
                <c:pt idx="786">
                  <c:v>42.9</c:v>
                </c:pt>
                <c:pt idx="787">
                  <c:v>30.35</c:v>
                </c:pt>
                <c:pt idx="788">
                  <c:v>17.8</c:v>
                </c:pt>
                <c:pt idx="789">
                  <c:v>9.8000000000000007</c:v>
                </c:pt>
                <c:pt idx="790">
                  <c:v>1.8</c:v>
                </c:pt>
                <c:pt idx="791">
                  <c:v>2.8</c:v>
                </c:pt>
                <c:pt idx="792">
                  <c:v>3.8</c:v>
                </c:pt>
                <c:pt idx="793">
                  <c:v>6.1</c:v>
                </c:pt>
                <c:pt idx="794">
                  <c:v>8.4</c:v>
                </c:pt>
                <c:pt idx="795">
                  <c:v>8.8000000000000007</c:v>
                </c:pt>
                <c:pt idx="796">
                  <c:v>9.1999999999999993</c:v>
                </c:pt>
                <c:pt idx="797">
                  <c:v>7.05</c:v>
                </c:pt>
                <c:pt idx="798">
                  <c:v>4.9000000000000004</c:v>
                </c:pt>
                <c:pt idx="799">
                  <c:v>4.4000000000000004</c:v>
                </c:pt>
                <c:pt idx="800">
                  <c:v>3.9</c:v>
                </c:pt>
                <c:pt idx="801">
                  <c:v>5.7</c:v>
                </c:pt>
                <c:pt idx="802">
                  <c:v>7.5</c:v>
                </c:pt>
                <c:pt idx="803">
                  <c:v>7.1</c:v>
                </c:pt>
                <c:pt idx="804">
                  <c:v>6.7</c:v>
                </c:pt>
                <c:pt idx="805">
                  <c:v>7.2</c:v>
                </c:pt>
                <c:pt idx="806">
                  <c:v>7.7</c:v>
                </c:pt>
                <c:pt idx="807">
                  <c:v>7.75</c:v>
                </c:pt>
                <c:pt idx="808">
                  <c:v>7.8</c:v>
                </c:pt>
                <c:pt idx="809">
                  <c:v>9.25</c:v>
                </c:pt>
                <c:pt idx="810">
                  <c:v>10.7</c:v>
                </c:pt>
                <c:pt idx="811">
                  <c:v>24.7</c:v>
                </c:pt>
                <c:pt idx="812">
                  <c:v>38.700000000000003</c:v>
                </c:pt>
                <c:pt idx="813">
                  <c:v>143.5</c:v>
                </c:pt>
                <c:pt idx="814">
                  <c:v>248.3</c:v>
                </c:pt>
                <c:pt idx="815">
                  <c:v>266.3</c:v>
                </c:pt>
                <c:pt idx="816">
                  <c:v>284.3</c:v>
                </c:pt>
                <c:pt idx="817">
                  <c:v>274.89999999999998</c:v>
                </c:pt>
                <c:pt idx="818">
                  <c:v>265.5</c:v>
                </c:pt>
                <c:pt idx="819">
                  <c:v>273.35000000000002</c:v>
                </c:pt>
                <c:pt idx="820">
                  <c:v>281.2</c:v>
                </c:pt>
                <c:pt idx="821">
                  <c:v>291.10000000000002</c:v>
                </c:pt>
                <c:pt idx="822">
                  <c:v>301</c:v>
                </c:pt>
                <c:pt idx="823">
                  <c:v>300.5</c:v>
                </c:pt>
                <c:pt idx="824">
                  <c:v>300</c:v>
                </c:pt>
                <c:pt idx="825">
                  <c:v>280.64999999999998</c:v>
                </c:pt>
                <c:pt idx="826">
                  <c:v>261.3</c:v>
                </c:pt>
                <c:pt idx="827">
                  <c:v>263.89999999999998</c:v>
                </c:pt>
                <c:pt idx="828">
                  <c:v>266.5</c:v>
                </c:pt>
                <c:pt idx="829">
                  <c:v>296.45</c:v>
                </c:pt>
                <c:pt idx="830">
                  <c:v>326.39999999999998</c:v>
                </c:pt>
                <c:pt idx="831">
                  <c:v>346.85</c:v>
                </c:pt>
                <c:pt idx="832">
                  <c:v>367.3</c:v>
                </c:pt>
                <c:pt idx="833">
                  <c:v>356.2</c:v>
                </c:pt>
                <c:pt idx="834">
                  <c:v>345.1</c:v>
                </c:pt>
                <c:pt idx="835">
                  <c:v>342.9</c:v>
                </c:pt>
                <c:pt idx="836">
                  <c:v>340.7</c:v>
                </c:pt>
                <c:pt idx="837">
                  <c:v>319.35000000000002</c:v>
                </c:pt>
                <c:pt idx="838">
                  <c:v>298</c:v>
                </c:pt>
                <c:pt idx="839">
                  <c:v>316.25</c:v>
                </c:pt>
                <c:pt idx="840">
                  <c:v>334.5</c:v>
                </c:pt>
                <c:pt idx="841">
                  <c:v>307.85000000000002</c:v>
                </c:pt>
                <c:pt idx="842">
                  <c:v>281.2</c:v>
                </c:pt>
                <c:pt idx="843">
                  <c:v>309.89999999999998</c:v>
                </c:pt>
                <c:pt idx="844">
                  <c:v>338.6</c:v>
                </c:pt>
                <c:pt idx="845">
                  <c:v>340</c:v>
                </c:pt>
                <c:pt idx="846">
                  <c:v>341.4</c:v>
                </c:pt>
                <c:pt idx="847">
                  <c:v>335.6</c:v>
                </c:pt>
                <c:pt idx="848">
                  <c:v>329.8</c:v>
                </c:pt>
                <c:pt idx="849">
                  <c:v>322.75</c:v>
                </c:pt>
                <c:pt idx="850">
                  <c:v>315.7</c:v>
                </c:pt>
                <c:pt idx="851">
                  <c:v>304.5</c:v>
                </c:pt>
                <c:pt idx="852">
                  <c:v>293.3</c:v>
                </c:pt>
                <c:pt idx="853">
                  <c:v>264.89999999999998</c:v>
                </c:pt>
                <c:pt idx="854">
                  <c:v>236.5</c:v>
                </c:pt>
                <c:pt idx="855">
                  <c:v>280.64999999999998</c:v>
                </c:pt>
                <c:pt idx="856">
                  <c:v>324.8</c:v>
                </c:pt>
                <c:pt idx="857">
                  <c:v>302.60000000000002</c:v>
                </c:pt>
                <c:pt idx="858">
                  <c:v>280.39999999999998</c:v>
                </c:pt>
                <c:pt idx="859">
                  <c:v>274.25</c:v>
                </c:pt>
                <c:pt idx="860">
                  <c:v>268.10000000000002</c:v>
                </c:pt>
                <c:pt idx="861">
                  <c:v>258.39999999999998</c:v>
                </c:pt>
                <c:pt idx="862">
                  <c:v>248.7</c:v>
                </c:pt>
                <c:pt idx="863">
                  <c:v>170.95</c:v>
                </c:pt>
                <c:pt idx="864">
                  <c:v>93.2</c:v>
                </c:pt>
                <c:pt idx="865">
                  <c:v>54.55</c:v>
                </c:pt>
                <c:pt idx="866">
                  <c:v>15.9</c:v>
                </c:pt>
                <c:pt idx="867">
                  <c:v>125.9</c:v>
                </c:pt>
                <c:pt idx="868">
                  <c:v>235.9</c:v>
                </c:pt>
                <c:pt idx="869">
                  <c:v>215.65</c:v>
                </c:pt>
                <c:pt idx="870">
                  <c:v>195.4</c:v>
                </c:pt>
                <c:pt idx="871">
                  <c:v>106.4</c:v>
                </c:pt>
                <c:pt idx="872">
                  <c:v>17.399999999999999</c:v>
                </c:pt>
                <c:pt idx="873">
                  <c:v>15.7</c:v>
                </c:pt>
                <c:pt idx="874">
                  <c:v>14</c:v>
                </c:pt>
                <c:pt idx="875">
                  <c:v>111.25</c:v>
                </c:pt>
                <c:pt idx="876">
                  <c:v>208.5</c:v>
                </c:pt>
                <c:pt idx="877">
                  <c:v>227.3</c:v>
                </c:pt>
                <c:pt idx="878">
                  <c:v>246.1</c:v>
                </c:pt>
                <c:pt idx="879">
                  <c:v>244.95</c:v>
                </c:pt>
                <c:pt idx="880">
                  <c:v>243.8</c:v>
                </c:pt>
                <c:pt idx="881">
                  <c:v>210.25</c:v>
                </c:pt>
                <c:pt idx="882">
                  <c:v>176.7</c:v>
                </c:pt>
                <c:pt idx="883">
                  <c:v>171.65</c:v>
                </c:pt>
                <c:pt idx="884">
                  <c:v>166.6</c:v>
                </c:pt>
                <c:pt idx="885">
                  <c:v>139.35</c:v>
                </c:pt>
                <c:pt idx="886">
                  <c:v>112.1</c:v>
                </c:pt>
                <c:pt idx="887">
                  <c:v>113.85</c:v>
                </c:pt>
                <c:pt idx="888">
                  <c:v>115.6</c:v>
                </c:pt>
                <c:pt idx="889">
                  <c:v>133.25</c:v>
                </c:pt>
                <c:pt idx="890">
                  <c:v>150.9</c:v>
                </c:pt>
                <c:pt idx="891">
                  <c:v>155.55000000000001</c:v>
                </c:pt>
                <c:pt idx="892">
                  <c:v>160.19999999999999</c:v>
                </c:pt>
                <c:pt idx="893">
                  <c:v>160</c:v>
                </c:pt>
                <c:pt idx="894">
                  <c:v>159.80000000000001</c:v>
                </c:pt>
                <c:pt idx="895">
                  <c:v>168.1</c:v>
                </c:pt>
                <c:pt idx="896">
                  <c:v>176.4</c:v>
                </c:pt>
                <c:pt idx="897">
                  <c:v>182.4</c:v>
                </c:pt>
                <c:pt idx="898">
                  <c:v>188.4</c:v>
                </c:pt>
                <c:pt idx="899">
                  <c:v>209.85</c:v>
                </c:pt>
                <c:pt idx="900">
                  <c:v>231.3</c:v>
                </c:pt>
                <c:pt idx="901">
                  <c:v>228.6</c:v>
                </c:pt>
                <c:pt idx="902">
                  <c:v>225.9</c:v>
                </c:pt>
                <c:pt idx="903">
                  <c:v>228.65</c:v>
                </c:pt>
                <c:pt idx="904">
                  <c:v>231.4</c:v>
                </c:pt>
                <c:pt idx="905">
                  <c:v>226</c:v>
                </c:pt>
                <c:pt idx="906">
                  <c:v>220.6</c:v>
                </c:pt>
                <c:pt idx="907">
                  <c:v>207.45</c:v>
                </c:pt>
                <c:pt idx="908">
                  <c:v>194.3</c:v>
                </c:pt>
                <c:pt idx="909">
                  <c:v>104.2</c:v>
                </c:pt>
                <c:pt idx="910">
                  <c:v>14.1</c:v>
                </c:pt>
                <c:pt idx="911">
                  <c:v>83.6</c:v>
                </c:pt>
                <c:pt idx="912">
                  <c:v>153.1</c:v>
                </c:pt>
                <c:pt idx="913">
                  <c:v>119.25</c:v>
                </c:pt>
                <c:pt idx="914">
                  <c:v>85.4</c:v>
                </c:pt>
                <c:pt idx="915">
                  <c:v>52.25</c:v>
                </c:pt>
                <c:pt idx="916">
                  <c:v>19.100000000000001</c:v>
                </c:pt>
                <c:pt idx="917">
                  <c:v>131.15</c:v>
                </c:pt>
                <c:pt idx="918">
                  <c:v>243.2</c:v>
                </c:pt>
                <c:pt idx="919">
                  <c:v>198.2</c:v>
                </c:pt>
                <c:pt idx="920">
                  <c:v>153.19999999999999</c:v>
                </c:pt>
                <c:pt idx="921">
                  <c:v>85.3</c:v>
                </c:pt>
                <c:pt idx="922">
                  <c:v>17.399999999999999</c:v>
                </c:pt>
                <c:pt idx="923">
                  <c:v>26.5</c:v>
                </c:pt>
                <c:pt idx="924">
                  <c:v>35.6</c:v>
                </c:pt>
                <c:pt idx="925">
                  <c:v>127.7</c:v>
                </c:pt>
                <c:pt idx="926">
                  <c:v>219.8</c:v>
                </c:pt>
                <c:pt idx="927">
                  <c:v>218.65</c:v>
                </c:pt>
                <c:pt idx="928">
                  <c:v>217.5</c:v>
                </c:pt>
                <c:pt idx="929">
                  <c:v>208.3</c:v>
                </c:pt>
                <c:pt idx="930">
                  <c:v>199.1</c:v>
                </c:pt>
                <c:pt idx="931">
                  <c:v>206.35</c:v>
                </c:pt>
                <c:pt idx="932">
                  <c:v>213.6</c:v>
                </c:pt>
                <c:pt idx="933">
                  <c:v>213.05</c:v>
                </c:pt>
                <c:pt idx="934">
                  <c:v>212.5</c:v>
                </c:pt>
                <c:pt idx="935">
                  <c:v>202.3</c:v>
                </c:pt>
                <c:pt idx="936">
                  <c:v>192.1</c:v>
                </c:pt>
                <c:pt idx="937">
                  <c:v>201.85</c:v>
                </c:pt>
                <c:pt idx="938">
                  <c:v>211.6</c:v>
                </c:pt>
                <c:pt idx="939">
                  <c:v>151.1</c:v>
                </c:pt>
                <c:pt idx="940">
                  <c:v>90.6</c:v>
                </c:pt>
                <c:pt idx="941">
                  <c:v>105.5</c:v>
                </c:pt>
                <c:pt idx="942">
                  <c:v>120.4</c:v>
                </c:pt>
                <c:pt idx="943">
                  <c:v>74.5</c:v>
                </c:pt>
                <c:pt idx="944">
                  <c:v>28.6</c:v>
                </c:pt>
                <c:pt idx="945">
                  <c:v>30.85</c:v>
                </c:pt>
                <c:pt idx="946">
                  <c:v>33.1</c:v>
                </c:pt>
                <c:pt idx="947">
                  <c:v>29.85</c:v>
                </c:pt>
                <c:pt idx="948">
                  <c:v>26.6</c:v>
                </c:pt>
                <c:pt idx="949">
                  <c:v>25.75</c:v>
                </c:pt>
                <c:pt idx="950">
                  <c:v>24.9</c:v>
                </c:pt>
                <c:pt idx="951">
                  <c:v>41.8</c:v>
                </c:pt>
                <c:pt idx="952">
                  <c:v>58.7</c:v>
                </c:pt>
                <c:pt idx="953">
                  <c:v>114.5</c:v>
                </c:pt>
                <c:pt idx="954">
                  <c:v>170.3</c:v>
                </c:pt>
                <c:pt idx="955">
                  <c:v>161.94999999999999</c:v>
                </c:pt>
                <c:pt idx="956">
                  <c:v>153.6</c:v>
                </c:pt>
                <c:pt idx="957">
                  <c:v>147.19999999999999</c:v>
                </c:pt>
                <c:pt idx="958">
                  <c:v>140.80000000000001</c:v>
                </c:pt>
                <c:pt idx="959">
                  <c:v>144.55000000000001</c:v>
                </c:pt>
                <c:pt idx="960">
                  <c:v>148.30000000000001</c:v>
                </c:pt>
                <c:pt idx="961">
                  <c:v>145.65</c:v>
                </c:pt>
                <c:pt idx="962">
                  <c:v>143</c:v>
                </c:pt>
                <c:pt idx="963">
                  <c:v>136.6</c:v>
                </c:pt>
                <c:pt idx="964">
                  <c:v>130.19999999999999</c:v>
                </c:pt>
                <c:pt idx="965">
                  <c:v>132.85</c:v>
                </c:pt>
                <c:pt idx="966">
                  <c:v>135.5</c:v>
                </c:pt>
                <c:pt idx="967">
                  <c:v>125.3</c:v>
                </c:pt>
                <c:pt idx="968">
                  <c:v>115.1</c:v>
                </c:pt>
                <c:pt idx="969">
                  <c:v>117</c:v>
                </c:pt>
                <c:pt idx="970">
                  <c:v>118.9</c:v>
                </c:pt>
                <c:pt idx="971">
                  <c:v>112.45</c:v>
                </c:pt>
                <c:pt idx="972">
                  <c:v>106</c:v>
                </c:pt>
                <c:pt idx="973">
                  <c:v>86.1</c:v>
                </c:pt>
                <c:pt idx="974">
                  <c:v>66.2</c:v>
                </c:pt>
                <c:pt idx="975">
                  <c:v>47.05</c:v>
                </c:pt>
                <c:pt idx="976">
                  <c:v>27.9</c:v>
                </c:pt>
                <c:pt idx="977">
                  <c:v>49.55</c:v>
                </c:pt>
                <c:pt idx="978">
                  <c:v>71.2</c:v>
                </c:pt>
                <c:pt idx="979">
                  <c:v>86.55</c:v>
                </c:pt>
                <c:pt idx="980">
                  <c:v>101.9</c:v>
                </c:pt>
                <c:pt idx="981">
                  <c:v>109.4</c:v>
                </c:pt>
                <c:pt idx="982">
                  <c:v>116.9</c:v>
                </c:pt>
                <c:pt idx="983">
                  <c:v>114.65</c:v>
                </c:pt>
                <c:pt idx="984">
                  <c:v>112.4</c:v>
                </c:pt>
                <c:pt idx="985">
                  <c:v>107.95</c:v>
                </c:pt>
                <c:pt idx="986">
                  <c:v>103.5</c:v>
                </c:pt>
                <c:pt idx="987">
                  <c:v>81.95</c:v>
                </c:pt>
                <c:pt idx="988">
                  <c:v>60.4</c:v>
                </c:pt>
                <c:pt idx="989">
                  <c:v>58.85</c:v>
                </c:pt>
                <c:pt idx="990">
                  <c:v>57.3</c:v>
                </c:pt>
                <c:pt idx="991">
                  <c:v>63.85</c:v>
                </c:pt>
                <c:pt idx="992">
                  <c:v>70.400000000000006</c:v>
                </c:pt>
                <c:pt idx="993">
                  <c:v>56.15</c:v>
                </c:pt>
                <c:pt idx="994">
                  <c:v>41.9</c:v>
                </c:pt>
                <c:pt idx="995">
                  <c:v>40.65</c:v>
                </c:pt>
                <c:pt idx="996">
                  <c:v>39.4</c:v>
                </c:pt>
                <c:pt idx="997">
                  <c:v>49.95</c:v>
                </c:pt>
                <c:pt idx="998">
                  <c:v>60.5</c:v>
                </c:pt>
                <c:pt idx="999">
                  <c:v>39.549999999999997</c:v>
                </c:pt>
                <c:pt idx="1000">
                  <c:v>18.600000000000001</c:v>
                </c:pt>
                <c:pt idx="1001">
                  <c:v>22.1</c:v>
                </c:pt>
                <c:pt idx="1002">
                  <c:v>25.6</c:v>
                </c:pt>
                <c:pt idx="1003">
                  <c:v>27.75</c:v>
                </c:pt>
                <c:pt idx="1004">
                  <c:v>29.9</c:v>
                </c:pt>
                <c:pt idx="1005">
                  <c:v>44.9</c:v>
                </c:pt>
                <c:pt idx="1006">
                  <c:v>59.9</c:v>
                </c:pt>
                <c:pt idx="1007">
                  <c:v>45.1</c:v>
                </c:pt>
                <c:pt idx="1008">
                  <c:v>30.3</c:v>
                </c:pt>
                <c:pt idx="1009">
                  <c:v>33.799999999999997</c:v>
                </c:pt>
                <c:pt idx="1010">
                  <c:v>37.299999999999997</c:v>
                </c:pt>
                <c:pt idx="1011">
                  <c:v>35.4</c:v>
                </c:pt>
                <c:pt idx="1012">
                  <c:v>33.5</c:v>
                </c:pt>
                <c:pt idx="1013">
                  <c:v>41.05</c:v>
                </c:pt>
                <c:pt idx="1014">
                  <c:v>48.6</c:v>
                </c:pt>
                <c:pt idx="1015">
                  <c:v>39.4</c:v>
                </c:pt>
                <c:pt idx="1016">
                  <c:v>30.2</c:v>
                </c:pt>
                <c:pt idx="1017">
                  <c:v>27.75</c:v>
                </c:pt>
                <c:pt idx="1018">
                  <c:v>25.3</c:v>
                </c:pt>
                <c:pt idx="1019">
                  <c:v>15.9</c:v>
                </c:pt>
                <c:pt idx="1020">
                  <c:v>6.5</c:v>
                </c:pt>
                <c:pt idx="1021">
                  <c:v>6.25</c:v>
                </c:pt>
                <c:pt idx="1022">
                  <c:v>6</c:v>
                </c:pt>
                <c:pt idx="1023">
                  <c:v>4.95</c:v>
                </c:pt>
                <c:pt idx="1024">
                  <c:v>3.9</c:v>
                </c:pt>
                <c:pt idx="1025">
                  <c:v>4.75</c:v>
                </c:pt>
                <c:pt idx="1026">
                  <c:v>5.6</c:v>
                </c:pt>
                <c:pt idx="1027">
                  <c:v>5.65</c:v>
                </c:pt>
                <c:pt idx="1028">
                  <c:v>5.7</c:v>
                </c:pt>
                <c:pt idx="1029">
                  <c:v>6</c:v>
                </c:pt>
                <c:pt idx="1030">
                  <c:v>6.3</c:v>
                </c:pt>
                <c:pt idx="1031">
                  <c:v>5.2</c:v>
                </c:pt>
                <c:pt idx="1032">
                  <c:v>4.0999999999999996</c:v>
                </c:pt>
                <c:pt idx="1033">
                  <c:v>4.6500000000000004</c:v>
                </c:pt>
                <c:pt idx="1034">
                  <c:v>5.2</c:v>
                </c:pt>
                <c:pt idx="1035">
                  <c:v>4.4000000000000004</c:v>
                </c:pt>
                <c:pt idx="1036">
                  <c:v>3.6</c:v>
                </c:pt>
                <c:pt idx="1037">
                  <c:v>3.9</c:v>
                </c:pt>
                <c:pt idx="1038">
                  <c:v>4.2</c:v>
                </c:pt>
                <c:pt idx="1039">
                  <c:v>3.6</c:v>
                </c:pt>
                <c:pt idx="1040">
                  <c:v>3</c:v>
                </c:pt>
                <c:pt idx="1041">
                  <c:v>2.75</c:v>
                </c:pt>
                <c:pt idx="1042">
                  <c:v>2.5</c:v>
                </c:pt>
                <c:pt idx="1043">
                  <c:v>2.5</c:v>
                </c:pt>
                <c:pt idx="1044">
                  <c:v>2.5</c:v>
                </c:pt>
                <c:pt idx="1045">
                  <c:v>2.5499999999999998</c:v>
                </c:pt>
                <c:pt idx="1046">
                  <c:v>2.6</c:v>
                </c:pt>
                <c:pt idx="1047">
                  <c:v>2.7</c:v>
                </c:pt>
                <c:pt idx="1048">
                  <c:v>2.8</c:v>
                </c:pt>
                <c:pt idx="1049">
                  <c:v>2.85</c:v>
                </c:pt>
                <c:pt idx="1050">
                  <c:v>2.9</c:v>
                </c:pt>
                <c:pt idx="1051">
                  <c:v>2.35</c:v>
                </c:pt>
                <c:pt idx="1052">
                  <c:v>1.8</c:v>
                </c:pt>
                <c:pt idx="1053">
                  <c:v>2.0499999999999998</c:v>
                </c:pt>
                <c:pt idx="1054">
                  <c:v>2.2999999999999998</c:v>
                </c:pt>
                <c:pt idx="1055">
                  <c:v>1.4</c:v>
                </c:pt>
                <c:pt idx="1056">
                  <c:v>0.5</c:v>
                </c:pt>
                <c:pt idx="1057">
                  <c:v>1.05</c:v>
                </c:pt>
                <c:pt idx="1058">
                  <c:v>1.6</c:v>
                </c:pt>
                <c:pt idx="1059">
                  <c:v>1.2</c:v>
                </c:pt>
                <c:pt idx="1060">
                  <c:v>0.8</c:v>
                </c:pt>
                <c:pt idx="1061">
                  <c:v>0.8</c:v>
                </c:pt>
                <c:pt idx="1062">
                  <c:v>0.8</c:v>
                </c:pt>
                <c:pt idx="1063">
                  <c:v>1.25</c:v>
                </c:pt>
                <c:pt idx="1064">
                  <c:v>1.7</c:v>
                </c:pt>
                <c:pt idx="1065">
                  <c:v>1.5</c:v>
                </c:pt>
                <c:pt idx="1066">
                  <c:v>1.3</c:v>
                </c:pt>
                <c:pt idx="1067">
                  <c:v>1.1000000000000001</c:v>
                </c:pt>
                <c:pt idx="1068">
                  <c:v>0.9</c:v>
                </c:pt>
                <c:pt idx="1069">
                  <c:v>1.1000000000000001</c:v>
                </c:pt>
                <c:pt idx="1070">
                  <c:v>1.3</c:v>
                </c:pt>
                <c:pt idx="1071">
                  <c:v>1.35</c:v>
                </c:pt>
                <c:pt idx="1072">
                  <c:v>1.4</c:v>
                </c:pt>
                <c:pt idx="1073">
                  <c:v>1.1499999999999999</c:v>
                </c:pt>
                <c:pt idx="1074">
                  <c:v>0.9</c:v>
                </c:pt>
                <c:pt idx="1075">
                  <c:v>0.7</c:v>
                </c:pt>
                <c:pt idx="1076">
                  <c:v>0.5</c:v>
                </c:pt>
                <c:pt idx="1077">
                  <c:v>0.8</c:v>
                </c:pt>
                <c:pt idx="1078">
                  <c:v>1.1000000000000001</c:v>
                </c:pt>
                <c:pt idx="1079">
                  <c:v>1.1499999999999999</c:v>
                </c:pt>
                <c:pt idx="1080">
                  <c:v>1.2</c:v>
                </c:pt>
                <c:pt idx="1081">
                  <c:v>1.2</c:v>
                </c:pt>
                <c:pt idx="1082">
                  <c:v>1.2</c:v>
                </c:pt>
                <c:pt idx="1083">
                  <c:v>0.95</c:v>
                </c:pt>
                <c:pt idx="1084">
                  <c:v>0.7</c:v>
                </c:pt>
                <c:pt idx="1085">
                  <c:v>1.1499999999999999</c:v>
                </c:pt>
                <c:pt idx="1086">
                  <c:v>1.6</c:v>
                </c:pt>
                <c:pt idx="1087">
                  <c:v>1.6</c:v>
                </c:pt>
                <c:pt idx="1088">
                  <c:v>1.6</c:v>
                </c:pt>
                <c:pt idx="1089">
                  <c:v>1.35</c:v>
                </c:pt>
                <c:pt idx="1090">
                  <c:v>1.1000000000000001</c:v>
                </c:pt>
                <c:pt idx="1091">
                  <c:v>1.1000000000000001</c:v>
                </c:pt>
                <c:pt idx="1092">
                  <c:v>1.1000000000000001</c:v>
                </c:pt>
                <c:pt idx="1093">
                  <c:v>0.8</c:v>
                </c:pt>
                <c:pt idx="1094">
                  <c:v>0.5</c:v>
                </c:pt>
                <c:pt idx="1095">
                  <c:v>0.75</c:v>
                </c:pt>
                <c:pt idx="1096">
                  <c:v>1</c:v>
                </c:pt>
                <c:pt idx="1097">
                  <c:v>1.1000000000000001</c:v>
                </c:pt>
                <c:pt idx="1098">
                  <c:v>1.2</c:v>
                </c:pt>
                <c:pt idx="1099">
                  <c:v>0.95</c:v>
                </c:pt>
                <c:pt idx="1100">
                  <c:v>0.7</c:v>
                </c:pt>
                <c:pt idx="1101">
                  <c:v>0.6</c:v>
                </c:pt>
                <c:pt idx="1102">
                  <c:v>0.5</c:v>
                </c:pt>
                <c:pt idx="1103">
                  <c:v>0.8</c:v>
                </c:pt>
                <c:pt idx="1104">
                  <c:v>1.1000000000000001</c:v>
                </c:pt>
                <c:pt idx="1105">
                  <c:v>1.1499999999999999</c:v>
                </c:pt>
                <c:pt idx="1106">
                  <c:v>1.2</c:v>
                </c:pt>
                <c:pt idx="1107">
                  <c:v>1.4</c:v>
                </c:pt>
                <c:pt idx="1108">
                  <c:v>1.6</c:v>
                </c:pt>
                <c:pt idx="1109">
                  <c:v>1.35</c:v>
                </c:pt>
                <c:pt idx="1110">
                  <c:v>1.1000000000000001</c:v>
                </c:pt>
                <c:pt idx="1111">
                  <c:v>1.05</c:v>
                </c:pt>
                <c:pt idx="1112">
                  <c:v>1</c:v>
                </c:pt>
                <c:pt idx="1113">
                  <c:v>1.05</c:v>
                </c:pt>
                <c:pt idx="1114">
                  <c:v>1.1000000000000001</c:v>
                </c:pt>
                <c:pt idx="1115">
                  <c:v>1.1000000000000001</c:v>
                </c:pt>
                <c:pt idx="1116">
                  <c:v>1.1000000000000001</c:v>
                </c:pt>
                <c:pt idx="1117">
                  <c:v>1.1000000000000001</c:v>
                </c:pt>
                <c:pt idx="1118">
                  <c:v>1.1000000000000001</c:v>
                </c:pt>
                <c:pt idx="1119">
                  <c:v>1.05</c:v>
                </c:pt>
                <c:pt idx="1120">
                  <c:v>1</c:v>
                </c:pt>
                <c:pt idx="1121">
                  <c:v>0.75</c:v>
                </c:pt>
                <c:pt idx="1122">
                  <c:v>0.5</c:v>
                </c:pt>
                <c:pt idx="1123">
                  <c:v>1.05</c:v>
                </c:pt>
                <c:pt idx="1124">
                  <c:v>1.6</c:v>
                </c:pt>
                <c:pt idx="1125">
                  <c:v>1.6</c:v>
                </c:pt>
                <c:pt idx="1126">
                  <c:v>1.6</c:v>
                </c:pt>
                <c:pt idx="1127">
                  <c:v>1.4</c:v>
                </c:pt>
                <c:pt idx="1128">
                  <c:v>1.2</c:v>
                </c:pt>
                <c:pt idx="1129">
                  <c:v>1.1000000000000001</c:v>
                </c:pt>
                <c:pt idx="1130">
                  <c:v>1</c:v>
                </c:pt>
                <c:pt idx="1131">
                  <c:v>1.1000000000000001</c:v>
                </c:pt>
                <c:pt idx="1132">
                  <c:v>1.2</c:v>
                </c:pt>
                <c:pt idx="1133">
                  <c:v>1.1499999999999999</c:v>
                </c:pt>
                <c:pt idx="1134">
                  <c:v>1.1000000000000001</c:v>
                </c:pt>
                <c:pt idx="1135">
                  <c:v>1.3</c:v>
                </c:pt>
                <c:pt idx="1136">
                  <c:v>1.5</c:v>
                </c:pt>
                <c:pt idx="1137">
                  <c:v>1.35</c:v>
                </c:pt>
                <c:pt idx="1138">
                  <c:v>1.2</c:v>
                </c:pt>
                <c:pt idx="1139">
                  <c:v>0.9</c:v>
                </c:pt>
                <c:pt idx="1140">
                  <c:v>0.6</c:v>
                </c:pt>
                <c:pt idx="1141">
                  <c:v>0.6</c:v>
                </c:pt>
                <c:pt idx="1142">
                  <c:v>0.6</c:v>
                </c:pt>
                <c:pt idx="1143">
                  <c:v>0.65</c:v>
                </c:pt>
                <c:pt idx="1144">
                  <c:v>0.7</c:v>
                </c:pt>
                <c:pt idx="1145">
                  <c:v>0.65</c:v>
                </c:pt>
                <c:pt idx="1146">
                  <c:v>0.6</c:v>
                </c:pt>
                <c:pt idx="1147">
                  <c:v>0.85</c:v>
                </c:pt>
                <c:pt idx="1148">
                  <c:v>1.1000000000000001</c:v>
                </c:pt>
                <c:pt idx="1149">
                  <c:v>1.05</c:v>
                </c:pt>
                <c:pt idx="1150">
                  <c:v>1</c:v>
                </c:pt>
                <c:pt idx="1151">
                  <c:v>1.35</c:v>
                </c:pt>
                <c:pt idx="1152">
                  <c:v>1.7</c:v>
                </c:pt>
                <c:pt idx="1153">
                  <c:v>1.1499999999999999</c:v>
                </c:pt>
                <c:pt idx="1154">
                  <c:v>0.6</c:v>
                </c:pt>
                <c:pt idx="1155">
                  <c:v>0.6</c:v>
                </c:pt>
                <c:pt idx="1156">
                  <c:v>0.6</c:v>
                </c:pt>
                <c:pt idx="1157">
                  <c:v>0.85</c:v>
                </c:pt>
                <c:pt idx="1158">
                  <c:v>1.1000000000000001</c:v>
                </c:pt>
                <c:pt idx="1159">
                  <c:v>1.1499999999999999</c:v>
                </c:pt>
                <c:pt idx="1160">
                  <c:v>1.2</c:v>
                </c:pt>
                <c:pt idx="1161">
                  <c:v>1.1499999999999999</c:v>
                </c:pt>
                <c:pt idx="1162">
                  <c:v>1.1000000000000001</c:v>
                </c:pt>
                <c:pt idx="1163">
                  <c:v>1.1000000000000001</c:v>
                </c:pt>
                <c:pt idx="1164">
                  <c:v>1.1000000000000001</c:v>
                </c:pt>
                <c:pt idx="1165">
                  <c:v>1.05</c:v>
                </c:pt>
                <c:pt idx="1166">
                  <c:v>1</c:v>
                </c:pt>
                <c:pt idx="1167">
                  <c:v>0.8</c:v>
                </c:pt>
                <c:pt idx="1168">
                  <c:v>0.6</c:v>
                </c:pt>
                <c:pt idx="1169">
                  <c:v>0.8</c:v>
                </c:pt>
                <c:pt idx="1170">
                  <c:v>1</c:v>
                </c:pt>
                <c:pt idx="1171">
                  <c:v>1.3</c:v>
                </c:pt>
                <c:pt idx="1172">
                  <c:v>1.6</c:v>
                </c:pt>
                <c:pt idx="1173">
                  <c:v>1.1499999999999999</c:v>
                </c:pt>
                <c:pt idx="1174">
                  <c:v>0.7</c:v>
                </c:pt>
                <c:pt idx="1175">
                  <c:v>1.1499999999999999</c:v>
                </c:pt>
                <c:pt idx="1176">
                  <c:v>1.6</c:v>
                </c:pt>
                <c:pt idx="1177">
                  <c:v>1.35</c:v>
                </c:pt>
                <c:pt idx="1178">
                  <c:v>1.1000000000000001</c:v>
                </c:pt>
                <c:pt idx="1179">
                  <c:v>1.35</c:v>
                </c:pt>
                <c:pt idx="1180">
                  <c:v>1.6</c:v>
                </c:pt>
                <c:pt idx="1181">
                  <c:v>1.7</c:v>
                </c:pt>
                <c:pt idx="1182">
                  <c:v>1.8</c:v>
                </c:pt>
                <c:pt idx="1183">
                  <c:v>1.25</c:v>
                </c:pt>
                <c:pt idx="1184">
                  <c:v>0.7</c:v>
                </c:pt>
                <c:pt idx="1185">
                  <c:v>1.1499999999999999</c:v>
                </c:pt>
                <c:pt idx="1186">
                  <c:v>1.6</c:v>
                </c:pt>
                <c:pt idx="1187">
                  <c:v>1.4</c:v>
                </c:pt>
                <c:pt idx="1188">
                  <c:v>1.2</c:v>
                </c:pt>
                <c:pt idx="1189">
                  <c:v>1.35</c:v>
                </c:pt>
                <c:pt idx="1190">
                  <c:v>1.5</c:v>
                </c:pt>
                <c:pt idx="1191">
                  <c:v>1</c:v>
                </c:pt>
                <c:pt idx="1192">
                  <c:v>0.5</c:v>
                </c:pt>
                <c:pt idx="1193">
                  <c:v>0.8</c:v>
                </c:pt>
                <c:pt idx="1194">
                  <c:v>1.1000000000000001</c:v>
                </c:pt>
                <c:pt idx="1195">
                  <c:v>1.05</c:v>
                </c:pt>
                <c:pt idx="1196">
                  <c:v>1</c:v>
                </c:pt>
                <c:pt idx="1197">
                  <c:v>1.05</c:v>
                </c:pt>
                <c:pt idx="1198">
                  <c:v>1.1000000000000001</c:v>
                </c:pt>
                <c:pt idx="1199">
                  <c:v>0.8</c:v>
                </c:pt>
                <c:pt idx="1200">
                  <c:v>0.5</c:v>
                </c:pt>
                <c:pt idx="1201">
                  <c:v>0.8</c:v>
                </c:pt>
                <c:pt idx="1202">
                  <c:v>1.1000000000000001</c:v>
                </c:pt>
                <c:pt idx="1203">
                  <c:v>1.1499999999999999</c:v>
                </c:pt>
                <c:pt idx="1204">
                  <c:v>1.2</c:v>
                </c:pt>
                <c:pt idx="1205">
                  <c:v>0.85</c:v>
                </c:pt>
                <c:pt idx="1206">
                  <c:v>0.5</c:v>
                </c:pt>
                <c:pt idx="1207">
                  <c:v>0.55000000000000004</c:v>
                </c:pt>
                <c:pt idx="1208">
                  <c:v>0.6</c:v>
                </c:pt>
                <c:pt idx="1209">
                  <c:v>0.6</c:v>
                </c:pt>
                <c:pt idx="1210">
                  <c:v>0.6</c:v>
                </c:pt>
                <c:pt idx="1211">
                  <c:v>0.6</c:v>
                </c:pt>
                <c:pt idx="1212">
                  <c:v>0.6</c:v>
                </c:pt>
                <c:pt idx="1213">
                  <c:v>0.8</c:v>
                </c:pt>
                <c:pt idx="1214">
                  <c:v>1</c:v>
                </c:pt>
                <c:pt idx="1215">
                  <c:v>1.05</c:v>
                </c:pt>
                <c:pt idx="1216">
                  <c:v>1.1000000000000001</c:v>
                </c:pt>
                <c:pt idx="1217">
                  <c:v>1.1000000000000001</c:v>
                </c:pt>
                <c:pt idx="1218">
                  <c:v>1.1000000000000001</c:v>
                </c:pt>
                <c:pt idx="1219">
                  <c:v>1.1000000000000001</c:v>
                </c:pt>
                <c:pt idx="1220">
                  <c:v>1.1000000000000001</c:v>
                </c:pt>
                <c:pt idx="1221">
                  <c:v>1.2</c:v>
                </c:pt>
                <c:pt idx="1222">
                  <c:v>1.3</c:v>
                </c:pt>
                <c:pt idx="1223">
                  <c:v>1.25</c:v>
                </c:pt>
                <c:pt idx="1224">
                  <c:v>1.2</c:v>
                </c:pt>
                <c:pt idx="1225">
                  <c:v>0.95</c:v>
                </c:pt>
                <c:pt idx="1226">
                  <c:v>0.7</c:v>
                </c:pt>
                <c:pt idx="1227">
                  <c:v>1</c:v>
                </c:pt>
                <c:pt idx="1228">
                  <c:v>1.3</c:v>
                </c:pt>
                <c:pt idx="1229">
                  <c:v>1.1499999999999999</c:v>
                </c:pt>
                <c:pt idx="1230">
                  <c:v>1</c:v>
                </c:pt>
                <c:pt idx="1231">
                  <c:v>0.8</c:v>
                </c:pt>
                <c:pt idx="1232">
                  <c:v>0.6</c:v>
                </c:pt>
                <c:pt idx="1233">
                  <c:v>0.8</c:v>
                </c:pt>
                <c:pt idx="1234">
                  <c:v>1</c:v>
                </c:pt>
                <c:pt idx="1235">
                  <c:v>1.05</c:v>
                </c:pt>
                <c:pt idx="1236">
                  <c:v>1.1000000000000001</c:v>
                </c:pt>
                <c:pt idx="1237">
                  <c:v>1.1000000000000001</c:v>
                </c:pt>
                <c:pt idx="1238">
                  <c:v>1.1000000000000001</c:v>
                </c:pt>
                <c:pt idx="1239">
                  <c:v>1.4</c:v>
                </c:pt>
                <c:pt idx="1240">
                  <c:v>1.7</c:v>
                </c:pt>
                <c:pt idx="1241">
                  <c:v>1.35</c:v>
                </c:pt>
                <c:pt idx="1242">
                  <c:v>1</c:v>
                </c:pt>
                <c:pt idx="1243">
                  <c:v>0.8</c:v>
                </c:pt>
                <c:pt idx="1244">
                  <c:v>0.6</c:v>
                </c:pt>
                <c:pt idx="1245">
                  <c:v>0.9</c:v>
                </c:pt>
                <c:pt idx="1246">
                  <c:v>1.2</c:v>
                </c:pt>
                <c:pt idx="1247">
                  <c:v>1.1499999999999999</c:v>
                </c:pt>
                <c:pt idx="1248">
                  <c:v>1.1000000000000001</c:v>
                </c:pt>
                <c:pt idx="1249">
                  <c:v>1.1000000000000001</c:v>
                </c:pt>
                <c:pt idx="1250">
                  <c:v>1.1000000000000001</c:v>
                </c:pt>
                <c:pt idx="1251">
                  <c:v>1.35</c:v>
                </c:pt>
                <c:pt idx="1252">
                  <c:v>1.6</c:v>
                </c:pt>
                <c:pt idx="1253">
                  <c:v>1.35</c:v>
                </c:pt>
                <c:pt idx="1254">
                  <c:v>1.1000000000000001</c:v>
                </c:pt>
                <c:pt idx="1255">
                  <c:v>0.9</c:v>
                </c:pt>
                <c:pt idx="1256">
                  <c:v>0.7</c:v>
                </c:pt>
                <c:pt idx="1257">
                  <c:v>0.65</c:v>
                </c:pt>
                <c:pt idx="1258">
                  <c:v>0.6</c:v>
                </c:pt>
                <c:pt idx="1259">
                  <c:v>0.65</c:v>
                </c:pt>
                <c:pt idx="1260">
                  <c:v>0.7</c:v>
                </c:pt>
                <c:pt idx="1261">
                  <c:v>0.7</c:v>
                </c:pt>
                <c:pt idx="1262">
                  <c:v>0.7</c:v>
                </c:pt>
                <c:pt idx="1263">
                  <c:v>1</c:v>
                </c:pt>
                <c:pt idx="1264">
                  <c:v>1.3</c:v>
                </c:pt>
                <c:pt idx="1265">
                  <c:v>0.95</c:v>
                </c:pt>
                <c:pt idx="1266">
                  <c:v>0.6</c:v>
                </c:pt>
                <c:pt idx="1267">
                  <c:v>0.75</c:v>
                </c:pt>
                <c:pt idx="1268">
                  <c:v>0.9</c:v>
                </c:pt>
                <c:pt idx="1269">
                  <c:v>0.65</c:v>
                </c:pt>
                <c:pt idx="1270">
                  <c:v>0.4</c:v>
                </c:pt>
                <c:pt idx="1271">
                  <c:v>0.8</c:v>
                </c:pt>
                <c:pt idx="1272">
                  <c:v>1.2</c:v>
                </c:pt>
                <c:pt idx="1273">
                  <c:v>0.9</c:v>
                </c:pt>
                <c:pt idx="1274">
                  <c:v>0.6</c:v>
                </c:pt>
                <c:pt idx="1275">
                  <c:v>0.65</c:v>
                </c:pt>
                <c:pt idx="1276">
                  <c:v>0.7</c:v>
                </c:pt>
                <c:pt idx="1277">
                  <c:v>0.95</c:v>
                </c:pt>
                <c:pt idx="1278">
                  <c:v>1.2</c:v>
                </c:pt>
                <c:pt idx="1279">
                  <c:v>1.1000000000000001</c:v>
                </c:pt>
                <c:pt idx="1280">
                  <c:v>1</c:v>
                </c:pt>
                <c:pt idx="1281">
                  <c:v>1.35</c:v>
                </c:pt>
                <c:pt idx="1282">
                  <c:v>1.7</c:v>
                </c:pt>
                <c:pt idx="1283">
                  <c:v>1.5</c:v>
                </c:pt>
                <c:pt idx="1284">
                  <c:v>1.3</c:v>
                </c:pt>
                <c:pt idx="1285">
                  <c:v>1</c:v>
                </c:pt>
                <c:pt idx="1286">
                  <c:v>0.7</c:v>
                </c:pt>
                <c:pt idx="1287">
                  <c:v>0.95</c:v>
                </c:pt>
                <c:pt idx="1288">
                  <c:v>1.2</c:v>
                </c:pt>
                <c:pt idx="1289">
                  <c:v>1.1499999999999999</c:v>
                </c:pt>
                <c:pt idx="1290">
                  <c:v>1.1000000000000001</c:v>
                </c:pt>
                <c:pt idx="1291">
                  <c:v>1.1000000000000001</c:v>
                </c:pt>
                <c:pt idx="1292">
                  <c:v>1.1000000000000001</c:v>
                </c:pt>
                <c:pt idx="1293">
                  <c:v>0.8</c:v>
                </c:pt>
                <c:pt idx="1294">
                  <c:v>0.5</c:v>
                </c:pt>
                <c:pt idx="1295">
                  <c:v>1.3</c:v>
                </c:pt>
                <c:pt idx="1296">
                  <c:v>2.1</c:v>
                </c:pt>
                <c:pt idx="1297">
                  <c:v>1.6</c:v>
                </c:pt>
                <c:pt idx="1298">
                  <c:v>1.1000000000000001</c:v>
                </c:pt>
                <c:pt idx="1299">
                  <c:v>1.1499999999999999</c:v>
                </c:pt>
                <c:pt idx="1300">
                  <c:v>1.2</c:v>
                </c:pt>
                <c:pt idx="1301">
                  <c:v>0.95</c:v>
                </c:pt>
                <c:pt idx="1302">
                  <c:v>0.7</c:v>
                </c:pt>
                <c:pt idx="1303">
                  <c:v>1.1499999999999999</c:v>
                </c:pt>
                <c:pt idx="1304">
                  <c:v>1.6</c:v>
                </c:pt>
                <c:pt idx="1305">
                  <c:v>1.6</c:v>
                </c:pt>
                <c:pt idx="1306">
                  <c:v>1.6</c:v>
                </c:pt>
                <c:pt idx="1307">
                  <c:v>1.1000000000000001</c:v>
                </c:pt>
                <c:pt idx="1308">
                  <c:v>0.6</c:v>
                </c:pt>
                <c:pt idx="1309">
                  <c:v>0.85</c:v>
                </c:pt>
                <c:pt idx="1310">
                  <c:v>1.1000000000000001</c:v>
                </c:pt>
                <c:pt idx="1311">
                  <c:v>1.05</c:v>
                </c:pt>
                <c:pt idx="1312">
                  <c:v>1</c:v>
                </c:pt>
                <c:pt idx="1313">
                  <c:v>1.05</c:v>
                </c:pt>
                <c:pt idx="1314">
                  <c:v>1.1000000000000001</c:v>
                </c:pt>
                <c:pt idx="1315">
                  <c:v>0.85</c:v>
                </c:pt>
                <c:pt idx="1316">
                  <c:v>0.6</c:v>
                </c:pt>
                <c:pt idx="1317">
                  <c:v>0.95</c:v>
                </c:pt>
                <c:pt idx="1318">
                  <c:v>1.3</c:v>
                </c:pt>
                <c:pt idx="1319">
                  <c:v>1.45</c:v>
                </c:pt>
                <c:pt idx="1320">
                  <c:v>1.6</c:v>
                </c:pt>
                <c:pt idx="1321">
                  <c:v>1.3</c:v>
                </c:pt>
                <c:pt idx="1322">
                  <c:v>1</c:v>
                </c:pt>
                <c:pt idx="1323">
                  <c:v>0.8</c:v>
                </c:pt>
                <c:pt idx="1324">
                  <c:v>0.6</c:v>
                </c:pt>
                <c:pt idx="1325">
                  <c:v>0.9</c:v>
                </c:pt>
                <c:pt idx="1326">
                  <c:v>1.2</c:v>
                </c:pt>
                <c:pt idx="1327">
                  <c:v>1.2</c:v>
                </c:pt>
                <c:pt idx="1328">
                  <c:v>1.2</c:v>
                </c:pt>
                <c:pt idx="1329">
                  <c:v>1.45</c:v>
                </c:pt>
                <c:pt idx="1330">
                  <c:v>1.7</c:v>
                </c:pt>
                <c:pt idx="1331">
                  <c:v>1.4</c:v>
                </c:pt>
                <c:pt idx="1332">
                  <c:v>1.1000000000000001</c:v>
                </c:pt>
                <c:pt idx="1333">
                  <c:v>1.1000000000000001</c:v>
                </c:pt>
                <c:pt idx="1334">
                  <c:v>1.1000000000000001</c:v>
                </c:pt>
                <c:pt idx="1335">
                  <c:v>1.45</c:v>
                </c:pt>
                <c:pt idx="1336">
                  <c:v>1.8</c:v>
                </c:pt>
                <c:pt idx="1337">
                  <c:v>1.65</c:v>
                </c:pt>
                <c:pt idx="1338">
                  <c:v>1.5</c:v>
                </c:pt>
                <c:pt idx="1339">
                  <c:v>1.25</c:v>
                </c:pt>
                <c:pt idx="1340">
                  <c:v>1</c:v>
                </c:pt>
                <c:pt idx="1341">
                  <c:v>0.75</c:v>
                </c:pt>
                <c:pt idx="1342">
                  <c:v>0.5</c:v>
                </c:pt>
                <c:pt idx="1343">
                  <c:v>0.8</c:v>
                </c:pt>
                <c:pt idx="1344">
                  <c:v>1.1000000000000001</c:v>
                </c:pt>
                <c:pt idx="1345">
                  <c:v>0.85</c:v>
                </c:pt>
                <c:pt idx="1346">
                  <c:v>0.6</c:v>
                </c:pt>
                <c:pt idx="1347">
                  <c:v>1.1000000000000001</c:v>
                </c:pt>
                <c:pt idx="1348">
                  <c:v>1.6</c:v>
                </c:pt>
                <c:pt idx="1349">
                  <c:v>1.4</c:v>
                </c:pt>
                <c:pt idx="1350">
                  <c:v>1.2</c:v>
                </c:pt>
                <c:pt idx="1351">
                  <c:v>1.35</c:v>
                </c:pt>
                <c:pt idx="1352">
                  <c:v>1.5</c:v>
                </c:pt>
                <c:pt idx="1353">
                  <c:v>1.05</c:v>
                </c:pt>
                <c:pt idx="1354">
                  <c:v>0.6</c:v>
                </c:pt>
                <c:pt idx="1355">
                  <c:v>0.8</c:v>
                </c:pt>
                <c:pt idx="1356">
                  <c:v>1</c:v>
                </c:pt>
                <c:pt idx="1357">
                  <c:v>0.8</c:v>
                </c:pt>
                <c:pt idx="1358">
                  <c:v>0.6</c:v>
                </c:pt>
                <c:pt idx="1359">
                  <c:v>0.85</c:v>
                </c:pt>
                <c:pt idx="1360">
                  <c:v>1.1000000000000001</c:v>
                </c:pt>
                <c:pt idx="1361">
                  <c:v>0.85</c:v>
                </c:pt>
                <c:pt idx="1362">
                  <c:v>0.6</c:v>
                </c:pt>
                <c:pt idx="1363">
                  <c:v>0.85</c:v>
                </c:pt>
                <c:pt idx="1364">
                  <c:v>1.1000000000000001</c:v>
                </c:pt>
                <c:pt idx="1365">
                  <c:v>1.4</c:v>
                </c:pt>
                <c:pt idx="1366">
                  <c:v>1.7</c:v>
                </c:pt>
                <c:pt idx="1367">
                  <c:v>1.65</c:v>
                </c:pt>
                <c:pt idx="1368">
                  <c:v>1.6</c:v>
                </c:pt>
                <c:pt idx="1369">
                  <c:v>1.35</c:v>
                </c:pt>
                <c:pt idx="1370">
                  <c:v>1.1000000000000001</c:v>
                </c:pt>
                <c:pt idx="1371">
                  <c:v>1.1499999999999999</c:v>
                </c:pt>
                <c:pt idx="1372">
                  <c:v>1.2</c:v>
                </c:pt>
                <c:pt idx="1373">
                  <c:v>1.1499999999999999</c:v>
                </c:pt>
                <c:pt idx="1374">
                  <c:v>1.1000000000000001</c:v>
                </c:pt>
                <c:pt idx="1375">
                  <c:v>0.85</c:v>
                </c:pt>
                <c:pt idx="1376">
                  <c:v>0.6</c:v>
                </c:pt>
                <c:pt idx="1377">
                  <c:v>0.6</c:v>
                </c:pt>
                <c:pt idx="1378">
                  <c:v>0.6</c:v>
                </c:pt>
                <c:pt idx="1379">
                  <c:v>0.9</c:v>
                </c:pt>
                <c:pt idx="1380">
                  <c:v>1.2</c:v>
                </c:pt>
                <c:pt idx="1381">
                  <c:v>1.1000000000000001</c:v>
                </c:pt>
                <c:pt idx="1382">
                  <c:v>1</c:v>
                </c:pt>
                <c:pt idx="1383">
                  <c:v>1</c:v>
                </c:pt>
                <c:pt idx="1384">
                  <c:v>1</c:v>
                </c:pt>
                <c:pt idx="1385">
                  <c:v>0.85</c:v>
                </c:pt>
                <c:pt idx="1386">
                  <c:v>0.7</c:v>
                </c:pt>
                <c:pt idx="1387">
                  <c:v>1.2</c:v>
                </c:pt>
                <c:pt idx="1388">
                  <c:v>1.7</c:v>
                </c:pt>
                <c:pt idx="1389">
                  <c:v>1.2</c:v>
                </c:pt>
                <c:pt idx="1390">
                  <c:v>0.7</c:v>
                </c:pt>
                <c:pt idx="1391">
                  <c:v>0.65</c:v>
                </c:pt>
                <c:pt idx="1392">
                  <c:v>0.6</c:v>
                </c:pt>
                <c:pt idx="1393">
                  <c:v>1.1000000000000001</c:v>
                </c:pt>
                <c:pt idx="1394">
                  <c:v>1.6</c:v>
                </c:pt>
                <c:pt idx="1395">
                  <c:v>1.1000000000000001</c:v>
                </c:pt>
                <c:pt idx="1396">
                  <c:v>0.6</c:v>
                </c:pt>
                <c:pt idx="1397">
                  <c:v>0.6</c:v>
                </c:pt>
                <c:pt idx="1398">
                  <c:v>0.6</c:v>
                </c:pt>
                <c:pt idx="1399">
                  <c:v>0.85</c:v>
                </c:pt>
                <c:pt idx="1400">
                  <c:v>1.1000000000000001</c:v>
                </c:pt>
                <c:pt idx="1401">
                  <c:v>1.05</c:v>
                </c:pt>
                <c:pt idx="1402">
                  <c:v>1</c:v>
                </c:pt>
                <c:pt idx="1403">
                  <c:v>1.35</c:v>
                </c:pt>
                <c:pt idx="1404">
                  <c:v>1.7</c:v>
                </c:pt>
                <c:pt idx="1405">
                  <c:v>1.35</c:v>
                </c:pt>
                <c:pt idx="1406">
                  <c:v>1</c:v>
                </c:pt>
                <c:pt idx="1407">
                  <c:v>1</c:v>
                </c:pt>
                <c:pt idx="1408">
                  <c:v>1</c:v>
                </c:pt>
                <c:pt idx="1409">
                  <c:v>1</c:v>
                </c:pt>
                <c:pt idx="1410">
                  <c:v>1</c:v>
                </c:pt>
                <c:pt idx="1411">
                  <c:v>1.05</c:v>
                </c:pt>
                <c:pt idx="1412">
                  <c:v>1.1000000000000001</c:v>
                </c:pt>
                <c:pt idx="1413">
                  <c:v>0.85</c:v>
                </c:pt>
                <c:pt idx="1414">
                  <c:v>0.6</c:v>
                </c:pt>
                <c:pt idx="1415">
                  <c:v>1.1499999999999999</c:v>
                </c:pt>
                <c:pt idx="1416">
                  <c:v>1.7</c:v>
                </c:pt>
                <c:pt idx="1417">
                  <c:v>1.1499999999999999</c:v>
                </c:pt>
                <c:pt idx="1418">
                  <c:v>0.6</c:v>
                </c:pt>
                <c:pt idx="1419">
                  <c:v>0.9</c:v>
                </c:pt>
                <c:pt idx="1420">
                  <c:v>1.2</c:v>
                </c:pt>
                <c:pt idx="1421">
                  <c:v>1.5</c:v>
                </c:pt>
                <c:pt idx="1422">
                  <c:v>1.8</c:v>
                </c:pt>
                <c:pt idx="1423">
                  <c:v>1.2</c:v>
                </c:pt>
                <c:pt idx="1424">
                  <c:v>0.6</c:v>
                </c:pt>
                <c:pt idx="1425">
                  <c:v>0.6</c:v>
                </c:pt>
                <c:pt idx="1426">
                  <c:v>0.6</c:v>
                </c:pt>
                <c:pt idx="1427">
                  <c:v>0.8</c:v>
                </c:pt>
                <c:pt idx="1428">
                  <c:v>1</c:v>
                </c:pt>
                <c:pt idx="1429">
                  <c:v>1</c:v>
                </c:pt>
                <c:pt idx="1430">
                  <c:v>1</c:v>
                </c:pt>
                <c:pt idx="1431">
                  <c:v>0.75</c:v>
                </c:pt>
                <c:pt idx="1432">
                  <c:v>0.5</c:v>
                </c:pt>
                <c:pt idx="1433">
                  <c:v>0.8</c:v>
                </c:pt>
                <c:pt idx="1434">
                  <c:v>1.1000000000000001</c:v>
                </c:pt>
                <c:pt idx="1435">
                  <c:v>1.05</c:v>
                </c:pt>
                <c:pt idx="1436">
                  <c:v>1</c:v>
                </c:pt>
                <c:pt idx="1437">
                  <c:v>1.1499999999999999</c:v>
                </c:pt>
                <c:pt idx="1438">
                  <c:v>1.3</c:v>
                </c:pt>
                <c:pt idx="1439">
                  <c:v>1.25</c:v>
                </c:pt>
              </c:numCache>
            </c:numRef>
          </c:yVal>
          <c:smooth val="1"/>
          <c:extLst>
            <c:ext xmlns:c16="http://schemas.microsoft.com/office/drawing/2014/chart" uri="{C3380CC4-5D6E-409C-BE32-E72D297353CC}">
              <c16:uniqueId val="{00000000-3F12-415F-8D82-C055D47F70E9}"/>
            </c:ext>
          </c:extLst>
        </c:ser>
        <c:ser>
          <c:idx val="1"/>
          <c:order val="1"/>
          <c:tx>
            <c:strRef>
              <c:f>Sheet1!$C$1</c:f>
              <c:strCache>
                <c:ptCount val="1"/>
                <c:pt idx="0">
                  <c:v>Diffuse irradiance (W/m2)</c:v>
                </c:pt>
              </c:strCache>
            </c:strRef>
          </c:tx>
          <c:spPr>
            <a:ln w="12700" cap="rnd">
              <a:solidFill>
                <a:srgbClr val="0070C0"/>
              </a:solidFill>
              <a:round/>
            </a:ln>
            <a:effectLst/>
          </c:spPr>
          <c:marker>
            <c:symbol val="none"/>
          </c:marker>
          <c:xVal>
            <c:numRef>
              <c:f>Sheet1!$A$2:$A$1441</c:f>
              <c:numCache>
                <c:formatCode>h:mm</c:formatCode>
                <c:ptCount val="1440"/>
                <c:pt idx="0">
                  <c:v>41702</c:v>
                </c:pt>
                <c:pt idx="1">
                  <c:v>41702.000694444447</c:v>
                </c:pt>
                <c:pt idx="2">
                  <c:v>41702.001388888886</c:v>
                </c:pt>
                <c:pt idx="3">
                  <c:v>41702.002083333333</c:v>
                </c:pt>
                <c:pt idx="4">
                  <c:v>41702.00277777778</c:v>
                </c:pt>
                <c:pt idx="5">
                  <c:v>41702.003472222219</c:v>
                </c:pt>
                <c:pt idx="6">
                  <c:v>41702.004166666666</c:v>
                </c:pt>
                <c:pt idx="7">
                  <c:v>41702.004861111112</c:v>
                </c:pt>
                <c:pt idx="8">
                  <c:v>41702.005555555559</c:v>
                </c:pt>
                <c:pt idx="9">
                  <c:v>41702.006249999999</c:v>
                </c:pt>
                <c:pt idx="10">
                  <c:v>41702.006944444445</c:v>
                </c:pt>
                <c:pt idx="11">
                  <c:v>41702.007638888892</c:v>
                </c:pt>
                <c:pt idx="12">
                  <c:v>41702.008333333331</c:v>
                </c:pt>
                <c:pt idx="13">
                  <c:v>41702.009027777778</c:v>
                </c:pt>
                <c:pt idx="14">
                  <c:v>41702.009722222225</c:v>
                </c:pt>
                <c:pt idx="15">
                  <c:v>41702.010416666664</c:v>
                </c:pt>
                <c:pt idx="16">
                  <c:v>41702.011111111111</c:v>
                </c:pt>
                <c:pt idx="17">
                  <c:v>41702.011805555558</c:v>
                </c:pt>
                <c:pt idx="18">
                  <c:v>41702.012499999997</c:v>
                </c:pt>
                <c:pt idx="19">
                  <c:v>41702.013194444444</c:v>
                </c:pt>
                <c:pt idx="20">
                  <c:v>41702.013888888891</c:v>
                </c:pt>
                <c:pt idx="21">
                  <c:v>41702.01458333333</c:v>
                </c:pt>
                <c:pt idx="22">
                  <c:v>41702.015277777777</c:v>
                </c:pt>
                <c:pt idx="23">
                  <c:v>41702.015972222223</c:v>
                </c:pt>
                <c:pt idx="24">
                  <c:v>41702.01666666667</c:v>
                </c:pt>
                <c:pt idx="25">
                  <c:v>41702.017361111109</c:v>
                </c:pt>
                <c:pt idx="26">
                  <c:v>41702.018055555556</c:v>
                </c:pt>
                <c:pt idx="27">
                  <c:v>41702.018750000003</c:v>
                </c:pt>
                <c:pt idx="28">
                  <c:v>41702.019444444442</c:v>
                </c:pt>
                <c:pt idx="29">
                  <c:v>41702.020138888889</c:v>
                </c:pt>
                <c:pt idx="30">
                  <c:v>41702.020833333336</c:v>
                </c:pt>
                <c:pt idx="31">
                  <c:v>41702.021527777775</c:v>
                </c:pt>
                <c:pt idx="32">
                  <c:v>41702.022222222222</c:v>
                </c:pt>
                <c:pt idx="33">
                  <c:v>41702.022916666669</c:v>
                </c:pt>
                <c:pt idx="34">
                  <c:v>41702.023611111108</c:v>
                </c:pt>
                <c:pt idx="35">
                  <c:v>41702.024305555555</c:v>
                </c:pt>
                <c:pt idx="36">
                  <c:v>41702.025000000001</c:v>
                </c:pt>
                <c:pt idx="37">
                  <c:v>41702.025694444441</c:v>
                </c:pt>
                <c:pt idx="38">
                  <c:v>41702.026388888888</c:v>
                </c:pt>
                <c:pt idx="39">
                  <c:v>41702.027083333334</c:v>
                </c:pt>
                <c:pt idx="40">
                  <c:v>41702.027777777781</c:v>
                </c:pt>
                <c:pt idx="41">
                  <c:v>41702.02847222222</c:v>
                </c:pt>
                <c:pt idx="42">
                  <c:v>41702.029166666667</c:v>
                </c:pt>
                <c:pt idx="43">
                  <c:v>41702.029861111114</c:v>
                </c:pt>
                <c:pt idx="44">
                  <c:v>41702.030555555553</c:v>
                </c:pt>
                <c:pt idx="45">
                  <c:v>41702.03125</c:v>
                </c:pt>
                <c:pt idx="46">
                  <c:v>41702.031944444447</c:v>
                </c:pt>
                <c:pt idx="47">
                  <c:v>41702.032638888886</c:v>
                </c:pt>
                <c:pt idx="48">
                  <c:v>41702.033333333333</c:v>
                </c:pt>
                <c:pt idx="49">
                  <c:v>41702.03402777778</c:v>
                </c:pt>
                <c:pt idx="50">
                  <c:v>41702.034722222219</c:v>
                </c:pt>
                <c:pt idx="51">
                  <c:v>41702.035416666666</c:v>
                </c:pt>
                <c:pt idx="52">
                  <c:v>41702.036111111112</c:v>
                </c:pt>
                <c:pt idx="53">
                  <c:v>41702.036805555559</c:v>
                </c:pt>
                <c:pt idx="54">
                  <c:v>41702.037499999999</c:v>
                </c:pt>
                <c:pt idx="55">
                  <c:v>41702.038194444445</c:v>
                </c:pt>
                <c:pt idx="56">
                  <c:v>41702.038888888892</c:v>
                </c:pt>
                <c:pt idx="57">
                  <c:v>41702.039583333331</c:v>
                </c:pt>
                <c:pt idx="58">
                  <c:v>41702.040277777778</c:v>
                </c:pt>
                <c:pt idx="59">
                  <c:v>41702.040972222225</c:v>
                </c:pt>
                <c:pt idx="60">
                  <c:v>41702.041666666664</c:v>
                </c:pt>
                <c:pt idx="61">
                  <c:v>41702.042361111111</c:v>
                </c:pt>
                <c:pt idx="62">
                  <c:v>41702.043055555558</c:v>
                </c:pt>
                <c:pt idx="63">
                  <c:v>41702.043749999997</c:v>
                </c:pt>
                <c:pt idx="64">
                  <c:v>41702.044444444444</c:v>
                </c:pt>
                <c:pt idx="65">
                  <c:v>41702.045138888891</c:v>
                </c:pt>
                <c:pt idx="66">
                  <c:v>41702.04583333333</c:v>
                </c:pt>
                <c:pt idx="67">
                  <c:v>41702.046527777777</c:v>
                </c:pt>
                <c:pt idx="68">
                  <c:v>41702.047222222223</c:v>
                </c:pt>
                <c:pt idx="69">
                  <c:v>41702.04791666667</c:v>
                </c:pt>
                <c:pt idx="70">
                  <c:v>41702.048611111109</c:v>
                </c:pt>
                <c:pt idx="71">
                  <c:v>41702.049305555556</c:v>
                </c:pt>
                <c:pt idx="72">
                  <c:v>41702.050000000003</c:v>
                </c:pt>
                <c:pt idx="73">
                  <c:v>41702.050694444442</c:v>
                </c:pt>
                <c:pt idx="74">
                  <c:v>41702.051388888889</c:v>
                </c:pt>
                <c:pt idx="75">
                  <c:v>41702.052083333336</c:v>
                </c:pt>
                <c:pt idx="76">
                  <c:v>41702.052777777775</c:v>
                </c:pt>
                <c:pt idx="77">
                  <c:v>41702.053472222222</c:v>
                </c:pt>
                <c:pt idx="78">
                  <c:v>41702.054166666669</c:v>
                </c:pt>
                <c:pt idx="79">
                  <c:v>41702.054861111108</c:v>
                </c:pt>
                <c:pt idx="80">
                  <c:v>41702.055555555555</c:v>
                </c:pt>
                <c:pt idx="81">
                  <c:v>41702.056250000001</c:v>
                </c:pt>
                <c:pt idx="82">
                  <c:v>41702.056944444441</c:v>
                </c:pt>
                <c:pt idx="83">
                  <c:v>41702.057638888888</c:v>
                </c:pt>
                <c:pt idx="84">
                  <c:v>41702.058333333334</c:v>
                </c:pt>
                <c:pt idx="85">
                  <c:v>41702.059027777781</c:v>
                </c:pt>
                <c:pt idx="86">
                  <c:v>41702.05972222222</c:v>
                </c:pt>
                <c:pt idx="87">
                  <c:v>41702.060416666667</c:v>
                </c:pt>
                <c:pt idx="88">
                  <c:v>41702.061111111114</c:v>
                </c:pt>
                <c:pt idx="89">
                  <c:v>41702.061805555553</c:v>
                </c:pt>
                <c:pt idx="90">
                  <c:v>41702.0625</c:v>
                </c:pt>
                <c:pt idx="91">
                  <c:v>41702.063194444447</c:v>
                </c:pt>
                <c:pt idx="92">
                  <c:v>41702.063888888886</c:v>
                </c:pt>
                <c:pt idx="93">
                  <c:v>41702.064583333333</c:v>
                </c:pt>
                <c:pt idx="94">
                  <c:v>41702.06527777778</c:v>
                </c:pt>
                <c:pt idx="95">
                  <c:v>41702.065972222219</c:v>
                </c:pt>
                <c:pt idx="96">
                  <c:v>41702.066666666666</c:v>
                </c:pt>
                <c:pt idx="97">
                  <c:v>41702.067361111112</c:v>
                </c:pt>
                <c:pt idx="98">
                  <c:v>41702.068055555559</c:v>
                </c:pt>
                <c:pt idx="99">
                  <c:v>41702.068749999999</c:v>
                </c:pt>
                <c:pt idx="100">
                  <c:v>41702.069444444445</c:v>
                </c:pt>
                <c:pt idx="101">
                  <c:v>41702.070138888892</c:v>
                </c:pt>
                <c:pt idx="102">
                  <c:v>41702.070833333331</c:v>
                </c:pt>
                <c:pt idx="103">
                  <c:v>41702.071527777778</c:v>
                </c:pt>
                <c:pt idx="104">
                  <c:v>41702.072222222225</c:v>
                </c:pt>
                <c:pt idx="105">
                  <c:v>41702.072916666664</c:v>
                </c:pt>
                <c:pt idx="106">
                  <c:v>41702.073611111111</c:v>
                </c:pt>
                <c:pt idx="107">
                  <c:v>41702.074305555558</c:v>
                </c:pt>
                <c:pt idx="108">
                  <c:v>41702.074999999997</c:v>
                </c:pt>
                <c:pt idx="109">
                  <c:v>41702.075694444444</c:v>
                </c:pt>
                <c:pt idx="110">
                  <c:v>41702.076388888891</c:v>
                </c:pt>
                <c:pt idx="111">
                  <c:v>41702.07708333333</c:v>
                </c:pt>
                <c:pt idx="112">
                  <c:v>41702.077777777777</c:v>
                </c:pt>
                <c:pt idx="113">
                  <c:v>41702.078472222223</c:v>
                </c:pt>
                <c:pt idx="114">
                  <c:v>41702.07916666667</c:v>
                </c:pt>
                <c:pt idx="115">
                  <c:v>41702.079861111109</c:v>
                </c:pt>
                <c:pt idx="116">
                  <c:v>41702.080555555556</c:v>
                </c:pt>
                <c:pt idx="117">
                  <c:v>41702.081250000003</c:v>
                </c:pt>
                <c:pt idx="118">
                  <c:v>41702.081944444442</c:v>
                </c:pt>
                <c:pt idx="119">
                  <c:v>41702.082638888889</c:v>
                </c:pt>
                <c:pt idx="120">
                  <c:v>41702.083333333336</c:v>
                </c:pt>
                <c:pt idx="121">
                  <c:v>41702.084027777775</c:v>
                </c:pt>
                <c:pt idx="122">
                  <c:v>41702.084722222222</c:v>
                </c:pt>
                <c:pt idx="123">
                  <c:v>41702.085416666669</c:v>
                </c:pt>
                <c:pt idx="124">
                  <c:v>41702.086111111108</c:v>
                </c:pt>
                <c:pt idx="125">
                  <c:v>41702.086805555555</c:v>
                </c:pt>
                <c:pt idx="126">
                  <c:v>41702.087500000001</c:v>
                </c:pt>
                <c:pt idx="127">
                  <c:v>41702.088194444441</c:v>
                </c:pt>
                <c:pt idx="128">
                  <c:v>41702.088888888888</c:v>
                </c:pt>
                <c:pt idx="129">
                  <c:v>41702.089583333334</c:v>
                </c:pt>
                <c:pt idx="130">
                  <c:v>41702.090277777781</c:v>
                </c:pt>
                <c:pt idx="131">
                  <c:v>41702.09097222222</c:v>
                </c:pt>
                <c:pt idx="132">
                  <c:v>41702.091666666667</c:v>
                </c:pt>
                <c:pt idx="133">
                  <c:v>41702.092361111114</c:v>
                </c:pt>
                <c:pt idx="134">
                  <c:v>41702.093055555553</c:v>
                </c:pt>
                <c:pt idx="135">
                  <c:v>41702.09375</c:v>
                </c:pt>
                <c:pt idx="136">
                  <c:v>41702.094444444447</c:v>
                </c:pt>
                <c:pt idx="137">
                  <c:v>41702.095138888886</c:v>
                </c:pt>
                <c:pt idx="138">
                  <c:v>41702.095833333333</c:v>
                </c:pt>
                <c:pt idx="139">
                  <c:v>41702.09652777778</c:v>
                </c:pt>
                <c:pt idx="140">
                  <c:v>41702.097222222219</c:v>
                </c:pt>
                <c:pt idx="141">
                  <c:v>41702.097916666666</c:v>
                </c:pt>
                <c:pt idx="142">
                  <c:v>41702.098611111112</c:v>
                </c:pt>
                <c:pt idx="143">
                  <c:v>41702.099305555559</c:v>
                </c:pt>
                <c:pt idx="144">
                  <c:v>41702.1</c:v>
                </c:pt>
                <c:pt idx="145">
                  <c:v>41702.100694444445</c:v>
                </c:pt>
                <c:pt idx="146">
                  <c:v>41702.101388888892</c:v>
                </c:pt>
                <c:pt idx="147">
                  <c:v>41702.102083333331</c:v>
                </c:pt>
                <c:pt idx="148">
                  <c:v>41702.102777777778</c:v>
                </c:pt>
                <c:pt idx="149">
                  <c:v>41702.103472222225</c:v>
                </c:pt>
                <c:pt idx="150">
                  <c:v>41702.104166666664</c:v>
                </c:pt>
                <c:pt idx="151">
                  <c:v>41702.104861111111</c:v>
                </c:pt>
                <c:pt idx="152">
                  <c:v>41702.105555555558</c:v>
                </c:pt>
                <c:pt idx="153">
                  <c:v>41702.106249999997</c:v>
                </c:pt>
                <c:pt idx="154">
                  <c:v>41702.106944444444</c:v>
                </c:pt>
                <c:pt idx="155">
                  <c:v>41702.107638888891</c:v>
                </c:pt>
                <c:pt idx="156">
                  <c:v>41702.10833333333</c:v>
                </c:pt>
                <c:pt idx="157">
                  <c:v>41702.109027777777</c:v>
                </c:pt>
                <c:pt idx="158">
                  <c:v>41702.109722222223</c:v>
                </c:pt>
                <c:pt idx="159">
                  <c:v>41702.11041666667</c:v>
                </c:pt>
                <c:pt idx="160">
                  <c:v>41702.111111111109</c:v>
                </c:pt>
                <c:pt idx="161">
                  <c:v>41702.111805555556</c:v>
                </c:pt>
                <c:pt idx="162">
                  <c:v>41702.112500000003</c:v>
                </c:pt>
                <c:pt idx="163">
                  <c:v>41702.113194444442</c:v>
                </c:pt>
                <c:pt idx="164">
                  <c:v>41702.113888888889</c:v>
                </c:pt>
                <c:pt idx="165">
                  <c:v>41702.114583333336</c:v>
                </c:pt>
                <c:pt idx="166">
                  <c:v>41702.115277777775</c:v>
                </c:pt>
                <c:pt idx="167">
                  <c:v>41702.115972222222</c:v>
                </c:pt>
                <c:pt idx="168">
                  <c:v>41702.116666666669</c:v>
                </c:pt>
                <c:pt idx="169">
                  <c:v>41702.117361111108</c:v>
                </c:pt>
                <c:pt idx="170">
                  <c:v>41702.118055555555</c:v>
                </c:pt>
                <c:pt idx="171">
                  <c:v>41702.118750000001</c:v>
                </c:pt>
                <c:pt idx="172">
                  <c:v>41702.119444444441</c:v>
                </c:pt>
                <c:pt idx="173">
                  <c:v>41702.120138888888</c:v>
                </c:pt>
                <c:pt idx="174">
                  <c:v>41702.120833333334</c:v>
                </c:pt>
                <c:pt idx="175">
                  <c:v>41702.121527777781</c:v>
                </c:pt>
                <c:pt idx="176">
                  <c:v>41702.12222222222</c:v>
                </c:pt>
                <c:pt idx="177">
                  <c:v>41702.122916666667</c:v>
                </c:pt>
                <c:pt idx="178">
                  <c:v>41702.123611111114</c:v>
                </c:pt>
                <c:pt idx="179">
                  <c:v>41702.124305555553</c:v>
                </c:pt>
                <c:pt idx="180">
                  <c:v>41702.125</c:v>
                </c:pt>
                <c:pt idx="181">
                  <c:v>41702.125694444447</c:v>
                </c:pt>
                <c:pt idx="182">
                  <c:v>41702.126388888886</c:v>
                </c:pt>
                <c:pt idx="183">
                  <c:v>41702.127083333333</c:v>
                </c:pt>
                <c:pt idx="184">
                  <c:v>41702.12777777778</c:v>
                </c:pt>
                <c:pt idx="185">
                  <c:v>41702.128472222219</c:v>
                </c:pt>
                <c:pt idx="186">
                  <c:v>41702.129166666666</c:v>
                </c:pt>
                <c:pt idx="187">
                  <c:v>41702.129861111112</c:v>
                </c:pt>
                <c:pt idx="188">
                  <c:v>41702.130555555559</c:v>
                </c:pt>
                <c:pt idx="189">
                  <c:v>41702.131249999999</c:v>
                </c:pt>
                <c:pt idx="190">
                  <c:v>41702.131944444445</c:v>
                </c:pt>
                <c:pt idx="191">
                  <c:v>41702.132638888892</c:v>
                </c:pt>
                <c:pt idx="192">
                  <c:v>41702.133333333331</c:v>
                </c:pt>
                <c:pt idx="193">
                  <c:v>41702.134027777778</c:v>
                </c:pt>
                <c:pt idx="194">
                  <c:v>41702.134722222225</c:v>
                </c:pt>
                <c:pt idx="195">
                  <c:v>41702.135416666664</c:v>
                </c:pt>
                <c:pt idx="196">
                  <c:v>41702.136111111111</c:v>
                </c:pt>
                <c:pt idx="197">
                  <c:v>41702.136805555558</c:v>
                </c:pt>
                <c:pt idx="198">
                  <c:v>41702.137499999997</c:v>
                </c:pt>
                <c:pt idx="199">
                  <c:v>41702.138194444444</c:v>
                </c:pt>
                <c:pt idx="200">
                  <c:v>41702.138888888891</c:v>
                </c:pt>
                <c:pt idx="201">
                  <c:v>41702.13958333333</c:v>
                </c:pt>
                <c:pt idx="202">
                  <c:v>41702.140277777777</c:v>
                </c:pt>
                <c:pt idx="203">
                  <c:v>41702.140972222223</c:v>
                </c:pt>
                <c:pt idx="204">
                  <c:v>41702.14166666667</c:v>
                </c:pt>
                <c:pt idx="205">
                  <c:v>41702.142361111109</c:v>
                </c:pt>
                <c:pt idx="206">
                  <c:v>41702.143055555556</c:v>
                </c:pt>
                <c:pt idx="207">
                  <c:v>41702.143750000003</c:v>
                </c:pt>
                <c:pt idx="208">
                  <c:v>41702.144444444442</c:v>
                </c:pt>
                <c:pt idx="209">
                  <c:v>41702.145138888889</c:v>
                </c:pt>
                <c:pt idx="210">
                  <c:v>41702.145833333336</c:v>
                </c:pt>
                <c:pt idx="211">
                  <c:v>41702.146527777775</c:v>
                </c:pt>
                <c:pt idx="212">
                  <c:v>41702.147222222222</c:v>
                </c:pt>
                <c:pt idx="213">
                  <c:v>41702.147916666669</c:v>
                </c:pt>
                <c:pt idx="214">
                  <c:v>41702.148611111108</c:v>
                </c:pt>
                <c:pt idx="215">
                  <c:v>41702.149305555555</c:v>
                </c:pt>
                <c:pt idx="216">
                  <c:v>41702.15</c:v>
                </c:pt>
                <c:pt idx="217">
                  <c:v>41702.150694444441</c:v>
                </c:pt>
                <c:pt idx="218">
                  <c:v>41702.151388888888</c:v>
                </c:pt>
                <c:pt idx="219">
                  <c:v>41702.152083333334</c:v>
                </c:pt>
                <c:pt idx="220">
                  <c:v>41702.152777777781</c:v>
                </c:pt>
                <c:pt idx="221">
                  <c:v>41702.15347222222</c:v>
                </c:pt>
                <c:pt idx="222">
                  <c:v>41702.154166666667</c:v>
                </c:pt>
                <c:pt idx="223">
                  <c:v>41702.154861111114</c:v>
                </c:pt>
                <c:pt idx="224">
                  <c:v>41702.155555555553</c:v>
                </c:pt>
                <c:pt idx="225">
                  <c:v>41702.15625</c:v>
                </c:pt>
                <c:pt idx="226">
                  <c:v>41702.156944444447</c:v>
                </c:pt>
                <c:pt idx="227">
                  <c:v>41702.157638888886</c:v>
                </c:pt>
                <c:pt idx="228">
                  <c:v>41702.158333333333</c:v>
                </c:pt>
                <c:pt idx="229">
                  <c:v>41702.15902777778</c:v>
                </c:pt>
                <c:pt idx="230">
                  <c:v>41702.159722222219</c:v>
                </c:pt>
                <c:pt idx="231">
                  <c:v>41702.160416666666</c:v>
                </c:pt>
                <c:pt idx="232">
                  <c:v>41702.161111111112</c:v>
                </c:pt>
                <c:pt idx="233">
                  <c:v>41702.161805555559</c:v>
                </c:pt>
                <c:pt idx="234">
                  <c:v>41702.162499999999</c:v>
                </c:pt>
                <c:pt idx="235">
                  <c:v>41702.163194444445</c:v>
                </c:pt>
                <c:pt idx="236">
                  <c:v>41702.163888888892</c:v>
                </c:pt>
                <c:pt idx="237">
                  <c:v>41702.164583333331</c:v>
                </c:pt>
                <c:pt idx="238">
                  <c:v>41702.165277777778</c:v>
                </c:pt>
                <c:pt idx="239">
                  <c:v>41702.165972222225</c:v>
                </c:pt>
                <c:pt idx="240">
                  <c:v>41702.166666666664</c:v>
                </c:pt>
                <c:pt idx="241">
                  <c:v>41702.167361111111</c:v>
                </c:pt>
                <c:pt idx="242">
                  <c:v>41702.168055555558</c:v>
                </c:pt>
                <c:pt idx="243">
                  <c:v>41702.168749999997</c:v>
                </c:pt>
                <c:pt idx="244">
                  <c:v>41702.169444444444</c:v>
                </c:pt>
                <c:pt idx="245">
                  <c:v>41702.170138888891</c:v>
                </c:pt>
                <c:pt idx="246">
                  <c:v>41702.17083333333</c:v>
                </c:pt>
                <c:pt idx="247">
                  <c:v>41702.171527777777</c:v>
                </c:pt>
                <c:pt idx="248">
                  <c:v>41702.172222222223</c:v>
                </c:pt>
                <c:pt idx="249">
                  <c:v>41702.17291666667</c:v>
                </c:pt>
                <c:pt idx="250">
                  <c:v>41702.173611111109</c:v>
                </c:pt>
                <c:pt idx="251">
                  <c:v>41702.174305555556</c:v>
                </c:pt>
                <c:pt idx="252">
                  <c:v>41702.175000000003</c:v>
                </c:pt>
                <c:pt idx="253">
                  <c:v>41702.175694444442</c:v>
                </c:pt>
                <c:pt idx="254">
                  <c:v>41702.176388888889</c:v>
                </c:pt>
                <c:pt idx="255">
                  <c:v>41702.177083333336</c:v>
                </c:pt>
                <c:pt idx="256">
                  <c:v>41702.177777777775</c:v>
                </c:pt>
                <c:pt idx="257">
                  <c:v>41702.178472222222</c:v>
                </c:pt>
                <c:pt idx="258">
                  <c:v>41702.179166666669</c:v>
                </c:pt>
                <c:pt idx="259">
                  <c:v>41702.179861111108</c:v>
                </c:pt>
                <c:pt idx="260">
                  <c:v>41702.180555555555</c:v>
                </c:pt>
                <c:pt idx="261">
                  <c:v>41702.181250000001</c:v>
                </c:pt>
                <c:pt idx="262">
                  <c:v>41702.181944444441</c:v>
                </c:pt>
                <c:pt idx="263">
                  <c:v>41702.182638888888</c:v>
                </c:pt>
                <c:pt idx="264">
                  <c:v>41702.183333333334</c:v>
                </c:pt>
                <c:pt idx="265">
                  <c:v>41702.184027777781</c:v>
                </c:pt>
                <c:pt idx="266">
                  <c:v>41702.18472222222</c:v>
                </c:pt>
                <c:pt idx="267">
                  <c:v>41702.185416666667</c:v>
                </c:pt>
                <c:pt idx="268">
                  <c:v>41702.186111111114</c:v>
                </c:pt>
                <c:pt idx="269">
                  <c:v>41702.186805555553</c:v>
                </c:pt>
                <c:pt idx="270">
                  <c:v>41702.1875</c:v>
                </c:pt>
                <c:pt idx="271">
                  <c:v>41702.188194444447</c:v>
                </c:pt>
                <c:pt idx="272">
                  <c:v>41702.188888888886</c:v>
                </c:pt>
                <c:pt idx="273">
                  <c:v>41702.189583333333</c:v>
                </c:pt>
                <c:pt idx="274">
                  <c:v>41702.19027777778</c:v>
                </c:pt>
                <c:pt idx="275">
                  <c:v>41702.190972222219</c:v>
                </c:pt>
                <c:pt idx="276">
                  <c:v>41702.191666666666</c:v>
                </c:pt>
                <c:pt idx="277">
                  <c:v>41702.192361111112</c:v>
                </c:pt>
                <c:pt idx="278">
                  <c:v>41702.193055555559</c:v>
                </c:pt>
                <c:pt idx="279">
                  <c:v>41702.193749999999</c:v>
                </c:pt>
                <c:pt idx="280">
                  <c:v>41702.194444444445</c:v>
                </c:pt>
                <c:pt idx="281">
                  <c:v>41702.195138888892</c:v>
                </c:pt>
                <c:pt idx="282">
                  <c:v>41702.195833333331</c:v>
                </c:pt>
                <c:pt idx="283">
                  <c:v>41702.196527777778</c:v>
                </c:pt>
                <c:pt idx="284">
                  <c:v>41702.197222222225</c:v>
                </c:pt>
                <c:pt idx="285">
                  <c:v>41702.197916666664</c:v>
                </c:pt>
                <c:pt idx="286">
                  <c:v>41702.198611111111</c:v>
                </c:pt>
                <c:pt idx="287">
                  <c:v>41702.199305555558</c:v>
                </c:pt>
                <c:pt idx="288">
                  <c:v>41702.199999999997</c:v>
                </c:pt>
                <c:pt idx="289">
                  <c:v>41702.200694444444</c:v>
                </c:pt>
                <c:pt idx="290">
                  <c:v>41702.201388888891</c:v>
                </c:pt>
                <c:pt idx="291">
                  <c:v>41702.20208333333</c:v>
                </c:pt>
                <c:pt idx="292">
                  <c:v>41702.202777777777</c:v>
                </c:pt>
                <c:pt idx="293">
                  <c:v>41702.203472222223</c:v>
                </c:pt>
                <c:pt idx="294">
                  <c:v>41702.20416666667</c:v>
                </c:pt>
                <c:pt idx="295">
                  <c:v>41702.204861111109</c:v>
                </c:pt>
                <c:pt idx="296">
                  <c:v>41702.205555555556</c:v>
                </c:pt>
                <c:pt idx="297">
                  <c:v>41702.206250000003</c:v>
                </c:pt>
                <c:pt idx="298">
                  <c:v>41702.206944444442</c:v>
                </c:pt>
                <c:pt idx="299">
                  <c:v>41702.207638888889</c:v>
                </c:pt>
                <c:pt idx="300">
                  <c:v>41702.208333333336</c:v>
                </c:pt>
                <c:pt idx="301">
                  <c:v>41702.209027777775</c:v>
                </c:pt>
                <c:pt idx="302">
                  <c:v>41702.209722222222</c:v>
                </c:pt>
                <c:pt idx="303">
                  <c:v>41702.210416666669</c:v>
                </c:pt>
                <c:pt idx="304">
                  <c:v>41702.211111111108</c:v>
                </c:pt>
                <c:pt idx="305">
                  <c:v>41702.211805555555</c:v>
                </c:pt>
                <c:pt idx="306">
                  <c:v>41702.212500000001</c:v>
                </c:pt>
                <c:pt idx="307">
                  <c:v>41702.213194444441</c:v>
                </c:pt>
                <c:pt idx="308">
                  <c:v>41702.213888888888</c:v>
                </c:pt>
                <c:pt idx="309">
                  <c:v>41702.214583333334</c:v>
                </c:pt>
                <c:pt idx="310">
                  <c:v>41702.215277777781</c:v>
                </c:pt>
                <c:pt idx="311">
                  <c:v>41702.21597222222</c:v>
                </c:pt>
                <c:pt idx="312">
                  <c:v>41702.216666666667</c:v>
                </c:pt>
                <c:pt idx="313">
                  <c:v>41702.217361111114</c:v>
                </c:pt>
                <c:pt idx="314">
                  <c:v>41702.218055555553</c:v>
                </c:pt>
                <c:pt idx="315">
                  <c:v>41702.21875</c:v>
                </c:pt>
                <c:pt idx="316">
                  <c:v>41702.219444444447</c:v>
                </c:pt>
                <c:pt idx="317">
                  <c:v>41702.220138888886</c:v>
                </c:pt>
                <c:pt idx="318">
                  <c:v>41702.220833333333</c:v>
                </c:pt>
                <c:pt idx="319">
                  <c:v>41702.22152777778</c:v>
                </c:pt>
                <c:pt idx="320">
                  <c:v>41702.222222222219</c:v>
                </c:pt>
                <c:pt idx="321">
                  <c:v>41702.222916666666</c:v>
                </c:pt>
                <c:pt idx="322">
                  <c:v>41702.223611111112</c:v>
                </c:pt>
                <c:pt idx="323">
                  <c:v>41702.224305555559</c:v>
                </c:pt>
                <c:pt idx="324">
                  <c:v>41702.224999999999</c:v>
                </c:pt>
                <c:pt idx="325">
                  <c:v>41702.225694444445</c:v>
                </c:pt>
                <c:pt idx="326">
                  <c:v>41702.226388888892</c:v>
                </c:pt>
                <c:pt idx="327">
                  <c:v>41702.227083333331</c:v>
                </c:pt>
                <c:pt idx="328">
                  <c:v>41702.227777777778</c:v>
                </c:pt>
                <c:pt idx="329">
                  <c:v>41702.228472222225</c:v>
                </c:pt>
                <c:pt idx="330">
                  <c:v>41702.229166666664</c:v>
                </c:pt>
                <c:pt idx="331">
                  <c:v>41702.229861111111</c:v>
                </c:pt>
                <c:pt idx="332">
                  <c:v>41702.230555555558</c:v>
                </c:pt>
                <c:pt idx="333">
                  <c:v>41702.231249999997</c:v>
                </c:pt>
                <c:pt idx="334">
                  <c:v>41702.231944444444</c:v>
                </c:pt>
                <c:pt idx="335">
                  <c:v>41702.232638888891</c:v>
                </c:pt>
                <c:pt idx="336">
                  <c:v>41702.23333333333</c:v>
                </c:pt>
                <c:pt idx="337">
                  <c:v>41702.234027777777</c:v>
                </c:pt>
                <c:pt idx="338">
                  <c:v>41702.234722222223</c:v>
                </c:pt>
                <c:pt idx="339">
                  <c:v>41702.23541666667</c:v>
                </c:pt>
                <c:pt idx="340">
                  <c:v>41702.236111111109</c:v>
                </c:pt>
                <c:pt idx="341">
                  <c:v>41702.236805555556</c:v>
                </c:pt>
                <c:pt idx="342">
                  <c:v>41702.237500000003</c:v>
                </c:pt>
                <c:pt idx="343">
                  <c:v>41702.238194444442</c:v>
                </c:pt>
                <c:pt idx="344">
                  <c:v>41702.238888888889</c:v>
                </c:pt>
                <c:pt idx="345">
                  <c:v>41702.239583333336</c:v>
                </c:pt>
                <c:pt idx="346">
                  <c:v>41702.240277777775</c:v>
                </c:pt>
                <c:pt idx="347">
                  <c:v>41702.240972222222</c:v>
                </c:pt>
                <c:pt idx="348">
                  <c:v>41702.241666666669</c:v>
                </c:pt>
                <c:pt idx="349">
                  <c:v>41702.242361111108</c:v>
                </c:pt>
                <c:pt idx="350">
                  <c:v>41702.243055555555</c:v>
                </c:pt>
                <c:pt idx="351">
                  <c:v>41702.243750000001</c:v>
                </c:pt>
                <c:pt idx="352">
                  <c:v>41702.244444444441</c:v>
                </c:pt>
                <c:pt idx="353">
                  <c:v>41702.245138888888</c:v>
                </c:pt>
                <c:pt idx="354">
                  <c:v>41702.245833333334</c:v>
                </c:pt>
                <c:pt idx="355">
                  <c:v>41702.246527777781</c:v>
                </c:pt>
                <c:pt idx="356">
                  <c:v>41702.24722222222</c:v>
                </c:pt>
                <c:pt idx="357">
                  <c:v>41702.247916666667</c:v>
                </c:pt>
                <c:pt idx="358">
                  <c:v>41702.248611111114</c:v>
                </c:pt>
                <c:pt idx="359">
                  <c:v>41702.249305555553</c:v>
                </c:pt>
                <c:pt idx="360">
                  <c:v>41702.25</c:v>
                </c:pt>
                <c:pt idx="361">
                  <c:v>41702.250694444447</c:v>
                </c:pt>
                <c:pt idx="362">
                  <c:v>41702.251388888886</c:v>
                </c:pt>
                <c:pt idx="363">
                  <c:v>41702.252083333333</c:v>
                </c:pt>
                <c:pt idx="364">
                  <c:v>41702.25277777778</c:v>
                </c:pt>
                <c:pt idx="365">
                  <c:v>41702.253472222219</c:v>
                </c:pt>
                <c:pt idx="366">
                  <c:v>41702.254166666666</c:v>
                </c:pt>
                <c:pt idx="367">
                  <c:v>41702.254861111112</c:v>
                </c:pt>
                <c:pt idx="368">
                  <c:v>41702.255555555559</c:v>
                </c:pt>
                <c:pt idx="369">
                  <c:v>41702.256249999999</c:v>
                </c:pt>
                <c:pt idx="370">
                  <c:v>41702.256944444445</c:v>
                </c:pt>
                <c:pt idx="371">
                  <c:v>41702.257638888892</c:v>
                </c:pt>
                <c:pt idx="372">
                  <c:v>41702.258333333331</c:v>
                </c:pt>
                <c:pt idx="373">
                  <c:v>41702.259027777778</c:v>
                </c:pt>
                <c:pt idx="374">
                  <c:v>41702.259722222225</c:v>
                </c:pt>
                <c:pt idx="375">
                  <c:v>41702.260416666664</c:v>
                </c:pt>
                <c:pt idx="376">
                  <c:v>41702.261111111111</c:v>
                </c:pt>
                <c:pt idx="377">
                  <c:v>41702.261805555558</c:v>
                </c:pt>
                <c:pt idx="378">
                  <c:v>41702.262499999997</c:v>
                </c:pt>
                <c:pt idx="379">
                  <c:v>41702.263194444444</c:v>
                </c:pt>
                <c:pt idx="380">
                  <c:v>41702.263888888891</c:v>
                </c:pt>
                <c:pt idx="381">
                  <c:v>41702.26458333333</c:v>
                </c:pt>
                <c:pt idx="382">
                  <c:v>41702.265277777777</c:v>
                </c:pt>
                <c:pt idx="383">
                  <c:v>41702.265972222223</c:v>
                </c:pt>
                <c:pt idx="384">
                  <c:v>41702.26666666667</c:v>
                </c:pt>
                <c:pt idx="385">
                  <c:v>41702.267361111109</c:v>
                </c:pt>
                <c:pt idx="386">
                  <c:v>41702.268055555556</c:v>
                </c:pt>
                <c:pt idx="387">
                  <c:v>41702.268750000003</c:v>
                </c:pt>
                <c:pt idx="388">
                  <c:v>41702.269444444442</c:v>
                </c:pt>
                <c:pt idx="389">
                  <c:v>41702.270138888889</c:v>
                </c:pt>
                <c:pt idx="390">
                  <c:v>41702.270833333336</c:v>
                </c:pt>
                <c:pt idx="391">
                  <c:v>41702.271527777775</c:v>
                </c:pt>
                <c:pt idx="392">
                  <c:v>41702.272222222222</c:v>
                </c:pt>
                <c:pt idx="393">
                  <c:v>41702.272916666669</c:v>
                </c:pt>
                <c:pt idx="394">
                  <c:v>41702.273611111108</c:v>
                </c:pt>
                <c:pt idx="395">
                  <c:v>41702.274305555555</c:v>
                </c:pt>
                <c:pt idx="396">
                  <c:v>41702.275000000001</c:v>
                </c:pt>
                <c:pt idx="397">
                  <c:v>41702.275694444441</c:v>
                </c:pt>
                <c:pt idx="398">
                  <c:v>41702.276388888888</c:v>
                </c:pt>
                <c:pt idx="399">
                  <c:v>41702.277083333334</c:v>
                </c:pt>
                <c:pt idx="400">
                  <c:v>41702.277777777781</c:v>
                </c:pt>
                <c:pt idx="401">
                  <c:v>41702.27847222222</c:v>
                </c:pt>
                <c:pt idx="402">
                  <c:v>41702.279166666667</c:v>
                </c:pt>
                <c:pt idx="403">
                  <c:v>41702.279861111114</c:v>
                </c:pt>
                <c:pt idx="404">
                  <c:v>41702.280555555553</c:v>
                </c:pt>
                <c:pt idx="405">
                  <c:v>41702.28125</c:v>
                </c:pt>
                <c:pt idx="406">
                  <c:v>41702.281944444447</c:v>
                </c:pt>
                <c:pt idx="407">
                  <c:v>41702.282638888886</c:v>
                </c:pt>
                <c:pt idx="408">
                  <c:v>41702.283333333333</c:v>
                </c:pt>
                <c:pt idx="409">
                  <c:v>41702.28402777778</c:v>
                </c:pt>
                <c:pt idx="410">
                  <c:v>41702.284722222219</c:v>
                </c:pt>
                <c:pt idx="411">
                  <c:v>41702.285416666666</c:v>
                </c:pt>
                <c:pt idx="412">
                  <c:v>41702.286111111112</c:v>
                </c:pt>
                <c:pt idx="413">
                  <c:v>41702.286805555559</c:v>
                </c:pt>
                <c:pt idx="414">
                  <c:v>41702.287499999999</c:v>
                </c:pt>
                <c:pt idx="415">
                  <c:v>41702.288194444445</c:v>
                </c:pt>
                <c:pt idx="416">
                  <c:v>41702.288888888892</c:v>
                </c:pt>
                <c:pt idx="417">
                  <c:v>41702.289583333331</c:v>
                </c:pt>
                <c:pt idx="418">
                  <c:v>41702.290277777778</c:v>
                </c:pt>
                <c:pt idx="419">
                  <c:v>41702.290972222225</c:v>
                </c:pt>
                <c:pt idx="420">
                  <c:v>41702.291666666664</c:v>
                </c:pt>
                <c:pt idx="421">
                  <c:v>41702.292361111111</c:v>
                </c:pt>
                <c:pt idx="422">
                  <c:v>41702.293055555558</c:v>
                </c:pt>
                <c:pt idx="423">
                  <c:v>41702.293749999997</c:v>
                </c:pt>
                <c:pt idx="424">
                  <c:v>41702.294444444444</c:v>
                </c:pt>
                <c:pt idx="425">
                  <c:v>41702.295138888891</c:v>
                </c:pt>
                <c:pt idx="426">
                  <c:v>41702.29583333333</c:v>
                </c:pt>
                <c:pt idx="427">
                  <c:v>41702.296527777777</c:v>
                </c:pt>
                <c:pt idx="428">
                  <c:v>41702.297222222223</c:v>
                </c:pt>
                <c:pt idx="429">
                  <c:v>41702.29791666667</c:v>
                </c:pt>
                <c:pt idx="430">
                  <c:v>41702.298611111109</c:v>
                </c:pt>
                <c:pt idx="431">
                  <c:v>41702.299305555556</c:v>
                </c:pt>
                <c:pt idx="432">
                  <c:v>41702.300000000003</c:v>
                </c:pt>
                <c:pt idx="433">
                  <c:v>41702.300694444442</c:v>
                </c:pt>
                <c:pt idx="434">
                  <c:v>41702.301388888889</c:v>
                </c:pt>
                <c:pt idx="435">
                  <c:v>41702.302083333336</c:v>
                </c:pt>
                <c:pt idx="436">
                  <c:v>41702.302777777775</c:v>
                </c:pt>
                <c:pt idx="437">
                  <c:v>41702.303472222222</c:v>
                </c:pt>
                <c:pt idx="438">
                  <c:v>41702.304166666669</c:v>
                </c:pt>
                <c:pt idx="439">
                  <c:v>41702.304861111108</c:v>
                </c:pt>
                <c:pt idx="440">
                  <c:v>41702.305555555555</c:v>
                </c:pt>
                <c:pt idx="441">
                  <c:v>41702.306250000001</c:v>
                </c:pt>
                <c:pt idx="442">
                  <c:v>41702.306944444441</c:v>
                </c:pt>
                <c:pt idx="443">
                  <c:v>41702.307638888888</c:v>
                </c:pt>
                <c:pt idx="444">
                  <c:v>41702.308333333334</c:v>
                </c:pt>
                <c:pt idx="445">
                  <c:v>41702.309027777781</c:v>
                </c:pt>
                <c:pt idx="446">
                  <c:v>41702.30972222222</c:v>
                </c:pt>
                <c:pt idx="447">
                  <c:v>41702.310416666667</c:v>
                </c:pt>
                <c:pt idx="448">
                  <c:v>41702.311111111114</c:v>
                </c:pt>
                <c:pt idx="449">
                  <c:v>41702.311805555553</c:v>
                </c:pt>
                <c:pt idx="450">
                  <c:v>41702.3125</c:v>
                </c:pt>
                <c:pt idx="451">
                  <c:v>41702.313194444447</c:v>
                </c:pt>
                <c:pt idx="452">
                  <c:v>41702.313888888886</c:v>
                </c:pt>
                <c:pt idx="453">
                  <c:v>41702.314583333333</c:v>
                </c:pt>
                <c:pt idx="454">
                  <c:v>41702.31527777778</c:v>
                </c:pt>
                <c:pt idx="455">
                  <c:v>41702.315972222219</c:v>
                </c:pt>
                <c:pt idx="456">
                  <c:v>41702.316666666666</c:v>
                </c:pt>
                <c:pt idx="457">
                  <c:v>41702.317361111112</c:v>
                </c:pt>
                <c:pt idx="458">
                  <c:v>41702.318055555559</c:v>
                </c:pt>
                <c:pt idx="459">
                  <c:v>41702.318749999999</c:v>
                </c:pt>
                <c:pt idx="460">
                  <c:v>41702.319444444445</c:v>
                </c:pt>
                <c:pt idx="461">
                  <c:v>41702.320138888892</c:v>
                </c:pt>
                <c:pt idx="462">
                  <c:v>41702.320833333331</c:v>
                </c:pt>
                <c:pt idx="463">
                  <c:v>41702.321527777778</c:v>
                </c:pt>
                <c:pt idx="464">
                  <c:v>41702.322222222225</c:v>
                </c:pt>
                <c:pt idx="465">
                  <c:v>41702.322916666664</c:v>
                </c:pt>
                <c:pt idx="466">
                  <c:v>41702.323611111111</c:v>
                </c:pt>
                <c:pt idx="467">
                  <c:v>41702.324305555558</c:v>
                </c:pt>
                <c:pt idx="468">
                  <c:v>41702.324999999997</c:v>
                </c:pt>
                <c:pt idx="469">
                  <c:v>41702.325694444444</c:v>
                </c:pt>
                <c:pt idx="470">
                  <c:v>41702.326388888891</c:v>
                </c:pt>
                <c:pt idx="471">
                  <c:v>41702.32708333333</c:v>
                </c:pt>
                <c:pt idx="472">
                  <c:v>41702.327777777777</c:v>
                </c:pt>
                <c:pt idx="473">
                  <c:v>41702.328472222223</c:v>
                </c:pt>
                <c:pt idx="474">
                  <c:v>41702.32916666667</c:v>
                </c:pt>
                <c:pt idx="475">
                  <c:v>41702.329861111109</c:v>
                </c:pt>
                <c:pt idx="476">
                  <c:v>41702.330555555556</c:v>
                </c:pt>
                <c:pt idx="477">
                  <c:v>41702.331250000003</c:v>
                </c:pt>
                <c:pt idx="478">
                  <c:v>41702.331944444442</c:v>
                </c:pt>
                <c:pt idx="479">
                  <c:v>41702.332638888889</c:v>
                </c:pt>
                <c:pt idx="480">
                  <c:v>41702.333333333336</c:v>
                </c:pt>
                <c:pt idx="481">
                  <c:v>41702.334027777775</c:v>
                </c:pt>
                <c:pt idx="482">
                  <c:v>41702.334722222222</c:v>
                </c:pt>
                <c:pt idx="483">
                  <c:v>41702.335416666669</c:v>
                </c:pt>
                <c:pt idx="484">
                  <c:v>41702.336111111108</c:v>
                </c:pt>
                <c:pt idx="485">
                  <c:v>41702.336805555555</c:v>
                </c:pt>
                <c:pt idx="486">
                  <c:v>41702.337500000001</c:v>
                </c:pt>
                <c:pt idx="487">
                  <c:v>41702.338194444441</c:v>
                </c:pt>
                <c:pt idx="488">
                  <c:v>41702.338888888888</c:v>
                </c:pt>
                <c:pt idx="489">
                  <c:v>41702.339583333334</c:v>
                </c:pt>
                <c:pt idx="490">
                  <c:v>41702.340277777781</c:v>
                </c:pt>
                <c:pt idx="491">
                  <c:v>41702.34097222222</c:v>
                </c:pt>
                <c:pt idx="492">
                  <c:v>41702.341666666667</c:v>
                </c:pt>
                <c:pt idx="493">
                  <c:v>41702.342361111114</c:v>
                </c:pt>
                <c:pt idx="494">
                  <c:v>41702.343055555553</c:v>
                </c:pt>
                <c:pt idx="495">
                  <c:v>41702.34375</c:v>
                </c:pt>
                <c:pt idx="496">
                  <c:v>41702.344444444447</c:v>
                </c:pt>
                <c:pt idx="497">
                  <c:v>41702.345138888886</c:v>
                </c:pt>
                <c:pt idx="498">
                  <c:v>41702.345833333333</c:v>
                </c:pt>
                <c:pt idx="499">
                  <c:v>41702.34652777778</c:v>
                </c:pt>
                <c:pt idx="500">
                  <c:v>41702.347222222219</c:v>
                </c:pt>
                <c:pt idx="501">
                  <c:v>41702.347916666666</c:v>
                </c:pt>
                <c:pt idx="502">
                  <c:v>41702.348611111112</c:v>
                </c:pt>
                <c:pt idx="503">
                  <c:v>41702.349305555559</c:v>
                </c:pt>
                <c:pt idx="504">
                  <c:v>41702.35</c:v>
                </c:pt>
                <c:pt idx="505">
                  <c:v>41702.350694444445</c:v>
                </c:pt>
                <c:pt idx="506">
                  <c:v>41702.351388888892</c:v>
                </c:pt>
                <c:pt idx="507">
                  <c:v>41702.352083333331</c:v>
                </c:pt>
                <c:pt idx="508">
                  <c:v>41702.352777777778</c:v>
                </c:pt>
                <c:pt idx="509">
                  <c:v>41702.353472222225</c:v>
                </c:pt>
                <c:pt idx="510">
                  <c:v>41702.354166666664</c:v>
                </c:pt>
                <c:pt idx="511">
                  <c:v>41702.354861111111</c:v>
                </c:pt>
                <c:pt idx="512">
                  <c:v>41702.355555555558</c:v>
                </c:pt>
                <c:pt idx="513">
                  <c:v>41702.356249999997</c:v>
                </c:pt>
                <c:pt idx="514">
                  <c:v>41702.356944444444</c:v>
                </c:pt>
                <c:pt idx="515">
                  <c:v>41702.357638888891</c:v>
                </c:pt>
                <c:pt idx="516">
                  <c:v>41702.35833333333</c:v>
                </c:pt>
                <c:pt idx="517">
                  <c:v>41702.359027777777</c:v>
                </c:pt>
                <c:pt idx="518">
                  <c:v>41702.359722222223</c:v>
                </c:pt>
                <c:pt idx="519">
                  <c:v>41702.36041666667</c:v>
                </c:pt>
                <c:pt idx="520">
                  <c:v>41702.361111111109</c:v>
                </c:pt>
                <c:pt idx="521">
                  <c:v>41702.361805555556</c:v>
                </c:pt>
                <c:pt idx="522">
                  <c:v>41702.362500000003</c:v>
                </c:pt>
                <c:pt idx="523">
                  <c:v>41702.363194444442</c:v>
                </c:pt>
                <c:pt idx="524">
                  <c:v>41702.363888888889</c:v>
                </c:pt>
                <c:pt idx="525">
                  <c:v>41702.364583333336</c:v>
                </c:pt>
                <c:pt idx="526">
                  <c:v>41702.365277777775</c:v>
                </c:pt>
                <c:pt idx="527">
                  <c:v>41702.365972222222</c:v>
                </c:pt>
                <c:pt idx="528">
                  <c:v>41702.366666666669</c:v>
                </c:pt>
                <c:pt idx="529">
                  <c:v>41702.367361111108</c:v>
                </c:pt>
                <c:pt idx="530">
                  <c:v>41702.368055555555</c:v>
                </c:pt>
                <c:pt idx="531">
                  <c:v>41702.368750000001</c:v>
                </c:pt>
                <c:pt idx="532">
                  <c:v>41702.369444444441</c:v>
                </c:pt>
                <c:pt idx="533">
                  <c:v>41702.370138888888</c:v>
                </c:pt>
                <c:pt idx="534">
                  <c:v>41702.370833333334</c:v>
                </c:pt>
                <c:pt idx="535">
                  <c:v>41702.371527777781</c:v>
                </c:pt>
                <c:pt idx="536">
                  <c:v>41702.37222222222</c:v>
                </c:pt>
                <c:pt idx="537">
                  <c:v>41702.372916666667</c:v>
                </c:pt>
                <c:pt idx="538">
                  <c:v>41702.373611111114</c:v>
                </c:pt>
                <c:pt idx="539">
                  <c:v>41702.374305555553</c:v>
                </c:pt>
                <c:pt idx="540">
                  <c:v>41702.375</c:v>
                </c:pt>
                <c:pt idx="541">
                  <c:v>41702.375694444447</c:v>
                </c:pt>
                <c:pt idx="542">
                  <c:v>41702.376388888886</c:v>
                </c:pt>
                <c:pt idx="543">
                  <c:v>41702.377083333333</c:v>
                </c:pt>
                <c:pt idx="544">
                  <c:v>41702.37777777778</c:v>
                </c:pt>
                <c:pt idx="545">
                  <c:v>41702.378472222219</c:v>
                </c:pt>
                <c:pt idx="546">
                  <c:v>41702.379166666666</c:v>
                </c:pt>
                <c:pt idx="547">
                  <c:v>41702.379861111112</c:v>
                </c:pt>
                <c:pt idx="548">
                  <c:v>41702.380555555559</c:v>
                </c:pt>
                <c:pt idx="549">
                  <c:v>41702.381249999999</c:v>
                </c:pt>
                <c:pt idx="550">
                  <c:v>41702.381944444445</c:v>
                </c:pt>
                <c:pt idx="551">
                  <c:v>41702.382638888892</c:v>
                </c:pt>
                <c:pt idx="552">
                  <c:v>41702.383333333331</c:v>
                </c:pt>
                <c:pt idx="553">
                  <c:v>41702.384027777778</c:v>
                </c:pt>
                <c:pt idx="554">
                  <c:v>41702.384722222225</c:v>
                </c:pt>
                <c:pt idx="555">
                  <c:v>41702.385416666664</c:v>
                </c:pt>
                <c:pt idx="556">
                  <c:v>41702.386111111111</c:v>
                </c:pt>
                <c:pt idx="557">
                  <c:v>41702.386805555558</c:v>
                </c:pt>
                <c:pt idx="558">
                  <c:v>41702.387499999997</c:v>
                </c:pt>
                <c:pt idx="559">
                  <c:v>41702.388194444444</c:v>
                </c:pt>
                <c:pt idx="560">
                  <c:v>41702.388888888891</c:v>
                </c:pt>
                <c:pt idx="561">
                  <c:v>41702.38958333333</c:v>
                </c:pt>
                <c:pt idx="562">
                  <c:v>41702.390277777777</c:v>
                </c:pt>
                <c:pt idx="563">
                  <c:v>41702.390972222223</c:v>
                </c:pt>
                <c:pt idx="564">
                  <c:v>41702.39166666667</c:v>
                </c:pt>
                <c:pt idx="565">
                  <c:v>41702.392361111109</c:v>
                </c:pt>
                <c:pt idx="566">
                  <c:v>41702.393055555556</c:v>
                </c:pt>
                <c:pt idx="567">
                  <c:v>41702.393750000003</c:v>
                </c:pt>
                <c:pt idx="568">
                  <c:v>41702.394444444442</c:v>
                </c:pt>
                <c:pt idx="569">
                  <c:v>41702.395138888889</c:v>
                </c:pt>
                <c:pt idx="570">
                  <c:v>41702.395833333336</c:v>
                </c:pt>
                <c:pt idx="571">
                  <c:v>41702.396527777775</c:v>
                </c:pt>
                <c:pt idx="572">
                  <c:v>41702.397222222222</c:v>
                </c:pt>
                <c:pt idx="573">
                  <c:v>41702.397916666669</c:v>
                </c:pt>
                <c:pt idx="574">
                  <c:v>41702.398611111108</c:v>
                </c:pt>
                <c:pt idx="575">
                  <c:v>41702.399305555555</c:v>
                </c:pt>
                <c:pt idx="576">
                  <c:v>41702.400000000001</c:v>
                </c:pt>
                <c:pt idx="577">
                  <c:v>41702.400694444441</c:v>
                </c:pt>
                <c:pt idx="578">
                  <c:v>41702.401388888888</c:v>
                </c:pt>
                <c:pt idx="579">
                  <c:v>41702.402083333334</c:v>
                </c:pt>
                <c:pt idx="580">
                  <c:v>41702.402777777781</c:v>
                </c:pt>
                <c:pt idx="581">
                  <c:v>41702.40347222222</c:v>
                </c:pt>
                <c:pt idx="582">
                  <c:v>41702.404166666667</c:v>
                </c:pt>
                <c:pt idx="583">
                  <c:v>41702.404861111114</c:v>
                </c:pt>
                <c:pt idx="584">
                  <c:v>41702.405555555553</c:v>
                </c:pt>
                <c:pt idx="585">
                  <c:v>41702.40625</c:v>
                </c:pt>
                <c:pt idx="586">
                  <c:v>41702.406944444447</c:v>
                </c:pt>
                <c:pt idx="587">
                  <c:v>41702.407638888886</c:v>
                </c:pt>
                <c:pt idx="588">
                  <c:v>41702.408333333333</c:v>
                </c:pt>
                <c:pt idx="589">
                  <c:v>41702.40902777778</c:v>
                </c:pt>
                <c:pt idx="590">
                  <c:v>41702.409722222219</c:v>
                </c:pt>
                <c:pt idx="591">
                  <c:v>41702.410416666666</c:v>
                </c:pt>
                <c:pt idx="592">
                  <c:v>41702.411111111112</c:v>
                </c:pt>
                <c:pt idx="593">
                  <c:v>41702.411805555559</c:v>
                </c:pt>
                <c:pt idx="594">
                  <c:v>41702.412499999999</c:v>
                </c:pt>
                <c:pt idx="595">
                  <c:v>41702.413194444445</c:v>
                </c:pt>
                <c:pt idx="596">
                  <c:v>41702.413888888892</c:v>
                </c:pt>
                <c:pt idx="597">
                  <c:v>41702.414583333331</c:v>
                </c:pt>
                <c:pt idx="598">
                  <c:v>41702.415277777778</c:v>
                </c:pt>
                <c:pt idx="599">
                  <c:v>41702.415972222225</c:v>
                </c:pt>
                <c:pt idx="600">
                  <c:v>41702.416666666664</c:v>
                </c:pt>
                <c:pt idx="601">
                  <c:v>41702.417361111111</c:v>
                </c:pt>
                <c:pt idx="602">
                  <c:v>41702.418055555558</c:v>
                </c:pt>
                <c:pt idx="603">
                  <c:v>41702.418749999997</c:v>
                </c:pt>
                <c:pt idx="604">
                  <c:v>41702.419444444444</c:v>
                </c:pt>
                <c:pt idx="605">
                  <c:v>41702.420138888891</c:v>
                </c:pt>
                <c:pt idx="606">
                  <c:v>41702.42083333333</c:v>
                </c:pt>
                <c:pt idx="607">
                  <c:v>41702.421527777777</c:v>
                </c:pt>
                <c:pt idx="608">
                  <c:v>41702.422222222223</c:v>
                </c:pt>
                <c:pt idx="609">
                  <c:v>41702.42291666667</c:v>
                </c:pt>
                <c:pt idx="610">
                  <c:v>41702.423611111109</c:v>
                </c:pt>
                <c:pt idx="611">
                  <c:v>41702.424305555556</c:v>
                </c:pt>
                <c:pt idx="612">
                  <c:v>41702.425000000003</c:v>
                </c:pt>
                <c:pt idx="613">
                  <c:v>41702.425694444442</c:v>
                </c:pt>
                <c:pt idx="614">
                  <c:v>41702.426388888889</c:v>
                </c:pt>
                <c:pt idx="615">
                  <c:v>41702.427083333336</c:v>
                </c:pt>
                <c:pt idx="616">
                  <c:v>41702.427777777775</c:v>
                </c:pt>
                <c:pt idx="617">
                  <c:v>41702.428472222222</c:v>
                </c:pt>
                <c:pt idx="618">
                  <c:v>41702.429166666669</c:v>
                </c:pt>
                <c:pt idx="619">
                  <c:v>41702.429861111108</c:v>
                </c:pt>
                <c:pt idx="620">
                  <c:v>41702.430555555555</c:v>
                </c:pt>
                <c:pt idx="621">
                  <c:v>41702.431250000001</c:v>
                </c:pt>
                <c:pt idx="622">
                  <c:v>41702.431944444441</c:v>
                </c:pt>
                <c:pt idx="623">
                  <c:v>41702.432638888888</c:v>
                </c:pt>
                <c:pt idx="624">
                  <c:v>41702.433333333334</c:v>
                </c:pt>
                <c:pt idx="625">
                  <c:v>41702.434027777781</c:v>
                </c:pt>
                <c:pt idx="626">
                  <c:v>41702.43472222222</c:v>
                </c:pt>
                <c:pt idx="627">
                  <c:v>41702.435416666667</c:v>
                </c:pt>
                <c:pt idx="628">
                  <c:v>41702.436111111114</c:v>
                </c:pt>
                <c:pt idx="629">
                  <c:v>41702.436805555553</c:v>
                </c:pt>
                <c:pt idx="630">
                  <c:v>41702.4375</c:v>
                </c:pt>
                <c:pt idx="631">
                  <c:v>41702.438194444447</c:v>
                </c:pt>
                <c:pt idx="632">
                  <c:v>41702.438888888886</c:v>
                </c:pt>
                <c:pt idx="633">
                  <c:v>41702.439583333333</c:v>
                </c:pt>
                <c:pt idx="634">
                  <c:v>41702.44027777778</c:v>
                </c:pt>
                <c:pt idx="635">
                  <c:v>41702.440972222219</c:v>
                </c:pt>
                <c:pt idx="636">
                  <c:v>41702.441666666666</c:v>
                </c:pt>
                <c:pt idx="637">
                  <c:v>41702.442361111112</c:v>
                </c:pt>
                <c:pt idx="638">
                  <c:v>41702.443055555559</c:v>
                </c:pt>
                <c:pt idx="639">
                  <c:v>41702.443749999999</c:v>
                </c:pt>
                <c:pt idx="640">
                  <c:v>41702.444444444445</c:v>
                </c:pt>
                <c:pt idx="641">
                  <c:v>41702.445138888892</c:v>
                </c:pt>
                <c:pt idx="642">
                  <c:v>41702.445833333331</c:v>
                </c:pt>
                <c:pt idx="643">
                  <c:v>41702.446527777778</c:v>
                </c:pt>
                <c:pt idx="644">
                  <c:v>41702.447222222225</c:v>
                </c:pt>
                <c:pt idx="645">
                  <c:v>41702.447916666664</c:v>
                </c:pt>
                <c:pt idx="646">
                  <c:v>41702.448611111111</c:v>
                </c:pt>
                <c:pt idx="647">
                  <c:v>41702.449305555558</c:v>
                </c:pt>
                <c:pt idx="648">
                  <c:v>41702.449999999997</c:v>
                </c:pt>
                <c:pt idx="649">
                  <c:v>41702.450694444444</c:v>
                </c:pt>
                <c:pt idx="650">
                  <c:v>41702.451388888891</c:v>
                </c:pt>
                <c:pt idx="651">
                  <c:v>41702.45208333333</c:v>
                </c:pt>
                <c:pt idx="652">
                  <c:v>41702.452777777777</c:v>
                </c:pt>
                <c:pt idx="653">
                  <c:v>41702.453472222223</c:v>
                </c:pt>
                <c:pt idx="654">
                  <c:v>41702.45416666667</c:v>
                </c:pt>
                <c:pt idx="655">
                  <c:v>41702.454861111109</c:v>
                </c:pt>
                <c:pt idx="656">
                  <c:v>41702.455555555556</c:v>
                </c:pt>
                <c:pt idx="657">
                  <c:v>41702.456250000003</c:v>
                </c:pt>
                <c:pt idx="658">
                  <c:v>41702.456944444442</c:v>
                </c:pt>
                <c:pt idx="659">
                  <c:v>41702.457638888889</c:v>
                </c:pt>
                <c:pt idx="660">
                  <c:v>41702.458333333336</c:v>
                </c:pt>
                <c:pt idx="661">
                  <c:v>41702.459027777775</c:v>
                </c:pt>
                <c:pt idx="662">
                  <c:v>41702.459722222222</c:v>
                </c:pt>
                <c:pt idx="663">
                  <c:v>41702.460416666669</c:v>
                </c:pt>
                <c:pt idx="664">
                  <c:v>41702.461111111108</c:v>
                </c:pt>
                <c:pt idx="665">
                  <c:v>41702.461805555555</c:v>
                </c:pt>
                <c:pt idx="666">
                  <c:v>41702.462500000001</c:v>
                </c:pt>
                <c:pt idx="667">
                  <c:v>41702.463194444441</c:v>
                </c:pt>
                <c:pt idx="668">
                  <c:v>41702.463888888888</c:v>
                </c:pt>
                <c:pt idx="669">
                  <c:v>41702.464583333334</c:v>
                </c:pt>
                <c:pt idx="670">
                  <c:v>41702.465277777781</c:v>
                </c:pt>
                <c:pt idx="671">
                  <c:v>41702.46597222222</c:v>
                </c:pt>
                <c:pt idx="672">
                  <c:v>41702.466666666667</c:v>
                </c:pt>
                <c:pt idx="673">
                  <c:v>41702.467361111114</c:v>
                </c:pt>
                <c:pt idx="674">
                  <c:v>41702.468055555553</c:v>
                </c:pt>
                <c:pt idx="675">
                  <c:v>41702.46875</c:v>
                </c:pt>
                <c:pt idx="676">
                  <c:v>41702.469444444447</c:v>
                </c:pt>
                <c:pt idx="677">
                  <c:v>41702.470138888886</c:v>
                </c:pt>
                <c:pt idx="678">
                  <c:v>41702.470833333333</c:v>
                </c:pt>
                <c:pt idx="679">
                  <c:v>41702.47152777778</c:v>
                </c:pt>
                <c:pt idx="680">
                  <c:v>41702.472222222219</c:v>
                </c:pt>
                <c:pt idx="681">
                  <c:v>41702.472916666666</c:v>
                </c:pt>
                <c:pt idx="682">
                  <c:v>41702.473611111112</c:v>
                </c:pt>
                <c:pt idx="683">
                  <c:v>41702.474305555559</c:v>
                </c:pt>
                <c:pt idx="684">
                  <c:v>41702.474999999999</c:v>
                </c:pt>
                <c:pt idx="685">
                  <c:v>41702.475694444445</c:v>
                </c:pt>
                <c:pt idx="686">
                  <c:v>41702.476388888892</c:v>
                </c:pt>
                <c:pt idx="687">
                  <c:v>41702.477083333331</c:v>
                </c:pt>
                <c:pt idx="688">
                  <c:v>41702.477777777778</c:v>
                </c:pt>
                <c:pt idx="689">
                  <c:v>41702.478472222225</c:v>
                </c:pt>
                <c:pt idx="690">
                  <c:v>41702.479166666664</c:v>
                </c:pt>
                <c:pt idx="691">
                  <c:v>41702.479861111111</c:v>
                </c:pt>
                <c:pt idx="692">
                  <c:v>41702.480555555558</c:v>
                </c:pt>
                <c:pt idx="693">
                  <c:v>41702.481249999997</c:v>
                </c:pt>
                <c:pt idx="694">
                  <c:v>41702.481944444444</c:v>
                </c:pt>
                <c:pt idx="695">
                  <c:v>41702.482638888891</c:v>
                </c:pt>
                <c:pt idx="696">
                  <c:v>41702.48333333333</c:v>
                </c:pt>
                <c:pt idx="697">
                  <c:v>41702.484027777777</c:v>
                </c:pt>
                <c:pt idx="698">
                  <c:v>41702.484722222223</c:v>
                </c:pt>
                <c:pt idx="699">
                  <c:v>41702.48541666667</c:v>
                </c:pt>
                <c:pt idx="700">
                  <c:v>41702.486111111109</c:v>
                </c:pt>
                <c:pt idx="701">
                  <c:v>41702.486805555556</c:v>
                </c:pt>
                <c:pt idx="702">
                  <c:v>41702.487500000003</c:v>
                </c:pt>
                <c:pt idx="703">
                  <c:v>41702.488194444442</c:v>
                </c:pt>
                <c:pt idx="704">
                  <c:v>41702.488888888889</c:v>
                </c:pt>
                <c:pt idx="705">
                  <c:v>41702.489583333336</c:v>
                </c:pt>
                <c:pt idx="706">
                  <c:v>41702.490277777775</c:v>
                </c:pt>
                <c:pt idx="707">
                  <c:v>41702.490972222222</c:v>
                </c:pt>
                <c:pt idx="708">
                  <c:v>41702.491666666669</c:v>
                </c:pt>
                <c:pt idx="709">
                  <c:v>41702.492361111108</c:v>
                </c:pt>
                <c:pt idx="710">
                  <c:v>41702.493055555555</c:v>
                </c:pt>
                <c:pt idx="711">
                  <c:v>41702.493750000001</c:v>
                </c:pt>
                <c:pt idx="712">
                  <c:v>41702.494444444441</c:v>
                </c:pt>
                <c:pt idx="713">
                  <c:v>41702.495138888888</c:v>
                </c:pt>
                <c:pt idx="714">
                  <c:v>41702.495833333334</c:v>
                </c:pt>
                <c:pt idx="715">
                  <c:v>41702.496527777781</c:v>
                </c:pt>
                <c:pt idx="716">
                  <c:v>41702.49722222222</c:v>
                </c:pt>
                <c:pt idx="717">
                  <c:v>41702.497916666667</c:v>
                </c:pt>
                <c:pt idx="718">
                  <c:v>41702.498611111114</c:v>
                </c:pt>
                <c:pt idx="719">
                  <c:v>41702.499305555553</c:v>
                </c:pt>
                <c:pt idx="720">
                  <c:v>41702.5</c:v>
                </c:pt>
                <c:pt idx="721">
                  <c:v>41702.500694444447</c:v>
                </c:pt>
                <c:pt idx="722">
                  <c:v>41702.501388888886</c:v>
                </c:pt>
                <c:pt idx="723">
                  <c:v>41702.502083333333</c:v>
                </c:pt>
                <c:pt idx="724">
                  <c:v>41702.50277777778</c:v>
                </c:pt>
                <c:pt idx="725">
                  <c:v>41702.503472222219</c:v>
                </c:pt>
                <c:pt idx="726">
                  <c:v>41702.504166666666</c:v>
                </c:pt>
                <c:pt idx="727">
                  <c:v>41702.504861111112</c:v>
                </c:pt>
                <c:pt idx="728">
                  <c:v>41702.505555555559</c:v>
                </c:pt>
                <c:pt idx="729">
                  <c:v>41702.506249999999</c:v>
                </c:pt>
                <c:pt idx="730">
                  <c:v>41702.506944444445</c:v>
                </c:pt>
                <c:pt idx="731">
                  <c:v>41702.507638888892</c:v>
                </c:pt>
                <c:pt idx="732">
                  <c:v>41702.508333333331</c:v>
                </c:pt>
                <c:pt idx="733">
                  <c:v>41702.509027777778</c:v>
                </c:pt>
                <c:pt idx="734">
                  <c:v>41702.509722222225</c:v>
                </c:pt>
                <c:pt idx="735">
                  <c:v>41702.510416666664</c:v>
                </c:pt>
                <c:pt idx="736">
                  <c:v>41702.511111111111</c:v>
                </c:pt>
                <c:pt idx="737">
                  <c:v>41702.511805555558</c:v>
                </c:pt>
                <c:pt idx="738">
                  <c:v>41702.512499999997</c:v>
                </c:pt>
                <c:pt idx="739">
                  <c:v>41702.513194444444</c:v>
                </c:pt>
                <c:pt idx="740">
                  <c:v>41702.513888888891</c:v>
                </c:pt>
                <c:pt idx="741">
                  <c:v>41702.51458333333</c:v>
                </c:pt>
                <c:pt idx="742">
                  <c:v>41702.515277777777</c:v>
                </c:pt>
                <c:pt idx="743">
                  <c:v>41702.515972222223</c:v>
                </c:pt>
                <c:pt idx="744">
                  <c:v>41702.51666666667</c:v>
                </c:pt>
                <c:pt idx="745">
                  <c:v>41702.517361111109</c:v>
                </c:pt>
                <c:pt idx="746">
                  <c:v>41702.518055555556</c:v>
                </c:pt>
                <c:pt idx="747">
                  <c:v>41702.518750000003</c:v>
                </c:pt>
                <c:pt idx="748">
                  <c:v>41702.519444444442</c:v>
                </c:pt>
                <c:pt idx="749">
                  <c:v>41702.520138888889</c:v>
                </c:pt>
                <c:pt idx="750">
                  <c:v>41702.520833333336</c:v>
                </c:pt>
                <c:pt idx="751">
                  <c:v>41702.521527777775</c:v>
                </c:pt>
                <c:pt idx="752">
                  <c:v>41702.522222222222</c:v>
                </c:pt>
                <c:pt idx="753">
                  <c:v>41702.522916666669</c:v>
                </c:pt>
                <c:pt idx="754">
                  <c:v>41702.523611111108</c:v>
                </c:pt>
                <c:pt idx="755">
                  <c:v>41702.524305555555</c:v>
                </c:pt>
                <c:pt idx="756">
                  <c:v>41702.525000000001</c:v>
                </c:pt>
                <c:pt idx="757">
                  <c:v>41702.525694444441</c:v>
                </c:pt>
                <c:pt idx="758">
                  <c:v>41702.526388888888</c:v>
                </c:pt>
                <c:pt idx="759">
                  <c:v>41702.527083333334</c:v>
                </c:pt>
                <c:pt idx="760">
                  <c:v>41702.527777777781</c:v>
                </c:pt>
                <c:pt idx="761">
                  <c:v>41702.52847222222</c:v>
                </c:pt>
                <c:pt idx="762">
                  <c:v>41702.529166666667</c:v>
                </c:pt>
                <c:pt idx="763">
                  <c:v>41702.529861111114</c:v>
                </c:pt>
                <c:pt idx="764">
                  <c:v>41702.530555555553</c:v>
                </c:pt>
                <c:pt idx="765">
                  <c:v>41702.53125</c:v>
                </c:pt>
                <c:pt idx="766">
                  <c:v>41702.531944444447</c:v>
                </c:pt>
                <c:pt idx="767">
                  <c:v>41702.532638888886</c:v>
                </c:pt>
                <c:pt idx="768">
                  <c:v>41702.533333333333</c:v>
                </c:pt>
                <c:pt idx="769">
                  <c:v>41702.53402777778</c:v>
                </c:pt>
                <c:pt idx="770">
                  <c:v>41702.534722222219</c:v>
                </c:pt>
                <c:pt idx="771">
                  <c:v>41702.535416666666</c:v>
                </c:pt>
                <c:pt idx="772">
                  <c:v>41702.536111111112</c:v>
                </c:pt>
                <c:pt idx="773">
                  <c:v>41702.536805555559</c:v>
                </c:pt>
                <c:pt idx="774">
                  <c:v>41702.537499999999</c:v>
                </c:pt>
                <c:pt idx="775">
                  <c:v>41702.538194444445</c:v>
                </c:pt>
                <c:pt idx="776">
                  <c:v>41702.538888888892</c:v>
                </c:pt>
                <c:pt idx="777">
                  <c:v>41702.539583333331</c:v>
                </c:pt>
                <c:pt idx="778">
                  <c:v>41702.540277777778</c:v>
                </c:pt>
                <c:pt idx="779">
                  <c:v>41702.540972222225</c:v>
                </c:pt>
                <c:pt idx="780">
                  <c:v>41702.541666666664</c:v>
                </c:pt>
                <c:pt idx="781">
                  <c:v>41702.542361111111</c:v>
                </c:pt>
                <c:pt idx="782">
                  <c:v>41702.543055555558</c:v>
                </c:pt>
                <c:pt idx="783">
                  <c:v>41702.543749999997</c:v>
                </c:pt>
                <c:pt idx="784">
                  <c:v>41702.544444444444</c:v>
                </c:pt>
                <c:pt idx="785">
                  <c:v>41702.545138888891</c:v>
                </c:pt>
                <c:pt idx="786">
                  <c:v>41702.54583333333</c:v>
                </c:pt>
                <c:pt idx="787">
                  <c:v>41702.546527777777</c:v>
                </c:pt>
                <c:pt idx="788">
                  <c:v>41702.547222222223</c:v>
                </c:pt>
                <c:pt idx="789">
                  <c:v>41702.54791666667</c:v>
                </c:pt>
                <c:pt idx="790">
                  <c:v>41702.548611111109</c:v>
                </c:pt>
                <c:pt idx="791">
                  <c:v>41702.549305555556</c:v>
                </c:pt>
                <c:pt idx="792">
                  <c:v>41702.550000000003</c:v>
                </c:pt>
                <c:pt idx="793">
                  <c:v>41702.550694444442</c:v>
                </c:pt>
                <c:pt idx="794">
                  <c:v>41702.551388888889</c:v>
                </c:pt>
                <c:pt idx="795">
                  <c:v>41702.552083333336</c:v>
                </c:pt>
                <c:pt idx="796">
                  <c:v>41702.552777777775</c:v>
                </c:pt>
                <c:pt idx="797">
                  <c:v>41702.553472222222</c:v>
                </c:pt>
                <c:pt idx="798">
                  <c:v>41702.554166666669</c:v>
                </c:pt>
                <c:pt idx="799">
                  <c:v>41702.554861111108</c:v>
                </c:pt>
                <c:pt idx="800">
                  <c:v>41702.555555555555</c:v>
                </c:pt>
                <c:pt idx="801">
                  <c:v>41702.556250000001</c:v>
                </c:pt>
                <c:pt idx="802">
                  <c:v>41702.556944444441</c:v>
                </c:pt>
                <c:pt idx="803">
                  <c:v>41702.557638888888</c:v>
                </c:pt>
                <c:pt idx="804">
                  <c:v>41702.558333333334</c:v>
                </c:pt>
                <c:pt idx="805">
                  <c:v>41702.559027777781</c:v>
                </c:pt>
                <c:pt idx="806">
                  <c:v>41702.55972222222</c:v>
                </c:pt>
                <c:pt idx="807">
                  <c:v>41702.560416666667</c:v>
                </c:pt>
                <c:pt idx="808">
                  <c:v>41702.561111111114</c:v>
                </c:pt>
                <c:pt idx="809">
                  <c:v>41702.561805555553</c:v>
                </c:pt>
                <c:pt idx="810">
                  <c:v>41702.5625</c:v>
                </c:pt>
                <c:pt idx="811">
                  <c:v>41702.563194444447</c:v>
                </c:pt>
                <c:pt idx="812">
                  <c:v>41702.563888888886</c:v>
                </c:pt>
                <c:pt idx="813">
                  <c:v>41702.564583333333</c:v>
                </c:pt>
                <c:pt idx="814">
                  <c:v>41702.56527777778</c:v>
                </c:pt>
                <c:pt idx="815">
                  <c:v>41702.565972222219</c:v>
                </c:pt>
                <c:pt idx="816">
                  <c:v>41702.566666666666</c:v>
                </c:pt>
                <c:pt idx="817">
                  <c:v>41702.567361111112</c:v>
                </c:pt>
                <c:pt idx="818">
                  <c:v>41702.568055555559</c:v>
                </c:pt>
                <c:pt idx="819">
                  <c:v>41702.568749999999</c:v>
                </c:pt>
                <c:pt idx="820">
                  <c:v>41702.569444444445</c:v>
                </c:pt>
                <c:pt idx="821">
                  <c:v>41702.570138888892</c:v>
                </c:pt>
                <c:pt idx="822">
                  <c:v>41702.570833333331</c:v>
                </c:pt>
                <c:pt idx="823">
                  <c:v>41702.571527777778</c:v>
                </c:pt>
                <c:pt idx="824">
                  <c:v>41702.572222222225</c:v>
                </c:pt>
                <c:pt idx="825">
                  <c:v>41702.572916666664</c:v>
                </c:pt>
                <c:pt idx="826">
                  <c:v>41702.573611111111</c:v>
                </c:pt>
                <c:pt idx="827">
                  <c:v>41702.574305555558</c:v>
                </c:pt>
                <c:pt idx="828">
                  <c:v>41702.574999999997</c:v>
                </c:pt>
                <c:pt idx="829">
                  <c:v>41702.575694444444</c:v>
                </c:pt>
                <c:pt idx="830">
                  <c:v>41702.576388888891</c:v>
                </c:pt>
                <c:pt idx="831">
                  <c:v>41702.57708333333</c:v>
                </c:pt>
                <c:pt idx="832">
                  <c:v>41702.577777777777</c:v>
                </c:pt>
                <c:pt idx="833">
                  <c:v>41702.578472222223</c:v>
                </c:pt>
                <c:pt idx="834">
                  <c:v>41702.57916666667</c:v>
                </c:pt>
                <c:pt idx="835">
                  <c:v>41702.579861111109</c:v>
                </c:pt>
                <c:pt idx="836">
                  <c:v>41702.580555555556</c:v>
                </c:pt>
                <c:pt idx="837">
                  <c:v>41702.581250000003</c:v>
                </c:pt>
                <c:pt idx="838">
                  <c:v>41702.581944444442</c:v>
                </c:pt>
                <c:pt idx="839">
                  <c:v>41702.582638888889</c:v>
                </c:pt>
                <c:pt idx="840">
                  <c:v>41702.583333333336</c:v>
                </c:pt>
                <c:pt idx="841">
                  <c:v>41702.584027777775</c:v>
                </c:pt>
                <c:pt idx="842">
                  <c:v>41702.584722222222</c:v>
                </c:pt>
                <c:pt idx="843">
                  <c:v>41702.585416666669</c:v>
                </c:pt>
                <c:pt idx="844">
                  <c:v>41702.586111111108</c:v>
                </c:pt>
                <c:pt idx="845">
                  <c:v>41702.586805555555</c:v>
                </c:pt>
                <c:pt idx="846">
                  <c:v>41702.587500000001</c:v>
                </c:pt>
                <c:pt idx="847">
                  <c:v>41702.588194444441</c:v>
                </c:pt>
                <c:pt idx="848">
                  <c:v>41702.588888888888</c:v>
                </c:pt>
                <c:pt idx="849">
                  <c:v>41702.589583333334</c:v>
                </c:pt>
                <c:pt idx="850">
                  <c:v>41702.590277777781</c:v>
                </c:pt>
                <c:pt idx="851">
                  <c:v>41702.59097222222</c:v>
                </c:pt>
                <c:pt idx="852">
                  <c:v>41702.591666666667</c:v>
                </c:pt>
                <c:pt idx="853">
                  <c:v>41702.592361111114</c:v>
                </c:pt>
                <c:pt idx="854">
                  <c:v>41702.593055555553</c:v>
                </c:pt>
                <c:pt idx="855">
                  <c:v>41702.59375</c:v>
                </c:pt>
                <c:pt idx="856">
                  <c:v>41702.594444444447</c:v>
                </c:pt>
                <c:pt idx="857">
                  <c:v>41702.595138888886</c:v>
                </c:pt>
                <c:pt idx="858">
                  <c:v>41702.595833333333</c:v>
                </c:pt>
                <c:pt idx="859">
                  <c:v>41702.59652777778</c:v>
                </c:pt>
                <c:pt idx="860">
                  <c:v>41702.597222222219</c:v>
                </c:pt>
                <c:pt idx="861">
                  <c:v>41702.597916666666</c:v>
                </c:pt>
                <c:pt idx="862">
                  <c:v>41702.598611111112</c:v>
                </c:pt>
                <c:pt idx="863">
                  <c:v>41702.599305555559</c:v>
                </c:pt>
                <c:pt idx="864">
                  <c:v>41702.6</c:v>
                </c:pt>
                <c:pt idx="865">
                  <c:v>41702.600694444445</c:v>
                </c:pt>
                <c:pt idx="866">
                  <c:v>41702.601388888892</c:v>
                </c:pt>
                <c:pt idx="867">
                  <c:v>41702.602083333331</c:v>
                </c:pt>
                <c:pt idx="868">
                  <c:v>41702.602777777778</c:v>
                </c:pt>
                <c:pt idx="869">
                  <c:v>41702.603472222225</c:v>
                </c:pt>
                <c:pt idx="870">
                  <c:v>41702.604166666664</c:v>
                </c:pt>
                <c:pt idx="871">
                  <c:v>41702.604861111111</c:v>
                </c:pt>
                <c:pt idx="872">
                  <c:v>41702.605555555558</c:v>
                </c:pt>
                <c:pt idx="873">
                  <c:v>41702.606249999997</c:v>
                </c:pt>
                <c:pt idx="874">
                  <c:v>41702.606944444444</c:v>
                </c:pt>
                <c:pt idx="875">
                  <c:v>41702.607638888891</c:v>
                </c:pt>
                <c:pt idx="876">
                  <c:v>41702.60833333333</c:v>
                </c:pt>
                <c:pt idx="877">
                  <c:v>41702.609027777777</c:v>
                </c:pt>
                <c:pt idx="878">
                  <c:v>41702.609722222223</c:v>
                </c:pt>
                <c:pt idx="879">
                  <c:v>41702.61041666667</c:v>
                </c:pt>
                <c:pt idx="880">
                  <c:v>41702.611111111109</c:v>
                </c:pt>
                <c:pt idx="881">
                  <c:v>41702.611805555556</c:v>
                </c:pt>
                <c:pt idx="882">
                  <c:v>41702.612500000003</c:v>
                </c:pt>
                <c:pt idx="883">
                  <c:v>41702.613194444442</c:v>
                </c:pt>
                <c:pt idx="884">
                  <c:v>41702.613888888889</c:v>
                </c:pt>
                <c:pt idx="885">
                  <c:v>41702.614583333336</c:v>
                </c:pt>
                <c:pt idx="886">
                  <c:v>41702.615277777775</c:v>
                </c:pt>
                <c:pt idx="887">
                  <c:v>41702.615972222222</c:v>
                </c:pt>
                <c:pt idx="888">
                  <c:v>41702.616666666669</c:v>
                </c:pt>
                <c:pt idx="889">
                  <c:v>41702.617361111108</c:v>
                </c:pt>
                <c:pt idx="890">
                  <c:v>41702.618055555555</c:v>
                </c:pt>
                <c:pt idx="891">
                  <c:v>41702.618750000001</c:v>
                </c:pt>
                <c:pt idx="892">
                  <c:v>41702.619444444441</c:v>
                </c:pt>
                <c:pt idx="893">
                  <c:v>41702.620138888888</c:v>
                </c:pt>
                <c:pt idx="894">
                  <c:v>41702.620833333334</c:v>
                </c:pt>
                <c:pt idx="895">
                  <c:v>41702.621527777781</c:v>
                </c:pt>
                <c:pt idx="896">
                  <c:v>41702.62222222222</c:v>
                </c:pt>
                <c:pt idx="897">
                  <c:v>41702.622916666667</c:v>
                </c:pt>
                <c:pt idx="898">
                  <c:v>41702.623611111114</c:v>
                </c:pt>
                <c:pt idx="899">
                  <c:v>41702.624305555553</c:v>
                </c:pt>
                <c:pt idx="900">
                  <c:v>41702.625</c:v>
                </c:pt>
                <c:pt idx="901">
                  <c:v>41702.625694444447</c:v>
                </c:pt>
                <c:pt idx="902">
                  <c:v>41702.626388888886</c:v>
                </c:pt>
                <c:pt idx="903">
                  <c:v>41702.627083333333</c:v>
                </c:pt>
                <c:pt idx="904">
                  <c:v>41702.62777777778</c:v>
                </c:pt>
                <c:pt idx="905">
                  <c:v>41702.628472222219</c:v>
                </c:pt>
                <c:pt idx="906">
                  <c:v>41702.629166666666</c:v>
                </c:pt>
                <c:pt idx="907">
                  <c:v>41702.629861111112</c:v>
                </c:pt>
                <c:pt idx="908">
                  <c:v>41702.630555555559</c:v>
                </c:pt>
                <c:pt idx="909">
                  <c:v>41702.631249999999</c:v>
                </c:pt>
                <c:pt idx="910">
                  <c:v>41702.631944444445</c:v>
                </c:pt>
                <c:pt idx="911">
                  <c:v>41702.632638888892</c:v>
                </c:pt>
                <c:pt idx="912">
                  <c:v>41702.633333333331</c:v>
                </c:pt>
                <c:pt idx="913">
                  <c:v>41702.634027777778</c:v>
                </c:pt>
                <c:pt idx="914">
                  <c:v>41702.634722222225</c:v>
                </c:pt>
                <c:pt idx="915">
                  <c:v>41702.635416666664</c:v>
                </c:pt>
                <c:pt idx="916">
                  <c:v>41702.636111111111</c:v>
                </c:pt>
                <c:pt idx="917">
                  <c:v>41702.636805555558</c:v>
                </c:pt>
                <c:pt idx="918">
                  <c:v>41702.637499999997</c:v>
                </c:pt>
                <c:pt idx="919">
                  <c:v>41702.638194444444</c:v>
                </c:pt>
                <c:pt idx="920">
                  <c:v>41702.638888888891</c:v>
                </c:pt>
                <c:pt idx="921">
                  <c:v>41702.63958333333</c:v>
                </c:pt>
                <c:pt idx="922">
                  <c:v>41702.640277777777</c:v>
                </c:pt>
                <c:pt idx="923">
                  <c:v>41702.640972222223</c:v>
                </c:pt>
                <c:pt idx="924">
                  <c:v>41702.64166666667</c:v>
                </c:pt>
                <c:pt idx="925">
                  <c:v>41702.642361111109</c:v>
                </c:pt>
                <c:pt idx="926">
                  <c:v>41702.643055555556</c:v>
                </c:pt>
                <c:pt idx="927">
                  <c:v>41702.643750000003</c:v>
                </c:pt>
                <c:pt idx="928">
                  <c:v>41702.644444444442</c:v>
                </c:pt>
                <c:pt idx="929">
                  <c:v>41702.645138888889</c:v>
                </c:pt>
                <c:pt idx="930">
                  <c:v>41702.645833333336</c:v>
                </c:pt>
                <c:pt idx="931">
                  <c:v>41702.646527777775</c:v>
                </c:pt>
                <c:pt idx="932">
                  <c:v>41702.647222222222</c:v>
                </c:pt>
                <c:pt idx="933">
                  <c:v>41702.647916666669</c:v>
                </c:pt>
                <c:pt idx="934">
                  <c:v>41702.648611111108</c:v>
                </c:pt>
                <c:pt idx="935">
                  <c:v>41702.649305555555</c:v>
                </c:pt>
                <c:pt idx="936">
                  <c:v>41702.65</c:v>
                </c:pt>
                <c:pt idx="937">
                  <c:v>41702.650694444441</c:v>
                </c:pt>
                <c:pt idx="938">
                  <c:v>41702.651388888888</c:v>
                </c:pt>
                <c:pt idx="939">
                  <c:v>41702.652083333334</c:v>
                </c:pt>
                <c:pt idx="940">
                  <c:v>41702.652777777781</c:v>
                </c:pt>
                <c:pt idx="941">
                  <c:v>41702.65347222222</c:v>
                </c:pt>
                <c:pt idx="942">
                  <c:v>41702.654166666667</c:v>
                </c:pt>
                <c:pt idx="943">
                  <c:v>41702.654861111114</c:v>
                </c:pt>
                <c:pt idx="944">
                  <c:v>41702.655555555553</c:v>
                </c:pt>
                <c:pt idx="945">
                  <c:v>41702.65625</c:v>
                </c:pt>
                <c:pt idx="946">
                  <c:v>41702.656944444447</c:v>
                </c:pt>
                <c:pt idx="947">
                  <c:v>41702.657638888886</c:v>
                </c:pt>
                <c:pt idx="948">
                  <c:v>41702.658333333333</c:v>
                </c:pt>
                <c:pt idx="949">
                  <c:v>41702.65902777778</c:v>
                </c:pt>
                <c:pt idx="950">
                  <c:v>41702.659722222219</c:v>
                </c:pt>
                <c:pt idx="951">
                  <c:v>41702.660416666666</c:v>
                </c:pt>
                <c:pt idx="952">
                  <c:v>41702.661111111112</c:v>
                </c:pt>
                <c:pt idx="953">
                  <c:v>41702.661805555559</c:v>
                </c:pt>
                <c:pt idx="954">
                  <c:v>41702.662499999999</c:v>
                </c:pt>
                <c:pt idx="955">
                  <c:v>41702.663194444445</c:v>
                </c:pt>
                <c:pt idx="956">
                  <c:v>41702.663888888892</c:v>
                </c:pt>
                <c:pt idx="957">
                  <c:v>41702.664583333331</c:v>
                </c:pt>
                <c:pt idx="958">
                  <c:v>41702.665277777778</c:v>
                </c:pt>
                <c:pt idx="959">
                  <c:v>41702.665972222225</c:v>
                </c:pt>
                <c:pt idx="960">
                  <c:v>41702.666666666664</c:v>
                </c:pt>
                <c:pt idx="961">
                  <c:v>41702.667361111111</c:v>
                </c:pt>
                <c:pt idx="962">
                  <c:v>41702.668055555558</c:v>
                </c:pt>
                <c:pt idx="963">
                  <c:v>41702.668749999997</c:v>
                </c:pt>
                <c:pt idx="964">
                  <c:v>41702.669444444444</c:v>
                </c:pt>
                <c:pt idx="965">
                  <c:v>41702.670138888891</c:v>
                </c:pt>
                <c:pt idx="966">
                  <c:v>41702.67083333333</c:v>
                </c:pt>
                <c:pt idx="967">
                  <c:v>41702.671527777777</c:v>
                </c:pt>
                <c:pt idx="968">
                  <c:v>41702.672222222223</c:v>
                </c:pt>
                <c:pt idx="969">
                  <c:v>41702.67291666667</c:v>
                </c:pt>
                <c:pt idx="970">
                  <c:v>41702.673611111109</c:v>
                </c:pt>
                <c:pt idx="971">
                  <c:v>41702.674305555556</c:v>
                </c:pt>
                <c:pt idx="972">
                  <c:v>41702.675000000003</c:v>
                </c:pt>
                <c:pt idx="973">
                  <c:v>41702.675694444442</c:v>
                </c:pt>
                <c:pt idx="974">
                  <c:v>41702.676388888889</c:v>
                </c:pt>
                <c:pt idx="975">
                  <c:v>41702.677083333336</c:v>
                </c:pt>
                <c:pt idx="976">
                  <c:v>41702.677777777775</c:v>
                </c:pt>
                <c:pt idx="977">
                  <c:v>41702.678472222222</c:v>
                </c:pt>
                <c:pt idx="978">
                  <c:v>41702.679166666669</c:v>
                </c:pt>
                <c:pt idx="979">
                  <c:v>41702.679861111108</c:v>
                </c:pt>
                <c:pt idx="980">
                  <c:v>41702.680555555555</c:v>
                </c:pt>
                <c:pt idx="981">
                  <c:v>41702.681250000001</c:v>
                </c:pt>
                <c:pt idx="982">
                  <c:v>41702.681944444441</c:v>
                </c:pt>
                <c:pt idx="983">
                  <c:v>41702.682638888888</c:v>
                </c:pt>
                <c:pt idx="984">
                  <c:v>41702.683333333334</c:v>
                </c:pt>
                <c:pt idx="985">
                  <c:v>41702.684027777781</c:v>
                </c:pt>
                <c:pt idx="986">
                  <c:v>41702.68472222222</c:v>
                </c:pt>
                <c:pt idx="987">
                  <c:v>41702.685416666667</c:v>
                </c:pt>
                <c:pt idx="988">
                  <c:v>41702.686111111114</c:v>
                </c:pt>
                <c:pt idx="989">
                  <c:v>41702.686805555553</c:v>
                </c:pt>
                <c:pt idx="990">
                  <c:v>41702.6875</c:v>
                </c:pt>
                <c:pt idx="991">
                  <c:v>41702.688194444447</c:v>
                </c:pt>
                <c:pt idx="992">
                  <c:v>41702.688888888886</c:v>
                </c:pt>
                <c:pt idx="993">
                  <c:v>41702.689583333333</c:v>
                </c:pt>
                <c:pt idx="994">
                  <c:v>41702.69027777778</c:v>
                </c:pt>
                <c:pt idx="995">
                  <c:v>41702.690972222219</c:v>
                </c:pt>
                <c:pt idx="996">
                  <c:v>41702.691666666666</c:v>
                </c:pt>
                <c:pt idx="997">
                  <c:v>41702.692361111112</c:v>
                </c:pt>
                <c:pt idx="998">
                  <c:v>41702.693055555559</c:v>
                </c:pt>
                <c:pt idx="999">
                  <c:v>41702.693749999999</c:v>
                </c:pt>
                <c:pt idx="1000">
                  <c:v>41702.694444444445</c:v>
                </c:pt>
                <c:pt idx="1001">
                  <c:v>41702.695138888892</c:v>
                </c:pt>
                <c:pt idx="1002">
                  <c:v>41702.695833333331</c:v>
                </c:pt>
                <c:pt idx="1003">
                  <c:v>41702.696527777778</c:v>
                </c:pt>
                <c:pt idx="1004">
                  <c:v>41702.697222222225</c:v>
                </c:pt>
                <c:pt idx="1005">
                  <c:v>41702.697916666664</c:v>
                </c:pt>
                <c:pt idx="1006">
                  <c:v>41702.698611111111</c:v>
                </c:pt>
                <c:pt idx="1007">
                  <c:v>41702.699305555558</c:v>
                </c:pt>
                <c:pt idx="1008">
                  <c:v>41702.699999999997</c:v>
                </c:pt>
                <c:pt idx="1009">
                  <c:v>41702.700694444444</c:v>
                </c:pt>
                <c:pt idx="1010">
                  <c:v>41702.701388888891</c:v>
                </c:pt>
                <c:pt idx="1011">
                  <c:v>41702.70208333333</c:v>
                </c:pt>
                <c:pt idx="1012">
                  <c:v>41702.702777777777</c:v>
                </c:pt>
                <c:pt idx="1013">
                  <c:v>41702.703472222223</c:v>
                </c:pt>
                <c:pt idx="1014">
                  <c:v>41702.70416666667</c:v>
                </c:pt>
                <c:pt idx="1015">
                  <c:v>41702.704861111109</c:v>
                </c:pt>
                <c:pt idx="1016">
                  <c:v>41702.705555555556</c:v>
                </c:pt>
                <c:pt idx="1017">
                  <c:v>41702.706250000003</c:v>
                </c:pt>
                <c:pt idx="1018">
                  <c:v>41702.706944444442</c:v>
                </c:pt>
                <c:pt idx="1019">
                  <c:v>41702.707638888889</c:v>
                </c:pt>
                <c:pt idx="1020">
                  <c:v>41702.708333333336</c:v>
                </c:pt>
                <c:pt idx="1021">
                  <c:v>41702.709027777775</c:v>
                </c:pt>
                <c:pt idx="1022">
                  <c:v>41702.709722222222</c:v>
                </c:pt>
                <c:pt idx="1023">
                  <c:v>41702.710416666669</c:v>
                </c:pt>
                <c:pt idx="1024">
                  <c:v>41702.711111111108</c:v>
                </c:pt>
                <c:pt idx="1025">
                  <c:v>41702.711805555555</c:v>
                </c:pt>
                <c:pt idx="1026">
                  <c:v>41702.712500000001</c:v>
                </c:pt>
                <c:pt idx="1027">
                  <c:v>41702.713194444441</c:v>
                </c:pt>
                <c:pt idx="1028">
                  <c:v>41702.713888888888</c:v>
                </c:pt>
                <c:pt idx="1029">
                  <c:v>41702.714583333334</c:v>
                </c:pt>
                <c:pt idx="1030">
                  <c:v>41702.715277777781</c:v>
                </c:pt>
                <c:pt idx="1031">
                  <c:v>41702.71597222222</c:v>
                </c:pt>
                <c:pt idx="1032">
                  <c:v>41702.716666666667</c:v>
                </c:pt>
                <c:pt idx="1033">
                  <c:v>41702.717361111114</c:v>
                </c:pt>
                <c:pt idx="1034">
                  <c:v>41702.718055555553</c:v>
                </c:pt>
                <c:pt idx="1035">
                  <c:v>41702.71875</c:v>
                </c:pt>
                <c:pt idx="1036">
                  <c:v>41702.719444444447</c:v>
                </c:pt>
                <c:pt idx="1037">
                  <c:v>41702.720138888886</c:v>
                </c:pt>
                <c:pt idx="1038">
                  <c:v>41702.720833333333</c:v>
                </c:pt>
                <c:pt idx="1039">
                  <c:v>41702.72152777778</c:v>
                </c:pt>
                <c:pt idx="1040">
                  <c:v>41702.722222222219</c:v>
                </c:pt>
                <c:pt idx="1041">
                  <c:v>41702.722916666666</c:v>
                </c:pt>
                <c:pt idx="1042">
                  <c:v>41702.723611111112</c:v>
                </c:pt>
                <c:pt idx="1043">
                  <c:v>41702.724305555559</c:v>
                </c:pt>
                <c:pt idx="1044">
                  <c:v>41702.724999999999</c:v>
                </c:pt>
                <c:pt idx="1045">
                  <c:v>41702.725694444445</c:v>
                </c:pt>
                <c:pt idx="1046">
                  <c:v>41702.726388888892</c:v>
                </c:pt>
                <c:pt idx="1047">
                  <c:v>41702.727083333331</c:v>
                </c:pt>
                <c:pt idx="1048">
                  <c:v>41702.727777777778</c:v>
                </c:pt>
                <c:pt idx="1049">
                  <c:v>41702.728472222225</c:v>
                </c:pt>
                <c:pt idx="1050">
                  <c:v>41702.729166666664</c:v>
                </c:pt>
                <c:pt idx="1051">
                  <c:v>41702.729861111111</c:v>
                </c:pt>
                <c:pt idx="1052">
                  <c:v>41702.730555555558</c:v>
                </c:pt>
                <c:pt idx="1053">
                  <c:v>41702.731249999997</c:v>
                </c:pt>
                <c:pt idx="1054">
                  <c:v>41702.731944444444</c:v>
                </c:pt>
                <c:pt idx="1055">
                  <c:v>41702.732638888891</c:v>
                </c:pt>
                <c:pt idx="1056">
                  <c:v>41702.73333333333</c:v>
                </c:pt>
                <c:pt idx="1057">
                  <c:v>41702.734027777777</c:v>
                </c:pt>
                <c:pt idx="1058">
                  <c:v>41702.734722222223</c:v>
                </c:pt>
                <c:pt idx="1059">
                  <c:v>41702.73541666667</c:v>
                </c:pt>
                <c:pt idx="1060">
                  <c:v>41702.736111111109</c:v>
                </c:pt>
                <c:pt idx="1061">
                  <c:v>41702.736805555556</c:v>
                </c:pt>
                <c:pt idx="1062">
                  <c:v>41702.737500000003</c:v>
                </c:pt>
                <c:pt idx="1063">
                  <c:v>41702.738194444442</c:v>
                </c:pt>
                <c:pt idx="1064">
                  <c:v>41702.738888888889</c:v>
                </c:pt>
                <c:pt idx="1065">
                  <c:v>41702.739583333336</c:v>
                </c:pt>
                <c:pt idx="1066">
                  <c:v>41702.740277777775</c:v>
                </c:pt>
                <c:pt idx="1067">
                  <c:v>41702.740972222222</c:v>
                </c:pt>
                <c:pt idx="1068">
                  <c:v>41702.741666666669</c:v>
                </c:pt>
                <c:pt idx="1069">
                  <c:v>41702.742361111108</c:v>
                </c:pt>
                <c:pt idx="1070">
                  <c:v>41702.743055555555</c:v>
                </c:pt>
                <c:pt idx="1071">
                  <c:v>41702.743750000001</c:v>
                </c:pt>
                <c:pt idx="1072">
                  <c:v>41702.744444444441</c:v>
                </c:pt>
                <c:pt idx="1073">
                  <c:v>41702.745138888888</c:v>
                </c:pt>
                <c:pt idx="1074">
                  <c:v>41702.745833333334</c:v>
                </c:pt>
                <c:pt idx="1075">
                  <c:v>41702.746527777781</c:v>
                </c:pt>
                <c:pt idx="1076">
                  <c:v>41702.74722222222</c:v>
                </c:pt>
                <c:pt idx="1077">
                  <c:v>41702.747916666667</c:v>
                </c:pt>
                <c:pt idx="1078">
                  <c:v>41702.748611111114</c:v>
                </c:pt>
                <c:pt idx="1079">
                  <c:v>41702.749305555553</c:v>
                </c:pt>
                <c:pt idx="1080">
                  <c:v>41702.75</c:v>
                </c:pt>
                <c:pt idx="1081">
                  <c:v>41702.750694444447</c:v>
                </c:pt>
                <c:pt idx="1082">
                  <c:v>41702.751388888886</c:v>
                </c:pt>
                <c:pt idx="1083">
                  <c:v>41702.752083333333</c:v>
                </c:pt>
                <c:pt idx="1084">
                  <c:v>41702.75277777778</c:v>
                </c:pt>
                <c:pt idx="1085">
                  <c:v>41702.753472222219</c:v>
                </c:pt>
                <c:pt idx="1086">
                  <c:v>41702.754166666666</c:v>
                </c:pt>
                <c:pt idx="1087">
                  <c:v>41702.754861111112</c:v>
                </c:pt>
                <c:pt idx="1088">
                  <c:v>41702.755555555559</c:v>
                </c:pt>
                <c:pt idx="1089">
                  <c:v>41702.756249999999</c:v>
                </c:pt>
                <c:pt idx="1090">
                  <c:v>41702.756944444445</c:v>
                </c:pt>
                <c:pt idx="1091">
                  <c:v>41702.757638888892</c:v>
                </c:pt>
                <c:pt idx="1092">
                  <c:v>41702.758333333331</c:v>
                </c:pt>
                <c:pt idx="1093">
                  <c:v>41702.759027777778</c:v>
                </c:pt>
                <c:pt idx="1094">
                  <c:v>41702.759722222225</c:v>
                </c:pt>
                <c:pt idx="1095">
                  <c:v>41702.760416666664</c:v>
                </c:pt>
                <c:pt idx="1096">
                  <c:v>41702.761111111111</c:v>
                </c:pt>
                <c:pt idx="1097">
                  <c:v>41702.761805555558</c:v>
                </c:pt>
                <c:pt idx="1098">
                  <c:v>41702.762499999997</c:v>
                </c:pt>
                <c:pt idx="1099">
                  <c:v>41702.763194444444</c:v>
                </c:pt>
                <c:pt idx="1100">
                  <c:v>41702.763888888891</c:v>
                </c:pt>
                <c:pt idx="1101">
                  <c:v>41702.76458333333</c:v>
                </c:pt>
                <c:pt idx="1102">
                  <c:v>41702.765277777777</c:v>
                </c:pt>
                <c:pt idx="1103">
                  <c:v>41702.765972222223</c:v>
                </c:pt>
                <c:pt idx="1104">
                  <c:v>41702.76666666667</c:v>
                </c:pt>
                <c:pt idx="1105">
                  <c:v>41702.767361111109</c:v>
                </c:pt>
                <c:pt idx="1106">
                  <c:v>41702.768055555556</c:v>
                </c:pt>
                <c:pt idx="1107">
                  <c:v>41702.768750000003</c:v>
                </c:pt>
                <c:pt idx="1108">
                  <c:v>41702.769444444442</c:v>
                </c:pt>
                <c:pt idx="1109">
                  <c:v>41702.770138888889</c:v>
                </c:pt>
                <c:pt idx="1110">
                  <c:v>41702.770833333336</c:v>
                </c:pt>
                <c:pt idx="1111">
                  <c:v>41702.771527777775</c:v>
                </c:pt>
                <c:pt idx="1112">
                  <c:v>41702.772222222222</c:v>
                </c:pt>
                <c:pt idx="1113">
                  <c:v>41702.772916666669</c:v>
                </c:pt>
                <c:pt idx="1114">
                  <c:v>41702.773611111108</c:v>
                </c:pt>
                <c:pt idx="1115">
                  <c:v>41702.774305555555</c:v>
                </c:pt>
                <c:pt idx="1116">
                  <c:v>41702.775000000001</c:v>
                </c:pt>
                <c:pt idx="1117">
                  <c:v>41702.775694444441</c:v>
                </c:pt>
                <c:pt idx="1118">
                  <c:v>41702.776388888888</c:v>
                </c:pt>
                <c:pt idx="1119">
                  <c:v>41702.777083333334</c:v>
                </c:pt>
                <c:pt idx="1120">
                  <c:v>41702.777777777781</c:v>
                </c:pt>
                <c:pt idx="1121">
                  <c:v>41702.77847222222</c:v>
                </c:pt>
                <c:pt idx="1122">
                  <c:v>41702.779166666667</c:v>
                </c:pt>
                <c:pt idx="1123">
                  <c:v>41702.779861111114</c:v>
                </c:pt>
                <c:pt idx="1124">
                  <c:v>41702.780555555553</c:v>
                </c:pt>
                <c:pt idx="1125">
                  <c:v>41702.78125</c:v>
                </c:pt>
                <c:pt idx="1126">
                  <c:v>41702.781944444447</c:v>
                </c:pt>
                <c:pt idx="1127">
                  <c:v>41702.782638888886</c:v>
                </c:pt>
                <c:pt idx="1128">
                  <c:v>41702.783333333333</c:v>
                </c:pt>
                <c:pt idx="1129">
                  <c:v>41702.78402777778</c:v>
                </c:pt>
                <c:pt idx="1130">
                  <c:v>41702.784722222219</c:v>
                </c:pt>
                <c:pt idx="1131">
                  <c:v>41702.785416666666</c:v>
                </c:pt>
                <c:pt idx="1132">
                  <c:v>41702.786111111112</c:v>
                </c:pt>
                <c:pt idx="1133">
                  <c:v>41702.786805555559</c:v>
                </c:pt>
                <c:pt idx="1134">
                  <c:v>41702.787499999999</c:v>
                </c:pt>
                <c:pt idx="1135">
                  <c:v>41702.788194444445</c:v>
                </c:pt>
                <c:pt idx="1136">
                  <c:v>41702.788888888892</c:v>
                </c:pt>
                <c:pt idx="1137">
                  <c:v>41702.789583333331</c:v>
                </c:pt>
                <c:pt idx="1138">
                  <c:v>41702.790277777778</c:v>
                </c:pt>
                <c:pt idx="1139">
                  <c:v>41702.790972222225</c:v>
                </c:pt>
                <c:pt idx="1140">
                  <c:v>41702.791666666664</c:v>
                </c:pt>
                <c:pt idx="1141">
                  <c:v>41702.792361111111</c:v>
                </c:pt>
                <c:pt idx="1142">
                  <c:v>41702.793055555558</c:v>
                </c:pt>
                <c:pt idx="1143">
                  <c:v>41702.793749999997</c:v>
                </c:pt>
                <c:pt idx="1144">
                  <c:v>41702.794444444444</c:v>
                </c:pt>
                <c:pt idx="1145">
                  <c:v>41702.795138888891</c:v>
                </c:pt>
                <c:pt idx="1146">
                  <c:v>41702.79583333333</c:v>
                </c:pt>
                <c:pt idx="1147">
                  <c:v>41702.796527777777</c:v>
                </c:pt>
                <c:pt idx="1148">
                  <c:v>41702.797222222223</c:v>
                </c:pt>
                <c:pt idx="1149">
                  <c:v>41702.79791666667</c:v>
                </c:pt>
                <c:pt idx="1150">
                  <c:v>41702.798611111109</c:v>
                </c:pt>
                <c:pt idx="1151">
                  <c:v>41702.799305555556</c:v>
                </c:pt>
                <c:pt idx="1152">
                  <c:v>41702.800000000003</c:v>
                </c:pt>
                <c:pt idx="1153">
                  <c:v>41702.800694444442</c:v>
                </c:pt>
                <c:pt idx="1154">
                  <c:v>41702.801388888889</c:v>
                </c:pt>
                <c:pt idx="1155">
                  <c:v>41702.802083333336</c:v>
                </c:pt>
                <c:pt idx="1156">
                  <c:v>41702.802777777775</c:v>
                </c:pt>
                <c:pt idx="1157">
                  <c:v>41702.803472222222</c:v>
                </c:pt>
                <c:pt idx="1158">
                  <c:v>41702.804166666669</c:v>
                </c:pt>
                <c:pt idx="1159">
                  <c:v>41702.804861111108</c:v>
                </c:pt>
                <c:pt idx="1160">
                  <c:v>41702.805555555555</c:v>
                </c:pt>
                <c:pt idx="1161">
                  <c:v>41702.806250000001</c:v>
                </c:pt>
                <c:pt idx="1162">
                  <c:v>41702.806944444441</c:v>
                </c:pt>
                <c:pt idx="1163">
                  <c:v>41702.807638888888</c:v>
                </c:pt>
                <c:pt idx="1164">
                  <c:v>41702.808333333334</c:v>
                </c:pt>
                <c:pt idx="1165">
                  <c:v>41702.809027777781</c:v>
                </c:pt>
                <c:pt idx="1166">
                  <c:v>41702.80972222222</c:v>
                </c:pt>
                <c:pt idx="1167">
                  <c:v>41702.810416666667</c:v>
                </c:pt>
                <c:pt idx="1168">
                  <c:v>41702.811111111114</c:v>
                </c:pt>
                <c:pt idx="1169">
                  <c:v>41702.811805555553</c:v>
                </c:pt>
                <c:pt idx="1170">
                  <c:v>41702.8125</c:v>
                </c:pt>
                <c:pt idx="1171">
                  <c:v>41702.813194444447</c:v>
                </c:pt>
                <c:pt idx="1172">
                  <c:v>41702.813888888886</c:v>
                </c:pt>
                <c:pt idx="1173">
                  <c:v>41702.814583333333</c:v>
                </c:pt>
                <c:pt idx="1174">
                  <c:v>41702.81527777778</c:v>
                </c:pt>
                <c:pt idx="1175">
                  <c:v>41702.815972222219</c:v>
                </c:pt>
                <c:pt idx="1176">
                  <c:v>41702.816666666666</c:v>
                </c:pt>
                <c:pt idx="1177">
                  <c:v>41702.817361111112</c:v>
                </c:pt>
                <c:pt idx="1178">
                  <c:v>41702.818055555559</c:v>
                </c:pt>
                <c:pt idx="1179">
                  <c:v>41702.818749999999</c:v>
                </c:pt>
                <c:pt idx="1180">
                  <c:v>41702.819444444445</c:v>
                </c:pt>
                <c:pt idx="1181">
                  <c:v>41702.820138888892</c:v>
                </c:pt>
                <c:pt idx="1182">
                  <c:v>41702.820833333331</c:v>
                </c:pt>
                <c:pt idx="1183">
                  <c:v>41702.821527777778</c:v>
                </c:pt>
                <c:pt idx="1184">
                  <c:v>41702.822222222225</c:v>
                </c:pt>
                <c:pt idx="1185">
                  <c:v>41702.822916666664</c:v>
                </c:pt>
                <c:pt idx="1186">
                  <c:v>41702.823611111111</c:v>
                </c:pt>
                <c:pt idx="1187">
                  <c:v>41702.824305555558</c:v>
                </c:pt>
                <c:pt idx="1188">
                  <c:v>41702.824999999997</c:v>
                </c:pt>
                <c:pt idx="1189">
                  <c:v>41702.825694444444</c:v>
                </c:pt>
                <c:pt idx="1190">
                  <c:v>41702.826388888891</c:v>
                </c:pt>
                <c:pt idx="1191">
                  <c:v>41702.82708333333</c:v>
                </c:pt>
                <c:pt idx="1192">
                  <c:v>41702.827777777777</c:v>
                </c:pt>
                <c:pt idx="1193">
                  <c:v>41702.828472222223</c:v>
                </c:pt>
                <c:pt idx="1194">
                  <c:v>41702.82916666667</c:v>
                </c:pt>
                <c:pt idx="1195">
                  <c:v>41702.829861111109</c:v>
                </c:pt>
                <c:pt idx="1196">
                  <c:v>41702.830555555556</c:v>
                </c:pt>
                <c:pt idx="1197">
                  <c:v>41702.831250000003</c:v>
                </c:pt>
                <c:pt idx="1198">
                  <c:v>41702.831944444442</c:v>
                </c:pt>
                <c:pt idx="1199">
                  <c:v>41702.832638888889</c:v>
                </c:pt>
                <c:pt idx="1200">
                  <c:v>41702.833333333336</c:v>
                </c:pt>
                <c:pt idx="1201">
                  <c:v>41702.834027777775</c:v>
                </c:pt>
                <c:pt idx="1202">
                  <c:v>41702.834722222222</c:v>
                </c:pt>
                <c:pt idx="1203">
                  <c:v>41702.835416666669</c:v>
                </c:pt>
                <c:pt idx="1204">
                  <c:v>41702.836111111108</c:v>
                </c:pt>
                <c:pt idx="1205">
                  <c:v>41702.836805555555</c:v>
                </c:pt>
                <c:pt idx="1206">
                  <c:v>41702.837500000001</c:v>
                </c:pt>
                <c:pt idx="1207">
                  <c:v>41702.838194444441</c:v>
                </c:pt>
                <c:pt idx="1208">
                  <c:v>41702.838888888888</c:v>
                </c:pt>
                <c:pt idx="1209">
                  <c:v>41702.839583333334</c:v>
                </c:pt>
                <c:pt idx="1210">
                  <c:v>41702.840277777781</c:v>
                </c:pt>
                <c:pt idx="1211">
                  <c:v>41702.84097222222</c:v>
                </c:pt>
                <c:pt idx="1212">
                  <c:v>41702.841666666667</c:v>
                </c:pt>
                <c:pt idx="1213">
                  <c:v>41702.842361111114</c:v>
                </c:pt>
                <c:pt idx="1214">
                  <c:v>41702.843055555553</c:v>
                </c:pt>
                <c:pt idx="1215">
                  <c:v>41702.84375</c:v>
                </c:pt>
                <c:pt idx="1216">
                  <c:v>41702.844444444447</c:v>
                </c:pt>
                <c:pt idx="1217">
                  <c:v>41702.845138888886</c:v>
                </c:pt>
                <c:pt idx="1218">
                  <c:v>41702.845833333333</c:v>
                </c:pt>
                <c:pt idx="1219">
                  <c:v>41702.84652777778</c:v>
                </c:pt>
                <c:pt idx="1220">
                  <c:v>41702.847222222219</c:v>
                </c:pt>
                <c:pt idx="1221">
                  <c:v>41702.847916666666</c:v>
                </c:pt>
                <c:pt idx="1222">
                  <c:v>41702.848611111112</c:v>
                </c:pt>
                <c:pt idx="1223">
                  <c:v>41702.849305555559</c:v>
                </c:pt>
                <c:pt idx="1224">
                  <c:v>41702.85</c:v>
                </c:pt>
                <c:pt idx="1225">
                  <c:v>41702.850694444445</c:v>
                </c:pt>
                <c:pt idx="1226">
                  <c:v>41702.851388888892</c:v>
                </c:pt>
                <c:pt idx="1227">
                  <c:v>41702.852083333331</c:v>
                </c:pt>
                <c:pt idx="1228">
                  <c:v>41702.852777777778</c:v>
                </c:pt>
                <c:pt idx="1229">
                  <c:v>41702.853472222225</c:v>
                </c:pt>
                <c:pt idx="1230">
                  <c:v>41702.854166666664</c:v>
                </c:pt>
                <c:pt idx="1231">
                  <c:v>41702.854861111111</c:v>
                </c:pt>
                <c:pt idx="1232">
                  <c:v>41702.855555555558</c:v>
                </c:pt>
                <c:pt idx="1233">
                  <c:v>41702.856249999997</c:v>
                </c:pt>
                <c:pt idx="1234">
                  <c:v>41702.856944444444</c:v>
                </c:pt>
                <c:pt idx="1235">
                  <c:v>41702.857638888891</c:v>
                </c:pt>
                <c:pt idx="1236">
                  <c:v>41702.85833333333</c:v>
                </c:pt>
                <c:pt idx="1237">
                  <c:v>41702.859027777777</c:v>
                </c:pt>
                <c:pt idx="1238">
                  <c:v>41702.859722222223</c:v>
                </c:pt>
                <c:pt idx="1239">
                  <c:v>41702.86041666667</c:v>
                </c:pt>
                <c:pt idx="1240">
                  <c:v>41702.861111111109</c:v>
                </c:pt>
                <c:pt idx="1241">
                  <c:v>41702.861805555556</c:v>
                </c:pt>
                <c:pt idx="1242">
                  <c:v>41702.862500000003</c:v>
                </c:pt>
                <c:pt idx="1243">
                  <c:v>41702.863194444442</c:v>
                </c:pt>
                <c:pt idx="1244">
                  <c:v>41702.863888888889</c:v>
                </c:pt>
                <c:pt idx="1245">
                  <c:v>41702.864583333336</c:v>
                </c:pt>
                <c:pt idx="1246">
                  <c:v>41702.865277777775</c:v>
                </c:pt>
                <c:pt idx="1247">
                  <c:v>41702.865972222222</c:v>
                </c:pt>
                <c:pt idx="1248">
                  <c:v>41702.866666666669</c:v>
                </c:pt>
                <c:pt idx="1249">
                  <c:v>41702.867361111108</c:v>
                </c:pt>
                <c:pt idx="1250">
                  <c:v>41702.868055555555</c:v>
                </c:pt>
                <c:pt idx="1251">
                  <c:v>41702.868750000001</c:v>
                </c:pt>
                <c:pt idx="1252">
                  <c:v>41702.869444444441</c:v>
                </c:pt>
                <c:pt idx="1253">
                  <c:v>41702.870138888888</c:v>
                </c:pt>
                <c:pt idx="1254">
                  <c:v>41702.870833333334</c:v>
                </c:pt>
                <c:pt idx="1255">
                  <c:v>41702.871527777781</c:v>
                </c:pt>
                <c:pt idx="1256">
                  <c:v>41702.87222222222</c:v>
                </c:pt>
                <c:pt idx="1257">
                  <c:v>41702.872916666667</c:v>
                </c:pt>
                <c:pt idx="1258">
                  <c:v>41702.873611111114</c:v>
                </c:pt>
                <c:pt idx="1259">
                  <c:v>41702.874305555553</c:v>
                </c:pt>
                <c:pt idx="1260">
                  <c:v>41702.875</c:v>
                </c:pt>
                <c:pt idx="1261">
                  <c:v>41702.875694444447</c:v>
                </c:pt>
                <c:pt idx="1262">
                  <c:v>41702.876388888886</c:v>
                </c:pt>
                <c:pt idx="1263">
                  <c:v>41702.877083333333</c:v>
                </c:pt>
                <c:pt idx="1264">
                  <c:v>41702.87777777778</c:v>
                </c:pt>
                <c:pt idx="1265">
                  <c:v>41702.878472222219</c:v>
                </c:pt>
                <c:pt idx="1266">
                  <c:v>41702.879166666666</c:v>
                </c:pt>
                <c:pt idx="1267">
                  <c:v>41702.879861111112</c:v>
                </c:pt>
                <c:pt idx="1268">
                  <c:v>41702.880555555559</c:v>
                </c:pt>
                <c:pt idx="1269">
                  <c:v>41702.881249999999</c:v>
                </c:pt>
                <c:pt idx="1270">
                  <c:v>41702.881944444445</c:v>
                </c:pt>
                <c:pt idx="1271">
                  <c:v>41702.882638888892</c:v>
                </c:pt>
                <c:pt idx="1272">
                  <c:v>41702.883333333331</c:v>
                </c:pt>
                <c:pt idx="1273">
                  <c:v>41702.884027777778</c:v>
                </c:pt>
                <c:pt idx="1274">
                  <c:v>41702.884722222225</c:v>
                </c:pt>
                <c:pt idx="1275">
                  <c:v>41702.885416666664</c:v>
                </c:pt>
                <c:pt idx="1276">
                  <c:v>41702.886111111111</c:v>
                </c:pt>
                <c:pt idx="1277">
                  <c:v>41702.886805555558</c:v>
                </c:pt>
                <c:pt idx="1278">
                  <c:v>41702.887499999997</c:v>
                </c:pt>
                <c:pt idx="1279">
                  <c:v>41702.888194444444</c:v>
                </c:pt>
                <c:pt idx="1280">
                  <c:v>41702.888888888891</c:v>
                </c:pt>
                <c:pt idx="1281">
                  <c:v>41702.88958333333</c:v>
                </c:pt>
                <c:pt idx="1282">
                  <c:v>41702.890277777777</c:v>
                </c:pt>
                <c:pt idx="1283">
                  <c:v>41702.890972222223</c:v>
                </c:pt>
                <c:pt idx="1284">
                  <c:v>41702.89166666667</c:v>
                </c:pt>
                <c:pt idx="1285">
                  <c:v>41702.892361111109</c:v>
                </c:pt>
                <c:pt idx="1286">
                  <c:v>41702.893055555556</c:v>
                </c:pt>
                <c:pt idx="1287">
                  <c:v>41702.893750000003</c:v>
                </c:pt>
                <c:pt idx="1288">
                  <c:v>41702.894444444442</c:v>
                </c:pt>
                <c:pt idx="1289">
                  <c:v>41702.895138888889</c:v>
                </c:pt>
                <c:pt idx="1290">
                  <c:v>41702.895833333336</c:v>
                </c:pt>
                <c:pt idx="1291">
                  <c:v>41702.896527777775</c:v>
                </c:pt>
                <c:pt idx="1292">
                  <c:v>41702.897222222222</c:v>
                </c:pt>
                <c:pt idx="1293">
                  <c:v>41702.897916666669</c:v>
                </c:pt>
                <c:pt idx="1294">
                  <c:v>41702.898611111108</c:v>
                </c:pt>
                <c:pt idx="1295">
                  <c:v>41702.899305555555</c:v>
                </c:pt>
                <c:pt idx="1296">
                  <c:v>41702.9</c:v>
                </c:pt>
                <c:pt idx="1297">
                  <c:v>41702.900694444441</c:v>
                </c:pt>
                <c:pt idx="1298">
                  <c:v>41702.901388888888</c:v>
                </c:pt>
                <c:pt idx="1299">
                  <c:v>41702.902083333334</c:v>
                </c:pt>
                <c:pt idx="1300">
                  <c:v>41702.902777777781</c:v>
                </c:pt>
                <c:pt idx="1301">
                  <c:v>41702.90347222222</c:v>
                </c:pt>
                <c:pt idx="1302">
                  <c:v>41702.904166666667</c:v>
                </c:pt>
                <c:pt idx="1303">
                  <c:v>41702.904861111114</c:v>
                </c:pt>
                <c:pt idx="1304">
                  <c:v>41702.905555555553</c:v>
                </c:pt>
                <c:pt idx="1305">
                  <c:v>41702.90625</c:v>
                </c:pt>
                <c:pt idx="1306">
                  <c:v>41702.906944444447</c:v>
                </c:pt>
                <c:pt idx="1307">
                  <c:v>41702.907638888886</c:v>
                </c:pt>
                <c:pt idx="1308">
                  <c:v>41702.908333333333</c:v>
                </c:pt>
                <c:pt idx="1309">
                  <c:v>41702.90902777778</c:v>
                </c:pt>
                <c:pt idx="1310">
                  <c:v>41702.909722222219</c:v>
                </c:pt>
                <c:pt idx="1311">
                  <c:v>41702.910416666666</c:v>
                </c:pt>
                <c:pt idx="1312">
                  <c:v>41702.911111111112</c:v>
                </c:pt>
                <c:pt idx="1313">
                  <c:v>41702.911805555559</c:v>
                </c:pt>
                <c:pt idx="1314">
                  <c:v>41702.912499999999</c:v>
                </c:pt>
                <c:pt idx="1315">
                  <c:v>41702.913194444445</c:v>
                </c:pt>
                <c:pt idx="1316">
                  <c:v>41702.913888888892</c:v>
                </c:pt>
                <c:pt idx="1317">
                  <c:v>41702.914583333331</c:v>
                </c:pt>
                <c:pt idx="1318">
                  <c:v>41702.915277777778</c:v>
                </c:pt>
                <c:pt idx="1319">
                  <c:v>41702.915972222225</c:v>
                </c:pt>
                <c:pt idx="1320">
                  <c:v>41702.916666666664</c:v>
                </c:pt>
                <c:pt idx="1321">
                  <c:v>41702.917361111111</c:v>
                </c:pt>
                <c:pt idx="1322">
                  <c:v>41702.918055555558</c:v>
                </c:pt>
                <c:pt idx="1323">
                  <c:v>41702.918749999997</c:v>
                </c:pt>
                <c:pt idx="1324">
                  <c:v>41702.919444444444</c:v>
                </c:pt>
                <c:pt idx="1325">
                  <c:v>41702.920138888891</c:v>
                </c:pt>
                <c:pt idx="1326">
                  <c:v>41702.92083333333</c:v>
                </c:pt>
                <c:pt idx="1327">
                  <c:v>41702.921527777777</c:v>
                </c:pt>
                <c:pt idx="1328">
                  <c:v>41702.922222222223</c:v>
                </c:pt>
                <c:pt idx="1329">
                  <c:v>41702.92291666667</c:v>
                </c:pt>
                <c:pt idx="1330">
                  <c:v>41702.923611111109</c:v>
                </c:pt>
                <c:pt idx="1331">
                  <c:v>41702.924305555556</c:v>
                </c:pt>
                <c:pt idx="1332">
                  <c:v>41702.925000000003</c:v>
                </c:pt>
                <c:pt idx="1333">
                  <c:v>41702.925694444442</c:v>
                </c:pt>
                <c:pt idx="1334">
                  <c:v>41702.926388888889</c:v>
                </c:pt>
                <c:pt idx="1335">
                  <c:v>41702.927083333336</c:v>
                </c:pt>
                <c:pt idx="1336">
                  <c:v>41702.927777777775</c:v>
                </c:pt>
                <c:pt idx="1337">
                  <c:v>41702.928472222222</c:v>
                </c:pt>
                <c:pt idx="1338">
                  <c:v>41702.929166666669</c:v>
                </c:pt>
                <c:pt idx="1339">
                  <c:v>41702.929861111108</c:v>
                </c:pt>
                <c:pt idx="1340">
                  <c:v>41702.930555555555</c:v>
                </c:pt>
                <c:pt idx="1341">
                  <c:v>41702.931250000001</c:v>
                </c:pt>
                <c:pt idx="1342">
                  <c:v>41702.931944444441</c:v>
                </c:pt>
                <c:pt idx="1343">
                  <c:v>41702.932638888888</c:v>
                </c:pt>
                <c:pt idx="1344">
                  <c:v>41702.933333333334</c:v>
                </c:pt>
                <c:pt idx="1345">
                  <c:v>41702.934027777781</c:v>
                </c:pt>
                <c:pt idx="1346">
                  <c:v>41702.93472222222</c:v>
                </c:pt>
                <c:pt idx="1347">
                  <c:v>41702.935416666667</c:v>
                </c:pt>
                <c:pt idx="1348">
                  <c:v>41702.936111111114</c:v>
                </c:pt>
                <c:pt idx="1349">
                  <c:v>41702.936805555553</c:v>
                </c:pt>
                <c:pt idx="1350">
                  <c:v>41702.9375</c:v>
                </c:pt>
                <c:pt idx="1351">
                  <c:v>41702.938194444447</c:v>
                </c:pt>
                <c:pt idx="1352">
                  <c:v>41702.938888888886</c:v>
                </c:pt>
                <c:pt idx="1353">
                  <c:v>41702.939583333333</c:v>
                </c:pt>
                <c:pt idx="1354">
                  <c:v>41702.94027777778</c:v>
                </c:pt>
                <c:pt idx="1355">
                  <c:v>41702.940972222219</c:v>
                </c:pt>
                <c:pt idx="1356">
                  <c:v>41702.941666666666</c:v>
                </c:pt>
                <c:pt idx="1357">
                  <c:v>41702.942361111112</c:v>
                </c:pt>
                <c:pt idx="1358">
                  <c:v>41702.943055555559</c:v>
                </c:pt>
                <c:pt idx="1359">
                  <c:v>41702.943749999999</c:v>
                </c:pt>
                <c:pt idx="1360">
                  <c:v>41702.944444444445</c:v>
                </c:pt>
                <c:pt idx="1361">
                  <c:v>41702.945138888892</c:v>
                </c:pt>
                <c:pt idx="1362">
                  <c:v>41702.945833333331</c:v>
                </c:pt>
                <c:pt idx="1363">
                  <c:v>41702.946527777778</c:v>
                </c:pt>
                <c:pt idx="1364">
                  <c:v>41702.947222222225</c:v>
                </c:pt>
                <c:pt idx="1365">
                  <c:v>41702.947916666664</c:v>
                </c:pt>
                <c:pt idx="1366">
                  <c:v>41702.948611111111</c:v>
                </c:pt>
                <c:pt idx="1367">
                  <c:v>41702.949305555558</c:v>
                </c:pt>
                <c:pt idx="1368">
                  <c:v>41702.949999999997</c:v>
                </c:pt>
                <c:pt idx="1369">
                  <c:v>41702.950694444444</c:v>
                </c:pt>
                <c:pt idx="1370">
                  <c:v>41702.951388888891</c:v>
                </c:pt>
                <c:pt idx="1371">
                  <c:v>41702.95208333333</c:v>
                </c:pt>
                <c:pt idx="1372">
                  <c:v>41702.952777777777</c:v>
                </c:pt>
                <c:pt idx="1373">
                  <c:v>41702.953472222223</c:v>
                </c:pt>
                <c:pt idx="1374">
                  <c:v>41702.95416666667</c:v>
                </c:pt>
                <c:pt idx="1375">
                  <c:v>41702.954861111109</c:v>
                </c:pt>
                <c:pt idx="1376">
                  <c:v>41702.955555555556</c:v>
                </c:pt>
                <c:pt idx="1377">
                  <c:v>41702.956250000003</c:v>
                </c:pt>
                <c:pt idx="1378">
                  <c:v>41702.956944444442</c:v>
                </c:pt>
                <c:pt idx="1379">
                  <c:v>41702.957638888889</c:v>
                </c:pt>
                <c:pt idx="1380">
                  <c:v>41702.958333333336</c:v>
                </c:pt>
                <c:pt idx="1381">
                  <c:v>41702.959027777775</c:v>
                </c:pt>
                <c:pt idx="1382">
                  <c:v>41702.959722222222</c:v>
                </c:pt>
                <c:pt idx="1383">
                  <c:v>41702.960416666669</c:v>
                </c:pt>
                <c:pt idx="1384">
                  <c:v>41702.961111111108</c:v>
                </c:pt>
                <c:pt idx="1385">
                  <c:v>41702.961805555555</c:v>
                </c:pt>
                <c:pt idx="1386">
                  <c:v>41702.962500000001</c:v>
                </c:pt>
                <c:pt idx="1387">
                  <c:v>41702.963194444441</c:v>
                </c:pt>
                <c:pt idx="1388">
                  <c:v>41702.963888888888</c:v>
                </c:pt>
                <c:pt idx="1389">
                  <c:v>41702.964583333334</c:v>
                </c:pt>
                <c:pt idx="1390">
                  <c:v>41702.965277777781</c:v>
                </c:pt>
                <c:pt idx="1391">
                  <c:v>41702.96597222222</c:v>
                </c:pt>
                <c:pt idx="1392">
                  <c:v>41702.966666666667</c:v>
                </c:pt>
                <c:pt idx="1393">
                  <c:v>41702.967361111114</c:v>
                </c:pt>
                <c:pt idx="1394">
                  <c:v>41702.968055555553</c:v>
                </c:pt>
                <c:pt idx="1395">
                  <c:v>41702.96875</c:v>
                </c:pt>
                <c:pt idx="1396">
                  <c:v>41702.969444444447</c:v>
                </c:pt>
                <c:pt idx="1397">
                  <c:v>41702.970138888886</c:v>
                </c:pt>
                <c:pt idx="1398">
                  <c:v>41702.970833333333</c:v>
                </c:pt>
                <c:pt idx="1399">
                  <c:v>41702.97152777778</c:v>
                </c:pt>
                <c:pt idx="1400">
                  <c:v>41702.972222222219</c:v>
                </c:pt>
                <c:pt idx="1401">
                  <c:v>41702.972916666666</c:v>
                </c:pt>
                <c:pt idx="1402">
                  <c:v>41702.973611111112</c:v>
                </c:pt>
                <c:pt idx="1403">
                  <c:v>41702.974305555559</c:v>
                </c:pt>
                <c:pt idx="1404">
                  <c:v>41702.974999999999</c:v>
                </c:pt>
                <c:pt idx="1405">
                  <c:v>41702.975694444445</c:v>
                </c:pt>
                <c:pt idx="1406">
                  <c:v>41702.976388888892</c:v>
                </c:pt>
                <c:pt idx="1407">
                  <c:v>41702.977083333331</c:v>
                </c:pt>
                <c:pt idx="1408">
                  <c:v>41702.977777777778</c:v>
                </c:pt>
                <c:pt idx="1409">
                  <c:v>41702.978472222225</c:v>
                </c:pt>
                <c:pt idx="1410">
                  <c:v>41702.979166666664</c:v>
                </c:pt>
                <c:pt idx="1411">
                  <c:v>41702.979861111111</c:v>
                </c:pt>
                <c:pt idx="1412">
                  <c:v>41702.980555555558</c:v>
                </c:pt>
                <c:pt idx="1413">
                  <c:v>41702.981249999997</c:v>
                </c:pt>
                <c:pt idx="1414">
                  <c:v>41702.981944444444</c:v>
                </c:pt>
                <c:pt idx="1415">
                  <c:v>41702.982638888891</c:v>
                </c:pt>
                <c:pt idx="1416">
                  <c:v>41702.98333333333</c:v>
                </c:pt>
                <c:pt idx="1417">
                  <c:v>41702.984027777777</c:v>
                </c:pt>
                <c:pt idx="1418">
                  <c:v>41702.984722222223</c:v>
                </c:pt>
                <c:pt idx="1419">
                  <c:v>41702.98541666667</c:v>
                </c:pt>
                <c:pt idx="1420">
                  <c:v>41702.986111111109</c:v>
                </c:pt>
                <c:pt idx="1421">
                  <c:v>41702.986805555556</c:v>
                </c:pt>
                <c:pt idx="1422">
                  <c:v>41702.987500000003</c:v>
                </c:pt>
                <c:pt idx="1423">
                  <c:v>41702.988194444442</c:v>
                </c:pt>
                <c:pt idx="1424">
                  <c:v>41702.988888888889</c:v>
                </c:pt>
                <c:pt idx="1425">
                  <c:v>41702.989583333336</c:v>
                </c:pt>
                <c:pt idx="1426">
                  <c:v>41702.990277777775</c:v>
                </c:pt>
                <c:pt idx="1427">
                  <c:v>41702.990972222222</c:v>
                </c:pt>
                <c:pt idx="1428">
                  <c:v>41702.991666666669</c:v>
                </c:pt>
                <c:pt idx="1429">
                  <c:v>41702.992361111108</c:v>
                </c:pt>
                <c:pt idx="1430">
                  <c:v>41702.993055555555</c:v>
                </c:pt>
                <c:pt idx="1431">
                  <c:v>41702.993750000001</c:v>
                </c:pt>
                <c:pt idx="1432">
                  <c:v>41702.994444444441</c:v>
                </c:pt>
                <c:pt idx="1433">
                  <c:v>41702.995138888888</c:v>
                </c:pt>
                <c:pt idx="1434">
                  <c:v>41702.995833333334</c:v>
                </c:pt>
                <c:pt idx="1435">
                  <c:v>41702.996527777781</c:v>
                </c:pt>
                <c:pt idx="1436">
                  <c:v>41702.99722222222</c:v>
                </c:pt>
                <c:pt idx="1437">
                  <c:v>41702.997916666667</c:v>
                </c:pt>
                <c:pt idx="1438">
                  <c:v>41702.998611111114</c:v>
                </c:pt>
                <c:pt idx="1439">
                  <c:v>41702.999305555553</c:v>
                </c:pt>
              </c:numCache>
            </c:numRef>
          </c:xVal>
          <c:yVal>
            <c:numRef>
              <c:f>Sheet1!$C$2:$C$1441</c:f>
              <c:numCache>
                <c:formatCode>General</c:formatCode>
                <c:ptCount val="1440"/>
                <c:pt idx="0">
                  <c:v>2.5</c:v>
                </c:pt>
                <c:pt idx="1">
                  <c:v>1.95</c:v>
                </c:pt>
                <c:pt idx="2">
                  <c:v>1.4</c:v>
                </c:pt>
                <c:pt idx="3">
                  <c:v>1.4</c:v>
                </c:pt>
                <c:pt idx="4">
                  <c:v>1.4</c:v>
                </c:pt>
                <c:pt idx="5">
                  <c:v>1.4</c:v>
                </c:pt>
                <c:pt idx="6">
                  <c:v>1.4</c:v>
                </c:pt>
                <c:pt idx="7">
                  <c:v>1.95</c:v>
                </c:pt>
                <c:pt idx="8">
                  <c:v>2.5</c:v>
                </c:pt>
                <c:pt idx="9">
                  <c:v>2.6</c:v>
                </c:pt>
                <c:pt idx="10">
                  <c:v>2.7</c:v>
                </c:pt>
                <c:pt idx="11">
                  <c:v>3.25</c:v>
                </c:pt>
                <c:pt idx="12">
                  <c:v>3.8</c:v>
                </c:pt>
                <c:pt idx="13">
                  <c:v>3.25</c:v>
                </c:pt>
                <c:pt idx="14">
                  <c:v>2.7</c:v>
                </c:pt>
                <c:pt idx="15">
                  <c:v>2.0499999999999998</c:v>
                </c:pt>
                <c:pt idx="16">
                  <c:v>1.4</c:v>
                </c:pt>
                <c:pt idx="17">
                  <c:v>0.7</c:v>
                </c:pt>
                <c:pt idx="18">
                  <c:v>0</c:v>
                </c:pt>
                <c:pt idx="19">
                  <c:v>0.65</c:v>
                </c:pt>
                <c:pt idx="20">
                  <c:v>1.3</c:v>
                </c:pt>
                <c:pt idx="21">
                  <c:v>0.65</c:v>
                </c:pt>
                <c:pt idx="22">
                  <c:v>0</c:v>
                </c:pt>
                <c:pt idx="23">
                  <c:v>1.3</c:v>
                </c:pt>
                <c:pt idx="24">
                  <c:v>2.6</c:v>
                </c:pt>
                <c:pt idx="25">
                  <c:v>2.5499999999999998</c:v>
                </c:pt>
                <c:pt idx="26">
                  <c:v>2.5</c:v>
                </c:pt>
                <c:pt idx="27">
                  <c:v>2.5</c:v>
                </c:pt>
                <c:pt idx="28">
                  <c:v>2.5</c:v>
                </c:pt>
                <c:pt idx="29">
                  <c:v>1.9</c:v>
                </c:pt>
                <c:pt idx="30">
                  <c:v>1.3</c:v>
                </c:pt>
                <c:pt idx="31">
                  <c:v>1.9</c:v>
                </c:pt>
                <c:pt idx="32">
                  <c:v>2.5</c:v>
                </c:pt>
                <c:pt idx="33">
                  <c:v>1.9</c:v>
                </c:pt>
                <c:pt idx="34">
                  <c:v>1.3</c:v>
                </c:pt>
                <c:pt idx="35">
                  <c:v>1.9</c:v>
                </c:pt>
                <c:pt idx="36">
                  <c:v>2.5</c:v>
                </c:pt>
                <c:pt idx="37">
                  <c:v>1.95</c:v>
                </c:pt>
                <c:pt idx="38">
                  <c:v>1.4</c:v>
                </c:pt>
                <c:pt idx="39">
                  <c:v>2.0499999999999998</c:v>
                </c:pt>
                <c:pt idx="40">
                  <c:v>2.7</c:v>
                </c:pt>
                <c:pt idx="41">
                  <c:v>2</c:v>
                </c:pt>
                <c:pt idx="42">
                  <c:v>1.3</c:v>
                </c:pt>
                <c:pt idx="43">
                  <c:v>1.9</c:v>
                </c:pt>
                <c:pt idx="44">
                  <c:v>2.5</c:v>
                </c:pt>
                <c:pt idx="45">
                  <c:v>2.5</c:v>
                </c:pt>
                <c:pt idx="46">
                  <c:v>2.5</c:v>
                </c:pt>
                <c:pt idx="47">
                  <c:v>2.5</c:v>
                </c:pt>
                <c:pt idx="48">
                  <c:v>2.5</c:v>
                </c:pt>
                <c:pt idx="49">
                  <c:v>1.9</c:v>
                </c:pt>
                <c:pt idx="50">
                  <c:v>1.3</c:v>
                </c:pt>
                <c:pt idx="51">
                  <c:v>1.3</c:v>
                </c:pt>
                <c:pt idx="52">
                  <c:v>1.3</c:v>
                </c:pt>
                <c:pt idx="53">
                  <c:v>1.3</c:v>
                </c:pt>
                <c:pt idx="54">
                  <c:v>1.3</c:v>
                </c:pt>
                <c:pt idx="55">
                  <c:v>1.35</c:v>
                </c:pt>
                <c:pt idx="56">
                  <c:v>1.4</c:v>
                </c:pt>
                <c:pt idx="57">
                  <c:v>1.35</c:v>
                </c:pt>
                <c:pt idx="58">
                  <c:v>1.3</c:v>
                </c:pt>
                <c:pt idx="59">
                  <c:v>1.35</c:v>
                </c:pt>
                <c:pt idx="60">
                  <c:v>1.4</c:v>
                </c:pt>
                <c:pt idx="61">
                  <c:v>1.35</c:v>
                </c:pt>
                <c:pt idx="62">
                  <c:v>1.3</c:v>
                </c:pt>
                <c:pt idx="63">
                  <c:v>1.35</c:v>
                </c:pt>
                <c:pt idx="64">
                  <c:v>1.4</c:v>
                </c:pt>
                <c:pt idx="65">
                  <c:v>0.7</c:v>
                </c:pt>
                <c:pt idx="66">
                  <c:v>0</c:v>
                </c:pt>
                <c:pt idx="67">
                  <c:v>0</c:v>
                </c:pt>
                <c:pt idx="68">
                  <c:v>0</c:v>
                </c:pt>
                <c:pt idx="69">
                  <c:v>0.65</c:v>
                </c:pt>
                <c:pt idx="70">
                  <c:v>1.3</c:v>
                </c:pt>
                <c:pt idx="71">
                  <c:v>1.3</c:v>
                </c:pt>
                <c:pt idx="72">
                  <c:v>1.3</c:v>
                </c:pt>
                <c:pt idx="73">
                  <c:v>2</c:v>
                </c:pt>
                <c:pt idx="74">
                  <c:v>2.7</c:v>
                </c:pt>
                <c:pt idx="75">
                  <c:v>2</c:v>
                </c:pt>
                <c:pt idx="76">
                  <c:v>1.3</c:v>
                </c:pt>
                <c:pt idx="77">
                  <c:v>1.35</c:v>
                </c:pt>
                <c:pt idx="78">
                  <c:v>1.4</c:v>
                </c:pt>
                <c:pt idx="79">
                  <c:v>1.35</c:v>
                </c:pt>
                <c:pt idx="80">
                  <c:v>1.3</c:v>
                </c:pt>
                <c:pt idx="81">
                  <c:v>1.35</c:v>
                </c:pt>
                <c:pt idx="82">
                  <c:v>1.4</c:v>
                </c:pt>
                <c:pt idx="83">
                  <c:v>1.95</c:v>
                </c:pt>
                <c:pt idx="84">
                  <c:v>2.5</c:v>
                </c:pt>
                <c:pt idx="85">
                  <c:v>2.5</c:v>
                </c:pt>
                <c:pt idx="86">
                  <c:v>2.5</c:v>
                </c:pt>
                <c:pt idx="87">
                  <c:v>3.15</c:v>
                </c:pt>
                <c:pt idx="88">
                  <c:v>3.8</c:v>
                </c:pt>
                <c:pt idx="89">
                  <c:v>3.15</c:v>
                </c:pt>
                <c:pt idx="90">
                  <c:v>2.5</c:v>
                </c:pt>
                <c:pt idx="91">
                  <c:v>1.9</c:v>
                </c:pt>
                <c:pt idx="92">
                  <c:v>1.3</c:v>
                </c:pt>
                <c:pt idx="93">
                  <c:v>1.3</c:v>
                </c:pt>
                <c:pt idx="94">
                  <c:v>1.3</c:v>
                </c:pt>
                <c:pt idx="95">
                  <c:v>1.3</c:v>
                </c:pt>
                <c:pt idx="96">
                  <c:v>1.3</c:v>
                </c:pt>
                <c:pt idx="97">
                  <c:v>1.3</c:v>
                </c:pt>
                <c:pt idx="98">
                  <c:v>1.3</c:v>
                </c:pt>
                <c:pt idx="99">
                  <c:v>1.35</c:v>
                </c:pt>
                <c:pt idx="100">
                  <c:v>1.4</c:v>
                </c:pt>
                <c:pt idx="101">
                  <c:v>0.7</c:v>
                </c:pt>
                <c:pt idx="102">
                  <c:v>0</c:v>
                </c:pt>
                <c:pt idx="103">
                  <c:v>0.7</c:v>
                </c:pt>
                <c:pt idx="104">
                  <c:v>1.4</c:v>
                </c:pt>
                <c:pt idx="105">
                  <c:v>1.95</c:v>
                </c:pt>
                <c:pt idx="106">
                  <c:v>2.5</c:v>
                </c:pt>
                <c:pt idx="107">
                  <c:v>1.25</c:v>
                </c:pt>
                <c:pt idx="108">
                  <c:v>0</c:v>
                </c:pt>
                <c:pt idx="109">
                  <c:v>0.65</c:v>
                </c:pt>
                <c:pt idx="110">
                  <c:v>1.3</c:v>
                </c:pt>
                <c:pt idx="111">
                  <c:v>0.65</c:v>
                </c:pt>
                <c:pt idx="112">
                  <c:v>0</c:v>
                </c:pt>
                <c:pt idx="113">
                  <c:v>0</c:v>
                </c:pt>
                <c:pt idx="114">
                  <c:v>0</c:v>
                </c:pt>
                <c:pt idx="115">
                  <c:v>1.25</c:v>
                </c:pt>
                <c:pt idx="116">
                  <c:v>2.5</c:v>
                </c:pt>
                <c:pt idx="117">
                  <c:v>1.95</c:v>
                </c:pt>
                <c:pt idx="118">
                  <c:v>1.4</c:v>
                </c:pt>
                <c:pt idx="119">
                  <c:v>1.95</c:v>
                </c:pt>
                <c:pt idx="120">
                  <c:v>2.5</c:v>
                </c:pt>
                <c:pt idx="121">
                  <c:v>2.5</c:v>
                </c:pt>
                <c:pt idx="122">
                  <c:v>2.5</c:v>
                </c:pt>
                <c:pt idx="123">
                  <c:v>1.95</c:v>
                </c:pt>
                <c:pt idx="124">
                  <c:v>1.4</c:v>
                </c:pt>
                <c:pt idx="125">
                  <c:v>1.95</c:v>
                </c:pt>
                <c:pt idx="126">
                  <c:v>2.5</c:v>
                </c:pt>
                <c:pt idx="127">
                  <c:v>2.5</c:v>
                </c:pt>
                <c:pt idx="128">
                  <c:v>2.5</c:v>
                </c:pt>
                <c:pt idx="129">
                  <c:v>2.5</c:v>
                </c:pt>
                <c:pt idx="130">
                  <c:v>2.5</c:v>
                </c:pt>
                <c:pt idx="131">
                  <c:v>2.6</c:v>
                </c:pt>
                <c:pt idx="132">
                  <c:v>2.7</c:v>
                </c:pt>
                <c:pt idx="133">
                  <c:v>2.0499999999999998</c:v>
                </c:pt>
                <c:pt idx="134">
                  <c:v>1.4</c:v>
                </c:pt>
                <c:pt idx="135">
                  <c:v>1.35</c:v>
                </c:pt>
                <c:pt idx="136">
                  <c:v>1.3</c:v>
                </c:pt>
                <c:pt idx="137">
                  <c:v>0.65</c:v>
                </c:pt>
                <c:pt idx="138">
                  <c:v>0</c:v>
                </c:pt>
                <c:pt idx="139">
                  <c:v>0</c:v>
                </c:pt>
                <c:pt idx="140">
                  <c:v>0</c:v>
                </c:pt>
                <c:pt idx="141">
                  <c:v>0.65</c:v>
                </c:pt>
                <c:pt idx="142">
                  <c:v>1.3</c:v>
                </c:pt>
                <c:pt idx="143">
                  <c:v>1.9</c:v>
                </c:pt>
                <c:pt idx="144">
                  <c:v>2.5</c:v>
                </c:pt>
                <c:pt idx="145">
                  <c:v>1.9</c:v>
                </c:pt>
                <c:pt idx="146">
                  <c:v>1.3</c:v>
                </c:pt>
                <c:pt idx="147">
                  <c:v>1.3</c:v>
                </c:pt>
                <c:pt idx="148">
                  <c:v>1.3</c:v>
                </c:pt>
                <c:pt idx="149">
                  <c:v>0.65</c:v>
                </c:pt>
                <c:pt idx="150">
                  <c:v>0</c:v>
                </c:pt>
                <c:pt idx="151">
                  <c:v>0</c:v>
                </c:pt>
                <c:pt idx="152">
                  <c:v>0</c:v>
                </c:pt>
                <c:pt idx="153">
                  <c:v>0.65</c:v>
                </c:pt>
                <c:pt idx="154">
                  <c:v>1.3</c:v>
                </c:pt>
                <c:pt idx="155">
                  <c:v>1.3</c:v>
                </c:pt>
                <c:pt idx="156">
                  <c:v>1.3</c:v>
                </c:pt>
                <c:pt idx="157">
                  <c:v>1.3</c:v>
                </c:pt>
                <c:pt idx="158">
                  <c:v>1.3</c:v>
                </c:pt>
                <c:pt idx="159">
                  <c:v>0.65</c:v>
                </c:pt>
                <c:pt idx="160">
                  <c:v>0</c:v>
                </c:pt>
                <c:pt idx="161">
                  <c:v>0.65</c:v>
                </c:pt>
                <c:pt idx="162">
                  <c:v>1.3</c:v>
                </c:pt>
                <c:pt idx="163">
                  <c:v>0.65</c:v>
                </c:pt>
                <c:pt idx="164">
                  <c:v>0</c:v>
                </c:pt>
                <c:pt idx="165">
                  <c:v>0</c:v>
                </c:pt>
                <c:pt idx="166">
                  <c:v>0</c:v>
                </c:pt>
                <c:pt idx="167">
                  <c:v>0.65</c:v>
                </c:pt>
                <c:pt idx="168">
                  <c:v>1.3</c:v>
                </c:pt>
                <c:pt idx="169">
                  <c:v>1.3</c:v>
                </c:pt>
                <c:pt idx="170">
                  <c:v>1.3</c:v>
                </c:pt>
                <c:pt idx="171">
                  <c:v>1.3</c:v>
                </c:pt>
                <c:pt idx="172">
                  <c:v>1.3</c:v>
                </c:pt>
                <c:pt idx="173">
                  <c:v>1.9</c:v>
                </c:pt>
                <c:pt idx="174">
                  <c:v>2.5</c:v>
                </c:pt>
                <c:pt idx="175">
                  <c:v>2.5</c:v>
                </c:pt>
                <c:pt idx="176">
                  <c:v>2.5</c:v>
                </c:pt>
                <c:pt idx="177">
                  <c:v>1.9</c:v>
                </c:pt>
                <c:pt idx="178">
                  <c:v>1.3</c:v>
                </c:pt>
                <c:pt idx="179">
                  <c:v>1.3</c:v>
                </c:pt>
                <c:pt idx="180">
                  <c:v>1.3</c:v>
                </c:pt>
                <c:pt idx="181">
                  <c:v>1.3</c:v>
                </c:pt>
                <c:pt idx="182">
                  <c:v>1.3</c:v>
                </c:pt>
                <c:pt idx="183">
                  <c:v>1.3</c:v>
                </c:pt>
                <c:pt idx="184">
                  <c:v>1.3</c:v>
                </c:pt>
                <c:pt idx="185">
                  <c:v>1.9</c:v>
                </c:pt>
                <c:pt idx="186">
                  <c:v>2.5</c:v>
                </c:pt>
                <c:pt idx="187">
                  <c:v>2.5</c:v>
                </c:pt>
                <c:pt idx="188">
                  <c:v>2.5</c:v>
                </c:pt>
                <c:pt idx="189">
                  <c:v>1.9</c:v>
                </c:pt>
                <c:pt idx="190">
                  <c:v>1.3</c:v>
                </c:pt>
                <c:pt idx="191">
                  <c:v>0.65</c:v>
                </c:pt>
                <c:pt idx="192">
                  <c:v>0</c:v>
                </c:pt>
                <c:pt idx="193">
                  <c:v>1.35</c:v>
                </c:pt>
                <c:pt idx="194">
                  <c:v>2.7</c:v>
                </c:pt>
                <c:pt idx="195">
                  <c:v>1.35</c:v>
                </c:pt>
                <c:pt idx="196">
                  <c:v>0</c:v>
                </c:pt>
                <c:pt idx="197">
                  <c:v>0.7</c:v>
                </c:pt>
                <c:pt idx="198">
                  <c:v>1.4</c:v>
                </c:pt>
                <c:pt idx="199">
                  <c:v>1.95</c:v>
                </c:pt>
                <c:pt idx="200">
                  <c:v>2.5</c:v>
                </c:pt>
                <c:pt idx="201">
                  <c:v>1.95</c:v>
                </c:pt>
                <c:pt idx="202">
                  <c:v>1.4</c:v>
                </c:pt>
                <c:pt idx="203">
                  <c:v>1.4</c:v>
                </c:pt>
                <c:pt idx="204">
                  <c:v>1.4</c:v>
                </c:pt>
                <c:pt idx="205">
                  <c:v>1.35</c:v>
                </c:pt>
                <c:pt idx="206">
                  <c:v>1.3</c:v>
                </c:pt>
                <c:pt idx="207">
                  <c:v>1.3</c:v>
                </c:pt>
                <c:pt idx="208">
                  <c:v>1.3</c:v>
                </c:pt>
                <c:pt idx="209">
                  <c:v>1.9</c:v>
                </c:pt>
                <c:pt idx="210">
                  <c:v>2.5</c:v>
                </c:pt>
                <c:pt idx="211">
                  <c:v>1.95</c:v>
                </c:pt>
                <c:pt idx="212">
                  <c:v>1.4</c:v>
                </c:pt>
                <c:pt idx="213">
                  <c:v>1.35</c:v>
                </c:pt>
                <c:pt idx="214">
                  <c:v>1.3</c:v>
                </c:pt>
                <c:pt idx="215">
                  <c:v>1.3</c:v>
                </c:pt>
                <c:pt idx="216">
                  <c:v>1.3</c:v>
                </c:pt>
                <c:pt idx="217">
                  <c:v>1.3</c:v>
                </c:pt>
                <c:pt idx="218">
                  <c:v>1.3</c:v>
                </c:pt>
                <c:pt idx="219">
                  <c:v>1.3</c:v>
                </c:pt>
                <c:pt idx="220">
                  <c:v>1.3</c:v>
                </c:pt>
                <c:pt idx="221">
                  <c:v>1.35</c:v>
                </c:pt>
                <c:pt idx="222">
                  <c:v>1.4</c:v>
                </c:pt>
                <c:pt idx="223">
                  <c:v>1.35</c:v>
                </c:pt>
                <c:pt idx="224">
                  <c:v>1.3</c:v>
                </c:pt>
                <c:pt idx="225">
                  <c:v>1.9</c:v>
                </c:pt>
                <c:pt idx="226">
                  <c:v>2.5</c:v>
                </c:pt>
                <c:pt idx="227">
                  <c:v>1.9</c:v>
                </c:pt>
                <c:pt idx="228">
                  <c:v>1.3</c:v>
                </c:pt>
                <c:pt idx="229">
                  <c:v>1.9</c:v>
                </c:pt>
                <c:pt idx="230">
                  <c:v>2.5</c:v>
                </c:pt>
                <c:pt idx="231">
                  <c:v>2.5499999999999998</c:v>
                </c:pt>
                <c:pt idx="232">
                  <c:v>2.6</c:v>
                </c:pt>
                <c:pt idx="233">
                  <c:v>2.5499999999999998</c:v>
                </c:pt>
                <c:pt idx="234">
                  <c:v>2.5</c:v>
                </c:pt>
                <c:pt idx="235">
                  <c:v>1.9</c:v>
                </c:pt>
                <c:pt idx="236">
                  <c:v>1.3</c:v>
                </c:pt>
                <c:pt idx="237">
                  <c:v>1.9</c:v>
                </c:pt>
                <c:pt idx="238">
                  <c:v>2.5</c:v>
                </c:pt>
                <c:pt idx="239">
                  <c:v>2.5</c:v>
                </c:pt>
                <c:pt idx="240">
                  <c:v>2.5</c:v>
                </c:pt>
                <c:pt idx="241">
                  <c:v>2.5499999999999998</c:v>
                </c:pt>
                <c:pt idx="242">
                  <c:v>2.6</c:v>
                </c:pt>
                <c:pt idx="243">
                  <c:v>2</c:v>
                </c:pt>
                <c:pt idx="244">
                  <c:v>1.4</c:v>
                </c:pt>
                <c:pt idx="245">
                  <c:v>1.35</c:v>
                </c:pt>
                <c:pt idx="246">
                  <c:v>1.3</c:v>
                </c:pt>
                <c:pt idx="247">
                  <c:v>1.9</c:v>
                </c:pt>
                <c:pt idx="248">
                  <c:v>2.5</c:v>
                </c:pt>
                <c:pt idx="249">
                  <c:v>2.5</c:v>
                </c:pt>
                <c:pt idx="250">
                  <c:v>2.5</c:v>
                </c:pt>
                <c:pt idx="251">
                  <c:v>1.95</c:v>
                </c:pt>
                <c:pt idx="252">
                  <c:v>1.4</c:v>
                </c:pt>
                <c:pt idx="253">
                  <c:v>1.35</c:v>
                </c:pt>
                <c:pt idx="254">
                  <c:v>1.3</c:v>
                </c:pt>
                <c:pt idx="255">
                  <c:v>0.65</c:v>
                </c:pt>
                <c:pt idx="256">
                  <c:v>0</c:v>
                </c:pt>
                <c:pt idx="257">
                  <c:v>0</c:v>
                </c:pt>
                <c:pt idx="258">
                  <c:v>0</c:v>
                </c:pt>
                <c:pt idx="259">
                  <c:v>0.65</c:v>
                </c:pt>
                <c:pt idx="260">
                  <c:v>1.3</c:v>
                </c:pt>
                <c:pt idx="261">
                  <c:v>0.65</c:v>
                </c:pt>
                <c:pt idx="262">
                  <c:v>0</c:v>
                </c:pt>
                <c:pt idx="263">
                  <c:v>0.65</c:v>
                </c:pt>
                <c:pt idx="264">
                  <c:v>1.3</c:v>
                </c:pt>
                <c:pt idx="265">
                  <c:v>1.35</c:v>
                </c:pt>
                <c:pt idx="266">
                  <c:v>1.4</c:v>
                </c:pt>
                <c:pt idx="267">
                  <c:v>1.35</c:v>
                </c:pt>
                <c:pt idx="268">
                  <c:v>1.3</c:v>
                </c:pt>
                <c:pt idx="269">
                  <c:v>1.95</c:v>
                </c:pt>
                <c:pt idx="270">
                  <c:v>2.6</c:v>
                </c:pt>
                <c:pt idx="271">
                  <c:v>2.5499999999999998</c:v>
                </c:pt>
                <c:pt idx="272">
                  <c:v>2.5</c:v>
                </c:pt>
                <c:pt idx="273">
                  <c:v>2.5</c:v>
                </c:pt>
                <c:pt idx="274">
                  <c:v>2.5</c:v>
                </c:pt>
                <c:pt idx="275">
                  <c:v>1.9</c:v>
                </c:pt>
                <c:pt idx="276">
                  <c:v>1.3</c:v>
                </c:pt>
                <c:pt idx="277">
                  <c:v>1.3</c:v>
                </c:pt>
                <c:pt idx="278">
                  <c:v>1.3</c:v>
                </c:pt>
                <c:pt idx="279">
                  <c:v>0.65</c:v>
                </c:pt>
                <c:pt idx="280">
                  <c:v>0</c:v>
                </c:pt>
                <c:pt idx="281">
                  <c:v>0.65</c:v>
                </c:pt>
                <c:pt idx="282">
                  <c:v>1.3</c:v>
                </c:pt>
                <c:pt idx="283">
                  <c:v>1.3</c:v>
                </c:pt>
                <c:pt idx="284">
                  <c:v>1.3</c:v>
                </c:pt>
                <c:pt idx="285">
                  <c:v>1.9</c:v>
                </c:pt>
                <c:pt idx="286">
                  <c:v>2.5</c:v>
                </c:pt>
                <c:pt idx="287">
                  <c:v>2.5</c:v>
                </c:pt>
                <c:pt idx="288">
                  <c:v>2.5</c:v>
                </c:pt>
                <c:pt idx="289">
                  <c:v>1.95</c:v>
                </c:pt>
                <c:pt idx="290">
                  <c:v>1.4</c:v>
                </c:pt>
                <c:pt idx="291">
                  <c:v>2</c:v>
                </c:pt>
                <c:pt idx="292">
                  <c:v>2.6</c:v>
                </c:pt>
                <c:pt idx="293">
                  <c:v>1.95</c:v>
                </c:pt>
                <c:pt idx="294">
                  <c:v>1.3</c:v>
                </c:pt>
                <c:pt idx="295">
                  <c:v>1.9</c:v>
                </c:pt>
                <c:pt idx="296">
                  <c:v>2.5</c:v>
                </c:pt>
                <c:pt idx="297">
                  <c:v>2.5</c:v>
                </c:pt>
                <c:pt idx="298">
                  <c:v>2.5</c:v>
                </c:pt>
                <c:pt idx="299">
                  <c:v>2.5</c:v>
                </c:pt>
                <c:pt idx="300">
                  <c:v>2.5</c:v>
                </c:pt>
                <c:pt idx="301">
                  <c:v>2.5</c:v>
                </c:pt>
                <c:pt idx="302">
                  <c:v>2.5</c:v>
                </c:pt>
                <c:pt idx="303">
                  <c:v>2.5499999999999998</c:v>
                </c:pt>
                <c:pt idx="304">
                  <c:v>2.6</c:v>
                </c:pt>
                <c:pt idx="305">
                  <c:v>2.7</c:v>
                </c:pt>
                <c:pt idx="306">
                  <c:v>2.8</c:v>
                </c:pt>
                <c:pt idx="307">
                  <c:v>2.0499999999999998</c:v>
                </c:pt>
                <c:pt idx="308">
                  <c:v>1.3</c:v>
                </c:pt>
                <c:pt idx="309">
                  <c:v>1.9</c:v>
                </c:pt>
                <c:pt idx="310">
                  <c:v>2.5</c:v>
                </c:pt>
                <c:pt idx="311">
                  <c:v>1.9</c:v>
                </c:pt>
                <c:pt idx="312">
                  <c:v>1.3</c:v>
                </c:pt>
                <c:pt idx="313">
                  <c:v>1.9</c:v>
                </c:pt>
                <c:pt idx="314">
                  <c:v>2.5</c:v>
                </c:pt>
                <c:pt idx="315">
                  <c:v>1.9</c:v>
                </c:pt>
                <c:pt idx="316">
                  <c:v>1.3</c:v>
                </c:pt>
                <c:pt idx="317">
                  <c:v>1.3</c:v>
                </c:pt>
                <c:pt idx="318">
                  <c:v>1.3</c:v>
                </c:pt>
                <c:pt idx="319">
                  <c:v>0.65</c:v>
                </c:pt>
                <c:pt idx="320">
                  <c:v>0</c:v>
                </c:pt>
                <c:pt idx="321">
                  <c:v>0.65</c:v>
                </c:pt>
                <c:pt idx="322">
                  <c:v>1.3</c:v>
                </c:pt>
                <c:pt idx="323">
                  <c:v>1.3</c:v>
                </c:pt>
                <c:pt idx="324">
                  <c:v>1.3</c:v>
                </c:pt>
                <c:pt idx="325">
                  <c:v>1.9</c:v>
                </c:pt>
                <c:pt idx="326">
                  <c:v>2.5</c:v>
                </c:pt>
                <c:pt idx="327">
                  <c:v>2.5</c:v>
                </c:pt>
                <c:pt idx="328">
                  <c:v>2.5</c:v>
                </c:pt>
                <c:pt idx="329">
                  <c:v>1.9</c:v>
                </c:pt>
                <c:pt idx="330">
                  <c:v>1.3</c:v>
                </c:pt>
                <c:pt idx="331">
                  <c:v>0.65</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0.65</c:v>
                </c:pt>
                <c:pt idx="346">
                  <c:v>1.3</c:v>
                </c:pt>
                <c:pt idx="347">
                  <c:v>0.65</c:v>
                </c:pt>
                <c:pt idx="348">
                  <c:v>0</c:v>
                </c:pt>
                <c:pt idx="349">
                  <c:v>0.65</c:v>
                </c:pt>
                <c:pt idx="350">
                  <c:v>1.3</c:v>
                </c:pt>
                <c:pt idx="351">
                  <c:v>1.35</c:v>
                </c:pt>
                <c:pt idx="352">
                  <c:v>1.4</c:v>
                </c:pt>
                <c:pt idx="353">
                  <c:v>1.35</c:v>
                </c:pt>
                <c:pt idx="354">
                  <c:v>1.3</c:v>
                </c:pt>
                <c:pt idx="355">
                  <c:v>1.3</c:v>
                </c:pt>
                <c:pt idx="356">
                  <c:v>1.3</c:v>
                </c:pt>
                <c:pt idx="357">
                  <c:v>1.3</c:v>
                </c:pt>
                <c:pt idx="358">
                  <c:v>1.3</c:v>
                </c:pt>
                <c:pt idx="359">
                  <c:v>0.65</c:v>
                </c:pt>
                <c:pt idx="360">
                  <c:v>0</c:v>
                </c:pt>
                <c:pt idx="361">
                  <c:v>0</c:v>
                </c:pt>
                <c:pt idx="362">
                  <c:v>0</c:v>
                </c:pt>
                <c:pt idx="363">
                  <c:v>0.65</c:v>
                </c:pt>
                <c:pt idx="364">
                  <c:v>1.3</c:v>
                </c:pt>
                <c:pt idx="365">
                  <c:v>0.65</c:v>
                </c:pt>
                <c:pt idx="366">
                  <c:v>0</c:v>
                </c:pt>
                <c:pt idx="367">
                  <c:v>0.65</c:v>
                </c:pt>
                <c:pt idx="368">
                  <c:v>1.3</c:v>
                </c:pt>
                <c:pt idx="369">
                  <c:v>1.9</c:v>
                </c:pt>
                <c:pt idx="370">
                  <c:v>2.5</c:v>
                </c:pt>
                <c:pt idx="371">
                  <c:v>2.5499999999999998</c:v>
                </c:pt>
                <c:pt idx="372">
                  <c:v>2.6</c:v>
                </c:pt>
                <c:pt idx="373">
                  <c:v>2.5499999999999998</c:v>
                </c:pt>
                <c:pt idx="374">
                  <c:v>2.5</c:v>
                </c:pt>
                <c:pt idx="375">
                  <c:v>1.95</c:v>
                </c:pt>
                <c:pt idx="376">
                  <c:v>1.4</c:v>
                </c:pt>
                <c:pt idx="377">
                  <c:v>2.6</c:v>
                </c:pt>
                <c:pt idx="378">
                  <c:v>3.8</c:v>
                </c:pt>
                <c:pt idx="379">
                  <c:v>2.5499999999999998</c:v>
                </c:pt>
                <c:pt idx="380">
                  <c:v>1.3</c:v>
                </c:pt>
                <c:pt idx="381">
                  <c:v>2.5499999999999998</c:v>
                </c:pt>
                <c:pt idx="382">
                  <c:v>3.8</c:v>
                </c:pt>
                <c:pt idx="383">
                  <c:v>3.8</c:v>
                </c:pt>
                <c:pt idx="384">
                  <c:v>3.8</c:v>
                </c:pt>
                <c:pt idx="385">
                  <c:v>3.15</c:v>
                </c:pt>
                <c:pt idx="386">
                  <c:v>2.5</c:v>
                </c:pt>
                <c:pt idx="387">
                  <c:v>2.5</c:v>
                </c:pt>
                <c:pt idx="388">
                  <c:v>2.5</c:v>
                </c:pt>
                <c:pt idx="389">
                  <c:v>1.95</c:v>
                </c:pt>
                <c:pt idx="390">
                  <c:v>1.4</c:v>
                </c:pt>
                <c:pt idx="391">
                  <c:v>1.35</c:v>
                </c:pt>
                <c:pt idx="392">
                  <c:v>1.3</c:v>
                </c:pt>
                <c:pt idx="393">
                  <c:v>1.3</c:v>
                </c:pt>
                <c:pt idx="394">
                  <c:v>1.3</c:v>
                </c:pt>
                <c:pt idx="395">
                  <c:v>1.3</c:v>
                </c:pt>
                <c:pt idx="396">
                  <c:v>1.3</c:v>
                </c:pt>
                <c:pt idx="397">
                  <c:v>0.65</c:v>
                </c:pt>
                <c:pt idx="398">
                  <c:v>0</c:v>
                </c:pt>
                <c:pt idx="399">
                  <c:v>0</c:v>
                </c:pt>
                <c:pt idx="400">
                  <c:v>0</c:v>
                </c:pt>
                <c:pt idx="401">
                  <c:v>0</c:v>
                </c:pt>
                <c:pt idx="402">
                  <c:v>0</c:v>
                </c:pt>
                <c:pt idx="403">
                  <c:v>0</c:v>
                </c:pt>
                <c:pt idx="404">
                  <c:v>0</c:v>
                </c:pt>
                <c:pt idx="405">
                  <c:v>0</c:v>
                </c:pt>
                <c:pt idx="406">
                  <c:v>0</c:v>
                </c:pt>
                <c:pt idx="407">
                  <c:v>0.65</c:v>
                </c:pt>
                <c:pt idx="408">
                  <c:v>1.3</c:v>
                </c:pt>
                <c:pt idx="409">
                  <c:v>1.3</c:v>
                </c:pt>
                <c:pt idx="410">
                  <c:v>1.3</c:v>
                </c:pt>
                <c:pt idx="411">
                  <c:v>1.3</c:v>
                </c:pt>
                <c:pt idx="412">
                  <c:v>1.3</c:v>
                </c:pt>
                <c:pt idx="413">
                  <c:v>1.35</c:v>
                </c:pt>
                <c:pt idx="414">
                  <c:v>1.4</c:v>
                </c:pt>
                <c:pt idx="415">
                  <c:v>2.6</c:v>
                </c:pt>
                <c:pt idx="416">
                  <c:v>3.8</c:v>
                </c:pt>
                <c:pt idx="417">
                  <c:v>4.45</c:v>
                </c:pt>
                <c:pt idx="418">
                  <c:v>5.0999999999999996</c:v>
                </c:pt>
                <c:pt idx="419">
                  <c:v>4.45</c:v>
                </c:pt>
                <c:pt idx="420">
                  <c:v>3.8</c:v>
                </c:pt>
                <c:pt idx="421">
                  <c:v>4.5999999999999996</c:v>
                </c:pt>
                <c:pt idx="422">
                  <c:v>5.4</c:v>
                </c:pt>
                <c:pt idx="423">
                  <c:v>7.15</c:v>
                </c:pt>
                <c:pt idx="424">
                  <c:v>8.9</c:v>
                </c:pt>
                <c:pt idx="425">
                  <c:v>8.9</c:v>
                </c:pt>
                <c:pt idx="426">
                  <c:v>8.9</c:v>
                </c:pt>
                <c:pt idx="427">
                  <c:v>10.75</c:v>
                </c:pt>
                <c:pt idx="428">
                  <c:v>12.6</c:v>
                </c:pt>
                <c:pt idx="429">
                  <c:v>13.25</c:v>
                </c:pt>
                <c:pt idx="430">
                  <c:v>13.9</c:v>
                </c:pt>
                <c:pt idx="431">
                  <c:v>12.65</c:v>
                </c:pt>
                <c:pt idx="432">
                  <c:v>11.4</c:v>
                </c:pt>
                <c:pt idx="433">
                  <c:v>11.4</c:v>
                </c:pt>
                <c:pt idx="434">
                  <c:v>11.4</c:v>
                </c:pt>
                <c:pt idx="435">
                  <c:v>11.4</c:v>
                </c:pt>
                <c:pt idx="436">
                  <c:v>11.4</c:v>
                </c:pt>
                <c:pt idx="437">
                  <c:v>11.45</c:v>
                </c:pt>
                <c:pt idx="438">
                  <c:v>11.5</c:v>
                </c:pt>
                <c:pt idx="439">
                  <c:v>12</c:v>
                </c:pt>
                <c:pt idx="440">
                  <c:v>12.5</c:v>
                </c:pt>
                <c:pt idx="441">
                  <c:v>11.95</c:v>
                </c:pt>
                <c:pt idx="442">
                  <c:v>11.4</c:v>
                </c:pt>
                <c:pt idx="443">
                  <c:v>12</c:v>
                </c:pt>
                <c:pt idx="444">
                  <c:v>12.6</c:v>
                </c:pt>
                <c:pt idx="445">
                  <c:v>11.75</c:v>
                </c:pt>
                <c:pt idx="446">
                  <c:v>10.9</c:v>
                </c:pt>
                <c:pt idx="447">
                  <c:v>11.15</c:v>
                </c:pt>
                <c:pt idx="448">
                  <c:v>11.4</c:v>
                </c:pt>
                <c:pt idx="449">
                  <c:v>11.45</c:v>
                </c:pt>
                <c:pt idx="450">
                  <c:v>11.5</c:v>
                </c:pt>
                <c:pt idx="451">
                  <c:v>9.1999999999999993</c:v>
                </c:pt>
                <c:pt idx="452">
                  <c:v>6.9</c:v>
                </c:pt>
                <c:pt idx="453">
                  <c:v>7.9</c:v>
                </c:pt>
                <c:pt idx="454">
                  <c:v>8.9</c:v>
                </c:pt>
                <c:pt idx="455">
                  <c:v>9.5500000000000007</c:v>
                </c:pt>
                <c:pt idx="456">
                  <c:v>10.199999999999999</c:v>
                </c:pt>
                <c:pt idx="457">
                  <c:v>10.15</c:v>
                </c:pt>
                <c:pt idx="458">
                  <c:v>10.1</c:v>
                </c:pt>
                <c:pt idx="459">
                  <c:v>11.15</c:v>
                </c:pt>
                <c:pt idx="460">
                  <c:v>12.2</c:v>
                </c:pt>
                <c:pt idx="461">
                  <c:v>14.2</c:v>
                </c:pt>
                <c:pt idx="462">
                  <c:v>16.2</c:v>
                </c:pt>
                <c:pt idx="463">
                  <c:v>15.55</c:v>
                </c:pt>
                <c:pt idx="464">
                  <c:v>14.9</c:v>
                </c:pt>
                <c:pt idx="465">
                  <c:v>15.65</c:v>
                </c:pt>
                <c:pt idx="466">
                  <c:v>16.399999999999999</c:v>
                </c:pt>
                <c:pt idx="467">
                  <c:v>15.6</c:v>
                </c:pt>
                <c:pt idx="468">
                  <c:v>14.8</c:v>
                </c:pt>
                <c:pt idx="469">
                  <c:v>14.85</c:v>
                </c:pt>
                <c:pt idx="470">
                  <c:v>14.9</c:v>
                </c:pt>
                <c:pt idx="471">
                  <c:v>15.05</c:v>
                </c:pt>
                <c:pt idx="472">
                  <c:v>15.2</c:v>
                </c:pt>
                <c:pt idx="473">
                  <c:v>15.25</c:v>
                </c:pt>
                <c:pt idx="474">
                  <c:v>15.3</c:v>
                </c:pt>
                <c:pt idx="475">
                  <c:v>15.25</c:v>
                </c:pt>
                <c:pt idx="476">
                  <c:v>15.2</c:v>
                </c:pt>
                <c:pt idx="477">
                  <c:v>14.55</c:v>
                </c:pt>
                <c:pt idx="478">
                  <c:v>13.9</c:v>
                </c:pt>
                <c:pt idx="479">
                  <c:v>14.35</c:v>
                </c:pt>
                <c:pt idx="480">
                  <c:v>14.8</c:v>
                </c:pt>
                <c:pt idx="481">
                  <c:v>14.15</c:v>
                </c:pt>
                <c:pt idx="482">
                  <c:v>13.5</c:v>
                </c:pt>
                <c:pt idx="483">
                  <c:v>13</c:v>
                </c:pt>
                <c:pt idx="484">
                  <c:v>12.5</c:v>
                </c:pt>
                <c:pt idx="485">
                  <c:v>13.2</c:v>
                </c:pt>
                <c:pt idx="486">
                  <c:v>13.9</c:v>
                </c:pt>
                <c:pt idx="487">
                  <c:v>14.35</c:v>
                </c:pt>
                <c:pt idx="488">
                  <c:v>14.8</c:v>
                </c:pt>
                <c:pt idx="489">
                  <c:v>20.9</c:v>
                </c:pt>
                <c:pt idx="490">
                  <c:v>27</c:v>
                </c:pt>
                <c:pt idx="491">
                  <c:v>30.55</c:v>
                </c:pt>
                <c:pt idx="492">
                  <c:v>34.1</c:v>
                </c:pt>
                <c:pt idx="493">
                  <c:v>38</c:v>
                </c:pt>
                <c:pt idx="494">
                  <c:v>41.9</c:v>
                </c:pt>
                <c:pt idx="495">
                  <c:v>41.3</c:v>
                </c:pt>
                <c:pt idx="496">
                  <c:v>40.700000000000003</c:v>
                </c:pt>
                <c:pt idx="497">
                  <c:v>39.299999999999997</c:v>
                </c:pt>
                <c:pt idx="498">
                  <c:v>37.9</c:v>
                </c:pt>
                <c:pt idx="499">
                  <c:v>37.4</c:v>
                </c:pt>
                <c:pt idx="500">
                  <c:v>36.9</c:v>
                </c:pt>
                <c:pt idx="501">
                  <c:v>40.049999999999997</c:v>
                </c:pt>
                <c:pt idx="502">
                  <c:v>43.2</c:v>
                </c:pt>
                <c:pt idx="503">
                  <c:v>45.75</c:v>
                </c:pt>
                <c:pt idx="504">
                  <c:v>48.3</c:v>
                </c:pt>
                <c:pt idx="505">
                  <c:v>50.2</c:v>
                </c:pt>
                <c:pt idx="506">
                  <c:v>52.1</c:v>
                </c:pt>
                <c:pt idx="507">
                  <c:v>58</c:v>
                </c:pt>
                <c:pt idx="508">
                  <c:v>63.9</c:v>
                </c:pt>
                <c:pt idx="509">
                  <c:v>65.25</c:v>
                </c:pt>
                <c:pt idx="510">
                  <c:v>66.599999999999994</c:v>
                </c:pt>
                <c:pt idx="511">
                  <c:v>57.6</c:v>
                </c:pt>
                <c:pt idx="512">
                  <c:v>48.6</c:v>
                </c:pt>
                <c:pt idx="513">
                  <c:v>51.35</c:v>
                </c:pt>
                <c:pt idx="514">
                  <c:v>54.1</c:v>
                </c:pt>
                <c:pt idx="515">
                  <c:v>67.7</c:v>
                </c:pt>
                <c:pt idx="516">
                  <c:v>81.3</c:v>
                </c:pt>
                <c:pt idx="517">
                  <c:v>79.2</c:v>
                </c:pt>
                <c:pt idx="518">
                  <c:v>77.099999999999994</c:v>
                </c:pt>
                <c:pt idx="519">
                  <c:v>81.75</c:v>
                </c:pt>
                <c:pt idx="520">
                  <c:v>86.4</c:v>
                </c:pt>
                <c:pt idx="521">
                  <c:v>107.7</c:v>
                </c:pt>
                <c:pt idx="522">
                  <c:v>129</c:v>
                </c:pt>
                <c:pt idx="523">
                  <c:v>136.65</c:v>
                </c:pt>
                <c:pt idx="524">
                  <c:v>144.30000000000001</c:v>
                </c:pt>
                <c:pt idx="525">
                  <c:v>129.05000000000001</c:v>
                </c:pt>
                <c:pt idx="526">
                  <c:v>113.8</c:v>
                </c:pt>
                <c:pt idx="527">
                  <c:v>121.4</c:v>
                </c:pt>
                <c:pt idx="528">
                  <c:v>129</c:v>
                </c:pt>
                <c:pt idx="529">
                  <c:v>142.9</c:v>
                </c:pt>
                <c:pt idx="530">
                  <c:v>156.80000000000001</c:v>
                </c:pt>
                <c:pt idx="531">
                  <c:v>158.85</c:v>
                </c:pt>
                <c:pt idx="532">
                  <c:v>160.9</c:v>
                </c:pt>
                <c:pt idx="533">
                  <c:v>155.35</c:v>
                </c:pt>
                <c:pt idx="534">
                  <c:v>149.80000000000001</c:v>
                </c:pt>
                <c:pt idx="535">
                  <c:v>141.5</c:v>
                </c:pt>
                <c:pt idx="536">
                  <c:v>133.19999999999999</c:v>
                </c:pt>
                <c:pt idx="537">
                  <c:v>117.95</c:v>
                </c:pt>
                <c:pt idx="538">
                  <c:v>102.7</c:v>
                </c:pt>
                <c:pt idx="539">
                  <c:v>102.5</c:v>
                </c:pt>
                <c:pt idx="540">
                  <c:v>102.3</c:v>
                </c:pt>
                <c:pt idx="541">
                  <c:v>95.25</c:v>
                </c:pt>
                <c:pt idx="542">
                  <c:v>88.2</c:v>
                </c:pt>
                <c:pt idx="543">
                  <c:v>82.45</c:v>
                </c:pt>
                <c:pt idx="544">
                  <c:v>76.7</c:v>
                </c:pt>
                <c:pt idx="545">
                  <c:v>77.75</c:v>
                </c:pt>
                <c:pt idx="546">
                  <c:v>78.8</c:v>
                </c:pt>
                <c:pt idx="547">
                  <c:v>83.95</c:v>
                </c:pt>
                <c:pt idx="548">
                  <c:v>89.1</c:v>
                </c:pt>
                <c:pt idx="549">
                  <c:v>86.5</c:v>
                </c:pt>
                <c:pt idx="550">
                  <c:v>83.9</c:v>
                </c:pt>
                <c:pt idx="551">
                  <c:v>107.8</c:v>
                </c:pt>
                <c:pt idx="552">
                  <c:v>131.69999999999999</c:v>
                </c:pt>
                <c:pt idx="553">
                  <c:v>163.65</c:v>
                </c:pt>
                <c:pt idx="554">
                  <c:v>195.6</c:v>
                </c:pt>
                <c:pt idx="555">
                  <c:v>216.4</c:v>
                </c:pt>
                <c:pt idx="556">
                  <c:v>237.2</c:v>
                </c:pt>
                <c:pt idx="557">
                  <c:v>243.45</c:v>
                </c:pt>
                <c:pt idx="558">
                  <c:v>249.7</c:v>
                </c:pt>
                <c:pt idx="559">
                  <c:v>192.85</c:v>
                </c:pt>
                <c:pt idx="560">
                  <c:v>136</c:v>
                </c:pt>
                <c:pt idx="561">
                  <c:v>146.44999999999999</c:v>
                </c:pt>
                <c:pt idx="562">
                  <c:v>156.9</c:v>
                </c:pt>
                <c:pt idx="563">
                  <c:v>162.4</c:v>
                </c:pt>
                <c:pt idx="564">
                  <c:v>167.9</c:v>
                </c:pt>
                <c:pt idx="565">
                  <c:v>169.6</c:v>
                </c:pt>
                <c:pt idx="566">
                  <c:v>171.3</c:v>
                </c:pt>
                <c:pt idx="567">
                  <c:v>181.5</c:v>
                </c:pt>
                <c:pt idx="568">
                  <c:v>191.7</c:v>
                </c:pt>
                <c:pt idx="569">
                  <c:v>185.3</c:v>
                </c:pt>
                <c:pt idx="570">
                  <c:v>178.9</c:v>
                </c:pt>
                <c:pt idx="571">
                  <c:v>179.65</c:v>
                </c:pt>
                <c:pt idx="572">
                  <c:v>180.4</c:v>
                </c:pt>
                <c:pt idx="573">
                  <c:v>176.9</c:v>
                </c:pt>
                <c:pt idx="574">
                  <c:v>173.4</c:v>
                </c:pt>
                <c:pt idx="575">
                  <c:v>170.4</c:v>
                </c:pt>
                <c:pt idx="576">
                  <c:v>167.4</c:v>
                </c:pt>
                <c:pt idx="577">
                  <c:v>176.35</c:v>
                </c:pt>
                <c:pt idx="578">
                  <c:v>185.3</c:v>
                </c:pt>
                <c:pt idx="579">
                  <c:v>181.5</c:v>
                </c:pt>
                <c:pt idx="580">
                  <c:v>177.7</c:v>
                </c:pt>
                <c:pt idx="581">
                  <c:v>160.94999999999999</c:v>
                </c:pt>
                <c:pt idx="582">
                  <c:v>144.19999999999999</c:v>
                </c:pt>
                <c:pt idx="583">
                  <c:v>132.80000000000001</c:v>
                </c:pt>
                <c:pt idx="584">
                  <c:v>121.4</c:v>
                </c:pt>
                <c:pt idx="585">
                  <c:v>121.4</c:v>
                </c:pt>
                <c:pt idx="586">
                  <c:v>121.4</c:v>
                </c:pt>
                <c:pt idx="587">
                  <c:v>123.6</c:v>
                </c:pt>
                <c:pt idx="588">
                  <c:v>125.8</c:v>
                </c:pt>
                <c:pt idx="589">
                  <c:v>144.9</c:v>
                </c:pt>
                <c:pt idx="590">
                  <c:v>164</c:v>
                </c:pt>
                <c:pt idx="591">
                  <c:v>148.1</c:v>
                </c:pt>
                <c:pt idx="592">
                  <c:v>132.19999999999999</c:v>
                </c:pt>
                <c:pt idx="593">
                  <c:v>111.2</c:v>
                </c:pt>
                <c:pt idx="594">
                  <c:v>90.2</c:v>
                </c:pt>
                <c:pt idx="595">
                  <c:v>81.55</c:v>
                </c:pt>
                <c:pt idx="596">
                  <c:v>72.900000000000006</c:v>
                </c:pt>
                <c:pt idx="597">
                  <c:v>103.8</c:v>
                </c:pt>
                <c:pt idx="598">
                  <c:v>134.69999999999999</c:v>
                </c:pt>
                <c:pt idx="599">
                  <c:v>132.5</c:v>
                </c:pt>
                <c:pt idx="600">
                  <c:v>130.30000000000001</c:v>
                </c:pt>
                <c:pt idx="601">
                  <c:v>161.65</c:v>
                </c:pt>
                <c:pt idx="602">
                  <c:v>193</c:v>
                </c:pt>
                <c:pt idx="603">
                  <c:v>176.95</c:v>
                </c:pt>
                <c:pt idx="604">
                  <c:v>160.9</c:v>
                </c:pt>
                <c:pt idx="605">
                  <c:v>139.25</c:v>
                </c:pt>
                <c:pt idx="606">
                  <c:v>117.6</c:v>
                </c:pt>
                <c:pt idx="607">
                  <c:v>108.35</c:v>
                </c:pt>
                <c:pt idx="608">
                  <c:v>99.1</c:v>
                </c:pt>
                <c:pt idx="609">
                  <c:v>114.05</c:v>
                </c:pt>
                <c:pt idx="610">
                  <c:v>129</c:v>
                </c:pt>
                <c:pt idx="611">
                  <c:v>137.35</c:v>
                </c:pt>
                <c:pt idx="612">
                  <c:v>145.69999999999999</c:v>
                </c:pt>
                <c:pt idx="613">
                  <c:v>160.44999999999999</c:v>
                </c:pt>
                <c:pt idx="614">
                  <c:v>175.2</c:v>
                </c:pt>
                <c:pt idx="615">
                  <c:v>163.65</c:v>
                </c:pt>
                <c:pt idx="616">
                  <c:v>152.1</c:v>
                </c:pt>
                <c:pt idx="617">
                  <c:v>148</c:v>
                </c:pt>
                <c:pt idx="618">
                  <c:v>143.9</c:v>
                </c:pt>
                <c:pt idx="619">
                  <c:v>201.65</c:v>
                </c:pt>
                <c:pt idx="620">
                  <c:v>259.39999999999998</c:v>
                </c:pt>
                <c:pt idx="621">
                  <c:v>247.65</c:v>
                </c:pt>
                <c:pt idx="622">
                  <c:v>235.9</c:v>
                </c:pt>
                <c:pt idx="623">
                  <c:v>216.4</c:v>
                </c:pt>
                <c:pt idx="624">
                  <c:v>196.9</c:v>
                </c:pt>
                <c:pt idx="625">
                  <c:v>212.85</c:v>
                </c:pt>
                <c:pt idx="626">
                  <c:v>228.8</c:v>
                </c:pt>
                <c:pt idx="627">
                  <c:v>223.7</c:v>
                </c:pt>
                <c:pt idx="628">
                  <c:v>218.6</c:v>
                </c:pt>
                <c:pt idx="629">
                  <c:v>194.15</c:v>
                </c:pt>
                <c:pt idx="630">
                  <c:v>169.7</c:v>
                </c:pt>
                <c:pt idx="631">
                  <c:v>172.45</c:v>
                </c:pt>
                <c:pt idx="632">
                  <c:v>175.2</c:v>
                </c:pt>
                <c:pt idx="633">
                  <c:v>194.9</c:v>
                </c:pt>
                <c:pt idx="634">
                  <c:v>214.6</c:v>
                </c:pt>
                <c:pt idx="635">
                  <c:v>221.35</c:v>
                </c:pt>
                <c:pt idx="636">
                  <c:v>228.1</c:v>
                </c:pt>
                <c:pt idx="637">
                  <c:v>226.1</c:v>
                </c:pt>
                <c:pt idx="638">
                  <c:v>224.1</c:v>
                </c:pt>
                <c:pt idx="639">
                  <c:v>235.6</c:v>
                </c:pt>
                <c:pt idx="640">
                  <c:v>247.1</c:v>
                </c:pt>
                <c:pt idx="641">
                  <c:v>243</c:v>
                </c:pt>
                <c:pt idx="642">
                  <c:v>238.9</c:v>
                </c:pt>
                <c:pt idx="643">
                  <c:v>240.9</c:v>
                </c:pt>
                <c:pt idx="644">
                  <c:v>242.9</c:v>
                </c:pt>
                <c:pt idx="645">
                  <c:v>250.55</c:v>
                </c:pt>
                <c:pt idx="646">
                  <c:v>258.2</c:v>
                </c:pt>
                <c:pt idx="647">
                  <c:v>289.64999999999998</c:v>
                </c:pt>
                <c:pt idx="648">
                  <c:v>321.10000000000002</c:v>
                </c:pt>
                <c:pt idx="649">
                  <c:v>310.3</c:v>
                </c:pt>
                <c:pt idx="650">
                  <c:v>299.5</c:v>
                </c:pt>
                <c:pt idx="651">
                  <c:v>282.64999999999998</c:v>
                </c:pt>
                <c:pt idx="652">
                  <c:v>265.8</c:v>
                </c:pt>
                <c:pt idx="653">
                  <c:v>258.14999999999998</c:v>
                </c:pt>
                <c:pt idx="654">
                  <c:v>250.5</c:v>
                </c:pt>
                <c:pt idx="655">
                  <c:v>234</c:v>
                </c:pt>
                <c:pt idx="656">
                  <c:v>217.5</c:v>
                </c:pt>
                <c:pt idx="657">
                  <c:v>203</c:v>
                </c:pt>
                <c:pt idx="658">
                  <c:v>188.5</c:v>
                </c:pt>
                <c:pt idx="659">
                  <c:v>182.45</c:v>
                </c:pt>
                <c:pt idx="660">
                  <c:v>176.4</c:v>
                </c:pt>
                <c:pt idx="661">
                  <c:v>186.85</c:v>
                </c:pt>
                <c:pt idx="662">
                  <c:v>197.3</c:v>
                </c:pt>
                <c:pt idx="663">
                  <c:v>208.05</c:v>
                </c:pt>
                <c:pt idx="664">
                  <c:v>218.8</c:v>
                </c:pt>
                <c:pt idx="665">
                  <c:v>244.5</c:v>
                </c:pt>
                <c:pt idx="666">
                  <c:v>270.2</c:v>
                </c:pt>
                <c:pt idx="667">
                  <c:v>226.5</c:v>
                </c:pt>
                <c:pt idx="668">
                  <c:v>182.8</c:v>
                </c:pt>
                <c:pt idx="669">
                  <c:v>174.9</c:v>
                </c:pt>
                <c:pt idx="670">
                  <c:v>167</c:v>
                </c:pt>
                <c:pt idx="671">
                  <c:v>169.85</c:v>
                </c:pt>
                <c:pt idx="672">
                  <c:v>172.7</c:v>
                </c:pt>
                <c:pt idx="673">
                  <c:v>184.1</c:v>
                </c:pt>
                <c:pt idx="674">
                  <c:v>195.5</c:v>
                </c:pt>
                <c:pt idx="675">
                  <c:v>182.6</c:v>
                </c:pt>
                <c:pt idx="676">
                  <c:v>169.7</c:v>
                </c:pt>
                <c:pt idx="677">
                  <c:v>150.05000000000001</c:v>
                </c:pt>
                <c:pt idx="678">
                  <c:v>130.4</c:v>
                </c:pt>
                <c:pt idx="679">
                  <c:v>124</c:v>
                </c:pt>
                <c:pt idx="680">
                  <c:v>117.6</c:v>
                </c:pt>
                <c:pt idx="681">
                  <c:v>106.1</c:v>
                </c:pt>
                <c:pt idx="682">
                  <c:v>94.6</c:v>
                </c:pt>
                <c:pt idx="683">
                  <c:v>109.95</c:v>
                </c:pt>
                <c:pt idx="684">
                  <c:v>125.3</c:v>
                </c:pt>
                <c:pt idx="685">
                  <c:v>163.15</c:v>
                </c:pt>
                <c:pt idx="686">
                  <c:v>201</c:v>
                </c:pt>
                <c:pt idx="687">
                  <c:v>224.05</c:v>
                </c:pt>
                <c:pt idx="688">
                  <c:v>247.1</c:v>
                </c:pt>
                <c:pt idx="689">
                  <c:v>219.7</c:v>
                </c:pt>
                <c:pt idx="690">
                  <c:v>192.3</c:v>
                </c:pt>
                <c:pt idx="691">
                  <c:v>196.55</c:v>
                </c:pt>
                <c:pt idx="692">
                  <c:v>200.8</c:v>
                </c:pt>
                <c:pt idx="693">
                  <c:v>199.45</c:v>
                </c:pt>
                <c:pt idx="694">
                  <c:v>198.1</c:v>
                </c:pt>
                <c:pt idx="695">
                  <c:v>187.25</c:v>
                </c:pt>
                <c:pt idx="696">
                  <c:v>176.4</c:v>
                </c:pt>
                <c:pt idx="697">
                  <c:v>158.15</c:v>
                </c:pt>
                <c:pt idx="698">
                  <c:v>139.9</c:v>
                </c:pt>
                <c:pt idx="699">
                  <c:v>161.05000000000001</c:v>
                </c:pt>
                <c:pt idx="700">
                  <c:v>182.2</c:v>
                </c:pt>
                <c:pt idx="701">
                  <c:v>206.45</c:v>
                </c:pt>
                <c:pt idx="702">
                  <c:v>230.7</c:v>
                </c:pt>
                <c:pt idx="703">
                  <c:v>208.95</c:v>
                </c:pt>
                <c:pt idx="704">
                  <c:v>187.2</c:v>
                </c:pt>
                <c:pt idx="705">
                  <c:v>165.8</c:v>
                </c:pt>
                <c:pt idx="706">
                  <c:v>144.4</c:v>
                </c:pt>
                <c:pt idx="707">
                  <c:v>133.94999999999999</c:v>
                </c:pt>
                <c:pt idx="708">
                  <c:v>123.5</c:v>
                </c:pt>
                <c:pt idx="709">
                  <c:v>121.2</c:v>
                </c:pt>
                <c:pt idx="710">
                  <c:v>118.9</c:v>
                </c:pt>
                <c:pt idx="711">
                  <c:v>126.25</c:v>
                </c:pt>
                <c:pt idx="712">
                  <c:v>133.6</c:v>
                </c:pt>
                <c:pt idx="713">
                  <c:v>138.25</c:v>
                </c:pt>
                <c:pt idx="714">
                  <c:v>142.9</c:v>
                </c:pt>
                <c:pt idx="715">
                  <c:v>144.15</c:v>
                </c:pt>
                <c:pt idx="716">
                  <c:v>145.4</c:v>
                </c:pt>
                <c:pt idx="717">
                  <c:v>139.75</c:v>
                </c:pt>
                <c:pt idx="718">
                  <c:v>134.1</c:v>
                </c:pt>
                <c:pt idx="719">
                  <c:v>142.15</c:v>
                </c:pt>
                <c:pt idx="720">
                  <c:v>150.19999999999999</c:v>
                </c:pt>
                <c:pt idx="721">
                  <c:v>163.6</c:v>
                </c:pt>
                <c:pt idx="722">
                  <c:v>177</c:v>
                </c:pt>
                <c:pt idx="723">
                  <c:v>183.25</c:v>
                </c:pt>
                <c:pt idx="724">
                  <c:v>189.5</c:v>
                </c:pt>
                <c:pt idx="725">
                  <c:v>194.65</c:v>
                </c:pt>
                <c:pt idx="726">
                  <c:v>199.8</c:v>
                </c:pt>
                <c:pt idx="727">
                  <c:v>203.25</c:v>
                </c:pt>
                <c:pt idx="728">
                  <c:v>206.7</c:v>
                </c:pt>
                <c:pt idx="729">
                  <c:v>203.7</c:v>
                </c:pt>
                <c:pt idx="730">
                  <c:v>200.7</c:v>
                </c:pt>
                <c:pt idx="731">
                  <c:v>185</c:v>
                </c:pt>
                <c:pt idx="732">
                  <c:v>169.3</c:v>
                </c:pt>
                <c:pt idx="733">
                  <c:v>153.6</c:v>
                </c:pt>
                <c:pt idx="734">
                  <c:v>137.9</c:v>
                </c:pt>
                <c:pt idx="735">
                  <c:v>132.19999999999999</c:v>
                </c:pt>
                <c:pt idx="736">
                  <c:v>126.5</c:v>
                </c:pt>
                <c:pt idx="737">
                  <c:v>122.7</c:v>
                </c:pt>
                <c:pt idx="738">
                  <c:v>118.9</c:v>
                </c:pt>
                <c:pt idx="739">
                  <c:v>130.6</c:v>
                </c:pt>
                <c:pt idx="740">
                  <c:v>142.30000000000001</c:v>
                </c:pt>
                <c:pt idx="741">
                  <c:v>149.4</c:v>
                </c:pt>
                <c:pt idx="742">
                  <c:v>156.5</c:v>
                </c:pt>
                <c:pt idx="743">
                  <c:v>150.94999999999999</c:v>
                </c:pt>
                <c:pt idx="744">
                  <c:v>145.4</c:v>
                </c:pt>
                <c:pt idx="745">
                  <c:v>150.5</c:v>
                </c:pt>
                <c:pt idx="746">
                  <c:v>155.6</c:v>
                </c:pt>
                <c:pt idx="747">
                  <c:v>165.7</c:v>
                </c:pt>
                <c:pt idx="748">
                  <c:v>175.8</c:v>
                </c:pt>
                <c:pt idx="749">
                  <c:v>190.95</c:v>
                </c:pt>
                <c:pt idx="750">
                  <c:v>206.1</c:v>
                </c:pt>
                <c:pt idx="751">
                  <c:v>221.9</c:v>
                </c:pt>
                <c:pt idx="752">
                  <c:v>237.7</c:v>
                </c:pt>
                <c:pt idx="753">
                  <c:v>242.15</c:v>
                </c:pt>
                <c:pt idx="754">
                  <c:v>246.6</c:v>
                </c:pt>
                <c:pt idx="755">
                  <c:v>228.25</c:v>
                </c:pt>
                <c:pt idx="756">
                  <c:v>209.9</c:v>
                </c:pt>
                <c:pt idx="757">
                  <c:v>215</c:v>
                </c:pt>
                <c:pt idx="758">
                  <c:v>220.1</c:v>
                </c:pt>
                <c:pt idx="759">
                  <c:v>218.7</c:v>
                </c:pt>
                <c:pt idx="760">
                  <c:v>217.3</c:v>
                </c:pt>
                <c:pt idx="761">
                  <c:v>208.6</c:v>
                </c:pt>
                <c:pt idx="762">
                  <c:v>199.9</c:v>
                </c:pt>
                <c:pt idx="763">
                  <c:v>187.65</c:v>
                </c:pt>
                <c:pt idx="764">
                  <c:v>175.4</c:v>
                </c:pt>
                <c:pt idx="765">
                  <c:v>162.94999999999999</c:v>
                </c:pt>
                <c:pt idx="766">
                  <c:v>150.5</c:v>
                </c:pt>
                <c:pt idx="767">
                  <c:v>163.15</c:v>
                </c:pt>
                <c:pt idx="768">
                  <c:v>175.8</c:v>
                </c:pt>
                <c:pt idx="769">
                  <c:v>183.4</c:v>
                </c:pt>
                <c:pt idx="770">
                  <c:v>191</c:v>
                </c:pt>
                <c:pt idx="771">
                  <c:v>182.9</c:v>
                </c:pt>
                <c:pt idx="772">
                  <c:v>174.8</c:v>
                </c:pt>
                <c:pt idx="773">
                  <c:v>190.45</c:v>
                </c:pt>
                <c:pt idx="774">
                  <c:v>206.1</c:v>
                </c:pt>
                <c:pt idx="775">
                  <c:v>216.85</c:v>
                </c:pt>
                <c:pt idx="776">
                  <c:v>227.6</c:v>
                </c:pt>
                <c:pt idx="777">
                  <c:v>220.05</c:v>
                </c:pt>
                <c:pt idx="778">
                  <c:v>212.5</c:v>
                </c:pt>
                <c:pt idx="779">
                  <c:v>208.7</c:v>
                </c:pt>
                <c:pt idx="780">
                  <c:v>204.9</c:v>
                </c:pt>
                <c:pt idx="781">
                  <c:v>216.25</c:v>
                </c:pt>
                <c:pt idx="782">
                  <c:v>227.6</c:v>
                </c:pt>
                <c:pt idx="783">
                  <c:v>234.6</c:v>
                </c:pt>
                <c:pt idx="784">
                  <c:v>241.6</c:v>
                </c:pt>
                <c:pt idx="785">
                  <c:v>227.05</c:v>
                </c:pt>
                <c:pt idx="786">
                  <c:v>212.5</c:v>
                </c:pt>
                <c:pt idx="787">
                  <c:v>216.9</c:v>
                </c:pt>
                <c:pt idx="788">
                  <c:v>221.3</c:v>
                </c:pt>
                <c:pt idx="789">
                  <c:v>231.5</c:v>
                </c:pt>
                <c:pt idx="790">
                  <c:v>241.7</c:v>
                </c:pt>
                <c:pt idx="791">
                  <c:v>231.5</c:v>
                </c:pt>
                <c:pt idx="792">
                  <c:v>221.3</c:v>
                </c:pt>
                <c:pt idx="793">
                  <c:v>199.2</c:v>
                </c:pt>
                <c:pt idx="794">
                  <c:v>177.1</c:v>
                </c:pt>
                <c:pt idx="795">
                  <c:v>177.35</c:v>
                </c:pt>
                <c:pt idx="796">
                  <c:v>177.6</c:v>
                </c:pt>
                <c:pt idx="797">
                  <c:v>180.5</c:v>
                </c:pt>
                <c:pt idx="798">
                  <c:v>183.4</c:v>
                </c:pt>
                <c:pt idx="799">
                  <c:v>185.9</c:v>
                </c:pt>
                <c:pt idx="800">
                  <c:v>188.4</c:v>
                </c:pt>
                <c:pt idx="801">
                  <c:v>181.75</c:v>
                </c:pt>
                <c:pt idx="802">
                  <c:v>175.1</c:v>
                </c:pt>
                <c:pt idx="803">
                  <c:v>179.7</c:v>
                </c:pt>
                <c:pt idx="804">
                  <c:v>184.3</c:v>
                </c:pt>
                <c:pt idx="805">
                  <c:v>181.95</c:v>
                </c:pt>
                <c:pt idx="806">
                  <c:v>179.6</c:v>
                </c:pt>
                <c:pt idx="807">
                  <c:v>175.1</c:v>
                </c:pt>
                <c:pt idx="808">
                  <c:v>170.6</c:v>
                </c:pt>
                <c:pt idx="809">
                  <c:v>178.95</c:v>
                </c:pt>
                <c:pt idx="810">
                  <c:v>187.3</c:v>
                </c:pt>
                <c:pt idx="811">
                  <c:v>198</c:v>
                </c:pt>
                <c:pt idx="812">
                  <c:v>208.7</c:v>
                </c:pt>
                <c:pt idx="813">
                  <c:v>206.8</c:v>
                </c:pt>
                <c:pt idx="814">
                  <c:v>204.9</c:v>
                </c:pt>
                <c:pt idx="815">
                  <c:v>199.85</c:v>
                </c:pt>
                <c:pt idx="816">
                  <c:v>194.8</c:v>
                </c:pt>
                <c:pt idx="817">
                  <c:v>185.95</c:v>
                </c:pt>
                <c:pt idx="818">
                  <c:v>177.1</c:v>
                </c:pt>
                <c:pt idx="819">
                  <c:v>179</c:v>
                </c:pt>
                <c:pt idx="820">
                  <c:v>180.9</c:v>
                </c:pt>
                <c:pt idx="821">
                  <c:v>174.55</c:v>
                </c:pt>
                <c:pt idx="822">
                  <c:v>168.2</c:v>
                </c:pt>
                <c:pt idx="823">
                  <c:v>164.4</c:v>
                </c:pt>
                <c:pt idx="824">
                  <c:v>160.6</c:v>
                </c:pt>
                <c:pt idx="825">
                  <c:v>163.75</c:v>
                </c:pt>
                <c:pt idx="826">
                  <c:v>166.9</c:v>
                </c:pt>
                <c:pt idx="827">
                  <c:v>173.25</c:v>
                </c:pt>
                <c:pt idx="828">
                  <c:v>179.6</c:v>
                </c:pt>
                <c:pt idx="829">
                  <c:v>180.85</c:v>
                </c:pt>
                <c:pt idx="830">
                  <c:v>182.1</c:v>
                </c:pt>
                <c:pt idx="831">
                  <c:v>180.2</c:v>
                </c:pt>
                <c:pt idx="832">
                  <c:v>178.3</c:v>
                </c:pt>
                <c:pt idx="833">
                  <c:v>174.5</c:v>
                </c:pt>
                <c:pt idx="834">
                  <c:v>170.7</c:v>
                </c:pt>
                <c:pt idx="835">
                  <c:v>171.35</c:v>
                </c:pt>
                <c:pt idx="836">
                  <c:v>172</c:v>
                </c:pt>
                <c:pt idx="837">
                  <c:v>179.6</c:v>
                </c:pt>
                <c:pt idx="838">
                  <c:v>187.2</c:v>
                </c:pt>
                <c:pt idx="839">
                  <c:v>189.7</c:v>
                </c:pt>
                <c:pt idx="840">
                  <c:v>192.2</c:v>
                </c:pt>
                <c:pt idx="841">
                  <c:v>189.05</c:v>
                </c:pt>
                <c:pt idx="842">
                  <c:v>185.9</c:v>
                </c:pt>
                <c:pt idx="843">
                  <c:v>182.45</c:v>
                </c:pt>
                <c:pt idx="844">
                  <c:v>179</c:v>
                </c:pt>
                <c:pt idx="845">
                  <c:v>178.3</c:v>
                </c:pt>
                <c:pt idx="846">
                  <c:v>177.6</c:v>
                </c:pt>
                <c:pt idx="847">
                  <c:v>179</c:v>
                </c:pt>
                <c:pt idx="848">
                  <c:v>180.4</c:v>
                </c:pt>
                <c:pt idx="849">
                  <c:v>180.4</c:v>
                </c:pt>
                <c:pt idx="850">
                  <c:v>180.4</c:v>
                </c:pt>
                <c:pt idx="851">
                  <c:v>192.85</c:v>
                </c:pt>
                <c:pt idx="852">
                  <c:v>205.3</c:v>
                </c:pt>
                <c:pt idx="853">
                  <c:v>212.25</c:v>
                </c:pt>
                <c:pt idx="854">
                  <c:v>219.2</c:v>
                </c:pt>
                <c:pt idx="855">
                  <c:v>228.9</c:v>
                </c:pt>
                <c:pt idx="856">
                  <c:v>238.6</c:v>
                </c:pt>
                <c:pt idx="857">
                  <c:v>252.5</c:v>
                </c:pt>
                <c:pt idx="858">
                  <c:v>266.39999999999998</c:v>
                </c:pt>
                <c:pt idx="859">
                  <c:v>258.75</c:v>
                </c:pt>
                <c:pt idx="860">
                  <c:v>251.1</c:v>
                </c:pt>
                <c:pt idx="861">
                  <c:v>259.45</c:v>
                </c:pt>
                <c:pt idx="862">
                  <c:v>267.8</c:v>
                </c:pt>
                <c:pt idx="863">
                  <c:v>261.55</c:v>
                </c:pt>
                <c:pt idx="864">
                  <c:v>255.3</c:v>
                </c:pt>
                <c:pt idx="865">
                  <c:v>255.95</c:v>
                </c:pt>
                <c:pt idx="866">
                  <c:v>256.60000000000002</c:v>
                </c:pt>
                <c:pt idx="867">
                  <c:v>227.5</c:v>
                </c:pt>
                <c:pt idx="868">
                  <c:v>198.4</c:v>
                </c:pt>
                <c:pt idx="869">
                  <c:v>189.4</c:v>
                </c:pt>
                <c:pt idx="870">
                  <c:v>180.4</c:v>
                </c:pt>
                <c:pt idx="871">
                  <c:v>160.25</c:v>
                </c:pt>
                <c:pt idx="872">
                  <c:v>140.1</c:v>
                </c:pt>
                <c:pt idx="873">
                  <c:v>140.9</c:v>
                </c:pt>
                <c:pt idx="874">
                  <c:v>141.69999999999999</c:v>
                </c:pt>
                <c:pt idx="875">
                  <c:v>149.94999999999999</c:v>
                </c:pt>
                <c:pt idx="876">
                  <c:v>158.19999999999999</c:v>
                </c:pt>
                <c:pt idx="877">
                  <c:v>157.5</c:v>
                </c:pt>
                <c:pt idx="878">
                  <c:v>156.80000000000001</c:v>
                </c:pt>
                <c:pt idx="879">
                  <c:v>144.30000000000001</c:v>
                </c:pt>
                <c:pt idx="880">
                  <c:v>131.80000000000001</c:v>
                </c:pt>
                <c:pt idx="881">
                  <c:v>129.69999999999999</c:v>
                </c:pt>
                <c:pt idx="882">
                  <c:v>127.6</c:v>
                </c:pt>
                <c:pt idx="883">
                  <c:v>125.55</c:v>
                </c:pt>
                <c:pt idx="884">
                  <c:v>123.5</c:v>
                </c:pt>
                <c:pt idx="885">
                  <c:v>120.7</c:v>
                </c:pt>
                <c:pt idx="886">
                  <c:v>117.9</c:v>
                </c:pt>
                <c:pt idx="887">
                  <c:v>114.45</c:v>
                </c:pt>
                <c:pt idx="888">
                  <c:v>111</c:v>
                </c:pt>
                <c:pt idx="889">
                  <c:v>108.9</c:v>
                </c:pt>
                <c:pt idx="890">
                  <c:v>106.8</c:v>
                </c:pt>
                <c:pt idx="891">
                  <c:v>106.1</c:v>
                </c:pt>
                <c:pt idx="892">
                  <c:v>105.4</c:v>
                </c:pt>
                <c:pt idx="893">
                  <c:v>103.35</c:v>
                </c:pt>
                <c:pt idx="894">
                  <c:v>101.3</c:v>
                </c:pt>
                <c:pt idx="895">
                  <c:v>102</c:v>
                </c:pt>
                <c:pt idx="896">
                  <c:v>102.7</c:v>
                </c:pt>
                <c:pt idx="897">
                  <c:v>101.3</c:v>
                </c:pt>
                <c:pt idx="898">
                  <c:v>99.9</c:v>
                </c:pt>
                <c:pt idx="899">
                  <c:v>97.1</c:v>
                </c:pt>
                <c:pt idx="900">
                  <c:v>94.3</c:v>
                </c:pt>
                <c:pt idx="901">
                  <c:v>94.3</c:v>
                </c:pt>
                <c:pt idx="902">
                  <c:v>94.3</c:v>
                </c:pt>
                <c:pt idx="903">
                  <c:v>92.95</c:v>
                </c:pt>
                <c:pt idx="904">
                  <c:v>91.6</c:v>
                </c:pt>
                <c:pt idx="905">
                  <c:v>91.6</c:v>
                </c:pt>
                <c:pt idx="906">
                  <c:v>91.6</c:v>
                </c:pt>
                <c:pt idx="907">
                  <c:v>90.2</c:v>
                </c:pt>
                <c:pt idx="908">
                  <c:v>88.8</c:v>
                </c:pt>
                <c:pt idx="909">
                  <c:v>86.25</c:v>
                </c:pt>
                <c:pt idx="910">
                  <c:v>83.7</c:v>
                </c:pt>
                <c:pt idx="911">
                  <c:v>88.4</c:v>
                </c:pt>
                <c:pt idx="912">
                  <c:v>93.1</c:v>
                </c:pt>
                <c:pt idx="913">
                  <c:v>92.4</c:v>
                </c:pt>
                <c:pt idx="914">
                  <c:v>91.7</c:v>
                </c:pt>
                <c:pt idx="915">
                  <c:v>92.4</c:v>
                </c:pt>
                <c:pt idx="916">
                  <c:v>93.1</c:v>
                </c:pt>
                <c:pt idx="917">
                  <c:v>91.75</c:v>
                </c:pt>
                <c:pt idx="918">
                  <c:v>90.4</c:v>
                </c:pt>
                <c:pt idx="919">
                  <c:v>84.35</c:v>
                </c:pt>
                <c:pt idx="920">
                  <c:v>78.3</c:v>
                </c:pt>
                <c:pt idx="921">
                  <c:v>80.3</c:v>
                </c:pt>
                <c:pt idx="922">
                  <c:v>82.3</c:v>
                </c:pt>
                <c:pt idx="923">
                  <c:v>83</c:v>
                </c:pt>
                <c:pt idx="924">
                  <c:v>83.7</c:v>
                </c:pt>
                <c:pt idx="925">
                  <c:v>83</c:v>
                </c:pt>
                <c:pt idx="926">
                  <c:v>82.3</c:v>
                </c:pt>
                <c:pt idx="927">
                  <c:v>84.35</c:v>
                </c:pt>
                <c:pt idx="928">
                  <c:v>86.4</c:v>
                </c:pt>
                <c:pt idx="929">
                  <c:v>87.05</c:v>
                </c:pt>
                <c:pt idx="930">
                  <c:v>87.7</c:v>
                </c:pt>
                <c:pt idx="931">
                  <c:v>88.4</c:v>
                </c:pt>
                <c:pt idx="932">
                  <c:v>89.1</c:v>
                </c:pt>
                <c:pt idx="933">
                  <c:v>89.1</c:v>
                </c:pt>
                <c:pt idx="934">
                  <c:v>89.1</c:v>
                </c:pt>
                <c:pt idx="935">
                  <c:v>88.4</c:v>
                </c:pt>
                <c:pt idx="936">
                  <c:v>87.7</c:v>
                </c:pt>
                <c:pt idx="937">
                  <c:v>86.35</c:v>
                </c:pt>
                <c:pt idx="938">
                  <c:v>85</c:v>
                </c:pt>
                <c:pt idx="939">
                  <c:v>83.65</c:v>
                </c:pt>
                <c:pt idx="940">
                  <c:v>82.3</c:v>
                </c:pt>
                <c:pt idx="941">
                  <c:v>80.3</c:v>
                </c:pt>
                <c:pt idx="942">
                  <c:v>78.3</c:v>
                </c:pt>
                <c:pt idx="943">
                  <c:v>74.95</c:v>
                </c:pt>
                <c:pt idx="944">
                  <c:v>71.599999999999994</c:v>
                </c:pt>
                <c:pt idx="945">
                  <c:v>70.2</c:v>
                </c:pt>
                <c:pt idx="946">
                  <c:v>68.8</c:v>
                </c:pt>
                <c:pt idx="947">
                  <c:v>66.349999999999994</c:v>
                </c:pt>
                <c:pt idx="948">
                  <c:v>63.9</c:v>
                </c:pt>
                <c:pt idx="949">
                  <c:v>60.95</c:v>
                </c:pt>
                <c:pt idx="950">
                  <c:v>58</c:v>
                </c:pt>
                <c:pt idx="951">
                  <c:v>58.7</c:v>
                </c:pt>
                <c:pt idx="952">
                  <c:v>59.4</c:v>
                </c:pt>
                <c:pt idx="953">
                  <c:v>62.3</c:v>
                </c:pt>
                <c:pt idx="954">
                  <c:v>65.2</c:v>
                </c:pt>
                <c:pt idx="955">
                  <c:v>65.2</c:v>
                </c:pt>
                <c:pt idx="956">
                  <c:v>65.2</c:v>
                </c:pt>
                <c:pt idx="957">
                  <c:v>64.55</c:v>
                </c:pt>
                <c:pt idx="958">
                  <c:v>63.9</c:v>
                </c:pt>
                <c:pt idx="959">
                  <c:v>62.65</c:v>
                </c:pt>
                <c:pt idx="960">
                  <c:v>61.4</c:v>
                </c:pt>
                <c:pt idx="961">
                  <c:v>60.75</c:v>
                </c:pt>
                <c:pt idx="962">
                  <c:v>60.1</c:v>
                </c:pt>
                <c:pt idx="963">
                  <c:v>58.15</c:v>
                </c:pt>
                <c:pt idx="964">
                  <c:v>56.2</c:v>
                </c:pt>
                <c:pt idx="965">
                  <c:v>55.6</c:v>
                </c:pt>
                <c:pt idx="966">
                  <c:v>55</c:v>
                </c:pt>
                <c:pt idx="967">
                  <c:v>54.35</c:v>
                </c:pt>
                <c:pt idx="968">
                  <c:v>53.7</c:v>
                </c:pt>
                <c:pt idx="969">
                  <c:v>53.05</c:v>
                </c:pt>
                <c:pt idx="970">
                  <c:v>52.4</c:v>
                </c:pt>
                <c:pt idx="971">
                  <c:v>51.15</c:v>
                </c:pt>
                <c:pt idx="972">
                  <c:v>49.9</c:v>
                </c:pt>
                <c:pt idx="973">
                  <c:v>50.5</c:v>
                </c:pt>
                <c:pt idx="974">
                  <c:v>51.1</c:v>
                </c:pt>
                <c:pt idx="975">
                  <c:v>50.5</c:v>
                </c:pt>
                <c:pt idx="976">
                  <c:v>49.9</c:v>
                </c:pt>
                <c:pt idx="977">
                  <c:v>46.7</c:v>
                </c:pt>
                <c:pt idx="978">
                  <c:v>43.5</c:v>
                </c:pt>
                <c:pt idx="979">
                  <c:v>43.5</c:v>
                </c:pt>
                <c:pt idx="980">
                  <c:v>43.5</c:v>
                </c:pt>
                <c:pt idx="981">
                  <c:v>44.75</c:v>
                </c:pt>
                <c:pt idx="982">
                  <c:v>46</c:v>
                </c:pt>
                <c:pt idx="983">
                  <c:v>49.85</c:v>
                </c:pt>
                <c:pt idx="984">
                  <c:v>53.7</c:v>
                </c:pt>
                <c:pt idx="985">
                  <c:v>60.1</c:v>
                </c:pt>
                <c:pt idx="986">
                  <c:v>66.5</c:v>
                </c:pt>
                <c:pt idx="987">
                  <c:v>68.400000000000006</c:v>
                </c:pt>
                <c:pt idx="988">
                  <c:v>70.3</c:v>
                </c:pt>
                <c:pt idx="989">
                  <c:v>65.849999999999994</c:v>
                </c:pt>
                <c:pt idx="990">
                  <c:v>61.4</c:v>
                </c:pt>
                <c:pt idx="991">
                  <c:v>58.2</c:v>
                </c:pt>
                <c:pt idx="992">
                  <c:v>55</c:v>
                </c:pt>
                <c:pt idx="993">
                  <c:v>53.7</c:v>
                </c:pt>
                <c:pt idx="994">
                  <c:v>52.4</c:v>
                </c:pt>
                <c:pt idx="995">
                  <c:v>49.2</c:v>
                </c:pt>
                <c:pt idx="996">
                  <c:v>46</c:v>
                </c:pt>
                <c:pt idx="997">
                  <c:v>43.45</c:v>
                </c:pt>
                <c:pt idx="998">
                  <c:v>40.9</c:v>
                </c:pt>
                <c:pt idx="999">
                  <c:v>39.6</c:v>
                </c:pt>
                <c:pt idx="1000">
                  <c:v>38.299999999999997</c:v>
                </c:pt>
                <c:pt idx="1001">
                  <c:v>38.299999999999997</c:v>
                </c:pt>
                <c:pt idx="1002">
                  <c:v>38.299999999999997</c:v>
                </c:pt>
                <c:pt idx="1003">
                  <c:v>38.950000000000003</c:v>
                </c:pt>
                <c:pt idx="1004">
                  <c:v>39.6</c:v>
                </c:pt>
                <c:pt idx="1005">
                  <c:v>40.9</c:v>
                </c:pt>
                <c:pt idx="1006">
                  <c:v>42.2</c:v>
                </c:pt>
                <c:pt idx="1007">
                  <c:v>41.55</c:v>
                </c:pt>
                <c:pt idx="1008">
                  <c:v>40.9</c:v>
                </c:pt>
                <c:pt idx="1009">
                  <c:v>42.8</c:v>
                </c:pt>
                <c:pt idx="1010">
                  <c:v>44.7</c:v>
                </c:pt>
                <c:pt idx="1011">
                  <c:v>44.7</c:v>
                </c:pt>
                <c:pt idx="1012">
                  <c:v>44.7</c:v>
                </c:pt>
                <c:pt idx="1013">
                  <c:v>43.45</c:v>
                </c:pt>
                <c:pt idx="1014">
                  <c:v>42.2</c:v>
                </c:pt>
                <c:pt idx="1015">
                  <c:v>44.75</c:v>
                </c:pt>
                <c:pt idx="1016">
                  <c:v>47.3</c:v>
                </c:pt>
                <c:pt idx="1017">
                  <c:v>48.6</c:v>
                </c:pt>
                <c:pt idx="1018">
                  <c:v>49.9</c:v>
                </c:pt>
                <c:pt idx="1019">
                  <c:v>50.5</c:v>
                </c:pt>
                <c:pt idx="1020">
                  <c:v>51.1</c:v>
                </c:pt>
                <c:pt idx="1021">
                  <c:v>49.2</c:v>
                </c:pt>
                <c:pt idx="1022">
                  <c:v>47.3</c:v>
                </c:pt>
                <c:pt idx="1023">
                  <c:v>46</c:v>
                </c:pt>
                <c:pt idx="1024">
                  <c:v>44.7</c:v>
                </c:pt>
                <c:pt idx="1025">
                  <c:v>40.9</c:v>
                </c:pt>
                <c:pt idx="1026">
                  <c:v>37.1</c:v>
                </c:pt>
                <c:pt idx="1027">
                  <c:v>36.450000000000003</c:v>
                </c:pt>
                <c:pt idx="1028">
                  <c:v>35.799999999999997</c:v>
                </c:pt>
                <c:pt idx="1029">
                  <c:v>35.15</c:v>
                </c:pt>
                <c:pt idx="1030">
                  <c:v>34.5</c:v>
                </c:pt>
                <c:pt idx="1031">
                  <c:v>34.5</c:v>
                </c:pt>
                <c:pt idx="1032">
                  <c:v>34.5</c:v>
                </c:pt>
                <c:pt idx="1033">
                  <c:v>32.6</c:v>
                </c:pt>
                <c:pt idx="1034">
                  <c:v>30.7</c:v>
                </c:pt>
                <c:pt idx="1035">
                  <c:v>31.35</c:v>
                </c:pt>
                <c:pt idx="1036">
                  <c:v>32</c:v>
                </c:pt>
                <c:pt idx="1037">
                  <c:v>30.7</c:v>
                </c:pt>
                <c:pt idx="1038">
                  <c:v>29.4</c:v>
                </c:pt>
                <c:pt idx="1039">
                  <c:v>30.7</c:v>
                </c:pt>
                <c:pt idx="1040">
                  <c:v>32</c:v>
                </c:pt>
                <c:pt idx="1041">
                  <c:v>32</c:v>
                </c:pt>
                <c:pt idx="1042">
                  <c:v>32</c:v>
                </c:pt>
                <c:pt idx="1043">
                  <c:v>31.35</c:v>
                </c:pt>
                <c:pt idx="1044">
                  <c:v>30.7</c:v>
                </c:pt>
                <c:pt idx="1045">
                  <c:v>29.4</c:v>
                </c:pt>
                <c:pt idx="1046">
                  <c:v>28.1</c:v>
                </c:pt>
                <c:pt idx="1047">
                  <c:v>27.35</c:v>
                </c:pt>
                <c:pt idx="1048">
                  <c:v>26.6</c:v>
                </c:pt>
                <c:pt idx="1049">
                  <c:v>25.95</c:v>
                </c:pt>
                <c:pt idx="1050">
                  <c:v>25.3</c:v>
                </c:pt>
                <c:pt idx="1051">
                  <c:v>24.65</c:v>
                </c:pt>
                <c:pt idx="1052">
                  <c:v>24</c:v>
                </c:pt>
                <c:pt idx="1053">
                  <c:v>22.2</c:v>
                </c:pt>
                <c:pt idx="1054">
                  <c:v>20.399999999999999</c:v>
                </c:pt>
                <c:pt idx="1055">
                  <c:v>19.649999999999999</c:v>
                </c:pt>
                <c:pt idx="1056">
                  <c:v>18.899999999999999</c:v>
                </c:pt>
                <c:pt idx="1057">
                  <c:v>16.850000000000001</c:v>
                </c:pt>
                <c:pt idx="1058">
                  <c:v>14.8</c:v>
                </c:pt>
                <c:pt idx="1059">
                  <c:v>14.35</c:v>
                </c:pt>
                <c:pt idx="1060">
                  <c:v>13.9</c:v>
                </c:pt>
                <c:pt idx="1061">
                  <c:v>13.3</c:v>
                </c:pt>
                <c:pt idx="1062">
                  <c:v>12.7</c:v>
                </c:pt>
                <c:pt idx="1063">
                  <c:v>11.75</c:v>
                </c:pt>
                <c:pt idx="1064">
                  <c:v>10.8</c:v>
                </c:pt>
                <c:pt idx="1065">
                  <c:v>10.1</c:v>
                </c:pt>
                <c:pt idx="1066">
                  <c:v>9.4</c:v>
                </c:pt>
                <c:pt idx="1067">
                  <c:v>9.5500000000000007</c:v>
                </c:pt>
                <c:pt idx="1068">
                  <c:v>9.6999999999999993</c:v>
                </c:pt>
                <c:pt idx="1069">
                  <c:v>8.9</c:v>
                </c:pt>
                <c:pt idx="1070">
                  <c:v>8.1</c:v>
                </c:pt>
                <c:pt idx="1071">
                  <c:v>7.85</c:v>
                </c:pt>
                <c:pt idx="1072">
                  <c:v>7.6</c:v>
                </c:pt>
                <c:pt idx="1073">
                  <c:v>7</c:v>
                </c:pt>
                <c:pt idx="1074">
                  <c:v>6.4</c:v>
                </c:pt>
                <c:pt idx="1075">
                  <c:v>6.35</c:v>
                </c:pt>
                <c:pt idx="1076">
                  <c:v>6.3</c:v>
                </c:pt>
                <c:pt idx="1077">
                  <c:v>5.9</c:v>
                </c:pt>
                <c:pt idx="1078">
                  <c:v>5.5</c:v>
                </c:pt>
                <c:pt idx="1079">
                  <c:v>4.75</c:v>
                </c:pt>
                <c:pt idx="1080">
                  <c:v>4</c:v>
                </c:pt>
                <c:pt idx="1081">
                  <c:v>3.9</c:v>
                </c:pt>
                <c:pt idx="1082">
                  <c:v>3.8</c:v>
                </c:pt>
                <c:pt idx="1083">
                  <c:v>3.8</c:v>
                </c:pt>
                <c:pt idx="1084">
                  <c:v>3.8</c:v>
                </c:pt>
                <c:pt idx="1085">
                  <c:v>2.5499999999999998</c:v>
                </c:pt>
                <c:pt idx="1086">
                  <c:v>1.3</c:v>
                </c:pt>
                <c:pt idx="1087">
                  <c:v>1.3</c:v>
                </c:pt>
                <c:pt idx="1088">
                  <c:v>1.3</c:v>
                </c:pt>
                <c:pt idx="1089">
                  <c:v>1.3</c:v>
                </c:pt>
                <c:pt idx="1090">
                  <c:v>1.3</c:v>
                </c:pt>
                <c:pt idx="1091">
                  <c:v>1.3</c:v>
                </c:pt>
                <c:pt idx="1092">
                  <c:v>1.3</c:v>
                </c:pt>
                <c:pt idx="1093">
                  <c:v>1.9</c:v>
                </c:pt>
                <c:pt idx="1094">
                  <c:v>2.5</c:v>
                </c:pt>
                <c:pt idx="1095">
                  <c:v>1.9</c:v>
                </c:pt>
                <c:pt idx="1096">
                  <c:v>1.3</c:v>
                </c:pt>
                <c:pt idx="1097">
                  <c:v>0.65</c:v>
                </c:pt>
                <c:pt idx="1098">
                  <c:v>0</c:v>
                </c:pt>
                <c:pt idx="1099">
                  <c:v>1.25</c:v>
                </c:pt>
                <c:pt idx="1100">
                  <c:v>2.5</c:v>
                </c:pt>
                <c:pt idx="1101">
                  <c:v>2.5</c:v>
                </c:pt>
                <c:pt idx="1102">
                  <c:v>2.5</c:v>
                </c:pt>
                <c:pt idx="1103">
                  <c:v>2.5499999999999998</c:v>
                </c:pt>
                <c:pt idx="1104">
                  <c:v>2.6</c:v>
                </c:pt>
                <c:pt idx="1105">
                  <c:v>2.5499999999999998</c:v>
                </c:pt>
                <c:pt idx="1106">
                  <c:v>2.5</c:v>
                </c:pt>
                <c:pt idx="1107">
                  <c:v>2.5</c:v>
                </c:pt>
                <c:pt idx="1108">
                  <c:v>2.5</c:v>
                </c:pt>
                <c:pt idx="1109">
                  <c:v>2.5</c:v>
                </c:pt>
                <c:pt idx="1110">
                  <c:v>2.5</c:v>
                </c:pt>
                <c:pt idx="1111">
                  <c:v>2.5499999999999998</c:v>
                </c:pt>
                <c:pt idx="1112">
                  <c:v>2.6</c:v>
                </c:pt>
                <c:pt idx="1113">
                  <c:v>2</c:v>
                </c:pt>
                <c:pt idx="1114">
                  <c:v>1.4</c:v>
                </c:pt>
                <c:pt idx="1115">
                  <c:v>1.4</c:v>
                </c:pt>
                <c:pt idx="1116">
                  <c:v>1.4</c:v>
                </c:pt>
                <c:pt idx="1117">
                  <c:v>1.4</c:v>
                </c:pt>
                <c:pt idx="1118">
                  <c:v>1.4</c:v>
                </c:pt>
                <c:pt idx="1119">
                  <c:v>1.35</c:v>
                </c:pt>
                <c:pt idx="1120">
                  <c:v>1.3</c:v>
                </c:pt>
                <c:pt idx="1121">
                  <c:v>1.3</c:v>
                </c:pt>
                <c:pt idx="1122">
                  <c:v>1.3</c:v>
                </c:pt>
                <c:pt idx="1123">
                  <c:v>1.3</c:v>
                </c:pt>
                <c:pt idx="1124">
                  <c:v>1.3</c:v>
                </c:pt>
                <c:pt idx="1125">
                  <c:v>0.65</c:v>
                </c:pt>
                <c:pt idx="1126">
                  <c:v>0</c:v>
                </c:pt>
                <c:pt idx="1127">
                  <c:v>0.65</c:v>
                </c:pt>
                <c:pt idx="1128">
                  <c:v>1.3</c:v>
                </c:pt>
                <c:pt idx="1129">
                  <c:v>1.3</c:v>
                </c:pt>
                <c:pt idx="1130">
                  <c:v>1.3</c:v>
                </c:pt>
                <c:pt idx="1131">
                  <c:v>1.3</c:v>
                </c:pt>
                <c:pt idx="1132">
                  <c:v>1.3</c:v>
                </c:pt>
                <c:pt idx="1133">
                  <c:v>1.3</c:v>
                </c:pt>
                <c:pt idx="1134">
                  <c:v>1.3</c:v>
                </c:pt>
                <c:pt idx="1135">
                  <c:v>1.35</c:v>
                </c:pt>
                <c:pt idx="1136">
                  <c:v>1.4</c:v>
                </c:pt>
                <c:pt idx="1137">
                  <c:v>2</c:v>
                </c:pt>
                <c:pt idx="1138">
                  <c:v>2.6</c:v>
                </c:pt>
                <c:pt idx="1139">
                  <c:v>3.2</c:v>
                </c:pt>
                <c:pt idx="1140">
                  <c:v>3.8</c:v>
                </c:pt>
                <c:pt idx="1141">
                  <c:v>3.8</c:v>
                </c:pt>
                <c:pt idx="1142">
                  <c:v>3.8</c:v>
                </c:pt>
                <c:pt idx="1143">
                  <c:v>3.8</c:v>
                </c:pt>
                <c:pt idx="1144">
                  <c:v>3.8</c:v>
                </c:pt>
                <c:pt idx="1145">
                  <c:v>3.9</c:v>
                </c:pt>
                <c:pt idx="1146">
                  <c:v>4</c:v>
                </c:pt>
                <c:pt idx="1147">
                  <c:v>3.25</c:v>
                </c:pt>
                <c:pt idx="1148">
                  <c:v>2.5</c:v>
                </c:pt>
                <c:pt idx="1149">
                  <c:v>1.9</c:v>
                </c:pt>
                <c:pt idx="1150">
                  <c:v>1.3</c:v>
                </c:pt>
                <c:pt idx="1151">
                  <c:v>0.65</c:v>
                </c:pt>
                <c:pt idx="1152">
                  <c:v>0</c:v>
                </c:pt>
                <c:pt idx="1153">
                  <c:v>1.25</c:v>
                </c:pt>
                <c:pt idx="1154">
                  <c:v>2.5</c:v>
                </c:pt>
                <c:pt idx="1155">
                  <c:v>1.9</c:v>
                </c:pt>
                <c:pt idx="1156">
                  <c:v>1.3</c:v>
                </c:pt>
                <c:pt idx="1157">
                  <c:v>1.3</c:v>
                </c:pt>
                <c:pt idx="1158">
                  <c:v>1.3</c:v>
                </c:pt>
                <c:pt idx="1159">
                  <c:v>1.95</c:v>
                </c:pt>
                <c:pt idx="1160">
                  <c:v>2.6</c:v>
                </c:pt>
                <c:pt idx="1161">
                  <c:v>1.95</c:v>
                </c:pt>
                <c:pt idx="1162">
                  <c:v>1.3</c:v>
                </c:pt>
                <c:pt idx="1163">
                  <c:v>1.9</c:v>
                </c:pt>
                <c:pt idx="1164">
                  <c:v>2.5</c:v>
                </c:pt>
                <c:pt idx="1165">
                  <c:v>1.9</c:v>
                </c:pt>
                <c:pt idx="1166">
                  <c:v>1.3</c:v>
                </c:pt>
                <c:pt idx="1167">
                  <c:v>1.3</c:v>
                </c:pt>
                <c:pt idx="1168">
                  <c:v>1.3</c:v>
                </c:pt>
                <c:pt idx="1169">
                  <c:v>1.95</c:v>
                </c:pt>
                <c:pt idx="1170">
                  <c:v>2.6</c:v>
                </c:pt>
                <c:pt idx="1171">
                  <c:v>1.95</c:v>
                </c:pt>
                <c:pt idx="1172">
                  <c:v>1.3</c:v>
                </c:pt>
                <c:pt idx="1173">
                  <c:v>1.9</c:v>
                </c:pt>
                <c:pt idx="1174">
                  <c:v>2.5</c:v>
                </c:pt>
                <c:pt idx="1175">
                  <c:v>1.9</c:v>
                </c:pt>
                <c:pt idx="1176">
                  <c:v>1.3</c:v>
                </c:pt>
                <c:pt idx="1177">
                  <c:v>1.95</c:v>
                </c:pt>
                <c:pt idx="1178">
                  <c:v>2.6</c:v>
                </c:pt>
                <c:pt idx="1179">
                  <c:v>1.95</c:v>
                </c:pt>
                <c:pt idx="1180">
                  <c:v>1.3</c:v>
                </c:pt>
                <c:pt idx="1181">
                  <c:v>1.3</c:v>
                </c:pt>
                <c:pt idx="1182">
                  <c:v>1.3</c:v>
                </c:pt>
                <c:pt idx="1183">
                  <c:v>1.9</c:v>
                </c:pt>
                <c:pt idx="1184">
                  <c:v>2.5</c:v>
                </c:pt>
                <c:pt idx="1185">
                  <c:v>1.25</c:v>
                </c:pt>
                <c:pt idx="1186">
                  <c:v>0</c:v>
                </c:pt>
                <c:pt idx="1187">
                  <c:v>0.65</c:v>
                </c:pt>
                <c:pt idx="1188">
                  <c:v>1.3</c:v>
                </c:pt>
                <c:pt idx="1189">
                  <c:v>1.35</c:v>
                </c:pt>
                <c:pt idx="1190">
                  <c:v>1.4</c:v>
                </c:pt>
                <c:pt idx="1191">
                  <c:v>1.95</c:v>
                </c:pt>
                <c:pt idx="1192">
                  <c:v>2.5</c:v>
                </c:pt>
                <c:pt idx="1193">
                  <c:v>1.9</c:v>
                </c:pt>
                <c:pt idx="1194">
                  <c:v>1.3</c:v>
                </c:pt>
                <c:pt idx="1195">
                  <c:v>1.3</c:v>
                </c:pt>
                <c:pt idx="1196">
                  <c:v>1.3</c:v>
                </c:pt>
                <c:pt idx="1197">
                  <c:v>1.3</c:v>
                </c:pt>
                <c:pt idx="1198">
                  <c:v>1.3</c:v>
                </c:pt>
                <c:pt idx="1199">
                  <c:v>1.9</c:v>
                </c:pt>
                <c:pt idx="1200">
                  <c:v>2.5</c:v>
                </c:pt>
                <c:pt idx="1201">
                  <c:v>1.9</c:v>
                </c:pt>
                <c:pt idx="1202">
                  <c:v>1.3</c:v>
                </c:pt>
                <c:pt idx="1203">
                  <c:v>1.3</c:v>
                </c:pt>
                <c:pt idx="1204">
                  <c:v>1.3</c:v>
                </c:pt>
                <c:pt idx="1205">
                  <c:v>1.3</c:v>
                </c:pt>
                <c:pt idx="1206">
                  <c:v>1.3</c:v>
                </c:pt>
                <c:pt idx="1207">
                  <c:v>1.3</c:v>
                </c:pt>
                <c:pt idx="1208">
                  <c:v>1.3</c:v>
                </c:pt>
                <c:pt idx="1209">
                  <c:v>0.65</c:v>
                </c:pt>
                <c:pt idx="1210">
                  <c:v>0</c:v>
                </c:pt>
                <c:pt idx="1211">
                  <c:v>0.65</c:v>
                </c:pt>
                <c:pt idx="1212">
                  <c:v>1.3</c:v>
                </c:pt>
                <c:pt idx="1213">
                  <c:v>1.3</c:v>
                </c:pt>
                <c:pt idx="1214">
                  <c:v>1.3</c:v>
                </c:pt>
                <c:pt idx="1215">
                  <c:v>1.35</c:v>
                </c:pt>
                <c:pt idx="1216">
                  <c:v>1.4</c:v>
                </c:pt>
                <c:pt idx="1217">
                  <c:v>1.35</c:v>
                </c:pt>
                <c:pt idx="1218">
                  <c:v>1.3</c:v>
                </c:pt>
                <c:pt idx="1219">
                  <c:v>1.3</c:v>
                </c:pt>
                <c:pt idx="1220">
                  <c:v>1.3</c:v>
                </c:pt>
                <c:pt idx="1221">
                  <c:v>1.9</c:v>
                </c:pt>
                <c:pt idx="1222">
                  <c:v>2.5</c:v>
                </c:pt>
                <c:pt idx="1223">
                  <c:v>2.5</c:v>
                </c:pt>
                <c:pt idx="1224">
                  <c:v>2.5</c:v>
                </c:pt>
                <c:pt idx="1225">
                  <c:v>3.15</c:v>
                </c:pt>
                <c:pt idx="1226">
                  <c:v>3.8</c:v>
                </c:pt>
                <c:pt idx="1227">
                  <c:v>3.15</c:v>
                </c:pt>
                <c:pt idx="1228">
                  <c:v>2.5</c:v>
                </c:pt>
                <c:pt idx="1229">
                  <c:v>2.6</c:v>
                </c:pt>
                <c:pt idx="1230">
                  <c:v>2.7</c:v>
                </c:pt>
                <c:pt idx="1231">
                  <c:v>3.25</c:v>
                </c:pt>
                <c:pt idx="1232">
                  <c:v>3.8</c:v>
                </c:pt>
                <c:pt idx="1233">
                  <c:v>2.5499999999999998</c:v>
                </c:pt>
                <c:pt idx="1234">
                  <c:v>1.3</c:v>
                </c:pt>
                <c:pt idx="1235">
                  <c:v>1.3</c:v>
                </c:pt>
                <c:pt idx="1236">
                  <c:v>1.3</c:v>
                </c:pt>
                <c:pt idx="1237">
                  <c:v>1.3</c:v>
                </c:pt>
                <c:pt idx="1238">
                  <c:v>1.3</c:v>
                </c:pt>
                <c:pt idx="1239">
                  <c:v>0.65</c:v>
                </c:pt>
                <c:pt idx="1240">
                  <c:v>0</c:v>
                </c:pt>
                <c:pt idx="1241">
                  <c:v>0.65</c:v>
                </c:pt>
                <c:pt idx="1242">
                  <c:v>1.3</c:v>
                </c:pt>
                <c:pt idx="1243">
                  <c:v>0.65</c:v>
                </c:pt>
                <c:pt idx="1244">
                  <c:v>0</c:v>
                </c:pt>
                <c:pt idx="1245">
                  <c:v>0</c:v>
                </c:pt>
                <c:pt idx="1246">
                  <c:v>0</c:v>
                </c:pt>
                <c:pt idx="1247">
                  <c:v>0</c:v>
                </c:pt>
                <c:pt idx="1248">
                  <c:v>0</c:v>
                </c:pt>
                <c:pt idx="1249">
                  <c:v>0</c:v>
                </c:pt>
                <c:pt idx="1250">
                  <c:v>0</c:v>
                </c:pt>
                <c:pt idx="1251">
                  <c:v>0</c:v>
                </c:pt>
                <c:pt idx="1252">
                  <c:v>0</c:v>
                </c:pt>
                <c:pt idx="1253">
                  <c:v>1.25</c:v>
                </c:pt>
                <c:pt idx="1254">
                  <c:v>2.5</c:v>
                </c:pt>
                <c:pt idx="1255">
                  <c:v>2.5</c:v>
                </c:pt>
                <c:pt idx="1256">
                  <c:v>2.5</c:v>
                </c:pt>
                <c:pt idx="1257">
                  <c:v>3.15</c:v>
                </c:pt>
                <c:pt idx="1258">
                  <c:v>3.8</c:v>
                </c:pt>
                <c:pt idx="1259">
                  <c:v>3.8</c:v>
                </c:pt>
                <c:pt idx="1260">
                  <c:v>3.8</c:v>
                </c:pt>
                <c:pt idx="1261">
                  <c:v>3.8</c:v>
                </c:pt>
                <c:pt idx="1262">
                  <c:v>3.8</c:v>
                </c:pt>
                <c:pt idx="1263">
                  <c:v>3.8</c:v>
                </c:pt>
                <c:pt idx="1264">
                  <c:v>3.8</c:v>
                </c:pt>
                <c:pt idx="1265">
                  <c:v>3.8</c:v>
                </c:pt>
                <c:pt idx="1266">
                  <c:v>3.8</c:v>
                </c:pt>
                <c:pt idx="1267">
                  <c:v>4.45</c:v>
                </c:pt>
                <c:pt idx="1268">
                  <c:v>5.0999999999999996</c:v>
                </c:pt>
                <c:pt idx="1269">
                  <c:v>4.6500000000000004</c:v>
                </c:pt>
                <c:pt idx="1270">
                  <c:v>4.2</c:v>
                </c:pt>
                <c:pt idx="1271">
                  <c:v>4</c:v>
                </c:pt>
                <c:pt idx="1272">
                  <c:v>3.8</c:v>
                </c:pt>
                <c:pt idx="1273">
                  <c:v>3.8</c:v>
                </c:pt>
                <c:pt idx="1274">
                  <c:v>3.8</c:v>
                </c:pt>
                <c:pt idx="1275">
                  <c:v>3.8</c:v>
                </c:pt>
                <c:pt idx="1276">
                  <c:v>3.8</c:v>
                </c:pt>
                <c:pt idx="1277">
                  <c:v>3.2</c:v>
                </c:pt>
                <c:pt idx="1278">
                  <c:v>2.6</c:v>
                </c:pt>
                <c:pt idx="1279">
                  <c:v>2.65</c:v>
                </c:pt>
                <c:pt idx="1280">
                  <c:v>2.7</c:v>
                </c:pt>
                <c:pt idx="1281">
                  <c:v>2</c:v>
                </c:pt>
                <c:pt idx="1282">
                  <c:v>1.3</c:v>
                </c:pt>
                <c:pt idx="1283">
                  <c:v>1.9</c:v>
                </c:pt>
                <c:pt idx="1284">
                  <c:v>2.5</c:v>
                </c:pt>
                <c:pt idx="1285">
                  <c:v>2.5</c:v>
                </c:pt>
                <c:pt idx="1286">
                  <c:v>2.5</c:v>
                </c:pt>
                <c:pt idx="1287">
                  <c:v>1.9</c:v>
                </c:pt>
                <c:pt idx="1288">
                  <c:v>1.3</c:v>
                </c:pt>
                <c:pt idx="1289">
                  <c:v>2.0499999999999998</c:v>
                </c:pt>
                <c:pt idx="1290">
                  <c:v>2.8</c:v>
                </c:pt>
                <c:pt idx="1291">
                  <c:v>2.1</c:v>
                </c:pt>
                <c:pt idx="1292">
                  <c:v>1.4</c:v>
                </c:pt>
                <c:pt idx="1293">
                  <c:v>2.6</c:v>
                </c:pt>
                <c:pt idx="1294">
                  <c:v>3.8</c:v>
                </c:pt>
                <c:pt idx="1295">
                  <c:v>2.5499999999999998</c:v>
                </c:pt>
                <c:pt idx="1296">
                  <c:v>1.3</c:v>
                </c:pt>
                <c:pt idx="1297">
                  <c:v>2.0499999999999998</c:v>
                </c:pt>
                <c:pt idx="1298">
                  <c:v>2.8</c:v>
                </c:pt>
                <c:pt idx="1299">
                  <c:v>2.0499999999999998</c:v>
                </c:pt>
                <c:pt idx="1300">
                  <c:v>1.3</c:v>
                </c:pt>
                <c:pt idx="1301">
                  <c:v>1.9</c:v>
                </c:pt>
                <c:pt idx="1302">
                  <c:v>2.5</c:v>
                </c:pt>
                <c:pt idx="1303">
                  <c:v>1.9</c:v>
                </c:pt>
                <c:pt idx="1304">
                  <c:v>1.3</c:v>
                </c:pt>
                <c:pt idx="1305">
                  <c:v>1.3</c:v>
                </c:pt>
                <c:pt idx="1306">
                  <c:v>1.3</c:v>
                </c:pt>
                <c:pt idx="1307">
                  <c:v>1.3</c:v>
                </c:pt>
                <c:pt idx="1308">
                  <c:v>1.3</c:v>
                </c:pt>
                <c:pt idx="1309">
                  <c:v>1.3</c:v>
                </c:pt>
                <c:pt idx="1310">
                  <c:v>1.3</c:v>
                </c:pt>
                <c:pt idx="1311">
                  <c:v>1.3</c:v>
                </c:pt>
                <c:pt idx="1312">
                  <c:v>1.3</c:v>
                </c:pt>
                <c:pt idx="1313">
                  <c:v>1.9</c:v>
                </c:pt>
                <c:pt idx="1314">
                  <c:v>2.5</c:v>
                </c:pt>
                <c:pt idx="1315">
                  <c:v>2.5</c:v>
                </c:pt>
                <c:pt idx="1316">
                  <c:v>2.5</c:v>
                </c:pt>
                <c:pt idx="1317">
                  <c:v>2.5</c:v>
                </c:pt>
                <c:pt idx="1318">
                  <c:v>2.5</c:v>
                </c:pt>
                <c:pt idx="1319">
                  <c:v>1.9</c:v>
                </c:pt>
                <c:pt idx="1320">
                  <c:v>1.3</c:v>
                </c:pt>
                <c:pt idx="1321">
                  <c:v>2</c:v>
                </c:pt>
                <c:pt idx="1322">
                  <c:v>2.7</c:v>
                </c:pt>
                <c:pt idx="1323">
                  <c:v>2</c:v>
                </c:pt>
                <c:pt idx="1324">
                  <c:v>1.3</c:v>
                </c:pt>
                <c:pt idx="1325">
                  <c:v>0.65</c:v>
                </c:pt>
                <c:pt idx="1326">
                  <c:v>0</c:v>
                </c:pt>
                <c:pt idx="1327">
                  <c:v>0</c:v>
                </c:pt>
                <c:pt idx="1328">
                  <c:v>0</c:v>
                </c:pt>
                <c:pt idx="1329">
                  <c:v>0</c:v>
                </c:pt>
                <c:pt idx="1330">
                  <c:v>0</c:v>
                </c:pt>
                <c:pt idx="1331">
                  <c:v>0.7</c:v>
                </c:pt>
                <c:pt idx="1332">
                  <c:v>1.4</c:v>
                </c:pt>
                <c:pt idx="1333">
                  <c:v>1.35</c:v>
                </c:pt>
                <c:pt idx="1334">
                  <c:v>1.3</c:v>
                </c:pt>
                <c:pt idx="1335">
                  <c:v>1.95</c:v>
                </c:pt>
                <c:pt idx="1336">
                  <c:v>2.6</c:v>
                </c:pt>
                <c:pt idx="1337">
                  <c:v>2</c:v>
                </c:pt>
                <c:pt idx="1338">
                  <c:v>1.4</c:v>
                </c:pt>
                <c:pt idx="1339">
                  <c:v>2</c:v>
                </c:pt>
                <c:pt idx="1340">
                  <c:v>2.6</c:v>
                </c:pt>
                <c:pt idx="1341">
                  <c:v>3.2</c:v>
                </c:pt>
                <c:pt idx="1342">
                  <c:v>3.8</c:v>
                </c:pt>
                <c:pt idx="1343">
                  <c:v>2.5499999999999998</c:v>
                </c:pt>
                <c:pt idx="1344">
                  <c:v>1.3</c:v>
                </c:pt>
                <c:pt idx="1345">
                  <c:v>1.3</c:v>
                </c:pt>
                <c:pt idx="1346">
                  <c:v>1.3</c:v>
                </c:pt>
                <c:pt idx="1347">
                  <c:v>1.3</c:v>
                </c:pt>
                <c:pt idx="1348">
                  <c:v>1.3</c:v>
                </c:pt>
                <c:pt idx="1349">
                  <c:v>1.3</c:v>
                </c:pt>
                <c:pt idx="1350">
                  <c:v>1.3</c:v>
                </c:pt>
                <c:pt idx="1351">
                  <c:v>1.35</c:v>
                </c:pt>
                <c:pt idx="1352">
                  <c:v>1.4</c:v>
                </c:pt>
                <c:pt idx="1353">
                  <c:v>1.35</c:v>
                </c:pt>
                <c:pt idx="1354">
                  <c:v>1.3</c:v>
                </c:pt>
                <c:pt idx="1355">
                  <c:v>1.3</c:v>
                </c:pt>
                <c:pt idx="1356">
                  <c:v>1.3</c:v>
                </c:pt>
                <c:pt idx="1357">
                  <c:v>1.95</c:v>
                </c:pt>
                <c:pt idx="1358">
                  <c:v>2.6</c:v>
                </c:pt>
                <c:pt idx="1359">
                  <c:v>2.5499999999999998</c:v>
                </c:pt>
                <c:pt idx="1360">
                  <c:v>2.5</c:v>
                </c:pt>
                <c:pt idx="1361">
                  <c:v>2.5</c:v>
                </c:pt>
                <c:pt idx="1362">
                  <c:v>2.5</c:v>
                </c:pt>
                <c:pt idx="1363">
                  <c:v>1.9</c:v>
                </c:pt>
                <c:pt idx="1364">
                  <c:v>1.3</c:v>
                </c:pt>
                <c:pt idx="1365">
                  <c:v>0.65</c:v>
                </c:pt>
                <c:pt idx="1366">
                  <c:v>0</c:v>
                </c:pt>
                <c:pt idx="1367">
                  <c:v>0.65</c:v>
                </c:pt>
                <c:pt idx="1368">
                  <c:v>1.3</c:v>
                </c:pt>
                <c:pt idx="1369">
                  <c:v>1.35</c:v>
                </c:pt>
                <c:pt idx="1370">
                  <c:v>1.4</c:v>
                </c:pt>
                <c:pt idx="1371">
                  <c:v>1.35</c:v>
                </c:pt>
                <c:pt idx="1372">
                  <c:v>1.3</c:v>
                </c:pt>
                <c:pt idx="1373">
                  <c:v>1.3</c:v>
                </c:pt>
                <c:pt idx="1374">
                  <c:v>1.3</c:v>
                </c:pt>
                <c:pt idx="1375">
                  <c:v>1.3</c:v>
                </c:pt>
                <c:pt idx="1376">
                  <c:v>1.3</c:v>
                </c:pt>
                <c:pt idx="1377">
                  <c:v>1.3</c:v>
                </c:pt>
                <c:pt idx="1378">
                  <c:v>1.3</c:v>
                </c:pt>
                <c:pt idx="1379">
                  <c:v>0.65</c:v>
                </c:pt>
                <c:pt idx="1380">
                  <c:v>0</c:v>
                </c:pt>
                <c:pt idx="1381">
                  <c:v>0.65</c:v>
                </c:pt>
                <c:pt idx="1382">
                  <c:v>1.3</c:v>
                </c:pt>
                <c:pt idx="1383">
                  <c:v>1.3</c:v>
                </c:pt>
                <c:pt idx="1384">
                  <c:v>1.3</c:v>
                </c:pt>
                <c:pt idx="1385">
                  <c:v>1.9</c:v>
                </c:pt>
                <c:pt idx="1386">
                  <c:v>2.5</c:v>
                </c:pt>
                <c:pt idx="1387">
                  <c:v>1.9</c:v>
                </c:pt>
                <c:pt idx="1388">
                  <c:v>1.3</c:v>
                </c:pt>
                <c:pt idx="1389">
                  <c:v>1.9</c:v>
                </c:pt>
                <c:pt idx="1390">
                  <c:v>2.5</c:v>
                </c:pt>
                <c:pt idx="1391">
                  <c:v>3.15</c:v>
                </c:pt>
                <c:pt idx="1392">
                  <c:v>3.8</c:v>
                </c:pt>
                <c:pt idx="1393">
                  <c:v>2.5499999999999998</c:v>
                </c:pt>
                <c:pt idx="1394">
                  <c:v>1.3</c:v>
                </c:pt>
                <c:pt idx="1395">
                  <c:v>1.9</c:v>
                </c:pt>
                <c:pt idx="1396">
                  <c:v>2.5</c:v>
                </c:pt>
                <c:pt idx="1397">
                  <c:v>2.5</c:v>
                </c:pt>
                <c:pt idx="1398">
                  <c:v>2.5</c:v>
                </c:pt>
                <c:pt idx="1399">
                  <c:v>2.5</c:v>
                </c:pt>
                <c:pt idx="1400">
                  <c:v>2.5</c:v>
                </c:pt>
                <c:pt idx="1401">
                  <c:v>2.5499999999999998</c:v>
                </c:pt>
                <c:pt idx="1402">
                  <c:v>2.6</c:v>
                </c:pt>
                <c:pt idx="1403">
                  <c:v>1.3</c:v>
                </c:pt>
                <c:pt idx="1404">
                  <c:v>0</c:v>
                </c:pt>
                <c:pt idx="1405">
                  <c:v>0.7</c:v>
                </c:pt>
                <c:pt idx="1406">
                  <c:v>1.4</c:v>
                </c:pt>
                <c:pt idx="1407">
                  <c:v>1.35</c:v>
                </c:pt>
                <c:pt idx="1408">
                  <c:v>1.3</c:v>
                </c:pt>
                <c:pt idx="1409">
                  <c:v>1.3</c:v>
                </c:pt>
                <c:pt idx="1410">
                  <c:v>1.3</c:v>
                </c:pt>
                <c:pt idx="1411">
                  <c:v>1.3</c:v>
                </c:pt>
                <c:pt idx="1412">
                  <c:v>1.3</c:v>
                </c:pt>
                <c:pt idx="1413">
                  <c:v>1.3</c:v>
                </c:pt>
                <c:pt idx="1414">
                  <c:v>1.3</c:v>
                </c:pt>
                <c:pt idx="1415">
                  <c:v>0.65</c:v>
                </c:pt>
                <c:pt idx="1416">
                  <c:v>0</c:v>
                </c:pt>
                <c:pt idx="1417">
                  <c:v>0</c:v>
                </c:pt>
                <c:pt idx="1418">
                  <c:v>0</c:v>
                </c:pt>
                <c:pt idx="1419">
                  <c:v>0.65</c:v>
                </c:pt>
                <c:pt idx="1420">
                  <c:v>1.3</c:v>
                </c:pt>
                <c:pt idx="1421">
                  <c:v>0.65</c:v>
                </c:pt>
                <c:pt idx="1422">
                  <c:v>0</c:v>
                </c:pt>
                <c:pt idx="1423">
                  <c:v>0.65</c:v>
                </c:pt>
                <c:pt idx="1424">
                  <c:v>1.3</c:v>
                </c:pt>
                <c:pt idx="1425">
                  <c:v>0.65</c:v>
                </c:pt>
                <c:pt idx="1426">
                  <c:v>0</c:v>
                </c:pt>
                <c:pt idx="1427">
                  <c:v>0.7</c:v>
                </c:pt>
                <c:pt idx="1428">
                  <c:v>1.4</c:v>
                </c:pt>
                <c:pt idx="1429">
                  <c:v>1.35</c:v>
                </c:pt>
                <c:pt idx="1430">
                  <c:v>1.3</c:v>
                </c:pt>
                <c:pt idx="1431">
                  <c:v>1.9</c:v>
                </c:pt>
                <c:pt idx="1432">
                  <c:v>2.5</c:v>
                </c:pt>
                <c:pt idx="1433">
                  <c:v>2.5</c:v>
                </c:pt>
                <c:pt idx="1434">
                  <c:v>2.5</c:v>
                </c:pt>
                <c:pt idx="1435">
                  <c:v>3.15</c:v>
                </c:pt>
                <c:pt idx="1436">
                  <c:v>3.8</c:v>
                </c:pt>
                <c:pt idx="1437">
                  <c:v>3.15</c:v>
                </c:pt>
                <c:pt idx="1438">
                  <c:v>2.5</c:v>
                </c:pt>
                <c:pt idx="1439">
                  <c:v>2.5</c:v>
                </c:pt>
              </c:numCache>
            </c:numRef>
          </c:yVal>
          <c:smooth val="1"/>
          <c:extLst>
            <c:ext xmlns:c16="http://schemas.microsoft.com/office/drawing/2014/chart" uri="{C3380CC4-5D6E-409C-BE32-E72D297353CC}">
              <c16:uniqueId val="{00000001-3F12-415F-8D82-C055D47F70E9}"/>
            </c:ext>
          </c:extLst>
        </c:ser>
        <c:ser>
          <c:idx val="2"/>
          <c:order val="2"/>
          <c:tx>
            <c:strRef>
              <c:f>Sheet1!$D$1</c:f>
              <c:strCache>
                <c:ptCount val="1"/>
                <c:pt idx="0">
                  <c:v>Total iradiance (W/m2)</c:v>
                </c:pt>
              </c:strCache>
            </c:strRef>
          </c:tx>
          <c:spPr>
            <a:ln w="12700" cap="rnd">
              <a:solidFill>
                <a:srgbClr val="FF0000"/>
              </a:solidFill>
              <a:round/>
            </a:ln>
            <a:effectLst/>
          </c:spPr>
          <c:marker>
            <c:symbol val="none"/>
          </c:marker>
          <c:xVal>
            <c:numRef>
              <c:f>Sheet1!$A$2:$A$1441</c:f>
              <c:numCache>
                <c:formatCode>h:mm</c:formatCode>
                <c:ptCount val="1440"/>
                <c:pt idx="0">
                  <c:v>41702</c:v>
                </c:pt>
                <c:pt idx="1">
                  <c:v>41702.000694444447</c:v>
                </c:pt>
                <c:pt idx="2">
                  <c:v>41702.001388888886</c:v>
                </c:pt>
                <c:pt idx="3">
                  <c:v>41702.002083333333</c:v>
                </c:pt>
                <c:pt idx="4">
                  <c:v>41702.00277777778</c:v>
                </c:pt>
                <c:pt idx="5">
                  <c:v>41702.003472222219</c:v>
                </c:pt>
                <c:pt idx="6">
                  <c:v>41702.004166666666</c:v>
                </c:pt>
                <c:pt idx="7">
                  <c:v>41702.004861111112</c:v>
                </c:pt>
                <c:pt idx="8">
                  <c:v>41702.005555555559</c:v>
                </c:pt>
                <c:pt idx="9">
                  <c:v>41702.006249999999</c:v>
                </c:pt>
                <c:pt idx="10">
                  <c:v>41702.006944444445</c:v>
                </c:pt>
                <c:pt idx="11">
                  <c:v>41702.007638888892</c:v>
                </c:pt>
                <c:pt idx="12">
                  <c:v>41702.008333333331</c:v>
                </c:pt>
                <c:pt idx="13">
                  <c:v>41702.009027777778</c:v>
                </c:pt>
                <c:pt idx="14">
                  <c:v>41702.009722222225</c:v>
                </c:pt>
                <c:pt idx="15">
                  <c:v>41702.010416666664</c:v>
                </c:pt>
                <c:pt idx="16">
                  <c:v>41702.011111111111</c:v>
                </c:pt>
                <c:pt idx="17">
                  <c:v>41702.011805555558</c:v>
                </c:pt>
                <c:pt idx="18">
                  <c:v>41702.012499999997</c:v>
                </c:pt>
                <c:pt idx="19">
                  <c:v>41702.013194444444</c:v>
                </c:pt>
                <c:pt idx="20">
                  <c:v>41702.013888888891</c:v>
                </c:pt>
                <c:pt idx="21">
                  <c:v>41702.01458333333</c:v>
                </c:pt>
                <c:pt idx="22">
                  <c:v>41702.015277777777</c:v>
                </c:pt>
                <c:pt idx="23">
                  <c:v>41702.015972222223</c:v>
                </c:pt>
                <c:pt idx="24">
                  <c:v>41702.01666666667</c:v>
                </c:pt>
                <c:pt idx="25">
                  <c:v>41702.017361111109</c:v>
                </c:pt>
                <c:pt idx="26">
                  <c:v>41702.018055555556</c:v>
                </c:pt>
                <c:pt idx="27">
                  <c:v>41702.018750000003</c:v>
                </c:pt>
                <c:pt idx="28">
                  <c:v>41702.019444444442</c:v>
                </c:pt>
                <c:pt idx="29">
                  <c:v>41702.020138888889</c:v>
                </c:pt>
                <c:pt idx="30">
                  <c:v>41702.020833333336</c:v>
                </c:pt>
                <c:pt idx="31">
                  <c:v>41702.021527777775</c:v>
                </c:pt>
                <c:pt idx="32">
                  <c:v>41702.022222222222</c:v>
                </c:pt>
                <c:pt idx="33">
                  <c:v>41702.022916666669</c:v>
                </c:pt>
                <c:pt idx="34">
                  <c:v>41702.023611111108</c:v>
                </c:pt>
                <c:pt idx="35">
                  <c:v>41702.024305555555</c:v>
                </c:pt>
                <c:pt idx="36">
                  <c:v>41702.025000000001</c:v>
                </c:pt>
                <c:pt idx="37">
                  <c:v>41702.025694444441</c:v>
                </c:pt>
                <c:pt idx="38">
                  <c:v>41702.026388888888</c:v>
                </c:pt>
                <c:pt idx="39">
                  <c:v>41702.027083333334</c:v>
                </c:pt>
                <c:pt idx="40">
                  <c:v>41702.027777777781</c:v>
                </c:pt>
                <c:pt idx="41">
                  <c:v>41702.02847222222</c:v>
                </c:pt>
                <c:pt idx="42">
                  <c:v>41702.029166666667</c:v>
                </c:pt>
                <c:pt idx="43">
                  <c:v>41702.029861111114</c:v>
                </c:pt>
                <c:pt idx="44">
                  <c:v>41702.030555555553</c:v>
                </c:pt>
                <c:pt idx="45">
                  <c:v>41702.03125</c:v>
                </c:pt>
                <c:pt idx="46">
                  <c:v>41702.031944444447</c:v>
                </c:pt>
                <c:pt idx="47">
                  <c:v>41702.032638888886</c:v>
                </c:pt>
                <c:pt idx="48">
                  <c:v>41702.033333333333</c:v>
                </c:pt>
                <c:pt idx="49">
                  <c:v>41702.03402777778</c:v>
                </c:pt>
                <c:pt idx="50">
                  <c:v>41702.034722222219</c:v>
                </c:pt>
                <c:pt idx="51">
                  <c:v>41702.035416666666</c:v>
                </c:pt>
                <c:pt idx="52">
                  <c:v>41702.036111111112</c:v>
                </c:pt>
                <c:pt idx="53">
                  <c:v>41702.036805555559</c:v>
                </c:pt>
                <c:pt idx="54">
                  <c:v>41702.037499999999</c:v>
                </c:pt>
                <c:pt idx="55">
                  <c:v>41702.038194444445</c:v>
                </c:pt>
                <c:pt idx="56">
                  <c:v>41702.038888888892</c:v>
                </c:pt>
                <c:pt idx="57">
                  <c:v>41702.039583333331</c:v>
                </c:pt>
                <c:pt idx="58">
                  <c:v>41702.040277777778</c:v>
                </c:pt>
                <c:pt idx="59">
                  <c:v>41702.040972222225</c:v>
                </c:pt>
                <c:pt idx="60">
                  <c:v>41702.041666666664</c:v>
                </c:pt>
                <c:pt idx="61">
                  <c:v>41702.042361111111</c:v>
                </c:pt>
                <c:pt idx="62">
                  <c:v>41702.043055555558</c:v>
                </c:pt>
                <c:pt idx="63">
                  <c:v>41702.043749999997</c:v>
                </c:pt>
                <c:pt idx="64">
                  <c:v>41702.044444444444</c:v>
                </c:pt>
                <c:pt idx="65">
                  <c:v>41702.045138888891</c:v>
                </c:pt>
                <c:pt idx="66">
                  <c:v>41702.04583333333</c:v>
                </c:pt>
                <c:pt idx="67">
                  <c:v>41702.046527777777</c:v>
                </c:pt>
                <c:pt idx="68">
                  <c:v>41702.047222222223</c:v>
                </c:pt>
                <c:pt idx="69">
                  <c:v>41702.04791666667</c:v>
                </c:pt>
                <c:pt idx="70">
                  <c:v>41702.048611111109</c:v>
                </c:pt>
                <c:pt idx="71">
                  <c:v>41702.049305555556</c:v>
                </c:pt>
                <c:pt idx="72">
                  <c:v>41702.050000000003</c:v>
                </c:pt>
                <c:pt idx="73">
                  <c:v>41702.050694444442</c:v>
                </c:pt>
                <c:pt idx="74">
                  <c:v>41702.051388888889</c:v>
                </c:pt>
                <c:pt idx="75">
                  <c:v>41702.052083333336</c:v>
                </c:pt>
                <c:pt idx="76">
                  <c:v>41702.052777777775</c:v>
                </c:pt>
                <c:pt idx="77">
                  <c:v>41702.053472222222</c:v>
                </c:pt>
                <c:pt idx="78">
                  <c:v>41702.054166666669</c:v>
                </c:pt>
                <c:pt idx="79">
                  <c:v>41702.054861111108</c:v>
                </c:pt>
                <c:pt idx="80">
                  <c:v>41702.055555555555</c:v>
                </c:pt>
                <c:pt idx="81">
                  <c:v>41702.056250000001</c:v>
                </c:pt>
                <c:pt idx="82">
                  <c:v>41702.056944444441</c:v>
                </c:pt>
                <c:pt idx="83">
                  <c:v>41702.057638888888</c:v>
                </c:pt>
                <c:pt idx="84">
                  <c:v>41702.058333333334</c:v>
                </c:pt>
                <c:pt idx="85">
                  <c:v>41702.059027777781</c:v>
                </c:pt>
                <c:pt idx="86">
                  <c:v>41702.05972222222</c:v>
                </c:pt>
                <c:pt idx="87">
                  <c:v>41702.060416666667</c:v>
                </c:pt>
                <c:pt idx="88">
                  <c:v>41702.061111111114</c:v>
                </c:pt>
                <c:pt idx="89">
                  <c:v>41702.061805555553</c:v>
                </c:pt>
                <c:pt idx="90">
                  <c:v>41702.0625</c:v>
                </c:pt>
                <c:pt idx="91">
                  <c:v>41702.063194444447</c:v>
                </c:pt>
                <c:pt idx="92">
                  <c:v>41702.063888888886</c:v>
                </c:pt>
                <c:pt idx="93">
                  <c:v>41702.064583333333</c:v>
                </c:pt>
                <c:pt idx="94">
                  <c:v>41702.06527777778</c:v>
                </c:pt>
                <c:pt idx="95">
                  <c:v>41702.065972222219</c:v>
                </c:pt>
                <c:pt idx="96">
                  <c:v>41702.066666666666</c:v>
                </c:pt>
                <c:pt idx="97">
                  <c:v>41702.067361111112</c:v>
                </c:pt>
                <c:pt idx="98">
                  <c:v>41702.068055555559</c:v>
                </c:pt>
                <c:pt idx="99">
                  <c:v>41702.068749999999</c:v>
                </c:pt>
                <c:pt idx="100">
                  <c:v>41702.069444444445</c:v>
                </c:pt>
                <c:pt idx="101">
                  <c:v>41702.070138888892</c:v>
                </c:pt>
                <c:pt idx="102">
                  <c:v>41702.070833333331</c:v>
                </c:pt>
                <c:pt idx="103">
                  <c:v>41702.071527777778</c:v>
                </c:pt>
                <c:pt idx="104">
                  <c:v>41702.072222222225</c:v>
                </c:pt>
                <c:pt idx="105">
                  <c:v>41702.072916666664</c:v>
                </c:pt>
                <c:pt idx="106">
                  <c:v>41702.073611111111</c:v>
                </c:pt>
                <c:pt idx="107">
                  <c:v>41702.074305555558</c:v>
                </c:pt>
                <c:pt idx="108">
                  <c:v>41702.074999999997</c:v>
                </c:pt>
                <c:pt idx="109">
                  <c:v>41702.075694444444</c:v>
                </c:pt>
                <c:pt idx="110">
                  <c:v>41702.076388888891</c:v>
                </c:pt>
                <c:pt idx="111">
                  <c:v>41702.07708333333</c:v>
                </c:pt>
                <c:pt idx="112">
                  <c:v>41702.077777777777</c:v>
                </c:pt>
                <c:pt idx="113">
                  <c:v>41702.078472222223</c:v>
                </c:pt>
                <c:pt idx="114">
                  <c:v>41702.07916666667</c:v>
                </c:pt>
                <c:pt idx="115">
                  <c:v>41702.079861111109</c:v>
                </c:pt>
                <c:pt idx="116">
                  <c:v>41702.080555555556</c:v>
                </c:pt>
                <c:pt idx="117">
                  <c:v>41702.081250000003</c:v>
                </c:pt>
                <c:pt idx="118">
                  <c:v>41702.081944444442</c:v>
                </c:pt>
                <c:pt idx="119">
                  <c:v>41702.082638888889</c:v>
                </c:pt>
                <c:pt idx="120">
                  <c:v>41702.083333333336</c:v>
                </c:pt>
                <c:pt idx="121">
                  <c:v>41702.084027777775</c:v>
                </c:pt>
                <c:pt idx="122">
                  <c:v>41702.084722222222</c:v>
                </c:pt>
                <c:pt idx="123">
                  <c:v>41702.085416666669</c:v>
                </c:pt>
                <c:pt idx="124">
                  <c:v>41702.086111111108</c:v>
                </c:pt>
                <c:pt idx="125">
                  <c:v>41702.086805555555</c:v>
                </c:pt>
                <c:pt idx="126">
                  <c:v>41702.087500000001</c:v>
                </c:pt>
                <c:pt idx="127">
                  <c:v>41702.088194444441</c:v>
                </c:pt>
                <c:pt idx="128">
                  <c:v>41702.088888888888</c:v>
                </c:pt>
                <c:pt idx="129">
                  <c:v>41702.089583333334</c:v>
                </c:pt>
                <c:pt idx="130">
                  <c:v>41702.090277777781</c:v>
                </c:pt>
                <c:pt idx="131">
                  <c:v>41702.09097222222</c:v>
                </c:pt>
                <c:pt idx="132">
                  <c:v>41702.091666666667</c:v>
                </c:pt>
                <c:pt idx="133">
                  <c:v>41702.092361111114</c:v>
                </c:pt>
                <c:pt idx="134">
                  <c:v>41702.093055555553</c:v>
                </c:pt>
                <c:pt idx="135">
                  <c:v>41702.09375</c:v>
                </c:pt>
                <c:pt idx="136">
                  <c:v>41702.094444444447</c:v>
                </c:pt>
                <c:pt idx="137">
                  <c:v>41702.095138888886</c:v>
                </c:pt>
                <c:pt idx="138">
                  <c:v>41702.095833333333</c:v>
                </c:pt>
                <c:pt idx="139">
                  <c:v>41702.09652777778</c:v>
                </c:pt>
                <c:pt idx="140">
                  <c:v>41702.097222222219</c:v>
                </c:pt>
                <c:pt idx="141">
                  <c:v>41702.097916666666</c:v>
                </c:pt>
                <c:pt idx="142">
                  <c:v>41702.098611111112</c:v>
                </c:pt>
                <c:pt idx="143">
                  <c:v>41702.099305555559</c:v>
                </c:pt>
                <c:pt idx="144">
                  <c:v>41702.1</c:v>
                </c:pt>
                <c:pt idx="145">
                  <c:v>41702.100694444445</c:v>
                </c:pt>
                <c:pt idx="146">
                  <c:v>41702.101388888892</c:v>
                </c:pt>
                <c:pt idx="147">
                  <c:v>41702.102083333331</c:v>
                </c:pt>
                <c:pt idx="148">
                  <c:v>41702.102777777778</c:v>
                </c:pt>
                <c:pt idx="149">
                  <c:v>41702.103472222225</c:v>
                </c:pt>
                <c:pt idx="150">
                  <c:v>41702.104166666664</c:v>
                </c:pt>
                <c:pt idx="151">
                  <c:v>41702.104861111111</c:v>
                </c:pt>
                <c:pt idx="152">
                  <c:v>41702.105555555558</c:v>
                </c:pt>
                <c:pt idx="153">
                  <c:v>41702.106249999997</c:v>
                </c:pt>
                <c:pt idx="154">
                  <c:v>41702.106944444444</c:v>
                </c:pt>
                <c:pt idx="155">
                  <c:v>41702.107638888891</c:v>
                </c:pt>
                <c:pt idx="156">
                  <c:v>41702.10833333333</c:v>
                </c:pt>
                <c:pt idx="157">
                  <c:v>41702.109027777777</c:v>
                </c:pt>
                <c:pt idx="158">
                  <c:v>41702.109722222223</c:v>
                </c:pt>
                <c:pt idx="159">
                  <c:v>41702.11041666667</c:v>
                </c:pt>
                <c:pt idx="160">
                  <c:v>41702.111111111109</c:v>
                </c:pt>
                <c:pt idx="161">
                  <c:v>41702.111805555556</c:v>
                </c:pt>
                <c:pt idx="162">
                  <c:v>41702.112500000003</c:v>
                </c:pt>
                <c:pt idx="163">
                  <c:v>41702.113194444442</c:v>
                </c:pt>
                <c:pt idx="164">
                  <c:v>41702.113888888889</c:v>
                </c:pt>
                <c:pt idx="165">
                  <c:v>41702.114583333336</c:v>
                </c:pt>
                <c:pt idx="166">
                  <c:v>41702.115277777775</c:v>
                </c:pt>
                <c:pt idx="167">
                  <c:v>41702.115972222222</c:v>
                </c:pt>
                <c:pt idx="168">
                  <c:v>41702.116666666669</c:v>
                </c:pt>
                <c:pt idx="169">
                  <c:v>41702.117361111108</c:v>
                </c:pt>
                <c:pt idx="170">
                  <c:v>41702.118055555555</c:v>
                </c:pt>
                <c:pt idx="171">
                  <c:v>41702.118750000001</c:v>
                </c:pt>
                <c:pt idx="172">
                  <c:v>41702.119444444441</c:v>
                </c:pt>
                <c:pt idx="173">
                  <c:v>41702.120138888888</c:v>
                </c:pt>
                <c:pt idx="174">
                  <c:v>41702.120833333334</c:v>
                </c:pt>
                <c:pt idx="175">
                  <c:v>41702.121527777781</c:v>
                </c:pt>
                <c:pt idx="176">
                  <c:v>41702.12222222222</c:v>
                </c:pt>
                <c:pt idx="177">
                  <c:v>41702.122916666667</c:v>
                </c:pt>
                <c:pt idx="178">
                  <c:v>41702.123611111114</c:v>
                </c:pt>
                <c:pt idx="179">
                  <c:v>41702.124305555553</c:v>
                </c:pt>
                <c:pt idx="180">
                  <c:v>41702.125</c:v>
                </c:pt>
                <c:pt idx="181">
                  <c:v>41702.125694444447</c:v>
                </c:pt>
                <c:pt idx="182">
                  <c:v>41702.126388888886</c:v>
                </c:pt>
                <c:pt idx="183">
                  <c:v>41702.127083333333</c:v>
                </c:pt>
                <c:pt idx="184">
                  <c:v>41702.12777777778</c:v>
                </c:pt>
                <c:pt idx="185">
                  <c:v>41702.128472222219</c:v>
                </c:pt>
                <c:pt idx="186">
                  <c:v>41702.129166666666</c:v>
                </c:pt>
                <c:pt idx="187">
                  <c:v>41702.129861111112</c:v>
                </c:pt>
                <c:pt idx="188">
                  <c:v>41702.130555555559</c:v>
                </c:pt>
                <c:pt idx="189">
                  <c:v>41702.131249999999</c:v>
                </c:pt>
                <c:pt idx="190">
                  <c:v>41702.131944444445</c:v>
                </c:pt>
                <c:pt idx="191">
                  <c:v>41702.132638888892</c:v>
                </c:pt>
                <c:pt idx="192">
                  <c:v>41702.133333333331</c:v>
                </c:pt>
                <c:pt idx="193">
                  <c:v>41702.134027777778</c:v>
                </c:pt>
                <c:pt idx="194">
                  <c:v>41702.134722222225</c:v>
                </c:pt>
                <c:pt idx="195">
                  <c:v>41702.135416666664</c:v>
                </c:pt>
                <c:pt idx="196">
                  <c:v>41702.136111111111</c:v>
                </c:pt>
                <c:pt idx="197">
                  <c:v>41702.136805555558</c:v>
                </c:pt>
                <c:pt idx="198">
                  <c:v>41702.137499999997</c:v>
                </c:pt>
                <c:pt idx="199">
                  <c:v>41702.138194444444</c:v>
                </c:pt>
                <c:pt idx="200">
                  <c:v>41702.138888888891</c:v>
                </c:pt>
                <c:pt idx="201">
                  <c:v>41702.13958333333</c:v>
                </c:pt>
                <c:pt idx="202">
                  <c:v>41702.140277777777</c:v>
                </c:pt>
                <c:pt idx="203">
                  <c:v>41702.140972222223</c:v>
                </c:pt>
                <c:pt idx="204">
                  <c:v>41702.14166666667</c:v>
                </c:pt>
                <c:pt idx="205">
                  <c:v>41702.142361111109</c:v>
                </c:pt>
                <c:pt idx="206">
                  <c:v>41702.143055555556</c:v>
                </c:pt>
                <c:pt idx="207">
                  <c:v>41702.143750000003</c:v>
                </c:pt>
                <c:pt idx="208">
                  <c:v>41702.144444444442</c:v>
                </c:pt>
                <c:pt idx="209">
                  <c:v>41702.145138888889</c:v>
                </c:pt>
                <c:pt idx="210">
                  <c:v>41702.145833333336</c:v>
                </c:pt>
                <c:pt idx="211">
                  <c:v>41702.146527777775</c:v>
                </c:pt>
                <c:pt idx="212">
                  <c:v>41702.147222222222</c:v>
                </c:pt>
                <c:pt idx="213">
                  <c:v>41702.147916666669</c:v>
                </c:pt>
                <c:pt idx="214">
                  <c:v>41702.148611111108</c:v>
                </c:pt>
                <c:pt idx="215">
                  <c:v>41702.149305555555</c:v>
                </c:pt>
                <c:pt idx="216">
                  <c:v>41702.15</c:v>
                </c:pt>
                <c:pt idx="217">
                  <c:v>41702.150694444441</c:v>
                </c:pt>
                <c:pt idx="218">
                  <c:v>41702.151388888888</c:v>
                </c:pt>
                <c:pt idx="219">
                  <c:v>41702.152083333334</c:v>
                </c:pt>
                <c:pt idx="220">
                  <c:v>41702.152777777781</c:v>
                </c:pt>
                <c:pt idx="221">
                  <c:v>41702.15347222222</c:v>
                </c:pt>
                <c:pt idx="222">
                  <c:v>41702.154166666667</c:v>
                </c:pt>
                <c:pt idx="223">
                  <c:v>41702.154861111114</c:v>
                </c:pt>
                <c:pt idx="224">
                  <c:v>41702.155555555553</c:v>
                </c:pt>
                <c:pt idx="225">
                  <c:v>41702.15625</c:v>
                </c:pt>
                <c:pt idx="226">
                  <c:v>41702.156944444447</c:v>
                </c:pt>
                <c:pt idx="227">
                  <c:v>41702.157638888886</c:v>
                </c:pt>
                <c:pt idx="228">
                  <c:v>41702.158333333333</c:v>
                </c:pt>
                <c:pt idx="229">
                  <c:v>41702.15902777778</c:v>
                </c:pt>
                <c:pt idx="230">
                  <c:v>41702.159722222219</c:v>
                </c:pt>
                <c:pt idx="231">
                  <c:v>41702.160416666666</c:v>
                </c:pt>
                <c:pt idx="232">
                  <c:v>41702.161111111112</c:v>
                </c:pt>
                <c:pt idx="233">
                  <c:v>41702.161805555559</c:v>
                </c:pt>
                <c:pt idx="234">
                  <c:v>41702.162499999999</c:v>
                </c:pt>
                <c:pt idx="235">
                  <c:v>41702.163194444445</c:v>
                </c:pt>
                <c:pt idx="236">
                  <c:v>41702.163888888892</c:v>
                </c:pt>
                <c:pt idx="237">
                  <c:v>41702.164583333331</c:v>
                </c:pt>
                <c:pt idx="238">
                  <c:v>41702.165277777778</c:v>
                </c:pt>
                <c:pt idx="239">
                  <c:v>41702.165972222225</c:v>
                </c:pt>
                <c:pt idx="240">
                  <c:v>41702.166666666664</c:v>
                </c:pt>
                <c:pt idx="241">
                  <c:v>41702.167361111111</c:v>
                </c:pt>
                <c:pt idx="242">
                  <c:v>41702.168055555558</c:v>
                </c:pt>
                <c:pt idx="243">
                  <c:v>41702.168749999997</c:v>
                </c:pt>
                <c:pt idx="244">
                  <c:v>41702.169444444444</c:v>
                </c:pt>
                <c:pt idx="245">
                  <c:v>41702.170138888891</c:v>
                </c:pt>
                <c:pt idx="246">
                  <c:v>41702.17083333333</c:v>
                </c:pt>
                <c:pt idx="247">
                  <c:v>41702.171527777777</c:v>
                </c:pt>
                <c:pt idx="248">
                  <c:v>41702.172222222223</c:v>
                </c:pt>
                <c:pt idx="249">
                  <c:v>41702.17291666667</c:v>
                </c:pt>
                <c:pt idx="250">
                  <c:v>41702.173611111109</c:v>
                </c:pt>
                <c:pt idx="251">
                  <c:v>41702.174305555556</c:v>
                </c:pt>
                <c:pt idx="252">
                  <c:v>41702.175000000003</c:v>
                </c:pt>
                <c:pt idx="253">
                  <c:v>41702.175694444442</c:v>
                </c:pt>
                <c:pt idx="254">
                  <c:v>41702.176388888889</c:v>
                </c:pt>
                <c:pt idx="255">
                  <c:v>41702.177083333336</c:v>
                </c:pt>
                <c:pt idx="256">
                  <c:v>41702.177777777775</c:v>
                </c:pt>
                <c:pt idx="257">
                  <c:v>41702.178472222222</c:v>
                </c:pt>
                <c:pt idx="258">
                  <c:v>41702.179166666669</c:v>
                </c:pt>
                <c:pt idx="259">
                  <c:v>41702.179861111108</c:v>
                </c:pt>
                <c:pt idx="260">
                  <c:v>41702.180555555555</c:v>
                </c:pt>
                <c:pt idx="261">
                  <c:v>41702.181250000001</c:v>
                </c:pt>
                <c:pt idx="262">
                  <c:v>41702.181944444441</c:v>
                </c:pt>
                <c:pt idx="263">
                  <c:v>41702.182638888888</c:v>
                </c:pt>
                <c:pt idx="264">
                  <c:v>41702.183333333334</c:v>
                </c:pt>
                <c:pt idx="265">
                  <c:v>41702.184027777781</c:v>
                </c:pt>
                <c:pt idx="266">
                  <c:v>41702.18472222222</c:v>
                </c:pt>
                <c:pt idx="267">
                  <c:v>41702.185416666667</c:v>
                </c:pt>
                <c:pt idx="268">
                  <c:v>41702.186111111114</c:v>
                </c:pt>
                <c:pt idx="269">
                  <c:v>41702.186805555553</c:v>
                </c:pt>
                <c:pt idx="270">
                  <c:v>41702.1875</c:v>
                </c:pt>
                <c:pt idx="271">
                  <c:v>41702.188194444447</c:v>
                </c:pt>
                <c:pt idx="272">
                  <c:v>41702.188888888886</c:v>
                </c:pt>
                <c:pt idx="273">
                  <c:v>41702.189583333333</c:v>
                </c:pt>
                <c:pt idx="274">
                  <c:v>41702.19027777778</c:v>
                </c:pt>
                <c:pt idx="275">
                  <c:v>41702.190972222219</c:v>
                </c:pt>
                <c:pt idx="276">
                  <c:v>41702.191666666666</c:v>
                </c:pt>
                <c:pt idx="277">
                  <c:v>41702.192361111112</c:v>
                </c:pt>
                <c:pt idx="278">
                  <c:v>41702.193055555559</c:v>
                </c:pt>
                <c:pt idx="279">
                  <c:v>41702.193749999999</c:v>
                </c:pt>
                <c:pt idx="280">
                  <c:v>41702.194444444445</c:v>
                </c:pt>
                <c:pt idx="281">
                  <c:v>41702.195138888892</c:v>
                </c:pt>
                <c:pt idx="282">
                  <c:v>41702.195833333331</c:v>
                </c:pt>
                <c:pt idx="283">
                  <c:v>41702.196527777778</c:v>
                </c:pt>
                <c:pt idx="284">
                  <c:v>41702.197222222225</c:v>
                </c:pt>
                <c:pt idx="285">
                  <c:v>41702.197916666664</c:v>
                </c:pt>
                <c:pt idx="286">
                  <c:v>41702.198611111111</c:v>
                </c:pt>
                <c:pt idx="287">
                  <c:v>41702.199305555558</c:v>
                </c:pt>
                <c:pt idx="288">
                  <c:v>41702.199999999997</c:v>
                </c:pt>
                <c:pt idx="289">
                  <c:v>41702.200694444444</c:v>
                </c:pt>
                <c:pt idx="290">
                  <c:v>41702.201388888891</c:v>
                </c:pt>
                <c:pt idx="291">
                  <c:v>41702.20208333333</c:v>
                </c:pt>
                <c:pt idx="292">
                  <c:v>41702.202777777777</c:v>
                </c:pt>
                <c:pt idx="293">
                  <c:v>41702.203472222223</c:v>
                </c:pt>
                <c:pt idx="294">
                  <c:v>41702.20416666667</c:v>
                </c:pt>
                <c:pt idx="295">
                  <c:v>41702.204861111109</c:v>
                </c:pt>
                <c:pt idx="296">
                  <c:v>41702.205555555556</c:v>
                </c:pt>
                <c:pt idx="297">
                  <c:v>41702.206250000003</c:v>
                </c:pt>
                <c:pt idx="298">
                  <c:v>41702.206944444442</c:v>
                </c:pt>
                <c:pt idx="299">
                  <c:v>41702.207638888889</c:v>
                </c:pt>
                <c:pt idx="300">
                  <c:v>41702.208333333336</c:v>
                </c:pt>
                <c:pt idx="301">
                  <c:v>41702.209027777775</c:v>
                </c:pt>
                <c:pt idx="302">
                  <c:v>41702.209722222222</c:v>
                </c:pt>
                <c:pt idx="303">
                  <c:v>41702.210416666669</c:v>
                </c:pt>
                <c:pt idx="304">
                  <c:v>41702.211111111108</c:v>
                </c:pt>
                <c:pt idx="305">
                  <c:v>41702.211805555555</c:v>
                </c:pt>
                <c:pt idx="306">
                  <c:v>41702.212500000001</c:v>
                </c:pt>
                <c:pt idx="307">
                  <c:v>41702.213194444441</c:v>
                </c:pt>
                <c:pt idx="308">
                  <c:v>41702.213888888888</c:v>
                </c:pt>
                <c:pt idx="309">
                  <c:v>41702.214583333334</c:v>
                </c:pt>
                <c:pt idx="310">
                  <c:v>41702.215277777781</c:v>
                </c:pt>
                <c:pt idx="311">
                  <c:v>41702.21597222222</c:v>
                </c:pt>
                <c:pt idx="312">
                  <c:v>41702.216666666667</c:v>
                </c:pt>
                <c:pt idx="313">
                  <c:v>41702.217361111114</c:v>
                </c:pt>
                <c:pt idx="314">
                  <c:v>41702.218055555553</c:v>
                </c:pt>
                <c:pt idx="315">
                  <c:v>41702.21875</c:v>
                </c:pt>
                <c:pt idx="316">
                  <c:v>41702.219444444447</c:v>
                </c:pt>
                <c:pt idx="317">
                  <c:v>41702.220138888886</c:v>
                </c:pt>
                <c:pt idx="318">
                  <c:v>41702.220833333333</c:v>
                </c:pt>
                <c:pt idx="319">
                  <c:v>41702.22152777778</c:v>
                </c:pt>
                <c:pt idx="320">
                  <c:v>41702.222222222219</c:v>
                </c:pt>
                <c:pt idx="321">
                  <c:v>41702.222916666666</c:v>
                </c:pt>
                <c:pt idx="322">
                  <c:v>41702.223611111112</c:v>
                </c:pt>
                <c:pt idx="323">
                  <c:v>41702.224305555559</c:v>
                </c:pt>
                <c:pt idx="324">
                  <c:v>41702.224999999999</c:v>
                </c:pt>
                <c:pt idx="325">
                  <c:v>41702.225694444445</c:v>
                </c:pt>
                <c:pt idx="326">
                  <c:v>41702.226388888892</c:v>
                </c:pt>
                <c:pt idx="327">
                  <c:v>41702.227083333331</c:v>
                </c:pt>
                <c:pt idx="328">
                  <c:v>41702.227777777778</c:v>
                </c:pt>
                <c:pt idx="329">
                  <c:v>41702.228472222225</c:v>
                </c:pt>
                <c:pt idx="330">
                  <c:v>41702.229166666664</c:v>
                </c:pt>
                <c:pt idx="331">
                  <c:v>41702.229861111111</c:v>
                </c:pt>
                <c:pt idx="332">
                  <c:v>41702.230555555558</c:v>
                </c:pt>
                <c:pt idx="333">
                  <c:v>41702.231249999997</c:v>
                </c:pt>
                <c:pt idx="334">
                  <c:v>41702.231944444444</c:v>
                </c:pt>
                <c:pt idx="335">
                  <c:v>41702.232638888891</c:v>
                </c:pt>
                <c:pt idx="336">
                  <c:v>41702.23333333333</c:v>
                </c:pt>
                <c:pt idx="337">
                  <c:v>41702.234027777777</c:v>
                </c:pt>
                <c:pt idx="338">
                  <c:v>41702.234722222223</c:v>
                </c:pt>
                <c:pt idx="339">
                  <c:v>41702.23541666667</c:v>
                </c:pt>
                <c:pt idx="340">
                  <c:v>41702.236111111109</c:v>
                </c:pt>
                <c:pt idx="341">
                  <c:v>41702.236805555556</c:v>
                </c:pt>
                <c:pt idx="342">
                  <c:v>41702.237500000003</c:v>
                </c:pt>
                <c:pt idx="343">
                  <c:v>41702.238194444442</c:v>
                </c:pt>
                <c:pt idx="344">
                  <c:v>41702.238888888889</c:v>
                </c:pt>
                <c:pt idx="345">
                  <c:v>41702.239583333336</c:v>
                </c:pt>
                <c:pt idx="346">
                  <c:v>41702.240277777775</c:v>
                </c:pt>
                <c:pt idx="347">
                  <c:v>41702.240972222222</c:v>
                </c:pt>
                <c:pt idx="348">
                  <c:v>41702.241666666669</c:v>
                </c:pt>
                <c:pt idx="349">
                  <c:v>41702.242361111108</c:v>
                </c:pt>
                <c:pt idx="350">
                  <c:v>41702.243055555555</c:v>
                </c:pt>
                <c:pt idx="351">
                  <c:v>41702.243750000001</c:v>
                </c:pt>
                <c:pt idx="352">
                  <c:v>41702.244444444441</c:v>
                </c:pt>
                <c:pt idx="353">
                  <c:v>41702.245138888888</c:v>
                </c:pt>
                <c:pt idx="354">
                  <c:v>41702.245833333334</c:v>
                </c:pt>
                <c:pt idx="355">
                  <c:v>41702.246527777781</c:v>
                </c:pt>
                <c:pt idx="356">
                  <c:v>41702.24722222222</c:v>
                </c:pt>
                <c:pt idx="357">
                  <c:v>41702.247916666667</c:v>
                </c:pt>
                <c:pt idx="358">
                  <c:v>41702.248611111114</c:v>
                </c:pt>
                <c:pt idx="359">
                  <c:v>41702.249305555553</c:v>
                </c:pt>
                <c:pt idx="360">
                  <c:v>41702.25</c:v>
                </c:pt>
                <c:pt idx="361">
                  <c:v>41702.250694444447</c:v>
                </c:pt>
                <c:pt idx="362">
                  <c:v>41702.251388888886</c:v>
                </c:pt>
                <c:pt idx="363">
                  <c:v>41702.252083333333</c:v>
                </c:pt>
                <c:pt idx="364">
                  <c:v>41702.25277777778</c:v>
                </c:pt>
                <c:pt idx="365">
                  <c:v>41702.253472222219</c:v>
                </c:pt>
                <c:pt idx="366">
                  <c:v>41702.254166666666</c:v>
                </c:pt>
                <c:pt idx="367">
                  <c:v>41702.254861111112</c:v>
                </c:pt>
                <c:pt idx="368">
                  <c:v>41702.255555555559</c:v>
                </c:pt>
                <c:pt idx="369">
                  <c:v>41702.256249999999</c:v>
                </c:pt>
                <c:pt idx="370">
                  <c:v>41702.256944444445</c:v>
                </c:pt>
                <c:pt idx="371">
                  <c:v>41702.257638888892</c:v>
                </c:pt>
                <c:pt idx="372">
                  <c:v>41702.258333333331</c:v>
                </c:pt>
                <c:pt idx="373">
                  <c:v>41702.259027777778</c:v>
                </c:pt>
                <c:pt idx="374">
                  <c:v>41702.259722222225</c:v>
                </c:pt>
                <c:pt idx="375">
                  <c:v>41702.260416666664</c:v>
                </c:pt>
                <c:pt idx="376">
                  <c:v>41702.261111111111</c:v>
                </c:pt>
                <c:pt idx="377">
                  <c:v>41702.261805555558</c:v>
                </c:pt>
                <c:pt idx="378">
                  <c:v>41702.262499999997</c:v>
                </c:pt>
                <c:pt idx="379">
                  <c:v>41702.263194444444</c:v>
                </c:pt>
                <c:pt idx="380">
                  <c:v>41702.263888888891</c:v>
                </c:pt>
                <c:pt idx="381">
                  <c:v>41702.26458333333</c:v>
                </c:pt>
                <c:pt idx="382">
                  <c:v>41702.265277777777</c:v>
                </c:pt>
                <c:pt idx="383">
                  <c:v>41702.265972222223</c:v>
                </c:pt>
                <c:pt idx="384">
                  <c:v>41702.26666666667</c:v>
                </c:pt>
                <c:pt idx="385">
                  <c:v>41702.267361111109</c:v>
                </c:pt>
                <c:pt idx="386">
                  <c:v>41702.268055555556</c:v>
                </c:pt>
                <c:pt idx="387">
                  <c:v>41702.268750000003</c:v>
                </c:pt>
                <c:pt idx="388">
                  <c:v>41702.269444444442</c:v>
                </c:pt>
                <c:pt idx="389">
                  <c:v>41702.270138888889</c:v>
                </c:pt>
                <c:pt idx="390">
                  <c:v>41702.270833333336</c:v>
                </c:pt>
                <c:pt idx="391">
                  <c:v>41702.271527777775</c:v>
                </c:pt>
                <c:pt idx="392">
                  <c:v>41702.272222222222</c:v>
                </c:pt>
                <c:pt idx="393">
                  <c:v>41702.272916666669</c:v>
                </c:pt>
                <c:pt idx="394">
                  <c:v>41702.273611111108</c:v>
                </c:pt>
                <c:pt idx="395">
                  <c:v>41702.274305555555</c:v>
                </c:pt>
                <c:pt idx="396">
                  <c:v>41702.275000000001</c:v>
                </c:pt>
                <c:pt idx="397">
                  <c:v>41702.275694444441</c:v>
                </c:pt>
                <c:pt idx="398">
                  <c:v>41702.276388888888</c:v>
                </c:pt>
                <c:pt idx="399">
                  <c:v>41702.277083333334</c:v>
                </c:pt>
                <c:pt idx="400">
                  <c:v>41702.277777777781</c:v>
                </c:pt>
                <c:pt idx="401">
                  <c:v>41702.27847222222</c:v>
                </c:pt>
                <c:pt idx="402">
                  <c:v>41702.279166666667</c:v>
                </c:pt>
                <c:pt idx="403">
                  <c:v>41702.279861111114</c:v>
                </c:pt>
                <c:pt idx="404">
                  <c:v>41702.280555555553</c:v>
                </c:pt>
                <c:pt idx="405">
                  <c:v>41702.28125</c:v>
                </c:pt>
                <c:pt idx="406">
                  <c:v>41702.281944444447</c:v>
                </c:pt>
                <c:pt idx="407">
                  <c:v>41702.282638888886</c:v>
                </c:pt>
                <c:pt idx="408">
                  <c:v>41702.283333333333</c:v>
                </c:pt>
                <c:pt idx="409">
                  <c:v>41702.28402777778</c:v>
                </c:pt>
                <c:pt idx="410">
                  <c:v>41702.284722222219</c:v>
                </c:pt>
                <c:pt idx="411">
                  <c:v>41702.285416666666</c:v>
                </c:pt>
                <c:pt idx="412">
                  <c:v>41702.286111111112</c:v>
                </c:pt>
                <c:pt idx="413">
                  <c:v>41702.286805555559</c:v>
                </c:pt>
                <c:pt idx="414">
                  <c:v>41702.287499999999</c:v>
                </c:pt>
                <c:pt idx="415">
                  <c:v>41702.288194444445</c:v>
                </c:pt>
                <c:pt idx="416">
                  <c:v>41702.288888888892</c:v>
                </c:pt>
                <c:pt idx="417">
                  <c:v>41702.289583333331</c:v>
                </c:pt>
                <c:pt idx="418">
                  <c:v>41702.290277777778</c:v>
                </c:pt>
                <c:pt idx="419">
                  <c:v>41702.290972222225</c:v>
                </c:pt>
                <c:pt idx="420">
                  <c:v>41702.291666666664</c:v>
                </c:pt>
                <c:pt idx="421">
                  <c:v>41702.292361111111</c:v>
                </c:pt>
                <c:pt idx="422">
                  <c:v>41702.293055555558</c:v>
                </c:pt>
                <c:pt idx="423">
                  <c:v>41702.293749999997</c:v>
                </c:pt>
                <c:pt idx="424">
                  <c:v>41702.294444444444</c:v>
                </c:pt>
                <c:pt idx="425">
                  <c:v>41702.295138888891</c:v>
                </c:pt>
                <c:pt idx="426">
                  <c:v>41702.29583333333</c:v>
                </c:pt>
                <c:pt idx="427">
                  <c:v>41702.296527777777</c:v>
                </c:pt>
                <c:pt idx="428">
                  <c:v>41702.297222222223</c:v>
                </c:pt>
                <c:pt idx="429">
                  <c:v>41702.29791666667</c:v>
                </c:pt>
                <c:pt idx="430">
                  <c:v>41702.298611111109</c:v>
                </c:pt>
                <c:pt idx="431">
                  <c:v>41702.299305555556</c:v>
                </c:pt>
                <c:pt idx="432">
                  <c:v>41702.300000000003</c:v>
                </c:pt>
                <c:pt idx="433">
                  <c:v>41702.300694444442</c:v>
                </c:pt>
                <c:pt idx="434">
                  <c:v>41702.301388888889</c:v>
                </c:pt>
                <c:pt idx="435">
                  <c:v>41702.302083333336</c:v>
                </c:pt>
                <c:pt idx="436">
                  <c:v>41702.302777777775</c:v>
                </c:pt>
                <c:pt idx="437">
                  <c:v>41702.303472222222</c:v>
                </c:pt>
                <c:pt idx="438">
                  <c:v>41702.304166666669</c:v>
                </c:pt>
                <c:pt idx="439">
                  <c:v>41702.304861111108</c:v>
                </c:pt>
                <c:pt idx="440">
                  <c:v>41702.305555555555</c:v>
                </c:pt>
                <c:pt idx="441">
                  <c:v>41702.306250000001</c:v>
                </c:pt>
                <c:pt idx="442">
                  <c:v>41702.306944444441</c:v>
                </c:pt>
                <c:pt idx="443">
                  <c:v>41702.307638888888</c:v>
                </c:pt>
                <c:pt idx="444">
                  <c:v>41702.308333333334</c:v>
                </c:pt>
                <c:pt idx="445">
                  <c:v>41702.309027777781</c:v>
                </c:pt>
                <c:pt idx="446">
                  <c:v>41702.30972222222</c:v>
                </c:pt>
                <c:pt idx="447">
                  <c:v>41702.310416666667</c:v>
                </c:pt>
                <c:pt idx="448">
                  <c:v>41702.311111111114</c:v>
                </c:pt>
                <c:pt idx="449">
                  <c:v>41702.311805555553</c:v>
                </c:pt>
                <c:pt idx="450">
                  <c:v>41702.3125</c:v>
                </c:pt>
                <c:pt idx="451">
                  <c:v>41702.313194444447</c:v>
                </c:pt>
                <c:pt idx="452">
                  <c:v>41702.313888888886</c:v>
                </c:pt>
                <c:pt idx="453">
                  <c:v>41702.314583333333</c:v>
                </c:pt>
                <c:pt idx="454">
                  <c:v>41702.31527777778</c:v>
                </c:pt>
                <c:pt idx="455">
                  <c:v>41702.315972222219</c:v>
                </c:pt>
                <c:pt idx="456">
                  <c:v>41702.316666666666</c:v>
                </c:pt>
                <c:pt idx="457">
                  <c:v>41702.317361111112</c:v>
                </c:pt>
                <c:pt idx="458">
                  <c:v>41702.318055555559</c:v>
                </c:pt>
                <c:pt idx="459">
                  <c:v>41702.318749999999</c:v>
                </c:pt>
                <c:pt idx="460">
                  <c:v>41702.319444444445</c:v>
                </c:pt>
                <c:pt idx="461">
                  <c:v>41702.320138888892</c:v>
                </c:pt>
                <c:pt idx="462">
                  <c:v>41702.320833333331</c:v>
                </c:pt>
                <c:pt idx="463">
                  <c:v>41702.321527777778</c:v>
                </c:pt>
                <c:pt idx="464">
                  <c:v>41702.322222222225</c:v>
                </c:pt>
                <c:pt idx="465">
                  <c:v>41702.322916666664</c:v>
                </c:pt>
                <c:pt idx="466">
                  <c:v>41702.323611111111</c:v>
                </c:pt>
                <c:pt idx="467">
                  <c:v>41702.324305555558</c:v>
                </c:pt>
                <c:pt idx="468">
                  <c:v>41702.324999999997</c:v>
                </c:pt>
                <c:pt idx="469">
                  <c:v>41702.325694444444</c:v>
                </c:pt>
                <c:pt idx="470">
                  <c:v>41702.326388888891</c:v>
                </c:pt>
                <c:pt idx="471">
                  <c:v>41702.32708333333</c:v>
                </c:pt>
                <c:pt idx="472">
                  <c:v>41702.327777777777</c:v>
                </c:pt>
                <c:pt idx="473">
                  <c:v>41702.328472222223</c:v>
                </c:pt>
                <c:pt idx="474">
                  <c:v>41702.32916666667</c:v>
                </c:pt>
                <c:pt idx="475">
                  <c:v>41702.329861111109</c:v>
                </c:pt>
                <c:pt idx="476">
                  <c:v>41702.330555555556</c:v>
                </c:pt>
                <c:pt idx="477">
                  <c:v>41702.331250000003</c:v>
                </c:pt>
                <c:pt idx="478">
                  <c:v>41702.331944444442</c:v>
                </c:pt>
                <c:pt idx="479">
                  <c:v>41702.332638888889</c:v>
                </c:pt>
                <c:pt idx="480">
                  <c:v>41702.333333333336</c:v>
                </c:pt>
                <c:pt idx="481">
                  <c:v>41702.334027777775</c:v>
                </c:pt>
                <c:pt idx="482">
                  <c:v>41702.334722222222</c:v>
                </c:pt>
                <c:pt idx="483">
                  <c:v>41702.335416666669</c:v>
                </c:pt>
                <c:pt idx="484">
                  <c:v>41702.336111111108</c:v>
                </c:pt>
                <c:pt idx="485">
                  <c:v>41702.336805555555</c:v>
                </c:pt>
                <c:pt idx="486">
                  <c:v>41702.337500000001</c:v>
                </c:pt>
                <c:pt idx="487">
                  <c:v>41702.338194444441</c:v>
                </c:pt>
                <c:pt idx="488">
                  <c:v>41702.338888888888</c:v>
                </c:pt>
                <c:pt idx="489">
                  <c:v>41702.339583333334</c:v>
                </c:pt>
                <c:pt idx="490">
                  <c:v>41702.340277777781</c:v>
                </c:pt>
                <c:pt idx="491">
                  <c:v>41702.34097222222</c:v>
                </c:pt>
                <c:pt idx="492">
                  <c:v>41702.341666666667</c:v>
                </c:pt>
                <c:pt idx="493">
                  <c:v>41702.342361111114</c:v>
                </c:pt>
                <c:pt idx="494">
                  <c:v>41702.343055555553</c:v>
                </c:pt>
                <c:pt idx="495">
                  <c:v>41702.34375</c:v>
                </c:pt>
                <c:pt idx="496">
                  <c:v>41702.344444444447</c:v>
                </c:pt>
                <c:pt idx="497">
                  <c:v>41702.345138888886</c:v>
                </c:pt>
                <c:pt idx="498">
                  <c:v>41702.345833333333</c:v>
                </c:pt>
                <c:pt idx="499">
                  <c:v>41702.34652777778</c:v>
                </c:pt>
                <c:pt idx="500">
                  <c:v>41702.347222222219</c:v>
                </c:pt>
                <c:pt idx="501">
                  <c:v>41702.347916666666</c:v>
                </c:pt>
                <c:pt idx="502">
                  <c:v>41702.348611111112</c:v>
                </c:pt>
                <c:pt idx="503">
                  <c:v>41702.349305555559</c:v>
                </c:pt>
                <c:pt idx="504">
                  <c:v>41702.35</c:v>
                </c:pt>
                <c:pt idx="505">
                  <c:v>41702.350694444445</c:v>
                </c:pt>
                <c:pt idx="506">
                  <c:v>41702.351388888892</c:v>
                </c:pt>
                <c:pt idx="507">
                  <c:v>41702.352083333331</c:v>
                </c:pt>
                <c:pt idx="508">
                  <c:v>41702.352777777778</c:v>
                </c:pt>
                <c:pt idx="509">
                  <c:v>41702.353472222225</c:v>
                </c:pt>
                <c:pt idx="510">
                  <c:v>41702.354166666664</c:v>
                </c:pt>
                <c:pt idx="511">
                  <c:v>41702.354861111111</c:v>
                </c:pt>
                <c:pt idx="512">
                  <c:v>41702.355555555558</c:v>
                </c:pt>
                <c:pt idx="513">
                  <c:v>41702.356249999997</c:v>
                </c:pt>
                <c:pt idx="514">
                  <c:v>41702.356944444444</c:v>
                </c:pt>
                <c:pt idx="515">
                  <c:v>41702.357638888891</c:v>
                </c:pt>
                <c:pt idx="516">
                  <c:v>41702.35833333333</c:v>
                </c:pt>
                <c:pt idx="517">
                  <c:v>41702.359027777777</c:v>
                </c:pt>
                <c:pt idx="518">
                  <c:v>41702.359722222223</c:v>
                </c:pt>
                <c:pt idx="519">
                  <c:v>41702.36041666667</c:v>
                </c:pt>
                <c:pt idx="520">
                  <c:v>41702.361111111109</c:v>
                </c:pt>
                <c:pt idx="521">
                  <c:v>41702.361805555556</c:v>
                </c:pt>
                <c:pt idx="522">
                  <c:v>41702.362500000003</c:v>
                </c:pt>
                <c:pt idx="523">
                  <c:v>41702.363194444442</c:v>
                </c:pt>
                <c:pt idx="524">
                  <c:v>41702.363888888889</c:v>
                </c:pt>
                <c:pt idx="525">
                  <c:v>41702.364583333336</c:v>
                </c:pt>
                <c:pt idx="526">
                  <c:v>41702.365277777775</c:v>
                </c:pt>
                <c:pt idx="527">
                  <c:v>41702.365972222222</c:v>
                </c:pt>
                <c:pt idx="528">
                  <c:v>41702.366666666669</c:v>
                </c:pt>
                <c:pt idx="529">
                  <c:v>41702.367361111108</c:v>
                </c:pt>
                <c:pt idx="530">
                  <c:v>41702.368055555555</c:v>
                </c:pt>
                <c:pt idx="531">
                  <c:v>41702.368750000001</c:v>
                </c:pt>
                <c:pt idx="532">
                  <c:v>41702.369444444441</c:v>
                </c:pt>
                <c:pt idx="533">
                  <c:v>41702.370138888888</c:v>
                </c:pt>
                <c:pt idx="534">
                  <c:v>41702.370833333334</c:v>
                </c:pt>
                <c:pt idx="535">
                  <c:v>41702.371527777781</c:v>
                </c:pt>
                <c:pt idx="536">
                  <c:v>41702.37222222222</c:v>
                </c:pt>
                <c:pt idx="537">
                  <c:v>41702.372916666667</c:v>
                </c:pt>
                <c:pt idx="538">
                  <c:v>41702.373611111114</c:v>
                </c:pt>
                <c:pt idx="539">
                  <c:v>41702.374305555553</c:v>
                </c:pt>
                <c:pt idx="540">
                  <c:v>41702.375</c:v>
                </c:pt>
                <c:pt idx="541">
                  <c:v>41702.375694444447</c:v>
                </c:pt>
                <c:pt idx="542">
                  <c:v>41702.376388888886</c:v>
                </c:pt>
                <c:pt idx="543">
                  <c:v>41702.377083333333</c:v>
                </c:pt>
                <c:pt idx="544">
                  <c:v>41702.37777777778</c:v>
                </c:pt>
                <c:pt idx="545">
                  <c:v>41702.378472222219</c:v>
                </c:pt>
                <c:pt idx="546">
                  <c:v>41702.379166666666</c:v>
                </c:pt>
                <c:pt idx="547">
                  <c:v>41702.379861111112</c:v>
                </c:pt>
                <c:pt idx="548">
                  <c:v>41702.380555555559</c:v>
                </c:pt>
                <c:pt idx="549">
                  <c:v>41702.381249999999</c:v>
                </c:pt>
                <c:pt idx="550">
                  <c:v>41702.381944444445</c:v>
                </c:pt>
                <c:pt idx="551">
                  <c:v>41702.382638888892</c:v>
                </c:pt>
                <c:pt idx="552">
                  <c:v>41702.383333333331</c:v>
                </c:pt>
                <c:pt idx="553">
                  <c:v>41702.384027777778</c:v>
                </c:pt>
                <c:pt idx="554">
                  <c:v>41702.384722222225</c:v>
                </c:pt>
                <c:pt idx="555">
                  <c:v>41702.385416666664</c:v>
                </c:pt>
                <c:pt idx="556">
                  <c:v>41702.386111111111</c:v>
                </c:pt>
                <c:pt idx="557">
                  <c:v>41702.386805555558</c:v>
                </c:pt>
                <c:pt idx="558">
                  <c:v>41702.387499999997</c:v>
                </c:pt>
                <c:pt idx="559">
                  <c:v>41702.388194444444</c:v>
                </c:pt>
                <c:pt idx="560">
                  <c:v>41702.388888888891</c:v>
                </c:pt>
                <c:pt idx="561">
                  <c:v>41702.38958333333</c:v>
                </c:pt>
                <c:pt idx="562">
                  <c:v>41702.390277777777</c:v>
                </c:pt>
                <c:pt idx="563">
                  <c:v>41702.390972222223</c:v>
                </c:pt>
                <c:pt idx="564">
                  <c:v>41702.39166666667</c:v>
                </c:pt>
                <c:pt idx="565">
                  <c:v>41702.392361111109</c:v>
                </c:pt>
                <c:pt idx="566">
                  <c:v>41702.393055555556</c:v>
                </c:pt>
                <c:pt idx="567">
                  <c:v>41702.393750000003</c:v>
                </c:pt>
                <c:pt idx="568">
                  <c:v>41702.394444444442</c:v>
                </c:pt>
                <c:pt idx="569">
                  <c:v>41702.395138888889</c:v>
                </c:pt>
                <c:pt idx="570">
                  <c:v>41702.395833333336</c:v>
                </c:pt>
                <c:pt idx="571">
                  <c:v>41702.396527777775</c:v>
                </c:pt>
                <c:pt idx="572">
                  <c:v>41702.397222222222</c:v>
                </c:pt>
                <c:pt idx="573">
                  <c:v>41702.397916666669</c:v>
                </c:pt>
                <c:pt idx="574">
                  <c:v>41702.398611111108</c:v>
                </c:pt>
                <c:pt idx="575">
                  <c:v>41702.399305555555</c:v>
                </c:pt>
                <c:pt idx="576">
                  <c:v>41702.400000000001</c:v>
                </c:pt>
                <c:pt idx="577">
                  <c:v>41702.400694444441</c:v>
                </c:pt>
                <c:pt idx="578">
                  <c:v>41702.401388888888</c:v>
                </c:pt>
                <c:pt idx="579">
                  <c:v>41702.402083333334</c:v>
                </c:pt>
                <c:pt idx="580">
                  <c:v>41702.402777777781</c:v>
                </c:pt>
                <c:pt idx="581">
                  <c:v>41702.40347222222</c:v>
                </c:pt>
                <c:pt idx="582">
                  <c:v>41702.404166666667</c:v>
                </c:pt>
                <c:pt idx="583">
                  <c:v>41702.404861111114</c:v>
                </c:pt>
                <c:pt idx="584">
                  <c:v>41702.405555555553</c:v>
                </c:pt>
                <c:pt idx="585">
                  <c:v>41702.40625</c:v>
                </c:pt>
                <c:pt idx="586">
                  <c:v>41702.406944444447</c:v>
                </c:pt>
                <c:pt idx="587">
                  <c:v>41702.407638888886</c:v>
                </c:pt>
                <c:pt idx="588">
                  <c:v>41702.408333333333</c:v>
                </c:pt>
                <c:pt idx="589">
                  <c:v>41702.40902777778</c:v>
                </c:pt>
                <c:pt idx="590">
                  <c:v>41702.409722222219</c:v>
                </c:pt>
                <c:pt idx="591">
                  <c:v>41702.410416666666</c:v>
                </c:pt>
                <c:pt idx="592">
                  <c:v>41702.411111111112</c:v>
                </c:pt>
                <c:pt idx="593">
                  <c:v>41702.411805555559</c:v>
                </c:pt>
                <c:pt idx="594">
                  <c:v>41702.412499999999</c:v>
                </c:pt>
                <c:pt idx="595">
                  <c:v>41702.413194444445</c:v>
                </c:pt>
                <c:pt idx="596">
                  <c:v>41702.413888888892</c:v>
                </c:pt>
                <c:pt idx="597">
                  <c:v>41702.414583333331</c:v>
                </c:pt>
                <c:pt idx="598">
                  <c:v>41702.415277777778</c:v>
                </c:pt>
                <c:pt idx="599">
                  <c:v>41702.415972222225</c:v>
                </c:pt>
                <c:pt idx="600">
                  <c:v>41702.416666666664</c:v>
                </c:pt>
                <c:pt idx="601">
                  <c:v>41702.417361111111</c:v>
                </c:pt>
                <c:pt idx="602">
                  <c:v>41702.418055555558</c:v>
                </c:pt>
                <c:pt idx="603">
                  <c:v>41702.418749999997</c:v>
                </c:pt>
                <c:pt idx="604">
                  <c:v>41702.419444444444</c:v>
                </c:pt>
                <c:pt idx="605">
                  <c:v>41702.420138888891</c:v>
                </c:pt>
                <c:pt idx="606">
                  <c:v>41702.42083333333</c:v>
                </c:pt>
                <c:pt idx="607">
                  <c:v>41702.421527777777</c:v>
                </c:pt>
                <c:pt idx="608">
                  <c:v>41702.422222222223</c:v>
                </c:pt>
                <c:pt idx="609">
                  <c:v>41702.42291666667</c:v>
                </c:pt>
                <c:pt idx="610">
                  <c:v>41702.423611111109</c:v>
                </c:pt>
                <c:pt idx="611">
                  <c:v>41702.424305555556</c:v>
                </c:pt>
                <c:pt idx="612">
                  <c:v>41702.425000000003</c:v>
                </c:pt>
                <c:pt idx="613">
                  <c:v>41702.425694444442</c:v>
                </c:pt>
                <c:pt idx="614">
                  <c:v>41702.426388888889</c:v>
                </c:pt>
                <c:pt idx="615">
                  <c:v>41702.427083333336</c:v>
                </c:pt>
                <c:pt idx="616">
                  <c:v>41702.427777777775</c:v>
                </c:pt>
                <c:pt idx="617">
                  <c:v>41702.428472222222</c:v>
                </c:pt>
                <c:pt idx="618">
                  <c:v>41702.429166666669</c:v>
                </c:pt>
                <c:pt idx="619">
                  <c:v>41702.429861111108</c:v>
                </c:pt>
                <c:pt idx="620">
                  <c:v>41702.430555555555</c:v>
                </c:pt>
                <c:pt idx="621">
                  <c:v>41702.431250000001</c:v>
                </c:pt>
                <c:pt idx="622">
                  <c:v>41702.431944444441</c:v>
                </c:pt>
                <c:pt idx="623">
                  <c:v>41702.432638888888</c:v>
                </c:pt>
                <c:pt idx="624">
                  <c:v>41702.433333333334</c:v>
                </c:pt>
                <c:pt idx="625">
                  <c:v>41702.434027777781</c:v>
                </c:pt>
                <c:pt idx="626">
                  <c:v>41702.43472222222</c:v>
                </c:pt>
                <c:pt idx="627">
                  <c:v>41702.435416666667</c:v>
                </c:pt>
                <c:pt idx="628">
                  <c:v>41702.436111111114</c:v>
                </c:pt>
                <c:pt idx="629">
                  <c:v>41702.436805555553</c:v>
                </c:pt>
                <c:pt idx="630">
                  <c:v>41702.4375</c:v>
                </c:pt>
                <c:pt idx="631">
                  <c:v>41702.438194444447</c:v>
                </c:pt>
                <c:pt idx="632">
                  <c:v>41702.438888888886</c:v>
                </c:pt>
                <c:pt idx="633">
                  <c:v>41702.439583333333</c:v>
                </c:pt>
                <c:pt idx="634">
                  <c:v>41702.44027777778</c:v>
                </c:pt>
                <c:pt idx="635">
                  <c:v>41702.440972222219</c:v>
                </c:pt>
                <c:pt idx="636">
                  <c:v>41702.441666666666</c:v>
                </c:pt>
                <c:pt idx="637">
                  <c:v>41702.442361111112</c:v>
                </c:pt>
                <c:pt idx="638">
                  <c:v>41702.443055555559</c:v>
                </c:pt>
                <c:pt idx="639">
                  <c:v>41702.443749999999</c:v>
                </c:pt>
                <c:pt idx="640">
                  <c:v>41702.444444444445</c:v>
                </c:pt>
                <c:pt idx="641">
                  <c:v>41702.445138888892</c:v>
                </c:pt>
                <c:pt idx="642">
                  <c:v>41702.445833333331</c:v>
                </c:pt>
                <c:pt idx="643">
                  <c:v>41702.446527777778</c:v>
                </c:pt>
                <c:pt idx="644">
                  <c:v>41702.447222222225</c:v>
                </c:pt>
                <c:pt idx="645">
                  <c:v>41702.447916666664</c:v>
                </c:pt>
                <c:pt idx="646">
                  <c:v>41702.448611111111</c:v>
                </c:pt>
                <c:pt idx="647">
                  <c:v>41702.449305555558</c:v>
                </c:pt>
                <c:pt idx="648">
                  <c:v>41702.449999999997</c:v>
                </c:pt>
                <c:pt idx="649">
                  <c:v>41702.450694444444</c:v>
                </c:pt>
                <c:pt idx="650">
                  <c:v>41702.451388888891</c:v>
                </c:pt>
                <c:pt idx="651">
                  <c:v>41702.45208333333</c:v>
                </c:pt>
                <c:pt idx="652">
                  <c:v>41702.452777777777</c:v>
                </c:pt>
                <c:pt idx="653">
                  <c:v>41702.453472222223</c:v>
                </c:pt>
                <c:pt idx="654">
                  <c:v>41702.45416666667</c:v>
                </c:pt>
                <c:pt idx="655">
                  <c:v>41702.454861111109</c:v>
                </c:pt>
                <c:pt idx="656">
                  <c:v>41702.455555555556</c:v>
                </c:pt>
                <c:pt idx="657">
                  <c:v>41702.456250000003</c:v>
                </c:pt>
                <c:pt idx="658">
                  <c:v>41702.456944444442</c:v>
                </c:pt>
                <c:pt idx="659">
                  <c:v>41702.457638888889</c:v>
                </c:pt>
                <c:pt idx="660">
                  <c:v>41702.458333333336</c:v>
                </c:pt>
                <c:pt idx="661">
                  <c:v>41702.459027777775</c:v>
                </c:pt>
                <c:pt idx="662">
                  <c:v>41702.459722222222</c:v>
                </c:pt>
                <c:pt idx="663">
                  <c:v>41702.460416666669</c:v>
                </c:pt>
                <c:pt idx="664">
                  <c:v>41702.461111111108</c:v>
                </c:pt>
                <c:pt idx="665">
                  <c:v>41702.461805555555</c:v>
                </c:pt>
                <c:pt idx="666">
                  <c:v>41702.462500000001</c:v>
                </c:pt>
                <c:pt idx="667">
                  <c:v>41702.463194444441</c:v>
                </c:pt>
                <c:pt idx="668">
                  <c:v>41702.463888888888</c:v>
                </c:pt>
                <c:pt idx="669">
                  <c:v>41702.464583333334</c:v>
                </c:pt>
                <c:pt idx="670">
                  <c:v>41702.465277777781</c:v>
                </c:pt>
                <c:pt idx="671">
                  <c:v>41702.46597222222</c:v>
                </c:pt>
                <c:pt idx="672">
                  <c:v>41702.466666666667</c:v>
                </c:pt>
                <c:pt idx="673">
                  <c:v>41702.467361111114</c:v>
                </c:pt>
                <c:pt idx="674">
                  <c:v>41702.468055555553</c:v>
                </c:pt>
                <c:pt idx="675">
                  <c:v>41702.46875</c:v>
                </c:pt>
                <c:pt idx="676">
                  <c:v>41702.469444444447</c:v>
                </c:pt>
                <c:pt idx="677">
                  <c:v>41702.470138888886</c:v>
                </c:pt>
                <c:pt idx="678">
                  <c:v>41702.470833333333</c:v>
                </c:pt>
                <c:pt idx="679">
                  <c:v>41702.47152777778</c:v>
                </c:pt>
                <c:pt idx="680">
                  <c:v>41702.472222222219</c:v>
                </c:pt>
                <c:pt idx="681">
                  <c:v>41702.472916666666</c:v>
                </c:pt>
                <c:pt idx="682">
                  <c:v>41702.473611111112</c:v>
                </c:pt>
                <c:pt idx="683">
                  <c:v>41702.474305555559</c:v>
                </c:pt>
                <c:pt idx="684">
                  <c:v>41702.474999999999</c:v>
                </c:pt>
                <c:pt idx="685">
                  <c:v>41702.475694444445</c:v>
                </c:pt>
                <c:pt idx="686">
                  <c:v>41702.476388888892</c:v>
                </c:pt>
                <c:pt idx="687">
                  <c:v>41702.477083333331</c:v>
                </c:pt>
                <c:pt idx="688">
                  <c:v>41702.477777777778</c:v>
                </c:pt>
                <c:pt idx="689">
                  <c:v>41702.478472222225</c:v>
                </c:pt>
                <c:pt idx="690">
                  <c:v>41702.479166666664</c:v>
                </c:pt>
                <c:pt idx="691">
                  <c:v>41702.479861111111</c:v>
                </c:pt>
                <c:pt idx="692">
                  <c:v>41702.480555555558</c:v>
                </c:pt>
                <c:pt idx="693">
                  <c:v>41702.481249999997</c:v>
                </c:pt>
                <c:pt idx="694">
                  <c:v>41702.481944444444</c:v>
                </c:pt>
                <c:pt idx="695">
                  <c:v>41702.482638888891</c:v>
                </c:pt>
                <c:pt idx="696">
                  <c:v>41702.48333333333</c:v>
                </c:pt>
                <c:pt idx="697">
                  <c:v>41702.484027777777</c:v>
                </c:pt>
                <c:pt idx="698">
                  <c:v>41702.484722222223</c:v>
                </c:pt>
                <c:pt idx="699">
                  <c:v>41702.48541666667</c:v>
                </c:pt>
                <c:pt idx="700">
                  <c:v>41702.486111111109</c:v>
                </c:pt>
                <c:pt idx="701">
                  <c:v>41702.486805555556</c:v>
                </c:pt>
                <c:pt idx="702">
                  <c:v>41702.487500000003</c:v>
                </c:pt>
                <c:pt idx="703">
                  <c:v>41702.488194444442</c:v>
                </c:pt>
                <c:pt idx="704">
                  <c:v>41702.488888888889</c:v>
                </c:pt>
                <c:pt idx="705">
                  <c:v>41702.489583333336</c:v>
                </c:pt>
                <c:pt idx="706">
                  <c:v>41702.490277777775</c:v>
                </c:pt>
                <c:pt idx="707">
                  <c:v>41702.490972222222</c:v>
                </c:pt>
                <c:pt idx="708">
                  <c:v>41702.491666666669</c:v>
                </c:pt>
                <c:pt idx="709">
                  <c:v>41702.492361111108</c:v>
                </c:pt>
                <c:pt idx="710">
                  <c:v>41702.493055555555</c:v>
                </c:pt>
                <c:pt idx="711">
                  <c:v>41702.493750000001</c:v>
                </c:pt>
                <c:pt idx="712">
                  <c:v>41702.494444444441</c:v>
                </c:pt>
                <c:pt idx="713">
                  <c:v>41702.495138888888</c:v>
                </c:pt>
                <c:pt idx="714">
                  <c:v>41702.495833333334</c:v>
                </c:pt>
                <c:pt idx="715">
                  <c:v>41702.496527777781</c:v>
                </c:pt>
                <c:pt idx="716">
                  <c:v>41702.49722222222</c:v>
                </c:pt>
                <c:pt idx="717">
                  <c:v>41702.497916666667</c:v>
                </c:pt>
                <c:pt idx="718">
                  <c:v>41702.498611111114</c:v>
                </c:pt>
                <c:pt idx="719">
                  <c:v>41702.499305555553</c:v>
                </c:pt>
                <c:pt idx="720">
                  <c:v>41702.5</c:v>
                </c:pt>
                <c:pt idx="721">
                  <c:v>41702.500694444447</c:v>
                </c:pt>
                <c:pt idx="722">
                  <c:v>41702.501388888886</c:v>
                </c:pt>
                <c:pt idx="723">
                  <c:v>41702.502083333333</c:v>
                </c:pt>
                <c:pt idx="724">
                  <c:v>41702.50277777778</c:v>
                </c:pt>
                <c:pt idx="725">
                  <c:v>41702.503472222219</c:v>
                </c:pt>
                <c:pt idx="726">
                  <c:v>41702.504166666666</c:v>
                </c:pt>
                <c:pt idx="727">
                  <c:v>41702.504861111112</c:v>
                </c:pt>
                <c:pt idx="728">
                  <c:v>41702.505555555559</c:v>
                </c:pt>
                <c:pt idx="729">
                  <c:v>41702.506249999999</c:v>
                </c:pt>
                <c:pt idx="730">
                  <c:v>41702.506944444445</c:v>
                </c:pt>
                <c:pt idx="731">
                  <c:v>41702.507638888892</c:v>
                </c:pt>
                <c:pt idx="732">
                  <c:v>41702.508333333331</c:v>
                </c:pt>
                <c:pt idx="733">
                  <c:v>41702.509027777778</c:v>
                </c:pt>
                <c:pt idx="734">
                  <c:v>41702.509722222225</c:v>
                </c:pt>
                <c:pt idx="735">
                  <c:v>41702.510416666664</c:v>
                </c:pt>
                <c:pt idx="736">
                  <c:v>41702.511111111111</c:v>
                </c:pt>
                <c:pt idx="737">
                  <c:v>41702.511805555558</c:v>
                </c:pt>
                <c:pt idx="738">
                  <c:v>41702.512499999997</c:v>
                </c:pt>
                <c:pt idx="739">
                  <c:v>41702.513194444444</c:v>
                </c:pt>
                <c:pt idx="740">
                  <c:v>41702.513888888891</c:v>
                </c:pt>
                <c:pt idx="741">
                  <c:v>41702.51458333333</c:v>
                </c:pt>
                <c:pt idx="742">
                  <c:v>41702.515277777777</c:v>
                </c:pt>
                <c:pt idx="743">
                  <c:v>41702.515972222223</c:v>
                </c:pt>
                <c:pt idx="744">
                  <c:v>41702.51666666667</c:v>
                </c:pt>
                <c:pt idx="745">
                  <c:v>41702.517361111109</c:v>
                </c:pt>
                <c:pt idx="746">
                  <c:v>41702.518055555556</c:v>
                </c:pt>
                <c:pt idx="747">
                  <c:v>41702.518750000003</c:v>
                </c:pt>
                <c:pt idx="748">
                  <c:v>41702.519444444442</c:v>
                </c:pt>
                <c:pt idx="749">
                  <c:v>41702.520138888889</c:v>
                </c:pt>
                <c:pt idx="750">
                  <c:v>41702.520833333336</c:v>
                </c:pt>
                <c:pt idx="751">
                  <c:v>41702.521527777775</c:v>
                </c:pt>
                <c:pt idx="752">
                  <c:v>41702.522222222222</c:v>
                </c:pt>
                <c:pt idx="753">
                  <c:v>41702.522916666669</c:v>
                </c:pt>
                <c:pt idx="754">
                  <c:v>41702.523611111108</c:v>
                </c:pt>
                <c:pt idx="755">
                  <c:v>41702.524305555555</c:v>
                </c:pt>
                <c:pt idx="756">
                  <c:v>41702.525000000001</c:v>
                </c:pt>
                <c:pt idx="757">
                  <c:v>41702.525694444441</c:v>
                </c:pt>
                <c:pt idx="758">
                  <c:v>41702.526388888888</c:v>
                </c:pt>
                <c:pt idx="759">
                  <c:v>41702.527083333334</c:v>
                </c:pt>
                <c:pt idx="760">
                  <c:v>41702.527777777781</c:v>
                </c:pt>
                <c:pt idx="761">
                  <c:v>41702.52847222222</c:v>
                </c:pt>
                <c:pt idx="762">
                  <c:v>41702.529166666667</c:v>
                </c:pt>
                <c:pt idx="763">
                  <c:v>41702.529861111114</c:v>
                </c:pt>
                <c:pt idx="764">
                  <c:v>41702.530555555553</c:v>
                </c:pt>
                <c:pt idx="765">
                  <c:v>41702.53125</c:v>
                </c:pt>
                <c:pt idx="766">
                  <c:v>41702.531944444447</c:v>
                </c:pt>
                <c:pt idx="767">
                  <c:v>41702.532638888886</c:v>
                </c:pt>
                <c:pt idx="768">
                  <c:v>41702.533333333333</c:v>
                </c:pt>
                <c:pt idx="769">
                  <c:v>41702.53402777778</c:v>
                </c:pt>
                <c:pt idx="770">
                  <c:v>41702.534722222219</c:v>
                </c:pt>
                <c:pt idx="771">
                  <c:v>41702.535416666666</c:v>
                </c:pt>
                <c:pt idx="772">
                  <c:v>41702.536111111112</c:v>
                </c:pt>
                <c:pt idx="773">
                  <c:v>41702.536805555559</c:v>
                </c:pt>
                <c:pt idx="774">
                  <c:v>41702.537499999999</c:v>
                </c:pt>
                <c:pt idx="775">
                  <c:v>41702.538194444445</c:v>
                </c:pt>
                <c:pt idx="776">
                  <c:v>41702.538888888892</c:v>
                </c:pt>
                <c:pt idx="777">
                  <c:v>41702.539583333331</c:v>
                </c:pt>
                <c:pt idx="778">
                  <c:v>41702.540277777778</c:v>
                </c:pt>
                <c:pt idx="779">
                  <c:v>41702.540972222225</c:v>
                </c:pt>
                <c:pt idx="780">
                  <c:v>41702.541666666664</c:v>
                </c:pt>
                <c:pt idx="781">
                  <c:v>41702.542361111111</c:v>
                </c:pt>
                <c:pt idx="782">
                  <c:v>41702.543055555558</c:v>
                </c:pt>
                <c:pt idx="783">
                  <c:v>41702.543749999997</c:v>
                </c:pt>
                <c:pt idx="784">
                  <c:v>41702.544444444444</c:v>
                </c:pt>
                <c:pt idx="785">
                  <c:v>41702.545138888891</c:v>
                </c:pt>
                <c:pt idx="786">
                  <c:v>41702.54583333333</c:v>
                </c:pt>
                <c:pt idx="787">
                  <c:v>41702.546527777777</c:v>
                </c:pt>
                <c:pt idx="788">
                  <c:v>41702.547222222223</c:v>
                </c:pt>
                <c:pt idx="789">
                  <c:v>41702.54791666667</c:v>
                </c:pt>
                <c:pt idx="790">
                  <c:v>41702.548611111109</c:v>
                </c:pt>
                <c:pt idx="791">
                  <c:v>41702.549305555556</c:v>
                </c:pt>
                <c:pt idx="792">
                  <c:v>41702.550000000003</c:v>
                </c:pt>
                <c:pt idx="793">
                  <c:v>41702.550694444442</c:v>
                </c:pt>
                <c:pt idx="794">
                  <c:v>41702.551388888889</c:v>
                </c:pt>
                <c:pt idx="795">
                  <c:v>41702.552083333336</c:v>
                </c:pt>
                <c:pt idx="796">
                  <c:v>41702.552777777775</c:v>
                </c:pt>
                <c:pt idx="797">
                  <c:v>41702.553472222222</c:v>
                </c:pt>
                <c:pt idx="798">
                  <c:v>41702.554166666669</c:v>
                </c:pt>
                <c:pt idx="799">
                  <c:v>41702.554861111108</c:v>
                </c:pt>
                <c:pt idx="800">
                  <c:v>41702.555555555555</c:v>
                </c:pt>
                <c:pt idx="801">
                  <c:v>41702.556250000001</c:v>
                </c:pt>
                <c:pt idx="802">
                  <c:v>41702.556944444441</c:v>
                </c:pt>
                <c:pt idx="803">
                  <c:v>41702.557638888888</c:v>
                </c:pt>
                <c:pt idx="804">
                  <c:v>41702.558333333334</c:v>
                </c:pt>
                <c:pt idx="805">
                  <c:v>41702.559027777781</c:v>
                </c:pt>
                <c:pt idx="806">
                  <c:v>41702.55972222222</c:v>
                </c:pt>
                <c:pt idx="807">
                  <c:v>41702.560416666667</c:v>
                </c:pt>
                <c:pt idx="808">
                  <c:v>41702.561111111114</c:v>
                </c:pt>
                <c:pt idx="809">
                  <c:v>41702.561805555553</c:v>
                </c:pt>
                <c:pt idx="810">
                  <c:v>41702.5625</c:v>
                </c:pt>
                <c:pt idx="811">
                  <c:v>41702.563194444447</c:v>
                </c:pt>
                <c:pt idx="812">
                  <c:v>41702.563888888886</c:v>
                </c:pt>
                <c:pt idx="813">
                  <c:v>41702.564583333333</c:v>
                </c:pt>
                <c:pt idx="814">
                  <c:v>41702.56527777778</c:v>
                </c:pt>
                <c:pt idx="815">
                  <c:v>41702.565972222219</c:v>
                </c:pt>
                <c:pt idx="816">
                  <c:v>41702.566666666666</c:v>
                </c:pt>
                <c:pt idx="817">
                  <c:v>41702.567361111112</c:v>
                </c:pt>
                <c:pt idx="818">
                  <c:v>41702.568055555559</c:v>
                </c:pt>
                <c:pt idx="819">
                  <c:v>41702.568749999999</c:v>
                </c:pt>
                <c:pt idx="820">
                  <c:v>41702.569444444445</c:v>
                </c:pt>
                <c:pt idx="821">
                  <c:v>41702.570138888892</c:v>
                </c:pt>
                <c:pt idx="822">
                  <c:v>41702.570833333331</c:v>
                </c:pt>
                <c:pt idx="823">
                  <c:v>41702.571527777778</c:v>
                </c:pt>
                <c:pt idx="824">
                  <c:v>41702.572222222225</c:v>
                </c:pt>
                <c:pt idx="825">
                  <c:v>41702.572916666664</c:v>
                </c:pt>
                <c:pt idx="826">
                  <c:v>41702.573611111111</c:v>
                </c:pt>
                <c:pt idx="827">
                  <c:v>41702.574305555558</c:v>
                </c:pt>
                <c:pt idx="828">
                  <c:v>41702.574999999997</c:v>
                </c:pt>
                <c:pt idx="829">
                  <c:v>41702.575694444444</c:v>
                </c:pt>
                <c:pt idx="830">
                  <c:v>41702.576388888891</c:v>
                </c:pt>
                <c:pt idx="831">
                  <c:v>41702.57708333333</c:v>
                </c:pt>
                <c:pt idx="832">
                  <c:v>41702.577777777777</c:v>
                </c:pt>
                <c:pt idx="833">
                  <c:v>41702.578472222223</c:v>
                </c:pt>
                <c:pt idx="834">
                  <c:v>41702.57916666667</c:v>
                </c:pt>
                <c:pt idx="835">
                  <c:v>41702.579861111109</c:v>
                </c:pt>
                <c:pt idx="836">
                  <c:v>41702.580555555556</c:v>
                </c:pt>
                <c:pt idx="837">
                  <c:v>41702.581250000003</c:v>
                </c:pt>
                <c:pt idx="838">
                  <c:v>41702.581944444442</c:v>
                </c:pt>
                <c:pt idx="839">
                  <c:v>41702.582638888889</c:v>
                </c:pt>
                <c:pt idx="840">
                  <c:v>41702.583333333336</c:v>
                </c:pt>
                <c:pt idx="841">
                  <c:v>41702.584027777775</c:v>
                </c:pt>
                <c:pt idx="842">
                  <c:v>41702.584722222222</c:v>
                </c:pt>
                <c:pt idx="843">
                  <c:v>41702.585416666669</c:v>
                </c:pt>
                <c:pt idx="844">
                  <c:v>41702.586111111108</c:v>
                </c:pt>
                <c:pt idx="845">
                  <c:v>41702.586805555555</c:v>
                </c:pt>
                <c:pt idx="846">
                  <c:v>41702.587500000001</c:v>
                </c:pt>
                <c:pt idx="847">
                  <c:v>41702.588194444441</c:v>
                </c:pt>
                <c:pt idx="848">
                  <c:v>41702.588888888888</c:v>
                </c:pt>
                <c:pt idx="849">
                  <c:v>41702.589583333334</c:v>
                </c:pt>
                <c:pt idx="850">
                  <c:v>41702.590277777781</c:v>
                </c:pt>
                <c:pt idx="851">
                  <c:v>41702.59097222222</c:v>
                </c:pt>
                <c:pt idx="852">
                  <c:v>41702.591666666667</c:v>
                </c:pt>
                <c:pt idx="853">
                  <c:v>41702.592361111114</c:v>
                </c:pt>
                <c:pt idx="854">
                  <c:v>41702.593055555553</c:v>
                </c:pt>
                <c:pt idx="855">
                  <c:v>41702.59375</c:v>
                </c:pt>
                <c:pt idx="856">
                  <c:v>41702.594444444447</c:v>
                </c:pt>
                <c:pt idx="857">
                  <c:v>41702.595138888886</c:v>
                </c:pt>
                <c:pt idx="858">
                  <c:v>41702.595833333333</c:v>
                </c:pt>
                <c:pt idx="859">
                  <c:v>41702.59652777778</c:v>
                </c:pt>
                <c:pt idx="860">
                  <c:v>41702.597222222219</c:v>
                </c:pt>
                <c:pt idx="861">
                  <c:v>41702.597916666666</c:v>
                </c:pt>
                <c:pt idx="862">
                  <c:v>41702.598611111112</c:v>
                </c:pt>
                <c:pt idx="863">
                  <c:v>41702.599305555559</c:v>
                </c:pt>
                <c:pt idx="864">
                  <c:v>41702.6</c:v>
                </c:pt>
                <c:pt idx="865">
                  <c:v>41702.600694444445</c:v>
                </c:pt>
                <c:pt idx="866">
                  <c:v>41702.601388888892</c:v>
                </c:pt>
                <c:pt idx="867">
                  <c:v>41702.602083333331</c:v>
                </c:pt>
                <c:pt idx="868">
                  <c:v>41702.602777777778</c:v>
                </c:pt>
                <c:pt idx="869">
                  <c:v>41702.603472222225</c:v>
                </c:pt>
                <c:pt idx="870">
                  <c:v>41702.604166666664</c:v>
                </c:pt>
                <c:pt idx="871">
                  <c:v>41702.604861111111</c:v>
                </c:pt>
                <c:pt idx="872">
                  <c:v>41702.605555555558</c:v>
                </c:pt>
                <c:pt idx="873">
                  <c:v>41702.606249999997</c:v>
                </c:pt>
                <c:pt idx="874">
                  <c:v>41702.606944444444</c:v>
                </c:pt>
                <c:pt idx="875">
                  <c:v>41702.607638888891</c:v>
                </c:pt>
                <c:pt idx="876">
                  <c:v>41702.60833333333</c:v>
                </c:pt>
                <c:pt idx="877">
                  <c:v>41702.609027777777</c:v>
                </c:pt>
                <c:pt idx="878">
                  <c:v>41702.609722222223</c:v>
                </c:pt>
                <c:pt idx="879">
                  <c:v>41702.61041666667</c:v>
                </c:pt>
                <c:pt idx="880">
                  <c:v>41702.611111111109</c:v>
                </c:pt>
                <c:pt idx="881">
                  <c:v>41702.611805555556</c:v>
                </c:pt>
                <c:pt idx="882">
                  <c:v>41702.612500000003</c:v>
                </c:pt>
                <c:pt idx="883">
                  <c:v>41702.613194444442</c:v>
                </c:pt>
                <c:pt idx="884">
                  <c:v>41702.613888888889</c:v>
                </c:pt>
                <c:pt idx="885">
                  <c:v>41702.614583333336</c:v>
                </c:pt>
                <c:pt idx="886">
                  <c:v>41702.615277777775</c:v>
                </c:pt>
                <c:pt idx="887">
                  <c:v>41702.615972222222</c:v>
                </c:pt>
                <c:pt idx="888">
                  <c:v>41702.616666666669</c:v>
                </c:pt>
                <c:pt idx="889">
                  <c:v>41702.617361111108</c:v>
                </c:pt>
                <c:pt idx="890">
                  <c:v>41702.618055555555</c:v>
                </c:pt>
                <c:pt idx="891">
                  <c:v>41702.618750000001</c:v>
                </c:pt>
                <c:pt idx="892">
                  <c:v>41702.619444444441</c:v>
                </c:pt>
                <c:pt idx="893">
                  <c:v>41702.620138888888</c:v>
                </c:pt>
                <c:pt idx="894">
                  <c:v>41702.620833333334</c:v>
                </c:pt>
                <c:pt idx="895">
                  <c:v>41702.621527777781</c:v>
                </c:pt>
                <c:pt idx="896">
                  <c:v>41702.62222222222</c:v>
                </c:pt>
                <c:pt idx="897">
                  <c:v>41702.622916666667</c:v>
                </c:pt>
                <c:pt idx="898">
                  <c:v>41702.623611111114</c:v>
                </c:pt>
                <c:pt idx="899">
                  <c:v>41702.624305555553</c:v>
                </c:pt>
                <c:pt idx="900">
                  <c:v>41702.625</c:v>
                </c:pt>
                <c:pt idx="901">
                  <c:v>41702.625694444447</c:v>
                </c:pt>
                <c:pt idx="902">
                  <c:v>41702.626388888886</c:v>
                </c:pt>
                <c:pt idx="903">
                  <c:v>41702.627083333333</c:v>
                </c:pt>
                <c:pt idx="904">
                  <c:v>41702.62777777778</c:v>
                </c:pt>
                <c:pt idx="905">
                  <c:v>41702.628472222219</c:v>
                </c:pt>
                <c:pt idx="906">
                  <c:v>41702.629166666666</c:v>
                </c:pt>
                <c:pt idx="907">
                  <c:v>41702.629861111112</c:v>
                </c:pt>
                <c:pt idx="908">
                  <c:v>41702.630555555559</c:v>
                </c:pt>
                <c:pt idx="909">
                  <c:v>41702.631249999999</c:v>
                </c:pt>
                <c:pt idx="910">
                  <c:v>41702.631944444445</c:v>
                </c:pt>
                <c:pt idx="911">
                  <c:v>41702.632638888892</c:v>
                </c:pt>
                <c:pt idx="912">
                  <c:v>41702.633333333331</c:v>
                </c:pt>
                <c:pt idx="913">
                  <c:v>41702.634027777778</c:v>
                </c:pt>
                <c:pt idx="914">
                  <c:v>41702.634722222225</c:v>
                </c:pt>
                <c:pt idx="915">
                  <c:v>41702.635416666664</c:v>
                </c:pt>
                <c:pt idx="916">
                  <c:v>41702.636111111111</c:v>
                </c:pt>
                <c:pt idx="917">
                  <c:v>41702.636805555558</c:v>
                </c:pt>
                <c:pt idx="918">
                  <c:v>41702.637499999997</c:v>
                </c:pt>
                <c:pt idx="919">
                  <c:v>41702.638194444444</c:v>
                </c:pt>
                <c:pt idx="920">
                  <c:v>41702.638888888891</c:v>
                </c:pt>
                <c:pt idx="921">
                  <c:v>41702.63958333333</c:v>
                </c:pt>
                <c:pt idx="922">
                  <c:v>41702.640277777777</c:v>
                </c:pt>
                <c:pt idx="923">
                  <c:v>41702.640972222223</c:v>
                </c:pt>
                <c:pt idx="924">
                  <c:v>41702.64166666667</c:v>
                </c:pt>
                <c:pt idx="925">
                  <c:v>41702.642361111109</c:v>
                </c:pt>
                <c:pt idx="926">
                  <c:v>41702.643055555556</c:v>
                </c:pt>
                <c:pt idx="927">
                  <c:v>41702.643750000003</c:v>
                </c:pt>
                <c:pt idx="928">
                  <c:v>41702.644444444442</c:v>
                </c:pt>
                <c:pt idx="929">
                  <c:v>41702.645138888889</c:v>
                </c:pt>
                <c:pt idx="930">
                  <c:v>41702.645833333336</c:v>
                </c:pt>
                <c:pt idx="931">
                  <c:v>41702.646527777775</c:v>
                </c:pt>
                <c:pt idx="932">
                  <c:v>41702.647222222222</c:v>
                </c:pt>
                <c:pt idx="933">
                  <c:v>41702.647916666669</c:v>
                </c:pt>
                <c:pt idx="934">
                  <c:v>41702.648611111108</c:v>
                </c:pt>
                <c:pt idx="935">
                  <c:v>41702.649305555555</c:v>
                </c:pt>
                <c:pt idx="936">
                  <c:v>41702.65</c:v>
                </c:pt>
                <c:pt idx="937">
                  <c:v>41702.650694444441</c:v>
                </c:pt>
                <c:pt idx="938">
                  <c:v>41702.651388888888</c:v>
                </c:pt>
                <c:pt idx="939">
                  <c:v>41702.652083333334</c:v>
                </c:pt>
                <c:pt idx="940">
                  <c:v>41702.652777777781</c:v>
                </c:pt>
                <c:pt idx="941">
                  <c:v>41702.65347222222</c:v>
                </c:pt>
                <c:pt idx="942">
                  <c:v>41702.654166666667</c:v>
                </c:pt>
                <c:pt idx="943">
                  <c:v>41702.654861111114</c:v>
                </c:pt>
                <c:pt idx="944">
                  <c:v>41702.655555555553</c:v>
                </c:pt>
                <c:pt idx="945">
                  <c:v>41702.65625</c:v>
                </c:pt>
                <c:pt idx="946">
                  <c:v>41702.656944444447</c:v>
                </c:pt>
                <c:pt idx="947">
                  <c:v>41702.657638888886</c:v>
                </c:pt>
                <c:pt idx="948">
                  <c:v>41702.658333333333</c:v>
                </c:pt>
                <c:pt idx="949">
                  <c:v>41702.65902777778</c:v>
                </c:pt>
                <c:pt idx="950">
                  <c:v>41702.659722222219</c:v>
                </c:pt>
                <c:pt idx="951">
                  <c:v>41702.660416666666</c:v>
                </c:pt>
                <c:pt idx="952">
                  <c:v>41702.661111111112</c:v>
                </c:pt>
                <c:pt idx="953">
                  <c:v>41702.661805555559</c:v>
                </c:pt>
                <c:pt idx="954">
                  <c:v>41702.662499999999</c:v>
                </c:pt>
                <c:pt idx="955">
                  <c:v>41702.663194444445</c:v>
                </c:pt>
                <c:pt idx="956">
                  <c:v>41702.663888888892</c:v>
                </c:pt>
                <c:pt idx="957">
                  <c:v>41702.664583333331</c:v>
                </c:pt>
                <c:pt idx="958">
                  <c:v>41702.665277777778</c:v>
                </c:pt>
                <c:pt idx="959">
                  <c:v>41702.665972222225</c:v>
                </c:pt>
                <c:pt idx="960">
                  <c:v>41702.666666666664</c:v>
                </c:pt>
                <c:pt idx="961">
                  <c:v>41702.667361111111</c:v>
                </c:pt>
                <c:pt idx="962">
                  <c:v>41702.668055555558</c:v>
                </c:pt>
                <c:pt idx="963">
                  <c:v>41702.668749999997</c:v>
                </c:pt>
                <c:pt idx="964">
                  <c:v>41702.669444444444</c:v>
                </c:pt>
                <c:pt idx="965">
                  <c:v>41702.670138888891</c:v>
                </c:pt>
                <c:pt idx="966">
                  <c:v>41702.67083333333</c:v>
                </c:pt>
                <c:pt idx="967">
                  <c:v>41702.671527777777</c:v>
                </c:pt>
                <c:pt idx="968">
                  <c:v>41702.672222222223</c:v>
                </c:pt>
                <c:pt idx="969">
                  <c:v>41702.67291666667</c:v>
                </c:pt>
                <c:pt idx="970">
                  <c:v>41702.673611111109</c:v>
                </c:pt>
                <c:pt idx="971">
                  <c:v>41702.674305555556</c:v>
                </c:pt>
                <c:pt idx="972">
                  <c:v>41702.675000000003</c:v>
                </c:pt>
                <c:pt idx="973">
                  <c:v>41702.675694444442</c:v>
                </c:pt>
                <c:pt idx="974">
                  <c:v>41702.676388888889</c:v>
                </c:pt>
                <c:pt idx="975">
                  <c:v>41702.677083333336</c:v>
                </c:pt>
                <c:pt idx="976">
                  <c:v>41702.677777777775</c:v>
                </c:pt>
                <c:pt idx="977">
                  <c:v>41702.678472222222</c:v>
                </c:pt>
                <c:pt idx="978">
                  <c:v>41702.679166666669</c:v>
                </c:pt>
                <c:pt idx="979">
                  <c:v>41702.679861111108</c:v>
                </c:pt>
                <c:pt idx="980">
                  <c:v>41702.680555555555</c:v>
                </c:pt>
                <c:pt idx="981">
                  <c:v>41702.681250000001</c:v>
                </c:pt>
                <c:pt idx="982">
                  <c:v>41702.681944444441</c:v>
                </c:pt>
                <c:pt idx="983">
                  <c:v>41702.682638888888</c:v>
                </c:pt>
                <c:pt idx="984">
                  <c:v>41702.683333333334</c:v>
                </c:pt>
                <c:pt idx="985">
                  <c:v>41702.684027777781</c:v>
                </c:pt>
                <c:pt idx="986">
                  <c:v>41702.68472222222</c:v>
                </c:pt>
                <c:pt idx="987">
                  <c:v>41702.685416666667</c:v>
                </c:pt>
                <c:pt idx="988">
                  <c:v>41702.686111111114</c:v>
                </c:pt>
                <c:pt idx="989">
                  <c:v>41702.686805555553</c:v>
                </c:pt>
                <c:pt idx="990">
                  <c:v>41702.6875</c:v>
                </c:pt>
                <c:pt idx="991">
                  <c:v>41702.688194444447</c:v>
                </c:pt>
                <c:pt idx="992">
                  <c:v>41702.688888888886</c:v>
                </c:pt>
                <c:pt idx="993">
                  <c:v>41702.689583333333</c:v>
                </c:pt>
                <c:pt idx="994">
                  <c:v>41702.69027777778</c:v>
                </c:pt>
                <c:pt idx="995">
                  <c:v>41702.690972222219</c:v>
                </c:pt>
                <c:pt idx="996">
                  <c:v>41702.691666666666</c:v>
                </c:pt>
                <c:pt idx="997">
                  <c:v>41702.692361111112</c:v>
                </c:pt>
                <c:pt idx="998">
                  <c:v>41702.693055555559</c:v>
                </c:pt>
                <c:pt idx="999">
                  <c:v>41702.693749999999</c:v>
                </c:pt>
                <c:pt idx="1000">
                  <c:v>41702.694444444445</c:v>
                </c:pt>
                <c:pt idx="1001">
                  <c:v>41702.695138888892</c:v>
                </c:pt>
                <c:pt idx="1002">
                  <c:v>41702.695833333331</c:v>
                </c:pt>
                <c:pt idx="1003">
                  <c:v>41702.696527777778</c:v>
                </c:pt>
                <c:pt idx="1004">
                  <c:v>41702.697222222225</c:v>
                </c:pt>
                <c:pt idx="1005">
                  <c:v>41702.697916666664</c:v>
                </c:pt>
                <c:pt idx="1006">
                  <c:v>41702.698611111111</c:v>
                </c:pt>
                <c:pt idx="1007">
                  <c:v>41702.699305555558</c:v>
                </c:pt>
                <c:pt idx="1008">
                  <c:v>41702.699999999997</c:v>
                </c:pt>
                <c:pt idx="1009">
                  <c:v>41702.700694444444</c:v>
                </c:pt>
                <c:pt idx="1010">
                  <c:v>41702.701388888891</c:v>
                </c:pt>
                <c:pt idx="1011">
                  <c:v>41702.70208333333</c:v>
                </c:pt>
                <c:pt idx="1012">
                  <c:v>41702.702777777777</c:v>
                </c:pt>
                <c:pt idx="1013">
                  <c:v>41702.703472222223</c:v>
                </c:pt>
                <c:pt idx="1014">
                  <c:v>41702.70416666667</c:v>
                </c:pt>
                <c:pt idx="1015">
                  <c:v>41702.704861111109</c:v>
                </c:pt>
                <c:pt idx="1016">
                  <c:v>41702.705555555556</c:v>
                </c:pt>
                <c:pt idx="1017">
                  <c:v>41702.706250000003</c:v>
                </c:pt>
                <c:pt idx="1018">
                  <c:v>41702.706944444442</c:v>
                </c:pt>
                <c:pt idx="1019">
                  <c:v>41702.707638888889</c:v>
                </c:pt>
                <c:pt idx="1020">
                  <c:v>41702.708333333336</c:v>
                </c:pt>
                <c:pt idx="1021">
                  <c:v>41702.709027777775</c:v>
                </c:pt>
                <c:pt idx="1022">
                  <c:v>41702.709722222222</c:v>
                </c:pt>
                <c:pt idx="1023">
                  <c:v>41702.710416666669</c:v>
                </c:pt>
                <c:pt idx="1024">
                  <c:v>41702.711111111108</c:v>
                </c:pt>
                <c:pt idx="1025">
                  <c:v>41702.711805555555</c:v>
                </c:pt>
                <c:pt idx="1026">
                  <c:v>41702.712500000001</c:v>
                </c:pt>
                <c:pt idx="1027">
                  <c:v>41702.713194444441</c:v>
                </c:pt>
                <c:pt idx="1028">
                  <c:v>41702.713888888888</c:v>
                </c:pt>
                <c:pt idx="1029">
                  <c:v>41702.714583333334</c:v>
                </c:pt>
                <c:pt idx="1030">
                  <c:v>41702.715277777781</c:v>
                </c:pt>
                <c:pt idx="1031">
                  <c:v>41702.71597222222</c:v>
                </c:pt>
                <c:pt idx="1032">
                  <c:v>41702.716666666667</c:v>
                </c:pt>
                <c:pt idx="1033">
                  <c:v>41702.717361111114</c:v>
                </c:pt>
                <c:pt idx="1034">
                  <c:v>41702.718055555553</c:v>
                </c:pt>
                <c:pt idx="1035">
                  <c:v>41702.71875</c:v>
                </c:pt>
                <c:pt idx="1036">
                  <c:v>41702.719444444447</c:v>
                </c:pt>
                <c:pt idx="1037">
                  <c:v>41702.720138888886</c:v>
                </c:pt>
                <c:pt idx="1038">
                  <c:v>41702.720833333333</c:v>
                </c:pt>
                <c:pt idx="1039">
                  <c:v>41702.72152777778</c:v>
                </c:pt>
                <c:pt idx="1040">
                  <c:v>41702.722222222219</c:v>
                </c:pt>
                <c:pt idx="1041">
                  <c:v>41702.722916666666</c:v>
                </c:pt>
                <c:pt idx="1042">
                  <c:v>41702.723611111112</c:v>
                </c:pt>
                <c:pt idx="1043">
                  <c:v>41702.724305555559</c:v>
                </c:pt>
                <c:pt idx="1044">
                  <c:v>41702.724999999999</c:v>
                </c:pt>
                <c:pt idx="1045">
                  <c:v>41702.725694444445</c:v>
                </c:pt>
                <c:pt idx="1046">
                  <c:v>41702.726388888892</c:v>
                </c:pt>
                <c:pt idx="1047">
                  <c:v>41702.727083333331</c:v>
                </c:pt>
                <c:pt idx="1048">
                  <c:v>41702.727777777778</c:v>
                </c:pt>
                <c:pt idx="1049">
                  <c:v>41702.728472222225</c:v>
                </c:pt>
                <c:pt idx="1050">
                  <c:v>41702.729166666664</c:v>
                </c:pt>
                <c:pt idx="1051">
                  <c:v>41702.729861111111</c:v>
                </c:pt>
                <c:pt idx="1052">
                  <c:v>41702.730555555558</c:v>
                </c:pt>
                <c:pt idx="1053">
                  <c:v>41702.731249999997</c:v>
                </c:pt>
                <c:pt idx="1054">
                  <c:v>41702.731944444444</c:v>
                </c:pt>
                <c:pt idx="1055">
                  <c:v>41702.732638888891</c:v>
                </c:pt>
                <c:pt idx="1056">
                  <c:v>41702.73333333333</c:v>
                </c:pt>
                <c:pt idx="1057">
                  <c:v>41702.734027777777</c:v>
                </c:pt>
                <c:pt idx="1058">
                  <c:v>41702.734722222223</c:v>
                </c:pt>
                <c:pt idx="1059">
                  <c:v>41702.73541666667</c:v>
                </c:pt>
                <c:pt idx="1060">
                  <c:v>41702.736111111109</c:v>
                </c:pt>
                <c:pt idx="1061">
                  <c:v>41702.736805555556</c:v>
                </c:pt>
                <c:pt idx="1062">
                  <c:v>41702.737500000003</c:v>
                </c:pt>
                <c:pt idx="1063">
                  <c:v>41702.738194444442</c:v>
                </c:pt>
                <c:pt idx="1064">
                  <c:v>41702.738888888889</c:v>
                </c:pt>
                <c:pt idx="1065">
                  <c:v>41702.739583333336</c:v>
                </c:pt>
                <c:pt idx="1066">
                  <c:v>41702.740277777775</c:v>
                </c:pt>
                <c:pt idx="1067">
                  <c:v>41702.740972222222</c:v>
                </c:pt>
                <c:pt idx="1068">
                  <c:v>41702.741666666669</c:v>
                </c:pt>
                <c:pt idx="1069">
                  <c:v>41702.742361111108</c:v>
                </c:pt>
                <c:pt idx="1070">
                  <c:v>41702.743055555555</c:v>
                </c:pt>
                <c:pt idx="1071">
                  <c:v>41702.743750000001</c:v>
                </c:pt>
                <c:pt idx="1072">
                  <c:v>41702.744444444441</c:v>
                </c:pt>
                <c:pt idx="1073">
                  <c:v>41702.745138888888</c:v>
                </c:pt>
                <c:pt idx="1074">
                  <c:v>41702.745833333334</c:v>
                </c:pt>
                <c:pt idx="1075">
                  <c:v>41702.746527777781</c:v>
                </c:pt>
                <c:pt idx="1076">
                  <c:v>41702.74722222222</c:v>
                </c:pt>
                <c:pt idx="1077">
                  <c:v>41702.747916666667</c:v>
                </c:pt>
                <c:pt idx="1078">
                  <c:v>41702.748611111114</c:v>
                </c:pt>
                <c:pt idx="1079">
                  <c:v>41702.749305555553</c:v>
                </c:pt>
                <c:pt idx="1080">
                  <c:v>41702.75</c:v>
                </c:pt>
                <c:pt idx="1081">
                  <c:v>41702.750694444447</c:v>
                </c:pt>
                <c:pt idx="1082">
                  <c:v>41702.751388888886</c:v>
                </c:pt>
                <c:pt idx="1083">
                  <c:v>41702.752083333333</c:v>
                </c:pt>
                <c:pt idx="1084">
                  <c:v>41702.75277777778</c:v>
                </c:pt>
                <c:pt idx="1085">
                  <c:v>41702.753472222219</c:v>
                </c:pt>
                <c:pt idx="1086">
                  <c:v>41702.754166666666</c:v>
                </c:pt>
                <c:pt idx="1087">
                  <c:v>41702.754861111112</c:v>
                </c:pt>
                <c:pt idx="1088">
                  <c:v>41702.755555555559</c:v>
                </c:pt>
                <c:pt idx="1089">
                  <c:v>41702.756249999999</c:v>
                </c:pt>
                <c:pt idx="1090">
                  <c:v>41702.756944444445</c:v>
                </c:pt>
                <c:pt idx="1091">
                  <c:v>41702.757638888892</c:v>
                </c:pt>
                <c:pt idx="1092">
                  <c:v>41702.758333333331</c:v>
                </c:pt>
                <c:pt idx="1093">
                  <c:v>41702.759027777778</c:v>
                </c:pt>
                <c:pt idx="1094">
                  <c:v>41702.759722222225</c:v>
                </c:pt>
                <c:pt idx="1095">
                  <c:v>41702.760416666664</c:v>
                </c:pt>
                <c:pt idx="1096">
                  <c:v>41702.761111111111</c:v>
                </c:pt>
                <c:pt idx="1097">
                  <c:v>41702.761805555558</c:v>
                </c:pt>
                <c:pt idx="1098">
                  <c:v>41702.762499999997</c:v>
                </c:pt>
                <c:pt idx="1099">
                  <c:v>41702.763194444444</c:v>
                </c:pt>
                <c:pt idx="1100">
                  <c:v>41702.763888888891</c:v>
                </c:pt>
                <c:pt idx="1101">
                  <c:v>41702.76458333333</c:v>
                </c:pt>
                <c:pt idx="1102">
                  <c:v>41702.765277777777</c:v>
                </c:pt>
                <c:pt idx="1103">
                  <c:v>41702.765972222223</c:v>
                </c:pt>
                <c:pt idx="1104">
                  <c:v>41702.76666666667</c:v>
                </c:pt>
                <c:pt idx="1105">
                  <c:v>41702.767361111109</c:v>
                </c:pt>
                <c:pt idx="1106">
                  <c:v>41702.768055555556</c:v>
                </c:pt>
                <c:pt idx="1107">
                  <c:v>41702.768750000003</c:v>
                </c:pt>
                <c:pt idx="1108">
                  <c:v>41702.769444444442</c:v>
                </c:pt>
                <c:pt idx="1109">
                  <c:v>41702.770138888889</c:v>
                </c:pt>
                <c:pt idx="1110">
                  <c:v>41702.770833333336</c:v>
                </c:pt>
                <c:pt idx="1111">
                  <c:v>41702.771527777775</c:v>
                </c:pt>
                <c:pt idx="1112">
                  <c:v>41702.772222222222</c:v>
                </c:pt>
                <c:pt idx="1113">
                  <c:v>41702.772916666669</c:v>
                </c:pt>
                <c:pt idx="1114">
                  <c:v>41702.773611111108</c:v>
                </c:pt>
                <c:pt idx="1115">
                  <c:v>41702.774305555555</c:v>
                </c:pt>
                <c:pt idx="1116">
                  <c:v>41702.775000000001</c:v>
                </c:pt>
                <c:pt idx="1117">
                  <c:v>41702.775694444441</c:v>
                </c:pt>
                <c:pt idx="1118">
                  <c:v>41702.776388888888</c:v>
                </c:pt>
                <c:pt idx="1119">
                  <c:v>41702.777083333334</c:v>
                </c:pt>
                <c:pt idx="1120">
                  <c:v>41702.777777777781</c:v>
                </c:pt>
                <c:pt idx="1121">
                  <c:v>41702.77847222222</c:v>
                </c:pt>
                <c:pt idx="1122">
                  <c:v>41702.779166666667</c:v>
                </c:pt>
                <c:pt idx="1123">
                  <c:v>41702.779861111114</c:v>
                </c:pt>
                <c:pt idx="1124">
                  <c:v>41702.780555555553</c:v>
                </c:pt>
                <c:pt idx="1125">
                  <c:v>41702.78125</c:v>
                </c:pt>
                <c:pt idx="1126">
                  <c:v>41702.781944444447</c:v>
                </c:pt>
                <c:pt idx="1127">
                  <c:v>41702.782638888886</c:v>
                </c:pt>
                <c:pt idx="1128">
                  <c:v>41702.783333333333</c:v>
                </c:pt>
                <c:pt idx="1129">
                  <c:v>41702.78402777778</c:v>
                </c:pt>
                <c:pt idx="1130">
                  <c:v>41702.784722222219</c:v>
                </c:pt>
                <c:pt idx="1131">
                  <c:v>41702.785416666666</c:v>
                </c:pt>
                <c:pt idx="1132">
                  <c:v>41702.786111111112</c:v>
                </c:pt>
                <c:pt idx="1133">
                  <c:v>41702.786805555559</c:v>
                </c:pt>
                <c:pt idx="1134">
                  <c:v>41702.787499999999</c:v>
                </c:pt>
                <c:pt idx="1135">
                  <c:v>41702.788194444445</c:v>
                </c:pt>
                <c:pt idx="1136">
                  <c:v>41702.788888888892</c:v>
                </c:pt>
                <c:pt idx="1137">
                  <c:v>41702.789583333331</c:v>
                </c:pt>
                <c:pt idx="1138">
                  <c:v>41702.790277777778</c:v>
                </c:pt>
                <c:pt idx="1139">
                  <c:v>41702.790972222225</c:v>
                </c:pt>
                <c:pt idx="1140">
                  <c:v>41702.791666666664</c:v>
                </c:pt>
                <c:pt idx="1141">
                  <c:v>41702.792361111111</c:v>
                </c:pt>
                <c:pt idx="1142">
                  <c:v>41702.793055555558</c:v>
                </c:pt>
                <c:pt idx="1143">
                  <c:v>41702.793749999997</c:v>
                </c:pt>
                <c:pt idx="1144">
                  <c:v>41702.794444444444</c:v>
                </c:pt>
                <c:pt idx="1145">
                  <c:v>41702.795138888891</c:v>
                </c:pt>
                <c:pt idx="1146">
                  <c:v>41702.79583333333</c:v>
                </c:pt>
                <c:pt idx="1147">
                  <c:v>41702.796527777777</c:v>
                </c:pt>
                <c:pt idx="1148">
                  <c:v>41702.797222222223</c:v>
                </c:pt>
                <c:pt idx="1149">
                  <c:v>41702.79791666667</c:v>
                </c:pt>
                <c:pt idx="1150">
                  <c:v>41702.798611111109</c:v>
                </c:pt>
                <c:pt idx="1151">
                  <c:v>41702.799305555556</c:v>
                </c:pt>
                <c:pt idx="1152">
                  <c:v>41702.800000000003</c:v>
                </c:pt>
                <c:pt idx="1153">
                  <c:v>41702.800694444442</c:v>
                </c:pt>
                <c:pt idx="1154">
                  <c:v>41702.801388888889</c:v>
                </c:pt>
                <c:pt idx="1155">
                  <c:v>41702.802083333336</c:v>
                </c:pt>
                <c:pt idx="1156">
                  <c:v>41702.802777777775</c:v>
                </c:pt>
                <c:pt idx="1157">
                  <c:v>41702.803472222222</c:v>
                </c:pt>
                <c:pt idx="1158">
                  <c:v>41702.804166666669</c:v>
                </c:pt>
                <c:pt idx="1159">
                  <c:v>41702.804861111108</c:v>
                </c:pt>
                <c:pt idx="1160">
                  <c:v>41702.805555555555</c:v>
                </c:pt>
                <c:pt idx="1161">
                  <c:v>41702.806250000001</c:v>
                </c:pt>
                <c:pt idx="1162">
                  <c:v>41702.806944444441</c:v>
                </c:pt>
                <c:pt idx="1163">
                  <c:v>41702.807638888888</c:v>
                </c:pt>
                <c:pt idx="1164">
                  <c:v>41702.808333333334</c:v>
                </c:pt>
                <c:pt idx="1165">
                  <c:v>41702.809027777781</c:v>
                </c:pt>
                <c:pt idx="1166">
                  <c:v>41702.80972222222</c:v>
                </c:pt>
                <c:pt idx="1167">
                  <c:v>41702.810416666667</c:v>
                </c:pt>
                <c:pt idx="1168">
                  <c:v>41702.811111111114</c:v>
                </c:pt>
                <c:pt idx="1169">
                  <c:v>41702.811805555553</c:v>
                </c:pt>
                <c:pt idx="1170">
                  <c:v>41702.8125</c:v>
                </c:pt>
                <c:pt idx="1171">
                  <c:v>41702.813194444447</c:v>
                </c:pt>
                <c:pt idx="1172">
                  <c:v>41702.813888888886</c:v>
                </c:pt>
                <c:pt idx="1173">
                  <c:v>41702.814583333333</c:v>
                </c:pt>
                <c:pt idx="1174">
                  <c:v>41702.81527777778</c:v>
                </c:pt>
                <c:pt idx="1175">
                  <c:v>41702.815972222219</c:v>
                </c:pt>
                <c:pt idx="1176">
                  <c:v>41702.816666666666</c:v>
                </c:pt>
                <c:pt idx="1177">
                  <c:v>41702.817361111112</c:v>
                </c:pt>
                <c:pt idx="1178">
                  <c:v>41702.818055555559</c:v>
                </c:pt>
                <c:pt idx="1179">
                  <c:v>41702.818749999999</c:v>
                </c:pt>
                <c:pt idx="1180">
                  <c:v>41702.819444444445</c:v>
                </c:pt>
                <c:pt idx="1181">
                  <c:v>41702.820138888892</c:v>
                </c:pt>
                <c:pt idx="1182">
                  <c:v>41702.820833333331</c:v>
                </c:pt>
                <c:pt idx="1183">
                  <c:v>41702.821527777778</c:v>
                </c:pt>
                <c:pt idx="1184">
                  <c:v>41702.822222222225</c:v>
                </c:pt>
                <c:pt idx="1185">
                  <c:v>41702.822916666664</c:v>
                </c:pt>
                <c:pt idx="1186">
                  <c:v>41702.823611111111</c:v>
                </c:pt>
                <c:pt idx="1187">
                  <c:v>41702.824305555558</c:v>
                </c:pt>
                <c:pt idx="1188">
                  <c:v>41702.824999999997</c:v>
                </c:pt>
                <c:pt idx="1189">
                  <c:v>41702.825694444444</c:v>
                </c:pt>
                <c:pt idx="1190">
                  <c:v>41702.826388888891</c:v>
                </c:pt>
                <c:pt idx="1191">
                  <c:v>41702.82708333333</c:v>
                </c:pt>
                <c:pt idx="1192">
                  <c:v>41702.827777777777</c:v>
                </c:pt>
                <c:pt idx="1193">
                  <c:v>41702.828472222223</c:v>
                </c:pt>
                <c:pt idx="1194">
                  <c:v>41702.82916666667</c:v>
                </c:pt>
                <c:pt idx="1195">
                  <c:v>41702.829861111109</c:v>
                </c:pt>
                <c:pt idx="1196">
                  <c:v>41702.830555555556</c:v>
                </c:pt>
                <c:pt idx="1197">
                  <c:v>41702.831250000003</c:v>
                </c:pt>
                <c:pt idx="1198">
                  <c:v>41702.831944444442</c:v>
                </c:pt>
                <c:pt idx="1199">
                  <c:v>41702.832638888889</c:v>
                </c:pt>
                <c:pt idx="1200">
                  <c:v>41702.833333333336</c:v>
                </c:pt>
                <c:pt idx="1201">
                  <c:v>41702.834027777775</c:v>
                </c:pt>
                <c:pt idx="1202">
                  <c:v>41702.834722222222</c:v>
                </c:pt>
                <c:pt idx="1203">
                  <c:v>41702.835416666669</c:v>
                </c:pt>
                <c:pt idx="1204">
                  <c:v>41702.836111111108</c:v>
                </c:pt>
                <c:pt idx="1205">
                  <c:v>41702.836805555555</c:v>
                </c:pt>
                <c:pt idx="1206">
                  <c:v>41702.837500000001</c:v>
                </c:pt>
                <c:pt idx="1207">
                  <c:v>41702.838194444441</c:v>
                </c:pt>
                <c:pt idx="1208">
                  <c:v>41702.838888888888</c:v>
                </c:pt>
                <c:pt idx="1209">
                  <c:v>41702.839583333334</c:v>
                </c:pt>
                <c:pt idx="1210">
                  <c:v>41702.840277777781</c:v>
                </c:pt>
                <c:pt idx="1211">
                  <c:v>41702.84097222222</c:v>
                </c:pt>
                <c:pt idx="1212">
                  <c:v>41702.841666666667</c:v>
                </c:pt>
                <c:pt idx="1213">
                  <c:v>41702.842361111114</c:v>
                </c:pt>
                <c:pt idx="1214">
                  <c:v>41702.843055555553</c:v>
                </c:pt>
                <c:pt idx="1215">
                  <c:v>41702.84375</c:v>
                </c:pt>
                <c:pt idx="1216">
                  <c:v>41702.844444444447</c:v>
                </c:pt>
                <c:pt idx="1217">
                  <c:v>41702.845138888886</c:v>
                </c:pt>
                <c:pt idx="1218">
                  <c:v>41702.845833333333</c:v>
                </c:pt>
                <c:pt idx="1219">
                  <c:v>41702.84652777778</c:v>
                </c:pt>
                <c:pt idx="1220">
                  <c:v>41702.847222222219</c:v>
                </c:pt>
                <c:pt idx="1221">
                  <c:v>41702.847916666666</c:v>
                </c:pt>
                <c:pt idx="1222">
                  <c:v>41702.848611111112</c:v>
                </c:pt>
                <c:pt idx="1223">
                  <c:v>41702.849305555559</c:v>
                </c:pt>
                <c:pt idx="1224">
                  <c:v>41702.85</c:v>
                </c:pt>
                <c:pt idx="1225">
                  <c:v>41702.850694444445</c:v>
                </c:pt>
                <c:pt idx="1226">
                  <c:v>41702.851388888892</c:v>
                </c:pt>
                <c:pt idx="1227">
                  <c:v>41702.852083333331</c:v>
                </c:pt>
                <c:pt idx="1228">
                  <c:v>41702.852777777778</c:v>
                </c:pt>
                <c:pt idx="1229">
                  <c:v>41702.853472222225</c:v>
                </c:pt>
                <c:pt idx="1230">
                  <c:v>41702.854166666664</c:v>
                </c:pt>
                <c:pt idx="1231">
                  <c:v>41702.854861111111</c:v>
                </c:pt>
                <c:pt idx="1232">
                  <c:v>41702.855555555558</c:v>
                </c:pt>
                <c:pt idx="1233">
                  <c:v>41702.856249999997</c:v>
                </c:pt>
                <c:pt idx="1234">
                  <c:v>41702.856944444444</c:v>
                </c:pt>
                <c:pt idx="1235">
                  <c:v>41702.857638888891</c:v>
                </c:pt>
                <c:pt idx="1236">
                  <c:v>41702.85833333333</c:v>
                </c:pt>
                <c:pt idx="1237">
                  <c:v>41702.859027777777</c:v>
                </c:pt>
                <c:pt idx="1238">
                  <c:v>41702.859722222223</c:v>
                </c:pt>
                <c:pt idx="1239">
                  <c:v>41702.86041666667</c:v>
                </c:pt>
                <c:pt idx="1240">
                  <c:v>41702.861111111109</c:v>
                </c:pt>
                <c:pt idx="1241">
                  <c:v>41702.861805555556</c:v>
                </c:pt>
                <c:pt idx="1242">
                  <c:v>41702.862500000003</c:v>
                </c:pt>
                <c:pt idx="1243">
                  <c:v>41702.863194444442</c:v>
                </c:pt>
                <c:pt idx="1244">
                  <c:v>41702.863888888889</c:v>
                </c:pt>
                <c:pt idx="1245">
                  <c:v>41702.864583333336</c:v>
                </c:pt>
                <c:pt idx="1246">
                  <c:v>41702.865277777775</c:v>
                </c:pt>
                <c:pt idx="1247">
                  <c:v>41702.865972222222</c:v>
                </c:pt>
                <c:pt idx="1248">
                  <c:v>41702.866666666669</c:v>
                </c:pt>
                <c:pt idx="1249">
                  <c:v>41702.867361111108</c:v>
                </c:pt>
                <c:pt idx="1250">
                  <c:v>41702.868055555555</c:v>
                </c:pt>
                <c:pt idx="1251">
                  <c:v>41702.868750000001</c:v>
                </c:pt>
                <c:pt idx="1252">
                  <c:v>41702.869444444441</c:v>
                </c:pt>
                <c:pt idx="1253">
                  <c:v>41702.870138888888</c:v>
                </c:pt>
                <c:pt idx="1254">
                  <c:v>41702.870833333334</c:v>
                </c:pt>
                <c:pt idx="1255">
                  <c:v>41702.871527777781</c:v>
                </c:pt>
                <c:pt idx="1256">
                  <c:v>41702.87222222222</c:v>
                </c:pt>
                <c:pt idx="1257">
                  <c:v>41702.872916666667</c:v>
                </c:pt>
                <c:pt idx="1258">
                  <c:v>41702.873611111114</c:v>
                </c:pt>
                <c:pt idx="1259">
                  <c:v>41702.874305555553</c:v>
                </c:pt>
                <c:pt idx="1260">
                  <c:v>41702.875</c:v>
                </c:pt>
                <c:pt idx="1261">
                  <c:v>41702.875694444447</c:v>
                </c:pt>
                <c:pt idx="1262">
                  <c:v>41702.876388888886</c:v>
                </c:pt>
                <c:pt idx="1263">
                  <c:v>41702.877083333333</c:v>
                </c:pt>
                <c:pt idx="1264">
                  <c:v>41702.87777777778</c:v>
                </c:pt>
                <c:pt idx="1265">
                  <c:v>41702.878472222219</c:v>
                </c:pt>
                <c:pt idx="1266">
                  <c:v>41702.879166666666</c:v>
                </c:pt>
                <c:pt idx="1267">
                  <c:v>41702.879861111112</c:v>
                </c:pt>
                <c:pt idx="1268">
                  <c:v>41702.880555555559</c:v>
                </c:pt>
                <c:pt idx="1269">
                  <c:v>41702.881249999999</c:v>
                </c:pt>
                <c:pt idx="1270">
                  <c:v>41702.881944444445</c:v>
                </c:pt>
                <c:pt idx="1271">
                  <c:v>41702.882638888892</c:v>
                </c:pt>
                <c:pt idx="1272">
                  <c:v>41702.883333333331</c:v>
                </c:pt>
                <c:pt idx="1273">
                  <c:v>41702.884027777778</c:v>
                </c:pt>
                <c:pt idx="1274">
                  <c:v>41702.884722222225</c:v>
                </c:pt>
                <c:pt idx="1275">
                  <c:v>41702.885416666664</c:v>
                </c:pt>
                <c:pt idx="1276">
                  <c:v>41702.886111111111</c:v>
                </c:pt>
                <c:pt idx="1277">
                  <c:v>41702.886805555558</c:v>
                </c:pt>
                <c:pt idx="1278">
                  <c:v>41702.887499999997</c:v>
                </c:pt>
                <c:pt idx="1279">
                  <c:v>41702.888194444444</c:v>
                </c:pt>
                <c:pt idx="1280">
                  <c:v>41702.888888888891</c:v>
                </c:pt>
                <c:pt idx="1281">
                  <c:v>41702.88958333333</c:v>
                </c:pt>
                <c:pt idx="1282">
                  <c:v>41702.890277777777</c:v>
                </c:pt>
                <c:pt idx="1283">
                  <c:v>41702.890972222223</c:v>
                </c:pt>
                <c:pt idx="1284">
                  <c:v>41702.89166666667</c:v>
                </c:pt>
                <c:pt idx="1285">
                  <c:v>41702.892361111109</c:v>
                </c:pt>
                <c:pt idx="1286">
                  <c:v>41702.893055555556</c:v>
                </c:pt>
                <c:pt idx="1287">
                  <c:v>41702.893750000003</c:v>
                </c:pt>
                <c:pt idx="1288">
                  <c:v>41702.894444444442</c:v>
                </c:pt>
                <c:pt idx="1289">
                  <c:v>41702.895138888889</c:v>
                </c:pt>
                <c:pt idx="1290">
                  <c:v>41702.895833333336</c:v>
                </c:pt>
                <c:pt idx="1291">
                  <c:v>41702.896527777775</c:v>
                </c:pt>
                <c:pt idx="1292">
                  <c:v>41702.897222222222</c:v>
                </c:pt>
                <c:pt idx="1293">
                  <c:v>41702.897916666669</c:v>
                </c:pt>
                <c:pt idx="1294">
                  <c:v>41702.898611111108</c:v>
                </c:pt>
                <c:pt idx="1295">
                  <c:v>41702.899305555555</c:v>
                </c:pt>
                <c:pt idx="1296">
                  <c:v>41702.9</c:v>
                </c:pt>
                <c:pt idx="1297">
                  <c:v>41702.900694444441</c:v>
                </c:pt>
                <c:pt idx="1298">
                  <c:v>41702.901388888888</c:v>
                </c:pt>
                <c:pt idx="1299">
                  <c:v>41702.902083333334</c:v>
                </c:pt>
                <c:pt idx="1300">
                  <c:v>41702.902777777781</c:v>
                </c:pt>
                <c:pt idx="1301">
                  <c:v>41702.90347222222</c:v>
                </c:pt>
                <c:pt idx="1302">
                  <c:v>41702.904166666667</c:v>
                </c:pt>
                <c:pt idx="1303">
                  <c:v>41702.904861111114</c:v>
                </c:pt>
                <c:pt idx="1304">
                  <c:v>41702.905555555553</c:v>
                </c:pt>
                <c:pt idx="1305">
                  <c:v>41702.90625</c:v>
                </c:pt>
                <c:pt idx="1306">
                  <c:v>41702.906944444447</c:v>
                </c:pt>
                <c:pt idx="1307">
                  <c:v>41702.907638888886</c:v>
                </c:pt>
                <c:pt idx="1308">
                  <c:v>41702.908333333333</c:v>
                </c:pt>
                <c:pt idx="1309">
                  <c:v>41702.90902777778</c:v>
                </c:pt>
                <c:pt idx="1310">
                  <c:v>41702.909722222219</c:v>
                </c:pt>
                <c:pt idx="1311">
                  <c:v>41702.910416666666</c:v>
                </c:pt>
                <c:pt idx="1312">
                  <c:v>41702.911111111112</c:v>
                </c:pt>
                <c:pt idx="1313">
                  <c:v>41702.911805555559</c:v>
                </c:pt>
                <c:pt idx="1314">
                  <c:v>41702.912499999999</c:v>
                </c:pt>
                <c:pt idx="1315">
                  <c:v>41702.913194444445</c:v>
                </c:pt>
                <c:pt idx="1316">
                  <c:v>41702.913888888892</c:v>
                </c:pt>
                <c:pt idx="1317">
                  <c:v>41702.914583333331</c:v>
                </c:pt>
                <c:pt idx="1318">
                  <c:v>41702.915277777778</c:v>
                </c:pt>
                <c:pt idx="1319">
                  <c:v>41702.915972222225</c:v>
                </c:pt>
                <c:pt idx="1320">
                  <c:v>41702.916666666664</c:v>
                </c:pt>
                <c:pt idx="1321">
                  <c:v>41702.917361111111</c:v>
                </c:pt>
                <c:pt idx="1322">
                  <c:v>41702.918055555558</c:v>
                </c:pt>
                <c:pt idx="1323">
                  <c:v>41702.918749999997</c:v>
                </c:pt>
                <c:pt idx="1324">
                  <c:v>41702.919444444444</c:v>
                </c:pt>
                <c:pt idx="1325">
                  <c:v>41702.920138888891</c:v>
                </c:pt>
                <c:pt idx="1326">
                  <c:v>41702.92083333333</c:v>
                </c:pt>
                <c:pt idx="1327">
                  <c:v>41702.921527777777</c:v>
                </c:pt>
                <c:pt idx="1328">
                  <c:v>41702.922222222223</c:v>
                </c:pt>
                <c:pt idx="1329">
                  <c:v>41702.92291666667</c:v>
                </c:pt>
                <c:pt idx="1330">
                  <c:v>41702.923611111109</c:v>
                </c:pt>
                <c:pt idx="1331">
                  <c:v>41702.924305555556</c:v>
                </c:pt>
                <c:pt idx="1332">
                  <c:v>41702.925000000003</c:v>
                </c:pt>
                <c:pt idx="1333">
                  <c:v>41702.925694444442</c:v>
                </c:pt>
                <c:pt idx="1334">
                  <c:v>41702.926388888889</c:v>
                </c:pt>
                <c:pt idx="1335">
                  <c:v>41702.927083333336</c:v>
                </c:pt>
                <c:pt idx="1336">
                  <c:v>41702.927777777775</c:v>
                </c:pt>
                <c:pt idx="1337">
                  <c:v>41702.928472222222</c:v>
                </c:pt>
                <c:pt idx="1338">
                  <c:v>41702.929166666669</c:v>
                </c:pt>
                <c:pt idx="1339">
                  <c:v>41702.929861111108</c:v>
                </c:pt>
                <c:pt idx="1340">
                  <c:v>41702.930555555555</c:v>
                </c:pt>
                <c:pt idx="1341">
                  <c:v>41702.931250000001</c:v>
                </c:pt>
                <c:pt idx="1342">
                  <c:v>41702.931944444441</c:v>
                </c:pt>
                <c:pt idx="1343">
                  <c:v>41702.932638888888</c:v>
                </c:pt>
                <c:pt idx="1344">
                  <c:v>41702.933333333334</c:v>
                </c:pt>
                <c:pt idx="1345">
                  <c:v>41702.934027777781</c:v>
                </c:pt>
                <c:pt idx="1346">
                  <c:v>41702.93472222222</c:v>
                </c:pt>
                <c:pt idx="1347">
                  <c:v>41702.935416666667</c:v>
                </c:pt>
                <c:pt idx="1348">
                  <c:v>41702.936111111114</c:v>
                </c:pt>
                <c:pt idx="1349">
                  <c:v>41702.936805555553</c:v>
                </c:pt>
                <c:pt idx="1350">
                  <c:v>41702.9375</c:v>
                </c:pt>
                <c:pt idx="1351">
                  <c:v>41702.938194444447</c:v>
                </c:pt>
                <c:pt idx="1352">
                  <c:v>41702.938888888886</c:v>
                </c:pt>
                <c:pt idx="1353">
                  <c:v>41702.939583333333</c:v>
                </c:pt>
                <c:pt idx="1354">
                  <c:v>41702.94027777778</c:v>
                </c:pt>
                <c:pt idx="1355">
                  <c:v>41702.940972222219</c:v>
                </c:pt>
                <c:pt idx="1356">
                  <c:v>41702.941666666666</c:v>
                </c:pt>
                <c:pt idx="1357">
                  <c:v>41702.942361111112</c:v>
                </c:pt>
                <c:pt idx="1358">
                  <c:v>41702.943055555559</c:v>
                </c:pt>
                <c:pt idx="1359">
                  <c:v>41702.943749999999</c:v>
                </c:pt>
                <c:pt idx="1360">
                  <c:v>41702.944444444445</c:v>
                </c:pt>
                <c:pt idx="1361">
                  <c:v>41702.945138888892</c:v>
                </c:pt>
                <c:pt idx="1362">
                  <c:v>41702.945833333331</c:v>
                </c:pt>
                <c:pt idx="1363">
                  <c:v>41702.946527777778</c:v>
                </c:pt>
                <c:pt idx="1364">
                  <c:v>41702.947222222225</c:v>
                </c:pt>
                <c:pt idx="1365">
                  <c:v>41702.947916666664</c:v>
                </c:pt>
                <c:pt idx="1366">
                  <c:v>41702.948611111111</c:v>
                </c:pt>
                <c:pt idx="1367">
                  <c:v>41702.949305555558</c:v>
                </c:pt>
                <c:pt idx="1368">
                  <c:v>41702.949999999997</c:v>
                </c:pt>
                <c:pt idx="1369">
                  <c:v>41702.950694444444</c:v>
                </c:pt>
                <c:pt idx="1370">
                  <c:v>41702.951388888891</c:v>
                </c:pt>
                <c:pt idx="1371">
                  <c:v>41702.95208333333</c:v>
                </c:pt>
                <c:pt idx="1372">
                  <c:v>41702.952777777777</c:v>
                </c:pt>
                <c:pt idx="1373">
                  <c:v>41702.953472222223</c:v>
                </c:pt>
                <c:pt idx="1374">
                  <c:v>41702.95416666667</c:v>
                </c:pt>
                <c:pt idx="1375">
                  <c:v>41702.954861111109</c:v>
                </c:pt>
                <c:pt idx="1376">
                  <c:v>41702.955555555556</c:v>
                </c:pt>
                <c:pt idx="1377">
                  <c:v>41702.956250000003</c:v>
                </c:pt>
                <c:pt idx="1378">
                  <c:v>41702.956944444442</c:v>
                </c:pt>
                <c:pt idx="1379">
                  <c:v>41702.957638888889</c:v>
                </c:pt>
                <c:pt idx="1380">
                  <c:v>41702.958333333336</c:v>
                </c:pt>
                <c:pt idx="1381">
                  <c:v>41702.959027777775</c:v>
                </c:pt>
                <c:pt idx="1382">
                  <c:v>41702.959722222222</c:v>
                </c:pt>
                <c:pt idx="1383">
                  <c:v>41702.960416666669</c:v>
                </c:pt>
                <c:pt idx="1384">
                  <c:v>41702.961111111108</c:v>
                </c:pt>
                <c:pt idx="1385">
                  <c:v>41702.961805555555</c:v>
                </c:pt>
                <c:pt idx="1386">
                  <c:v>41702.962500000001</c:v>
                </c:pt>
                <c:pt idx="1387">
                  <c:v>41702.963194444441</c:v>
                </c:pt>
                <c:pt idx="1388">
                  <c:v>41702.963888888888</c:v>
                </c:pt>
                <c:pt idx="1389">
                  <c:v>41702.964583333334</c:v>
                </c:pt>
                <c:pt idx="1390">
                  <c:v>41702.965277777781</c:v>
                </c:pt>
                <c:pt idx="1391">
                  <c:v>41702.96597222222</c:v>
                </c:pt>
                <c:pt idx="1392">
                  <c:v>41702.966666666667</c:v>
                </c:pt>
                <c:pt idx="1393">
                  <c:v>41702.967361111114</c:v>
                </c:pt>
                <c:pt idx="1394">
                  <c:v>41702.968055555553</c:v>
                </c:pt>
                <c:pt idx="1395">
                  <c:v>41702.96875</c:v>
                </c:pt>
                <c:pt idx="1396">
                  <c:v>41702.969444444447</c:v>
                </c:pt>
                <c:pt idx="1397">
                  <c:v>41702.970138888886</c:v>
                </c:pt>
                <c:pt idx="1398">
                  <c:v>41702.970833333333</c:v>
                </c:pt>
                <c:pt idx="1399">
                  <c:v>41702.97152777778</c:v>
                </c:pt>
                <c:pt idx="1400">
                  <c:v>41702.972222222219</c:v>
                </c:pt>
                <c:pt idx="1401">
                  <c:v>41702.972916666666</c:v>
                </c:pt>
                <c:pt idx="1402">
                  <c:v>41702.973611111112</c:v>
                </c:pt>
                <c:pt idx="1403">
                  <c:v>41702.974305555559</c:v>
                </c:pt>
                <c:pt idx="1404">
                  <c:v>41702.974999999999</c:v>
                </c:pt>
                <c:pt idx="1405">
                  <c:v>41702.975694444445</c:v>
                </c:pt>
                <c:pt idx="1406">
                  <c:v>41702.976388888892</c:v>
                </c:pt>
                <c:pt idx="1407">
                  <c:v>41702.977083333331</c:v>
                </c:pt>
                <c:pt idx="1408">
                  <c:v>41702.977777777778</c:v>
                </c:pt>
                <c:pt idx="1409">
                  <c:v>41702.978472222225</c:v>
                </c:pt>
                <c:pt idx="1410">
                  <c:v>41702.979166666664</c:v>
                </c:pt>
                <c:pt idx="1411">
                  <c:v>41702.979861111111</c:v>
                </c:pt>
                <c:pt idx="1412">
                  <c:v>41702.980555555558</c:v>
                </c:pt>
                <c:pt idx="1413">
                  <c:v>41702.981249999997</c:v>
                </c:pt>
                <c:pt idx="1414">
                  <c:v>41702.981944444444</c:v>
                </c:pt>
                <c:pt idx="1415">
                  <c:v>41702.982638888891</c:v>
                </c:pt>
                <c:pt idx="1416">
                  <c:v>41702.98333333333</c:v>
                </c:pt>
                <c:pt idx="1417">
                  <c:v>41702.984027777777</c:v>
                </c:pt>
                <c:pt idx="1418">
                  <c:v>41702.984722222223</c:v>
                </c:pt>
                <c:pt idx="1419">
                  <c:v>41702.98541666667</c:v>
                </c:pt>
                <c:pt idx="1420">
                  <c:v>41702.986111111109</c:v>
                </c:pt>
                <c:pt idx="1421">
                  <c:v>41702.986805555556</c:v>
                </c:pt>
                <c:pt idx="1422">
                  <c:v>41702.987500000003</c:v>
                </c:pt>
                <c:pt idx="1423">
                  <c:v>41702.988194444442</c:v>
                </c:pt>
                <c:pt idx="1424">
                  <c:v>41702.988888888889</c:v>
                </c:pt>
                <c:pt idx="1425">
                  <c:v>41702.989583333336</c:v>
                </c:pt>
                <c:pt idx="1426">
                  <c:v>41702.990277777775</c:v>
                </c:pt>
                <c:pt idx="1427">
                  <c:v>41702.990972222222</c:v>
                </c:pt>
                <c:pt idx="1428">
                  <c:v>41702.991666666669</c:v>
                </c:pt>
                <c:pt idx="1429">
                  <c:v>41702.992361111108</c:v>
                </c:pt>
                <c:pt idx="1430">
                  <c:v>41702.993055555555</c:v>
                </c:pt>
                <c:pt idx="1431">
                  <c:v>41702.993750000001</c:v>
                </c:pt>
                <c:pt idx="1432">
                  <c:v>41702.994444444441</c:v>
                </c:pt>
                <c:pt idx="1433">
                  <c:v>41702.995138888888</c:v>
                </c:pt>
                <c:pt idx="1434">
                  <c:v>41702.995833333334</c:v>
                </c:pt>
                <c:pt idx="1435">
                  <c:v>41702.996527777781</c:v>
                </c:pt>
                <c:pt idx="1436">
                  <c:v>41702.99722222222</c:v>
                </c:pt>
                <c:pt idx="1437">
                  <c:v>41702.997916666667</c:v>
                </c:pt>
                <c:pt idx="1438">
                  <c:v>41702.998611111114</c:v>
                </c:pt>
                <c:pt idx="1439">
                  <c:v>41702.999305555553</c:v>
                </c:pt>
              </c:numCache>
            </c:numRef>
          </c:xVal>
          <c:yVal>
            <c:numRef>
              <c:f>Sheet1!$D$2:$D$1441</c:f>
              <c:numCache>
                <c:formatCode>General</c:formatCode>
                <c:ptCount val="1440"/>
                <c:pt idx="0">
                  <c:v>3.1</c:v>
                </c:pt>
                <c:pt idx="1">
                  <c:v>2.8</c:v>
                </c:pt>
                <c:pt idx="2">
                  <c:v>2.5</c:v>
                </c:pt>
                <c:pt idx="3">
                  <c:v>2.5</c:v>
                </c:pt>
                <c:pt idx="4">
                  <c:v>2.5</c:v>
                </c:pt>
                <c:pt idx="5">
                  <c:v>2.7</c:v>
                </c:pt>
                <c:pt idx="6">
                  <c:v>2.9</c:v>
                </c:pt>
                <c:pt idx="7">
                  <c:v>3.05</c:v>
                </c:pt>
                <c:pt idx="8">
                  <c:v>3.2</c:v>
                </c:pt>
                <c:pt idx="9">
                  <c:v>3.5</c:v>
                </c:pt>
                <c:pt idx="10">
                  <c:v>3.8</c:v>
                </c:pt>
                <c:pt idx="11">
                  <c:v>4.05</c:v>
                </c:pt>
                <c:pt idx="12">
                  <c:v>4.3</c:v>
                </c:pt>
                <c:pt idx="13">
                  <c:v>3.7</c:v>
                </c:pt>
                <c:pt idx="14">
                  <c:v>3.1</c:v>
                </c:pt>
                <c:pt idx="15">
                  <c:v>3</c:v>
                </c:pt>
                <c:pt idx="16">
                  <c:v>2.9</c:v>
                </c:pt>
                <c:pt idx="17">
                  <c:v>2.5499999999999998</c:v>
                </c:pt>
                <c:pt idx="18">
                  <c:v>2.2000000000000002</c:v>
                </c:pt>
                <c:pt idx="19">
                  <c:v>2.25</c:v>
                </c:pt>
                <c:pt idx="20">
                  <c:v>2.2999999999999998</c:v>
                </c:pt>
                <c:pt idx="21">
                  <c:v>1.95</c:v>
                </c:pt>
                <c:pt idx="22">
                  <c:v>1.6</c:v>
                </c:pt>
                <c:pt idx="23">
                  <c:v>2.4</c:v>
                </c:pt>
                <c:pt idx="24">
                  <c:v>3.2</c:v>
                </c:pt>
                <c:pt idx="25">
                  <c:v>3.2</c:v>
                </c:pt>
                <c:pt idx="26">
                  <c:v>3.2</c:v>
                </c:pt>
                <c:pt idx="27">
                  <c:v>3.2</c:v>
                </c:pt>
                <c:pt idx="28">
                  <c:v>3.2</c:v>
                </c:pt>
                <c:pt idx="29">
                  <c:v>2.75</c:v>
                </c:pt>
                <c:pt idx="30">
                  <c:v>2.2999999999999998</c:v>
                </c:pt>
                <c:pt idx="31">
                  <c:v>2.75</c:v>
                </c:pt>
                <c:pt idx="32">
                  <c:v>3.2</c:v>
                </c:pt>
                <c:pt idx="33">
                  <c:v>3.05</c:v>
                </c:pt>
                <c:pt idx="34">
                  <c:v>2.9</c:v>
                </c:pt>
                <c:pt idx="35">
                  <c:v>3.3</c:v>
                </c:pt>
                <c:pt idx="36">
                  <c:v>3.7</c:v>
                </c:pt>
                <c:pt idx="37">
                  <c:v>2.8</c:v>
                </c:pt>
                <c:pt idx="38">
                  <c:v>1.9</c:v>
                </c:pt>
                <c:pt idx="39">
                  <c:v>2.8</c:v>
                </c:pt>
                <c:pt idx="40">
                  <c:v>3.7</c:v>
                </c:pt>
                <c:pt idx="41">
                  <c:v>3.4</c:v>
                </c:pt>
                <c:pt idx="42">
                  <c:v>3.1</c:v>
                </c:pt>
                <c:pt idx="43">
                  <c:v>3.05</c:v>
                </c:pt>
                <c:pt idx="44">
                  <c:v>3</c:v>
                </c:pt>
                <c:pt idx="45">
                  <c:v>3.4</c:v>
                </c:pt>
                <c:pt idx="46">
                  <c:v>3.8</c:v>
                </c:pt>
                <c:pt idx="47">
                  <c:v>3.8</c:v>
                </c:pt>
                <c:pt idx="48">
                  <c:v>3.8</c:v>
                </c:pt>
                <c:pt idx="49">
                  <c:v>3.35</c:v>
                </c:pt>
                <c:pt idx="50">
                  <c:v>2.9</c:v>
                </c:pt>
                <c:pt idx="51">
                  <c:v>2.65</c:v>
                </c:pt>
                <c:pt idx="52">
                  <c:v>2.4</c:v>
                </c:pt>
                <c:pt idx="53">
                  <c:v>2.15</c:v>
                </c:pt>
                <c:pt idx="54">
                  <c:v>1.9</c:v>
                </c:pt>
                <c:pt idx="55">
                  <c:v>2.2000000000000002</c:v>
                </c:pt>
                <c:pt idx="56">
                  <c:v>2.5</c:v>
                </c:pt>
                <c:pt idx="57">
                  <c:v>2.7</c:v>
                </c:pt>
                <c:pt idx="58">
                  <c:v>2.9</c:v>
                </c:pt>
                <c:pt idx="59">
                  <c:v>2.65</c:v>
                </c:pt>
                <c:pt idx="60">
                  <c:v>2.4</c:v>
                </c:pt>
                <c:pt idx="61">
                  <c:v>2.35</c:v>
                </c:pt>
                <c:pt idx="62">
                  <c:v>2.2999999999999998</c:v>
                </c:pt>
                <c:pt idx="63">
                  <c:v>2.4</c:v>
                </c:pt>
                <c:pt idx="64">
                  <c:v>2.5</c:v>
                </c:pt>
                <c:pt idx="65">
                  <c:v>1.8</c:v>
                </c:pt>
                <c:pt idx="66">
                  <c:v>1.1000000000000001</c:v>
                </c:pt>
                <c:pt idx="67">
                  <c:v>1.1000000000000001</c:v>
                </c:pt>
                <c:pt idx="68">
                  <c:v>1.1000000000000001</c:v>
                </c:pt>
                <c:pt idx="69">
                  <c:v>1.75</c:v>
                </c:pt>
                <c:pt idx="70">
                  <c:v>2.4</c:v>
                </c:pt>
                <c:pt idx="71">
                  <c:v>2.4</c:v>
                </c:pt>
                <c:pt idx="72">
                  <c:v>2.4</c:v>
                </c:pt>
                <c:pt idx="73">
                  <c:v>3.05</c:v>
                </c:pt>
                <c:pt idx="74">
                  <c:v>3.7</c:v>
                </c:pt>
                <c:pt idx="75">
                  <c:v>3.3</c:v>
                </c:pt>
                <c:pt idx="76">
                  <c:v>2.9</c:v>
                </c:pt>
                <c:pt idx="77">
                  <c:v>2.9</c:v>
                </c:pt>
                <c:pt idx="78">
                  <c:v>2.9</c:v>
                </c:pt>
                <c:pt idx="79">
                  <c:v>2.6</c:v>
                </c:pt>
                <c:pt idx="80">
                  <c:v>2.2999999999999998</c:v>
                </c:pt>
                <c:pt idx="81">
                  <c:v>2.4</c:v>
                </c:pt>
                <c:pt idx="82">
                  <c:v>2.5</c:v>
                </c:pt>
                <c:pt idx="83">
                  <c:v>2.8</c:v>
                </c:pt>
                <c:pt idx="84">
                  <c:v>3.1</c:v>
                </c:pt>
                <c:pt idx="85">
                  <c:v>3.45</c:v>
                </c:pt>
                <c:pt idx="86">
                  <c:v>3.8</c:v>
                </c:pt>
                <c:pt idx="87">
                  <c:v>4.1500000000000004</c:v>
                </c:pt>
                <c:pt idx="88">
                  <c:v>4.5</c:v>
                </c:pt>
                <c:pt idx="89">
                  <c:v>4.0999999999999996</c:v>
                </c:pt>
                <c:pt idx="90">
                  <c:v>3.7</c:v>
                </c:pt>
                <c:pt idx="91">
                  <c:v>3.3</c:v>
                </c:pt>
                <c:pt idx="92">
                  <c:v>2.9</c:v>
                </c:pt>
                <c:pt idx="93">
                  <c:v>2.9</c:v>
                </c:pt>
                <c:pt idx="94">
                  <c:v>2.9</c:v>
                </c:pt>
                <c:pt idx="95">
                  <c:v>2.65</c:v>
                </c:pt>
                <c:pt idx="96">
                  <c:v>2.4</c:v>
                </c:pt>
                <c:pt idx="97">
                  <c:v>2.65</c:v>
                </c:pt>
                <c:pt idx="98">
                  <c:v>2.9</c:v>
                </c:pt>
                <c:pt idx="99">
                  <c:v>2.4</c:v>
                </c:pt>
                <c:pt idx="100">
                  <c:v>1.9</c:v>
                </c:pt>
                <c:pt idx="101">
                  <c:v>1.55</c:v>
                </c:pt>
                <c:pt idx="102">
                  <c:v>1.2</c:v>
                </c:pt>
                <c:pt idx="103">
                  <c:v>1.85</c:v>
                </c:pt>
                <c:pt idx="104">
                  <c:v>2.5</c:v>
                </c:pt>
                <c:pt idx="105">
                  <c:v>2.8</c:v>
                </c:pt>
                <c:pt idx="106">
                  <c:v>3.1</c:v>
                </c:pt>
                <c:pt idx="107">
                  <c:v>2.15</c:v>
                </c:pt>
                <c:pt idx="108">
                  <c:v>1.2</c:v>
                </c:pt>
                <c:pt idx="109">
                  <c:v>1.8</c:v>
                </c:pt>
                <c:pt idx="110">
                  <c:v>2.4</c:v>
                </c:pt>
                <c:pt idx="111">
                  <c:v>1.75</c:v>
                </c:pt>
                <c:pt idx="112">
                  <c:v>1.1000000000000001</c:v>
                </c:pt>
                <c:pt idx="113">
                  <c:v>1.45</c:v>
                </c:pt>
                <c:pt idx="114">
                  <c:v>1.8</c:v>
                </c:pt>
                <c:pt idx="115">
                  <c:v>2.5</c:v>
                </c:pt>
                <c:pt idx="116">
                  <c:v>3.2</c:v>
                </c:pt>
                <c:pt idx="117">
                  <c:v>3.05</c:v>
                </c:pt>
                <c:pt idx="118">
                  <c:v>2.9</c:v>
                </c:pt>
                <c:pt idx="119">
                  <c:v>3.25</c:v>
                </c:pt>
                <c:pt idx="120">
                  <c:v>3.6</c:v>
                </c:pt>
                <c:pt idx="121">
                  <c:v>3.4</c:v>
                </c:pt>
                <c:pt idx="122">
                  <c:v>3.2</c:v>
                </c:pt>
                <c:pt idx="123">
                  <c:v>2.8</c:v>
                </c:pt>
                <c:pt idx="124">
                  <c:v>2.4</c:v>
                </c:pt>
                <c:pt idx="125">
                  <c:v>2.7</c:v>
                </c:pt>
                <c:pt idx="126">
                  <c:v>3</c:v>
                </c:pt>
                <c:pt idx="127">
                  <c:v>3.55</c:v>
                </c:pt>
                <c:pt idx="128">
                  <c:v>4.0999999999999996</c:v>
                </c:pt>
                <c:pt idx="129">
                  <c:v>3.65</c:v>
                </c:pt>
                <c:pt idx="130">
                  <c:v>3.2</c:v>
                </c:pt>
                <c:pt idx="131">
                  <c:v>3.25</c:v>
                </c:pt>
                <c:pt idx="132">
                  <c:v>3.3</c:v>
                </c:pt>
                <c:pt idx="133">
                  <c:v>2.9</c:v>
                </c:pt>
                <c:pt idx="134">
                  <c:v>2.5</c:v>
                </c:pt>
                <c:pt idx="135">
                  <c:v>2.5</c:v>
                </c:pt>
                <c:pt idx="136">
                  <c:v>2.5</c:v>
                </c:pt>
                <c:pt idx="137">
                  <c:v>2.15</c:v>
                </c:pt>
                <c:pt idx="138">
                  <c:v>1.8</c:v>
                </c:pt>
                <c:pt idx="139">
                  <c:v>1.7</c:v>
                </c:pt>
                <c:pt idx="140">
                  <c:v>1.6</c:v>
                </c:pt>
                <c:pt idx="141">
                  <c:v>2.0499999999999998</c:v>
                </c:pt>
                <c:pt idx="142">
                  <c:v>2.5</c:v>
                </c:pt>
                <c:pt idx="143">
                  <c:v>3.05</c:v>
                </c:pt>
                <c:pt idx="144">
                  <c:v>3.6</c:v>
                </c:pt>
                <c:pt idx="145">
                  <c:v>3</c:v>
                </c:pt>
                <c:pt idx="146">
                  <c:v>2.4</c:v>
                </c:pt>
                <c:pt idx="147">
                  <c:v>2.35</c:v>
                </c:pt>
                <c:pt idx="148">
                  <c:v>2.2999999999999998</c:v>
                </c:pt>
                <c:pt idx="149">
                  <c:v>2</c:v>
                </c:pt>
                <c:pt idx="150">
                  <c:v>1.7</c:v>
                </c:pt>
                <c:pt idx="151">
                  <c:v>1.7</c:v>
                </c:pt>
                <c:pt idx="152">
                  <c:v>1.7</c:v>
                </c:pt>
                <c:pt idx="153">
                  <c:v>2</c:v>
                </c:pt>
                <c:pt idx="154">
                  <c:v>2.2999999999999998</c:v>
                </c:pt>
                <c:pt idx="155">
                  <c:v>2.2999999999999998</c:v>
                </c:pt>
                <c:pt idx="156">
                  <c:v>2.2999999999999998</c:v>
                </c:pt>
                <c:pt idx="157">
                  <c:v>2.1</c:v>
                </c:pt>
                <c:pt idx="158">
                  <c:v>1.9</c:v>
                </c:pt>
                <c:pt idx="159">
                  <c:v>1.55</c:v>
                </c:pt>
                <c:pt idx="160">
                  <c:v>1.2</c:v>
                </c:pt>
                <c:pt idx="161">
                  <c:v>1.55</c:v>
                </c:pt>
                <c:pt idx="162">
                  <c:v>1.9</c:v>
                </c:pt>
                <c:pt idx="163">
                  <c:v>1.55</c:v>
                </c:pt>
                <c:pt idx="164">
                  <c:v>1.2</c:v>
                </c:pt>
                <c:pt idx="165">
                  <c:v>1.4</c:v>
                </c:pt>
                <c:pt idx="166">
                  <c:v>1.6</c:v>
                </c:pt>
                <c:pt idx="167">
                  <c:v>1.75</c:v>
                </c:pt>
                <c:pt idx="168">
                  <c:v>1.9</c:v>
                </c:pt>
                <c:pt idx="169">
                  <c:v>2.15</c:v>
                </c:pt>
                <c:pt idx="170">
                  <c:v>2.4</c:v>
                </c:pt>
                <c:pt idx="171">
                  <c:v>2.15</c:v>
                </c:pt>
                <c:pt idx="172">
                  <c:v>1.9</c:v>
                </c:pt>
                <c:pt idx="173">
                  <c:v>2.5499999999999998</c:v>
                </c:pt>
                <c:pt idx="174">
                  <c:v>3.2</c:v>
                </c:pt>
                <c:pt idx="175">
                  <c:v>3.4</c:v>
                </c:pt>
                <c:pt idx="176">
                  <c:v>3.6</c:v>
                </c:pt>
                <c:pt idx="177">
                  <c:v>2.75</c:v>
                </c:pt>
                <c:pt idx="178">
                  <c:v>1.9</c:v>
                </c:pt>
                <c:pt idx="179">
                  <c:v>2.2000000000000002</c:v>
                </c:pt>
                <c:pt idx="180">
                  <c:v>2.5</c:v>
                </c:pt>
                <c:pt idx="181">
                  <c:v>2.4500000000000002</c:v>
                </c:pt>
                <c:pt idx="182">
                  <c:v>2.4</c:v>
                </c:pt>
                <c:pt idx="183">
                  <c:v>2.4</c:v>
                </c:pt>
                <c:pt idx="184">
                  <c:v>2.4</c:v>
                </c:pt>
                <c:pt idx="185">
                  <c:v>2.75</c:v>
                </c:pt>
                <c:pt idx="186">
                  <c:v>3.1</c:v>
                </c:pt>
                <c:pt idx="187">
                  <c:v>3.6</c:v>
                </c:pt>
                <c:pt idx="188">
                  <c:v>4.0999999999999996</c:v>
                </c:pt>
                <c:pt idx="189">
                  <c:v>3.25</c:v>
                </c:pt>
                <c:pt idx="190">
                  <c:v>2.4</c:v>
                </c:pt>
                <c:pt idx="191">
                  <c:v>1.8</c:v>
                </c:pt>
                <c:pt idx="192">
                  <c:v>1.2</c:v>
                </c:pt>
                <c:pt idx="193">
                  <c:v>2.4500000000000002</c:v>
                </c:pt>
                <c:pt idx="194">
                  <c:v>3.7</c:v>
                </c:pt>
                <c:pt idx="195">
                  <c:v>2.4</c:v>
                </c:pt>
                <c:pt idx="196">
                  <c:v>1.1000000000000001</c:v>
                </c:pt>
                <c:pt idx="197">
                  <c:v>2</c:v>
                </c:pt>
                <c:pt idx="198">
                  <c:v>2.9</c:v>
                </c:pt>
                <c:pt idx="199">
                  <c:v>3</c:v>
                </c:pt>
                <c:pt idx="200">
                  <c:v>3.1</c:v>
                </c:pt>
                <c:pt idx="201">
                  <c:v>2.8</c:v>
                </c:pt>
                <c:pt idx="202">
                  <c:v>2.5</c:v>
                </c:pt>
                <c:pt idx="203">
                  <c:v>2.7</c:v>
                </c:pt>
                <c:pt idx="204">
                  <c:v>2.9</c:v>
                </c:pt>
                <c:pt idx="205">
                  <c:v>2.7</c:v>
                </c:pt>
                <c:pt idx="206">
                  <c:v>2.5</c:v>
                </c:pt>
                <c:pt idx="207">
                  <c:v>2.5</c:v>
                </c:pt>
                <c:pt idx="208">
                  <c:v>2.5</c:v>
                </c:pt>
                <c:pt idx="209">
                  <c:v>2.5499999999999998</c:v>
                </c:pt>
                <c:pt idx="210">
                  <c:v>2.6</c:v>
                </c:pt>
                <c:pt idx="211">
                  <c:v>2.5</c:v>
                </c:pt>
                <c:pt idx="212">
                  <c:v>2.4</c:v>
                </c:pt>
                <c:pt idx="213">
                  <c:v>2.4500000000000002</c:v>
                </c:pt>
                <c:pt idx="214">
                  <c:v>2.5</c:v>
                </c:pt>
                <c:pt idx="215">
                  <c:v>2.4500000000000002</c:v>
                </c:pt>
                <c:pt idx="216">
                  <c:v>2.4</c:v>
                </c:pt>
                <c:pt idx="217">
                  <c:v>2.4500000000000002</c:v>
                </c:pt>
                <c:pt idx="218">
                  <c:v>2.5</c:v>
                </c:pt>
                <c:pt idx="219">
                  <c:v>2.2000000000000002</c:v>
                </c:pt>
                <c:pt idx="220">
                  <c:v>1.9</c:v>
                </c:pt>
                <c:pt idx="221">
                  <c:v>2.15</c:v>
                </c:pt>
                <c:pt idx="222">
                  <c:v>2.4</c:v>
                </c:pt>
                <c:pt idx="223">
                  <c:v>2.4</c:v>
                </c:pt>
                <c:pt idx="224">
                  <c:v>2.4</c:v>
                </c:pt>
                <c:pt idx="225">
                  <c:v>2.8</c:v>
                </c:pt>
                <c:pt idx="226">
                  <c:v>3.2</c:v>
                </c:pt>
                <c:pt idx="227">
                  <c:v>2.8</c:v>
                </c:pt>
                <c:pt idx="228">
                  <c:v>2.4</c:v>
                </c:pt>
                <c:pt idx="229">
                  <c:v>2.7</c:v>
                </c:pt>
                <c:pt idx="230">
                  <c:v>3</c:v>
                </c:pt>
                <c:pt idx="231">
                  <c:v>3.35</c:v>
                </c:pt>
                <c:pt idx="232">
                  <c:v>3.7</c:v>
                </c:pt>
                <c:pt idx="233">
                  <c:v>3.4</c:v>
                </c:pt>
                <c:pt idx="234">
                  <c:v>3.1</c:v>
                </c:pt>
                <c:pt idx="235">
                  <c:v>2.7</c:v>
                </c:pt>
                <c:pt idx="236">
                  <c:v>2.2999999999999998</c:v>
                </c:pt>
                <c:pt idx="237">
                  <c:v>2.75</c:v>
                </c:pt>
                <c:pt idx="238">
                  <c:v>3.2</c:v>
                </c:pt>
                <c:pt idx="239">
                  <c:v>3.4</c:v>
                </c:pt>
                <c:pt idx="240">
                  <c:v>3.6</c:v>
                </c:pt>
                <c:pt idx="241">
                  <c:v>3.65</c:v>
                </c:pt>
                <c:pt idx="242">
                  <c:v>3.7</c:v>
                </c:pt>
                <c:pt idx="243">
                  <c:v>3.1</c:v>
                </c:pt>
                <c:pt idx="244">
                  <c:v>2.5</c:v>
                </c:pt>
                <c:pt idx="245">
                  <c:v>2.2000000000000002</c:v>
                </c:pt>
                <c:pt idx="246">
                  <c:v>1.9</c:v>
                </c:pt>
                <c:pt idx="247">
                  <c:v>2.5499999999999998</c:v>
                </c:pt>
                <c:pt idx="248">
                  <c:v>3.2</c:v>
                </c:pt>
                <c:pt idx="249">
                  <c:v>3.2</c:v>
                </c:pt>
                <c:pt idx="250">
                  <c:v>3.2</c:v>
                </c:pt>
                <c:pt idx="251">
                  <c:v>2.85</c:v>
                </c:pt>
                <c:pt idx="252">
                  <c:v>2.5</c:v>
                </c:pt>
                <c:pt idx="253">
                  <c:v>2.4</c:v>
                </c:pt>
                <c:pt idx="254">
                  <c:v>2.2999999999999998</c:v>
                </c:pt>
                <c:pt idx="255">
                  <c:v>1.45</c:v>
                </c:pt>
                <c:pt idx="256">
                  <c:v>0.6</c:v>
                </c:pt>
                <c:pt idx="257">
                  <c:v>0.9</c:v>
                </c:pt>
                <c:pt idx="258">
                  <c:v>1.2</c:v>
                </c:pt>
                <c:pt idx="259">
                  <c:v>1.55</c:v>
                </c:pt>
                <c:pt idx="260">
                  <c:v>1.9</c:v>
                </c:pt>
                <c:pt idx="261">
                  <c:v>1.55</c:v>
                </c:pt>
                <c:pt idx="262">
                  <c:v>1.2</c:v>
                </c:pt>
                <c:pt idx="263">
                  <c:v>1.85</c:v>
                </c:pt>
                <c:pt idx="264">
                  <c:v>2.5</c:v>
                </c:pt>
                <c:pt idx="265">
                  <c:v>2.2000000000000002</c:v>
                </c:pt>
                <c:pt idx="266">
                  <c:v>1.9</c:v>
                </c:pt>
                <c:pt idx="267">
                  <c:v>1.9</c:v>
                </c:pt>
                <c:pt idx="268">
                  <c:v>1.9</c:v>
                </c:pt>
                <c:pt idx="269">
                  <c:v>2.5</c:v>
                </c:pt>
                <c:pt idx="270">
                  <c:v>3.1</c:v>
                </c:pt>
                <c:pt idx="271">
                  <c:v>3.35</c:v>
                </c:pt>
                <c:pt idx="272">
                  <c:v>3.6</c:v>
                </c:pt>
                <c:pt idx="273">
                  <c:v>3.1</c:v>
                </c:pt>
                <c:pt idx="274">
                  <c:v>2.6</c:v>
                </c:pt>
                <c:pt idx="275">
                  <c:v>2.5</c:v>
                </c:pt>
                <c:pt idx="276">
                  <c:v>2.4</c:v>
                </c:pt>
                <c:pt idx="277">
                  <c:v>2.35</c:v>
                </c:pt>
                <c:pt idx="278">
                  <c:v>2.2999999999999998</c:v>
                </c:pt>
                <c:pt idx="279">
                  <c:v>1.75</c:v>
                </c:pt>
                <c:pt idx="280">
                  <c:v>1.2</c:v>
                </c:pt>
                <c:pt idx="281">
                  <c:v>1.8</c:v>
                </c:pt>
                <c:pt idx="282">
                  <c:v>2.4</c:v>
                </c:pt>
                <c:pt idx="283">
                  <c:v>2.4</c:v>
                </c:pt>
                <c:pt idx="284">
                  <c:v>2.4</c:v>
                </c:pt>
                <c:pt idx="285">
                  <c:v>2.75</c:v>
                </c:pt>
                <c:pt idx="286">
                  <c:v>3.1</c:v>
                </c:pt>
                <c:pt idx="287">
                  <c:v>3.1</c:v>
                </c:pt>
                <c:pt idx="288">
                  <c:v>3.1</c:v>
                </c:pt>
                <c:pt idx="289">
                  <c:v>3</c:v>
                </c:pt>
                <c:pt idx="290">
                  <c:v>2.9</c:v>
                </c:pt>
                <c:pt idx="291">
                  <c:v>3.05</c:v>
                </c:pt>
                <c:pt idx="292">
                  <c:v>3.2</c:v>
                </c:pt>
                <c:pt idx="293">
                  <c:v>3.05</c:v>
                </c:pt>
                <c:pt idx="294">
                  <c:v>2.9</c:v>
                </c:pt>
                <c:pt idx="295">
                  <c:v>3.25</c:v>
                </c:pt>
                <c:pt idx="296">
                  <c:v>3.6</c:v>
                </c:pt>
                <c:pt idx="297">
                  <c:v>3.4</c:v>
                </c:pt>
                <c:pt idx="298">
                  <c:v>3.2</c:v>
                </c:pt>
                <c:pt idx="299">
                  <c:v>3.15</c:v>
                </c:pt>
                <c:pt idx="300">
                  <c:v>3.1</c:v>
                </c:pt>
                <c:pt idx="301">
                  <c:v>3.15</c:v>
                </c:pt>
                <c:pt idx="302">
                  <c:v>3.2</c:v>
                </c:pt>
                <c:pt idx="303">
                  <c:v>3.2</c:v>
                </c:pt>
                <c:pt idx="304">
                  <c:v>3.2</c:v>
                </c:pt>
                <c:pt idx="305">
                  <c:v>3.25</c:v>
                </c:pt>
                <c:pt idx="306">
                  <c:v>3.3</c:v>
                </c:pt>
                <c:pt idx="307">
                  <c:v>3.1</c:v>
                </c:pt>
                <c:pt idx="308">
                  <c:v>2.9</c:v>
                </c:pt>
                <c:pt idx="309">
                  <c:v>3</c:v>
                </c:pt>
                <c:pt idx="310">
                  <c:v>3.1</c:v>
                </c:pt>
                <c:pt idx="311">
                  <c:v>2.8</c:v>
                </c:pt>
                <c:pt idx="312">
                  <c:v>2.5</c:v>
                </c:pt>
                <c:pt idx="313">
                  <c:v>2.8</c:v>
                </c:pt>
                <c:pt idx="314">
                  <c:v>3.1</c:v>
                </c:pt>
                <c:pt idx="315">
                  <c:v>2.75</c:v>
                </c:pt>
                <c:pt idx="316">
                  <c:v>2.4</c:v>
                </c:pt>
                <c:pt idx="317">
                  <c:v>2.4500000000000002</c:v>
                </c:pt>
                <c:pt idx="318">
                  <c:v>2.5</c:v>
                </c:pt>
                <c:pt idx="319">
                  <c:v>1.85</c:v>
                </c:pt>
                <c:pt idx="320">
                  <c:v>1.2</c:v>
                </c:pt>
                <c:pt idx="321">
                  <c:v>1.5</c:v>
                </c:pt>
                <c:pt idx="322">
                  <c:v>1.8</c:v>
                </c:pt>
                <c:pt idx="323">
                  <c:v>2.1</c:v>
                </c:pt>
                <c:pt idx="324">
                  <c:v>2.4</c:v>
                </c:pt>
                <c:pt idx="325">
                  <c:v>3</c:v>
                </c:pt>
                <c:pt idx="326">
                  <c:v>3.6</c:v>
                </c:pt>
                <c:pt idx="327">
                  <c:v>3.4</c:v>
                </c:pt>
                <c:pt idx="328">
                  <c:v>3.2</c:v>
                </c:pt>
                <c:pt idx="329">
                  <c:v>2.5499999999999998</c:v>
                </c:pt>
                <c:pt idx="330">
                  <c:v>1.9</c:v>
                </c:pt>
                <c:pt idx="331">
                  <c:v>1.25</c:v>
                </c:pt>
                <c:pt idx="332">
                  <c:v>0.6</c:v>
                </c:pt>
                <c:pt idx="333">
                  <c:v>0.85</c:v>
                </c:pt>
                <c:pt idx="334">
                  <c:v>1.1000000000000001</c:v>
                </c:pt>
                <c:pt idx="335">
                  <c:v>1.1499999999999999</c:v>
                </c:pt>
                <c:pt idx="336">
                  <c:v>1.2</c:v>
                </c:pt>
                <c:pt idx="337">
                  <c:v>0.85</c:v>
                </c:pt>
                <c:pt idx="338">
                  <c:v>0.5</c:v>
                </c:pt>
                <c:pt idx="339">
                  <c:v>0.5</c:v>
                </c:pt>
                <c:pt idx="340">
                  <c:v>0.5</c:v>
                </c:pt>
                <c:pt idx="341">
                  <c:v>0.55000000000000004</c:v>
                </c:pt>
                <c:pt idx="342">
                  <c:v>0.6</c:v>
                </c:pt>
                <c:pt idx="343">
                  <c:v>0.6</c:v>
                </c:pt>
                <c:pt idx="344">
                  <c:v>0.6</c:v>
                </c:pt>
                <c:pt idx="345">
                  <c:v>1.45</c:v>
                </c:pt>
                <c:pt idx="346">
                  <c:v>2.2999999999999998</c:v>
                </c:pt>
                <c:pt idx="347">
                  <c:v>1.95</c:v>
                </c:pt>
                <c:pt idx="348">
                  <c:v>1.6</c:v>
                </c:pt>
                <c:pt idx="349">
                  <c:v>1.95</c:v>
                </c:pt>
                <c:pt idx="350">
                  <c:v>2.2999999999999998</c:v>
                </c:pt>
                <c:pt idx="351">
                  <c:v>2.35</c:v>
                </c:pt>
                <c:pt idx="352">
                  <c:v>2.4</c:v>
                </c:pt>
                <c:pt idx="353">
                  <c:v>2.4</c:v>
                </c:pt>
                <c:pt idx="354">
                  <c:v>2.4</c:v>
                </c:pt>
                <c:pt idx="355">
                  <c:v>2.15</c:v>
                </c:pt>
                <c:pt idx="356">
                  <c:v>1.9</c:v>
                </c:pt>
                <c:pt idx="357">
                  <c:v>1.85</c:v>
                </c:pt>
                <c:pt idx="358">
                  <c:v>1.8</c:v>
                </c:pt>
                <c:pt idx="359">
                  <c:v>1.5</c:v>
                </c:pt>
                <c:pt idx="360">
                  <c:v>1.2</c:v>
                </c:pt>
                <c:pt idx="361">
                  <c:v>1.2</c:v>
                </c:pt>
                <c:pt idx="362">
                  <c:v>1.2</c:v>
                </c:pt>
                <c:pt idx="363">
                  <c:v>1.8</c:v>
                </c:pt>
                <c:pt idx="364">
                  <c:v>2.4</c:v>
                </c:pt>
                <c:pt idx="365">
                  <c:v>1.75</c:v>
                </c:pt>
                <c:pt idx="366">
                  <c:v>1.1000000000000001</c:v>
                </c:pt>
                <c:pt idx="367">
                  <c:v>1.5</c:v>
                </c:pt>
                <c:pt idx="368">
                  <c:v>1.9</c:v>
                </c:pt>
                <c:pt idx="369">
                  <c:v>2.4500000000000002</c:v>
                </c:pt>
                <c:pt idx="370">
                  <c:v>3</c:v>
                </c:pt>
                <c:pt idx="371">
                  <c:v>3.1</c:v>
                </c:pt>
                <c:pt idx="372">
                  <c:v>3.2</c:v>
                </c:pt>
                <c:pt idx="373">
                  <c:v>3.4</c:v>
                </c:pt>
                <c:pt idx="374">
                  <c:v>3.6</c:v>
                </c:pt>
                <c:pt idx="375">
                  <c:v>3.35</c:v>
                </c:pt>
                <c:pt idx="376">
                  <c:v>3.1</c:v>
                </c:pt>
                <c:pt idx="377">
                  <c:v>3.7</c:v>
                </c:pt>
                <c:pt idx="378">
                  <c:v>4.3</c:v>
                </c:pt>
                <c:pt idx="379">
                  <c:v>3.85</c:v>
                </c:pt>
                <c:pt idx="380">
                  <c:v>3.4</c:v>
                </c:pt>
                <c:pt idx="381">
                  <c:v>4.0999999999999996</c:v>
                </c:pt>
                <c:pt idx="382">
                  <c:v>4.8</c:v>
                </c:pt>
                <c:pt idx="383">
                  <c:v>4.5999999999999996</c:v>
                </c:pt>
                <c:pt idx="384">
                  <c:v>4.4000000000000004</c:v>
                </c:pt>
                <c:pt idx="385">
                  <c:v>3.8</c:v>
                </c:pt>
                <c:pt idx="386">
                  <c:v>3.2</c:v>
                </c:pt>
                <c:pt idx="387">
                  <c:v>3.5</c:v>
                </c:pt>
                <c:pt idx="388">
                  <c:v>3.8</c:v>
                </c:pt>
                <c:pt idx="389">
                  <c:v>3.35</c:v>
                </c:pt>
                <c:pt idx="390">
                  <c:v>2.9</c:v>
                </c:pt>
                <c:pt idx="391">
                  <c:v>2.65</c:v>
                </c:pt>
                <c:pt idx="392">
                  <c:v>2.4</c:v>
                </c:pt>
                <c:pt idx="393">
                  <c:v>2.15</c:v>
                </c:pt>
                <c:pt idx="394">
                  <c:v>1.9</c:v>
                </c:pt>
                <c:pt idx="395">
                  <c:v>2.1</c:v>
                </c:pt>
                <c:pt idx="396">
                  <c:v>2.2999999999999998</c:v>
                </c:pt>
                <c:pt idx="397">
                  <c:v>1.75</c:v>
                </c:pt>
                <c:pt idx="398">
                  <c:v>1.2</c:v>
                </c:pt>
                <c:pt idx="399">
                  <c:v>1.1499999999999999</c:v>
                </c:pt>
                <c:pt idx="400">
                  <c:v>1.1000000000000001</c:v>
                </c:pt>
                <c:pt idx="401">
                  <c:v>1.1000000000000001</c:v>
                </c:pt>
                <c:pt idx="402">
                  <c:v>1.1000000000000001</c:v>
                </c:pt>
                <c:pt idx="403">
                  <c:v>1.1000000000000001</c:v>
                </c:pt>
                <c:pt idx="404">
                  <c:v>1.1000000000000001</c:v>
                </c:pt>
                <c:pt idx="405">
                  <c:v>1.1000000000000001</c:v>
                </c:pt>
                <c:pt idx="406">
                  <c:v>1.1000000000000001</c:v>
                </c:pt>
                <c:pt idx="407">
                  <c:v>1.75</c:v>
                </c:pt>
                <c:pt idx="408">
                  <c:v>2.4</c:v>
                </c:pt>
                <c:pt idx="409">
                  <c:v>2.15</c:v>
                </c:pt>
                <c:pt idx="410">
                  <c:v>1.9</c:v>
                </c:pt>
                <c:pt idx="411">
                  <c:v>2.1</c:v>
                </c:pt>
                <c:pt idx="412">
                  <c:v>2.2999999999999998</c:v>
                </c:pt>
                <c:pt idx="413">
                  <c:v>2.6</c:v>
                </c:pt>
                <c:pt idx="414">
                  <c:v>2.9</c:v>
                </c:pt>
                <c:pt idx="415">
                  <c:v>3.65</c:v>
                </c:pt>
                <c:pt idx="416">
                  <c:v>4.4000000000000004</c:v>
                </c:pt>
                <c:pt idx="417">
                  <c:v>4.95</c:v>
                </c:pt>
                <c:pt idx="418">
                  <c:v>5.5</c:v>
                </c:pt>
                <c:pt idx="419">
                  <c:v>5.25</c:v>
                </c:pt>
                <c:pt idx="420">
                  <c:v>5</c:v>
                </c:pt>
                <c:pt idx="421">
                  <c:v>5.65</c:v>
                </c:pt>
                <c:pt idx="422">
                  <c:v>6.3</c:v>
                </c:pt>
                <c:pt idx="423">
                  <c:v>8.35</c:v>
                </c:pt>
                <c:pt idx="424">
                  <c:v>10.4</c:v>
                </c:pt>
                <c:pt idx="425">
                  <c:v>10.95</c:v>
                </c:pt>
                <c:pt idx="426">
                  <c:v>11.5</c:v>
                </c:pt>
                <c:pt idx="427">
                  <c:v>13.6</c:v>
                </c:pt>
                <c:pt idx="428">
                  <c:v>15.7</c:v>
                </c:pt>
                <c:pt idx="429">
                  <c:v>16.850000000000001</c:v>
                </c:pt>
                <c:pt idx="430">
                  <c:v>18</c:v>
                </c:pt>
                <c:pt idx="431">
                  <c:v>16.8</c:v>
                </c:pt>
                <c:pt idx="432">
                  <c:v>15.6</c:v>
                </c:pt>
                <c:pt idx="433">
                  <c:v>14.75</c:v>
                </c:pt>
                <c:pt idx="434">
                  <c:v>13.9</c:v>
                </c:pt>
                <c:pt idx="435">
                  <c:v>13.6</c:v>
                </c:pt>
                <c:pt idx="436">
                  <c:v>13.3</c:v>
                </c:pt>
                <c:pt idx="437">
                  <c:v>13.05</c:v>
                </c:pt>
                <c:pt idx="438">
                  <c:v>12.8</c:v>
                </c:pt>
                <c:pt idx="439">
                  <c:v>13.15</c:v>
                </c:pt>
                <c:pt idx="440">
                  <c:v>13.5</c:v>
                </c:pt>
                <c:pt idx="441">
                  <c:v>13.2</c:v>
                </c:pt>
                <c:pt idx="442">
                  <c:v>12.9</c:v>
                </c:pt>
                <c:pt idx="443">
                  <c:v>12.95</c:v>
                </c:pt>
                <c:pt idx="444">
                  <c:v>13</c:v>
                </c:pt>
                <c:pt idx="445">
                  <c:v>12.25</c:v>
                </c:pt>
                <c:pt idx="446">
                  <c:v>11.5</c:v>
                </c:pt>
                <c:pt idx="447">
                  <c:v>11.9</c:v>
                </c:pt>
                <c:pt idx="448">
                  <c:v>12.3</c:v>
                </c:pt>
                <c:pt idx="449">
                  <c:v>12.3</c:v>
                </c:pt>
                <c:pt idx="450">
                  <c:v>12.3</c:v>
                </c:pt>
                <c:pt idx="451">
                  <c:v>10.4</c:v>
                </c:pt>
                <c:pt idx="452">
                  <c:v>8.5</c:v>
                </c:pt>
                <c:pt idx="453">
                  <c:v>9.3000000000000007</c:v>
                </c:pt>
                <c:pt idx="454">
                  <c:v>10.1</c:v>
                </c:pt>
                <c:pt idx="455">
                  <c:v>10.75</c:v>
                </c:pt>
                <c:pt idx="456">
                  <c:v>11.4</c:v>
                </c:pt>
                <c:pt idx="457">
                  <c:v>11.25</c:v>
                </c:pt>
                <c:pt idx="458">
                  <c:v>11.1</c:v>
                </c:pt>
                <c:pt idx="459">
                  <c:v>12.45</c:v>
                </c:pt>
                <c:pt idx="460">
                  <c:v>13.8</c:v>
                </c:pt>
                <c:pt idx="461">
                  <c:v>15.55</c:v>
                </c:pt>
                <c:pt idx="462">
                  <c:v>17.3</c:v>
                </c:pt>
                <c:pt idx="463">
                  <c:v>16.850000000000001</c:v>
                </c:pt>
                <c:pt idx="464">
                  <c:v>16.399999999999999</c:v>
                </c:pt>
                <c:pt idx="465">
                  <c:v>16.55</c:v>
                </c:pt>
                <c:pt idx="466">
                  <c:v>16.7</c:v>
                </c:pt>
                <c:pt idx="467">
                  <c:v>16.3</c:v>
                </c:pt>
                <c:pt idx="468">
                  <c:v>15.9</c:v>
                </c:pt>
                <c:pt idx="469">
                  <c:v>15.85</c:v>
                </c:pt>
                <c:pt idx="470">
                  <c:v>15.8</c:v>
                </c:pt>
                <c:pt idx="471">
                  <c:v>15.95</c:v>
                </c:pt>
                <c:pt idx="472">
                  <c:v>16.100000000000001</c:v>
                </c:pt>
                <c:pt idx="473">
                  <c:v>16.149999999999999</c:v>
                </c:pt>
                <c:pt idx="474">
                  <c:v>16.2</c:v>
                </c:pt>
                <c:pt idx="475">
                  <c:v>15.85</c:v>
                </c:pt>
                <c:pt idx="476">
                  <c:v>15.5</c:v>
                </c:pt>
                <c:pt idx="477">
                  <c:v>15.15</c:v>
                </c:pt>
                <c:pt idx="478">
                  <c:v>14.8</c:v>
                </c:pt>
                <c:pt idx="479">
                  <c:v>14.8</c:v>
                </c:pt>
                <c:pt idx="480">
                  <c:v>14.8</c:v>
                </c:pt>
                <c:pt idx="481">
                  <c:v>14.65</c:v>
                </c:pt>
                <c:pt idx="482">
                  <c:v>14.5</c:v>
                </c:pt>
                <c:pt idx="483">
                  <c:v>14</c:v>
                </c:pt>
                <c:pt idx="484">
                  <c:v>13.5</c:v>
                </c:pt>
                <c:pt idx="485">
                  <c:v>14.15</c:v>
                </c:pt>
                <c:pt idx="486">
                  <c:v>14.8</c:v>
                </c:pt>
                <c:pt idx="487">
                  <c:v>15.85</c:v>
                </c:pt>
                <c:pt idx="488">
                  <c:v>16.899999999999999</c:v>
                </c:pt>
                <c:pt idx="489">
                  <c:v>22.5</c:v>
                </c:pt>
                <c:pt idx="490">
                  <c:v>28.1</c:v>
                </c:pt>
                <c:pt idx="491">
                  <c:v>31.75</c:v>
                </c:pt>
                <c:pt idx="492">
                  <c:v>35.4</c:v>
                </c:pt>
                <c:pt idx="493">
                  <c:v>39.450000000000003</c:v>
                </c:pt>
                <c:pt idx="494">
                  <c:v>43.5</c:v>
                </c:pt>
                <c:pt idx="495">
                  <c:v>42.9</c:v>
                </c:pt>
                <c:pt idx="496">
                  <c:v>42.3</c:v>
                </c:pt>
                <c:pt idx="497">
                  <c:v>40.700000000000003</c:v>
                </c:pt>
                <c:pt idx="498">
                  <c:v>39.1</c:v>
                </c:pt>
                <c:pt idx="499">
                  <c:v>38.25</c:v>
                </c:pt>
                <c:pt idx="500">
                  <c:v>37.4</c:v>
                </c:pt>
                <c:pt idx="501">
                  <c:v>40.450000000000003</c:v>
                </c:pt>
                <c:pt idx="502">
                  <c:v>43.5</c:v>
                </c:pt>
                <c:pt idx="503">
                  <c:v>47.05</c:v>
                </c:pt>
                <c:pt idx="504">
                  <c:v>50.6</c:v>
                </c:pt>
                <c:pt idx="505">
                  <c:v>52.25</c:v>
                </c:pt>
                <c:pt idx="506">
                  <c:v>53.9</c:v>
                </c:pt>
                <c:pt idx="507">
                  <c:v>59.35</c:v>
                </c:pt>
                <c:pt idx="508">
                  <c:v>64.8</c:v>
                </c:pt>
                <c:pt idx="509">
                  <c:v>66.25</c:v>
                </c:pt>
                <c:pt idx="510">
                  <c:v>67.7</c:v>
                </c:pt>
                <c:pt idx="511">
                  <c:v>59.5</c:v>
                </c:pt>
                <c:pt idx="512">
                  <c:v>51.3</c:v>
                </c:pt>
                <c:pt idx="513">
                  <c:v>53.4</c:v>
                </c:pt>
                <c:pt idx="514">
                  <c:v>55.5</c:v>
                </c:pt>
                <c:pt idx="515">
                  <c:v>69.75</c:v>
                </c:pt>
                <c:pt idx="516">
                  <c:v>84</c:v>
                </c:pt>
                <c:pt idx="517">
                  <c:v>82.9</c:v>
                </c:pt>
                <c:pt idx="518">
                  <c:v>81.8</c:v>
                </c:pt>
                <c:pt idx="519">
                  <c:v>86.75</c:v>
                </c:pt>
                <c:pt idx="520">
                  <c:v>91.7</c:v>
                </c:pt>
                <c:pt idx="521">
                  <c:v>181.35</c:v>
                </c:pt>
                <c:pt idx="522">
                  <c:v>271</c:v>
                </c:pt>
                <c:pt idx="523">
                  <c:v>272</c:v>
                </c:pt>
                <c:pt idx="524">
                  <c:v>273</c:v>
                </c:pt>
                <c:pt idx="525">
                  <c:v>208.1</c:v>
                </c:pt>
                <c:pt idx="526">
                  <c:v>143.19999999999999</c:v>
                </c:pt>
                <c:pt idx="527">
                  <c:v>149.44999999999999</c:v>
                </c:pt>
                <c:pt idx="528">
                  <c:v>155.69999999999999</c:v>
                </c:pt>
                <c:pt idx="529">
                  <c:v>172.4</c:v>
                </c:pt>
                <c:pt idx="530">
                  <c:v>189.1</c:v>
                </c:pt>
                <c:pt idx="531">
                  <c:v>266.25</c:v>
                </c:pt>
                <c:pt idx="532">
                  <c:v>343.4</c:v>
                </c:pt>
                <c:pt idx="533">
                  <c:v>250.05</c:v>
                </c:pt>
                <c:pt idx="534">
                  <c:v>156.69999999999999</c:v>
                </c:pt>
                <c:pt idx="535">
                  <c:v>147.75</c:v>
                </c:pt>
                <c:pt idx="536">
                  <c:v>138.80000000000001</c:v>
                </c:pt>
                <c:pt idx="537">
                  <c:v>127.8</c:v>
                </c:pt>
                <c:pt idx="538">
                  <c:v>116.8</c:v>
                </c:pt>
                <c:pt idx="539">
                  <c:v>114.35</c:v>
                </c:pt>
                <c:pt idx="540">
                  <c:v>111.9</c:v>
                </c:pt>
                <c:pt idx="541">
                  <c:v>102.15</c:v>
                </c:pt>
                <c:pt idx="542">
                  <c:v>92.4</c:v>
                </c:pt>
                <c:pt idx="543">
                  <c:v>85.95</c:v>
                </c:pt>
                <c:pt idx="544">
                  <c:v>79.5</c:v>
                </c:pt>
                <c:pt idx="545">
                  <c:v>80.2</c:v>
                </c:pt>
                <c:pt idx="546">
                  <c:v>80.900000000000006</c:v>
                </c:pt>
                <c:pt idx="547">
                  <c:v>86.65</c:v>
                </c:pt>
                <c:pt idx="548">
                  <c:v>92.4</c:v>
                </c:pt>
                <c:pt idx="549">
                  <c:v>90.5</c:v>
                </c:pt>
                <c:pt idx="550">
                  <c:v>88.6</c:v>
                </c:pt>
                <c:pt idx="551">
                  <c:v>115.2</c:v>
                </c:pt>
                <c:pt idx="552">
                  <c:v>141.80000000000001</c:v>
                </c:pt>
                <c:pt idx="553">
                  <c:v>173.55</c:v>
                </c:pt>
                <c:pt idx="554">
                  <c:v>205.3</c:v>
                </c:pt>
                <c:pt idx="555">
                  <c:v>322.8</c:v>
                </c:pt>
                <c:pt idx="556">
                  <c:v>440.3</c:v>
                </c:pt>
                <c:pt idx="557">
                  <c:v>382.35</c:v>
                </c:pt>
                <c:pt idx="558">
                  <c:v>324.39999999999998</c:v>
                </c:pt>
                <c:pt idx="559">
                  <c:v>234.75</c:v>
                </c:pt>
                <c:pt idx="560">
                  <c:v>145.1</c:v>
                </c:pt>
                <c:pt idx="561">
                  <c:v>155.85</c:v>
                </c:pt>
                <c:pt idx="562">
                  <c:v>166.6</c:v>
                </c:pt>
                <c:pt idx="563">
                  <c:v>180.1</c:v>
                </c:pt>
                <c:pt idx="564">
                  <c:v>193.6</c:v>
                </c:pt>
                <c:pt idx="565">
                  <c:v>187.25</c:v>
                </c:pt>
                <c:pt idx="566">
                  <c:v>180.9</c:v>
                </c:pt>
                <c:pt idx="567">
                  <c:v>189.9</c:v>
                </c:pt>
                <c:pt idx="568">
                  <c:v>198.9</c:v>
                </c:pt>
                <c:pt idx="569">
                  <c:v>193.45</c:v>
                </c:pt>
                <c:pt idx="570">
                  <c:v>188</c:v>
                </c:pt>
                <c:pt idx="571">
                  <c:v>190</c:v>
                </c:pt>
                <c:pt idx="572">
                  <c:v>192</c:v>
                </c:pt>
                <c:pt idx="573">
                  <c:v>186.5</c:v>
                </c:pt>
                <c:pt idx="574">
                  <c:v>181</c:v>
                </c:pt>
                <c:pt idx="575">
                  <c:v>178.35</c:v>
                </c:pt>
                <c:pt idx="576">
                  <c:v>175.7</c:v>
                </c:pt>
                <c:pt idx="577">
                  <c:v>186.3</c:v>
                </c:pt>
                <c:pt idx="578">
                  <c:v>196.9</c:v>
                </c:pt>
                <c:pt idx="579">
                  <c:v>190.7</c:v>
                </c:pt>
                <c:pt idx="580">
                  <c:v>184.5</c:v>
                </c:pt>
                <c:pt idx="581">
                  <c:v>166.35</c:v>
                </c:pt>
                <c:pt idx="582">
                  <c:v>148.19999999999999</c:v>
                </c:pt>
                <c:pt idx="583">
                  <c:v>138.55000000000001</c:v>
                </c:pt>
                <c:pt idx="584">
                  <c:v>128.9</c:v>
                </c:pt>
                <c:pt idx="585">
                  <c:v>127.75</c:v>
                </c:pt>
                <c:pt idx="586">
                  <c:v>126.6</c:v>
                </c:pt>
                <c:pt idx="587">
                  <c:v>129.05000000000001</c:v>
                </c:pt>
                <c:pt idx="588">
                  <c:v>131.5</c:v>
                </c:pt>
                <c:pt idx="589">
                  <c:v>150.80000000000001</c:v>
                </c:pt>
                <c:pt idx="590">
                  <c:v>170.1</c:v>
                </c:pt>
                <c:pt idx="591">
                  <c:v>153.4</c:v>
                </c:pt>
                <c:pt idx="592">
                  <c:v>136.69999999999999</c:v>
                </c:pt>
                <c:pt idx="593">
                  <c:v>115.3</c:v>
                </c:pt>
                <c:pt idx="594">
                  <c:v>93.9</c:v>
                </c:pt>
                <c:pt idx="595">
                  <c:v>84.3</c:v>
                </c:pt>
                <c:pt idx="596">
                  <c:v>74.7</c:v>
                </c:pt>
                <c:pt idx="597">
                  <c:v>107.75</c:v>
                </c:pt>
                <c:pt idx="598">
                  <c:v>140.80000000000001</c:v>
                </c:pt>
                <c:pt idx="599">
                  <c:v>137.65</c:v>
                </c:pt>
                <c:pt idx="600">
                  <c:v>134.5</c:v>
                </c:pt>
                <c:pt idx="601">
                  <c:v>165.2</c:v>
                </c:pt>
                <c:pt idx="602">
                  <c:v>195.9</c:v>
                </c:pt>
                <c:pt idx="603">
                  <c:v>183.85</c:v>
                </c:pt>
                <c:pt idx="604">
                  <c:v>171.8</c:v>
                </c:pt>
                <c:pt idx="605">
                  <c:v>147</c:v>
                </c:pt>
                <c:pt idx="606">
                  <c:v>122.2</c:v>
                </c:pt>
                <c:pt idx="607">
                  <c:v>111.05</c:v>
                </c:pt>
                <c:pt idx="608">
                  <c:v>99.9</c:v>
                </c:pt>
                <c:pt idx="609">
                  <c:v>116.6</c:v>
                </c:pt>
                <c:pt idx="610">
                  <c:v>133.30000000000001</c:v>
                </c:pt>
                <c:pt idx="611">
                  <c:v>148</c:v>
                </c:pt>
                <c:pt idx="612">
                  <c:v>162.69999999999999</c:v>
                </c:pt>
                <c:pt idx="613">
                  <c:v>330.7</c:v>
                </c:pt>
                <c:pt idx="614">
                  <c:v>498.7</c:v>
                </c:pt>
                <c:pt idx="615">
                  <c:v>510.3</c:v>
                </c:pt>
                <c:pt idx="616">
                  <c:v>521.9</c:v>
                </c:pt>
                <c:pt idx="617">
                  <c:v>451.25</c:v>
                </c:pt>
                <c:pt idx="618">
                  <c:v>380.6</c:v>
                </c:pt>
                <c:pt idx="619">
                  <c:v>397.2</c:v>
                </c:pt>
                <c:pt idx="620">
                  <c:v>413.8</c:v>
                </c:pt>
                <c:pt idx="621">
                  <c:v>340.95</c:v>
                </c:pt>
                <c:pt idx="622">
                  <c:v>268.10000000000002</c:v>
                </c:pt>
                <c:pt idx="623">
                  <c:v>240.6</c:v>
                </c:pt>
                <c:pt idx="624">
                  <c:v>213.1</c:v>
                </c:pt>
                <c:pt idx="625">
                  <c:v>222.6</c:v>
                </c:pt>
                <c:pt idx="626">
                  <c:v>232.1</c:v>
                </c:pt>
                <c:pt idx="627">
                  <c:v>249.9</c:v>
                </c:pt>
                <c:pt idx="628">
                  <c:v>267.7</c:v>
                </c:pt>
                <c:pt idx="629">
                  <c:v>227.8</c:v>
                </c:pt>
                <c:pt idx="630">
                  <c:v>187.9</c:v>
                </c:pt>
                <c:pt idx="631">
                  <c:v>193.35</c:v>
                </c:pt>
                <c:pt idx="632">
                  <c:v>198.8</c:v>
                </c:pt>
                <c:pt idx="633">
                  <c:v>216</c:v>
                </c:pt>
                <c:pt idx="634">
                  <c:v>233.2</c:v>
                </c:pt>
                <c:pt idx="635">
                  <c:v>246.9</c:v>
                </c:pt>
                <c:pt idx="636">
                  <c:v>260.60000000000002</c:v>
                </c:pt>
                <c:pt idx="637">
                  <c:v>267.85000000000002</c:v>
                </c:pt>
                <c:pt idx="638">
                  <c:v>275.10000000000002</c:v>
                </c:pt>
                <c:pt idx="639">
                  <c:v>388.9</c:v>
                </c:pt>
                <c:pt idx="640">
                  <c:v>502.7</c:v>
                </c:pt>
                <c:pt idx="641">
                  <c:v>377.7</c:v>
                </c:pt>
                <c:pt idx="642">
                  <c:v>252.7</c:v>
                </c:pt>
                <c:pt idx="643">
                  <c:v>251.35</c:v>
                </c:pt>
                <c:pt idx="644">
                  <c:v>250</c:v>
                </c:pt>
                <c:pt idx="645">
                  <c:v>262.39999999999998</c:v>
                </c:pt>
                <c:pt idx="646">
                  <c:v>274.8</c:v>
                </c:pt>
                <c:pt idx="647">
                  <c:v>303.85000000000002</c:v>
                </c:pt>
                <c:pt idx="648">
                  <c:v>332.9</c:v>
                </c:pt>
                <c:pt idx="649">
                  <c:v>322.3</c:v>
                </c:pt>
                <c:pt idx="650">
                  <c:v>311.7</c:v>
                </c:pt>
                <c:pt idx="651">
                  <c:v>292.5</c:v>
                </c:pt>
                <c:pt idx="652">
                  <c:v>273.3</c:v>
                </c:pt>
                <c:pt idx="653">
                  <c:v>264.85000000000002</c:v>
                </c:pt>
                <c:pt idx="654">
                  <c:v>256.39999999999998</c:v>
                </c:pt>
                <c:pt idx="655">
                  <c:v>236.95</c:v>
                </c:pt>
                <c:pt idx="656">
                  <c:v>217.5</c:v>
                </c:pt>
                <c:pt idx="657">
                  <c:v>203</c:v>
                </c:pt>
                <c:pt idx="658">
                  <c:v>188.5</c:v>
                </c:pt>
                <c:pt idx="659">
                  <c:v>183.55</c:v>
                </c:pt>
                <c:pt idx="660">
                  <c:v>178.6</c:v>
                </c:pt>
                <c:pt idx="661">
                  <c:v>190.65</c:v>
                </c:pt>
                <c:pt idx="662">
                  <c:v>202.7</c:v>
                </c:pt>
                <c:pt idx="663">
                  <c:v>218.4</c:v>
                </c:pt>
                <c:pt idx="664">
                  <c:v>234.1</c:v>
                </c:pt>
                <c:pt idx="665">
                  <c:v>272.60000000000002</c:v>
                </c:pt>
                <c:pt idx="666">
                  <c:v>311.10000000000002</c:v>
                </c:pt>
                <c:pt idx="667">
                  <c:v>276.75</c:v>
                </c:pt>
                <c:pt idx="668">
                  <c:v>242.4</c:v>
                </c:pt>
                <c:pt idx="669">
                  <c:v>257.95</c:v>
                </c:pt>
                <c:pt idx="670">
                  <c:v>273.5</c:v>
                </c:pt>
                <c:pt idx="671">
                  <c:v>232.4</c:v>
                </c:pt>
                <c:pt idx="672">
                  <c:v>191.3</c:v>
                </c:pt>
                <c:pt idx="673">
                  <c:v>199.15</c:v>
                </c:pt>
                <c:pt idx="674">
                  <c:v>207</c:v>
                </c:pt>
                <c:pt idx="675">
                  <c:v>243.95</c:v>
                </c:pt>
                <c:pt idx="676">
                  <c:v>280.89999999999998</c:v>
                </c:pt>
                <c:pt idx="677">
                  <c:v>352.05</c:v>
                </c:pt>
                <c:pt idx="678">
                  <c:v>423.2</c:v>
                </c:pt>
                <c:pt idx="679">
                  <c:v>464.1</c:v>
                </c:pt>
                <c:pt idx="680">
                  <c:v>505</c:v>
                </c:pt>
                <c:pt idx="681">
                  <c:v>504.25</c:v>
                </c:pt>
                <c:pt idx="682">
                  <c:v>503.5</c:v>
                </c:pt>
                <c:pt idx="683">
                  <c:v>411.25</c:v>
                </c:pt>
                <c:pt idx="684">
                  <c:v>319</c:v>
                </c:pt>
                <c:pt idx="685">
                  <c:v>278.7</c:v>
                </c:pt>
                <c:pt idx="686">
                  <c:v>238.4</c:v>
                </c:pt>
                <c:pt idx="687">
                  <c:v>246.5</c:v>
                </c:pt>
                <c:pt idx="688">
                  <c:v>254.6</c:v>
                </c:pt>
                <c:pt idx="689">
                  <c:v>226.05</c:v>
                </c:pt>
                <c:pt idx="690">
                  <c:v>197.5</c:v>
                </c:pt>
                <c:pt idx="691">
                  <c:v>210.5</c:v>
                </c:pt>
                <c:pt idx="692">
                  <c:v>223.5</c:v>
                </c:pt>
                <c:pt idx="693">
                  <c:v>241.55</c:v>
                </c:pt>
                <c:pt idx="694">
                  <c:v>259.60000000000002</c:v>
                </c:pt>
                <c:pt idx="695">
                  <c:v>436.75</c:v>
                </c:pt>
                <c:pt idx="696">
                  <c:v>613.9</c:v>
                </c:pt>
                <c:pt idx="697">
                  <c:v>390.2</c:v>
                </c:pt>
                <c:pt idx="698">
                  <c:v>166.5</c:v>
                </c:pt>
                <c:pt idx="699">
                  <c:v>185.7</c:v>
                </c:pt>
                <c:pt idx="700">
                  <c:v>204.9</c:v>
                </c:pt>
                <c:pt idx="701">
                  <c:v>218.45</c:v>
                </c:pt>
                <c:pt idx="702">
                  <c:v>232</c:v>
                </c:pt>
                <c:pt idx="703">
                  <c:v>218.05</c:v>
                </c:pt>
                <c:pt idx="704">
                  <c:v>204.1</c:v>
                </c:pt>
                <c:pt idx="705">
                  <c:v>180.8</c:v>
                </c:pt>
                <c:pt idx="706">
                  <c:v>157.5</c:v>
                </c:pt>
                <c:pt idx="707">
                  <c:v>142.25</c:v>
                </c:pt>
                <c:pt idx="708">
                  <c:v>127</c:v>
                </c:pt>
                <c:pt idx="709">
                  <c:v>123.55</c:v>
                </c:pt>
                <c:pt idx="710">
                  <c:v>120.1</c:v>
                </c:pt>
                <c:pt idx="711">
                  <c:v>127.05</c:v>
                </c:pt>
                <c:pt idx="712">
                  <c:v>134</c:v>
                </c:pt>
                <c:pt idx="713">
                  <c:v>139.44999999999999</c:v>
                </c:pt>
                <c:pt idx="714">
                  <c:v>144.9</c:v>
                </c:pt>
                <c:pt idx="715">
                  <c:v>145.65</c:v>
                </c:pt>
                <c:pt idx="716">
                  <c:v>146.4</c:v>
                </c:pt>
                <c:pt idx="717">
                  <c:v>141</c:v>
                </c:pt>
                <c:pt idx="718">
                  <c:v>135.6</c:v>
                </c:pt>
                <c:pt idx="719">
                  <c:v>142.9</c:v>
                </c:pt>
                <c:pt idx="720">
                  <c:v>150.19999999999999</c:v>
                </c:pt>
                <c:pt idx="721">
                  <c:v>163.6</c:v>
                </c:pt>
                <c:pt idx="722">
                  <c:v>177</c:v>
                </c:pt>
                <c:pt idx="723">
                  <c:v>183.25</c:v>
                </c:pt>
                <c:pt idx="724">
                  <c:v>189.5</c:v>
                </c:pt>
                <c:pt idx="725">
                  <c:v>195.6</c:v>
                </c:pt>
                <c:pt idx="726">
                  <c:v>201.7</c:v>
                </c:pt>
                <c:pt idx="727">
                  <c:v>204.2</c:v>
                </c:pt>
                <c:pt idx="728">
                  <c:v>206.7</c:v>
                </c:pt>
                <c:pt idx="729">
                  <c:v>207.8</c:v>
                </c:pt>
                <c:pt idx="730">
                  <c:v>208.9</c:v>
                </c:pt>
                <c:pt idx="731">
                  <c:v>194.1</c:v>
                </c:pt>
                <c:pt idx="732">
                  <c:v>179.3</c:v>
                </c:pt>
                <c:pt idx="733">
                  <c:v>161.30000000000001</c:v>
                </c:pt>
                <c:pt idx="734">
                  <c:v>143.30000000000001</c:v>
                </c:pt>
                <c:pt idx="735">
                  <c:v>135.25</c:v>
                </c:pt>
                <c:pt idx="736">
                  <c:v>127.2</c:v>
                </c:pt>
                <c:pt idx="737">
                  <c:v>124.5</c:v>
                </c:pt>
                <c:pt idx="738">
                  <c:v>121.8</c:v>
                </c:pt>
                <c:pt idx="739">
                  <c:v>134.05000000000001</c:v>
                </c:pt>
                <c:pt idx="740">
                  <c:v>146.30000000000001</c:v>
                </c:pt>
                <c:pt idx="741">
                  <c:v>155.75</c:v>
                </c:pt>
                <c:pt idx="742">
                  <c:v>165.2</c:v>
                </c:pt>
                <c:pt idx="743">
                  <c:v>162.1</c:v>
                </c:pt>
                <c:pt idx="744">
                  <c:v>159</c:v>
                </c:pt>
                <c:pt idx="745">
                  <c:v>159.44999999999999</c:v>
                </c:pt>
                <c:pt idx="746">
                  <c:v>159.9</c:v>
                </c:pt>
                <c:pt idx="747">
                  <c:v>186.15</c:v>
                </c:pt>
                <c:pt idx="748">
                  <c:v>212.4</c:v>
                </c:pt>
                <c:pt idx="749">
                  <c:v>221.5</c:v>
                </c:pt>
                <c:pt idx="750">
                  <c:v>230.6</c:v>
                </c:pt>
                <c:pt idx="751">
                  <c:v>246.5</c:v>
                </c:pt>
                <c:pt idx="752">
                  <c:v>262.39999999999998</c:v>
                </c:pt>
                <c:pt idx="753">
                  <c:v>269.55</c:v>
                </c:pt>
                <c:pt idx="754">
                  <c:v>276.7</c:v>
                </c:pt>
                <c:pt idx="755">
                  <c:v>265.95</c:v>
                </c:pt>
                <c:pt idx="756">
                  <c:v>255.2</c:v>
                </c:pt>
                <c:pt idx="757">
                  <c:v>243.05</c:v>
                </c:pt>
                <c:pt idx="758">
                  <c:v>230.9</c:v>
                </c:pt>
                <c:pt idx="759">
                  <c:v>231.5</c:v>
                </c:pt>
                <c:pt idx="760">
                  <c:v>232.1</c:v>
                </c:pt>
                <c:pt idx="761">
                  <c:v>231.7</c:v>
                </c:pt>
                <c:pt idx="762">
                  <c:v>231.3</c:v>
                </c:pt>
                <c:pt idx="763">
                  <c:v>211.35</c:v>
                </c:pt>
                <c:pt idx="764">
                  <c:v>191.4</c:v>
                </c:pt>
                <c:pt idx="765">
                  <c:v>175.85</c:v>
                </c:pt>
                <c:pt idx="766">
                  <c:v>160.30000000000001</c:v>
                </c:pt>
                <c:pt idx="767">
                  <c:v>192.9</c:v>
                </c:pt>
                <c:pt idx="768">
                  <c:v>225.5</c:v>
                </c:pt>
                <c:pt idx="769">
                  <c:v>212.95</c:v>
                </c:pt>
                <c:pt idx="770">
                  <c:v>200.4</c:v>
                </c:pt>
                <c:pt idx="771">
                  <c:v>189.85</c:v>
                </c:pt>
                <c:pt idx="772">
                  <c:v>179.3</c:v>
                </c:pt>
                <c:pt idx="773">
                  <c:v>196.9</c:v>
                </c:pt>
                <c:pt idx="774">
                  <c:v>214.5</c:v>
                </c:pt>
                <c:pt idx="775">
                  <c:v>397.45</c:v>
                </c:pt>
                <c:pt idx="776">
                  <c:v>580.4</c:v>
                </c:pt>
                <c:pt idx="777">
                  <c:v>464</c:v>
                </c:pt>
                <c:pt idx="778">
                  <c:v>347.6</c:v>
                </c:pt>
                <c:pt idx="779">
                  <c:v>297.89999999999998</c:v>
                </c:pt>
                <c:pt idx="780">
                  <c:v>248.2</c:v>
                </c:pt>
                <c:pt idx="781">
                  <c:v>253.1</c:v>
                </c:pt>
                <c:pt idx="782">
                  <c:v>258</c:v>
                </c:pt>
                <c:pt idx="783">
                  <c:v>296.95</c:v>
                </c:pt>
                <c:pt idx="784">
                  <c:v>335.9</c:v>
                </c:pt>
                <c:pt idx="785">
                  <c:v>295.64999999999998</c:v>
                </c:pt>
                <c:pt idx="786">
                  <c:v>255.4</c:v>
                </c:pt>
                <c:pt idx="787">
                  <c:v>247.25</c:v>
                </c:pt>
                <c:pt idx="788">
                  <c:v>239.1</c:v>
                </c:pt>
                <c:pt idx="789">
                  <c:v>241.3</c:v>
                </c:pt>
                <c:pt idx="790">
                  <c:v>243.5</c:v>
                </c:pt>
                <c:pt idx="791">
                  <c:v>234.3</c:v>
                </c:pt>
                <c:pt idx="792">
                  <c:v>225.1</c:v>
                </c:pt>
                <c:pt idx="793">
                  <c:v>205.3</c:v>
                </c:pt>
                <c:pt idx="794">
                  <c:v>185.5</c:v>
                </c:pt>
                <c:pt idx="795">
                  <c:v>186.15</c:v>
                </c:pt>
                <c:pt idx="796">
                  <c:v>186.8</c:v>
                </c:pt>
                <c:pt idx="797">
                  <c:v>187.55</c:v>
                </c:pt>
                <c:pt idx="798">
                  <c:v>188.3</c:v>
                </c:pt>
                <c:pt idx="799">
                  <c:v>190.3</c:v>
                </c:pt>
                <c:pt idx="800">
                  <c:v>192.3</c:v>
                </c:pt>
                <c:pt idx="801">
                  <c:v>187.45</c:v>
                </c:pt>
                <c:pt idx="802">
                  <c:v>182.6</c:v>
                </c:pt>
                <c:pt idx="803">
                  <c:v>186.8</c:v>
                </c:pt>
                <c:pt idx="804">
                  <c:v>191</c:v>
                </c:pt>
                <c:pt idx="805">
                  <c:v>189.15</c:v>
                </c:pt>
                <c:pt idx="806">
                  <c:v>187.3</c:v>
                </c:pt>
                <c:pt idx="807">
                  <c:v>182.85</c:v>
                </c:pt>
                <c:pt idx="808">
                  <c:v>178.4</c:v>
                </c:pt>
                <c:pt idx="809">
                  <c:v>188.2</c:v>
                </c:pt>
                <c:pt idx="810">
                  <c:v>198</c:v>
                </c:pt>
                <c:pt idx="811">
                  <c:v>222.7</c:v>
                </c:pt>
                <c:pt idx="812">
                  <c:v>247.4</c:v>
                </c:pt>
                <c:pt idx="813">
                  <c:v>350.3</c:v>
                </c:pt>
                <c:pt idx="814">
                  <c:v>453.2</c:v>
                </c:pt>
                <c:pt idx="815">
                  <c:v>466.15</c:v>
                </c:pt>
                <c:pt idx="816">
                  <c:v>479.1</c:v>
                </c:pt>
                <c:pt idx="817">
                  <c:v>460.85</c:v>
                </c:pt>
                <c:pt idx="818">
                  <c:v>442.6</c:v>
                </c:pt>
                <c:pt idx="819">
                  <c:v>452.35</c:v>
                </c:pt>
                <c:pt idx="820">
                  <c:v>462.1</c:v>
                </c:pt>
                <c:pt idx="821">
                  <c:v>465.65</c:v>
                </c:pt>
                <c:pt idx="822">
                  <c:v>469.2</c:v>
                </c:pt>
                <c:pt idx="823">
                  <c:v>464.9</c:v>
                </c:pt>
                <c:pt idx="824">
                  <c:v>460.6</c:v>
                </c:pt>
                <c:pt idx="825">
                  <c:v>444.4</c:v>
                </c:pt>
                <c:pt idx="826">
                  <c:v>428.2</c:v>
                </c:pt>
                <c:pt idx="827">
                  <c:v>437.15</c:v>
                </c:pt>
                <c:pt idx="828">
                  <c:v>446.1</c:v>
                </c:pt>
                <c:pt idx="829">
                  <c:v>477.3</c:v>
                </c:pt>
                <c:pt idx="830">
                  <c:v>508.5</c:v>
                </c:pt>
                <c:pt idx="831">
                  <c:v>527.04999999999995</c:v>
                </c:pt>
                <c:pt idx="832">
                  <c:v>545.6</c:v>
                </c:pt>
                <c:pt idx="833">
                  <c:v>530.70000000000005</c:v>
                </c:pt>
                <c:pt idx="834">
                  <c:v>515.79999999999995</c:v>
                </c:pt>
                <c:pt idx="835">
                  <c:v>514.25</c:v>
                </c:pt>
                <c:pt idx="836">
                  <c:v>512.70000000000005</c:v>
                </c:pt>
                <c:pt idx="837">
                  <c:v>498.95</c:v>
                </c:pt>
                <c:pt idx="838">
                  <c:v>485.2</c:v>
                </c:pt>
                <c:pt idx="839">
                  <c:v>505.95</c:v>
                </c:pt>
                <c:pt idx="840">
                  <c:v>526.70000000000005</c:v>
                </c:pt>
                <c:pt idx="841">
                  <c:v>496.9</c:v>
                </c:pt>
                <c:pt idx="842">
                  <c:v>467.1</c:v>
                </c:pt>
                <c:pt idx="843">
                  <c:v>492.35</c:v>
                </c:pt>
                <c:pt idx="844">
                  <c:v>517.6</c:v>
                </c:pt>
                <c:pt idx="845">
                  <c:v>518.29999999999995</c:v>
                </c:pt>
                <c:pt idx="846">
                  <c:v>519</c:v>
                </c:pt>
                <c:pt idx="847">
                  <c:v>514.6</c:v>
                </c:pt>
                <c:pt idx="848">
                  <c:v>510.2</c:v>
                </c:pt>
                <c:pt idx="849">
                  <c:v>503.15</c:v>
                </c:pt>
                <c:pt idx="850">
                  <c:v>496.1</c:v>
                </c:pt>
                <c:pt idx="851">
                  <c:v>497.35</c:v>
                </c:pt>
                <c:pt idx="852">
                  <c:v>498.6</c:v>
                </c:pt>
                <c:pt idx="853">
                  <c:v>477.15</c:v>
                </c:pt>
                <c:pt idx="854">
                  <c:v>455.7</c:v>
                </c:pt>
                <c:pt idx="855">
                  <c:v>509.55</c:v>
                </c:pt>
                <c:pt idx="856">
                  <c:v>563.4</c:v>
                </c:pt>
                <c:pt idx="857">
                  <c:v>555.1</c:v>
                </c:pt>
                <c:pt idx="858">
                  <c:v>546.79999999999995</c:v>
                </c:pt>
                <c:pt idx="859">
                  <c:v>533</c:v>
                </c:pt>
                <c:pt idx="860">
                  <c:v>519.20000000000005</c:v>
                </c:pt>
                <c:pt idx="861">
                  <c:v>517.85</c:v>
                </c:pt>
                <c:pt idx="862">
                  <c:v>516.5</c:v>
                </c:pt>
                <c:pt idx="863">
                  <c:v>432.5</c:v>
                </c:pt>
                <c:pt idx="864">
                  <c:v>348.5</c:v>
                </c:pt>
                <c:pt idx="865">
                  <c:v>310.5</c:v>
                </c:pt>
                <c:pt idx="866">
                  <c:v>272.5</c:v>
                </c:pt>
                <c:pt idx="867">
                  <c:v>353.4</c:v>
                </c:pt>
                <c:pt idx="868">
                  <c:v>434.3</c:v>
                </c:pt>
                <c:pt idx="869">
                  <c:v>405.05</c:v>
                </c:pt>
                <c:pt idx="870">
                  <c:v>375.8</c:v>
                </c:pt>
                <c:pt idx="871">
                  <c:v>266.64999999999998</c:v>
                </c:pt>
                <c:pt idx="872">
                  <c:v>157.5</c:v>
                </c:pt>
                <c:pt idx="873">
                  <c:v>156.6</c:v>
                </c:pt>
                <c:pt idx="874">
                  <c:v>155.69999999999999</c:v>
                </c:pt>
                <c:pt idx="875">
                  <c:v>261.2</c:v>
                </c:pt>
                <c:pt idx="876">
                  <c:v>366.7</c:v>
                </c:pt>
                <c:pt idx="877">
                  <c:v>384.8</c:v>
                </c:pt>
                <c:pt idx="878">
                  <c:v>402.9</c:v>
                </c:pt>
                <c:pt idx="879">
                  <c:v>389.25</c:v>
                </c:pt>
                <c:pt idx="880">
                  <c:v>375.6</c:v>
                </c:pt>
                <c:pt idx="881">
                  <c:v>339.95</c:v>
                </c:pt>
                <c:pt idx="882">
                  <c:v>304.3</c:v>
                </c:pt>
                <c:pt idx="883">
                  <c:v>297.2</c:v>
                </c:pt>
                <c:pt idx="884">
                  <c:v>290.10000000000002</c:v>
                </c:pt>
                <c:pt idx="885">
                  <c:v>260.05</c:v>
                </c:pt>
                <c:pt idx="886">
                  <c:v>230</c:v>
                </c:pt>
                <c:pt idx="887">
                  <c:v>228.3</c:v>
                </c:pt>
                <c:pt idx="888">
                  <c:v>226.6</c:v>
                </c:pt>
                <c:pt idx="889">
                  <c:v>242.15</c:v>
                </c:pt>
                <c:pt idx="890">
                  <c:v>257.7</c:v>
                </c:pt>
                <c:pt idx="891">
                  <c:v>261.64999999999998</c:v>
                </c:pt>
                <c:pt idx="892">
                  <c:v>265.60000000000002</c:v>
                </c:pt>
                <c:pt idx="893">
                  <c:v>263.35000000000002</c:v>
                </c:pt>
                <c:pt idx="894">
                  <c:v>261.10000000000002</c:v>
                </c:pt>
                <c:pt idx="895">
                  <c:v>270.10000000000002</c:v>
                </c:pt>
                <c:pt idx="896">
                  <c:v>279.10000000000002</c:v>
                </c:pt>
                <c:pt idx="897">
                  <c:v>283.7</c:v>
                </c:pt>
                <c:pt idx="898">
                  <c:v>288.3</c:v>
                </c:pt>
                <c:pt idx="899">
                  <c:v>306.95</c:v>
                </c:pt>
                <c:pt idx="900">
                  <c:v>325.60000000000002</c:v>
                </c:pt>
                <c:pt idx="901">
                  <c:v>322.89999999999998</c:v>
                </c:pt>
                <c:pt idx="902">
                  <c:v>320.2</c:v>
                </c:pt>
                <c:pt idx="903">
                  <c:v>321.60000000000002</c:v>
                </c:pt>
                <c:pt idx="904">
                  <c:v>323</c:v>
                </c:pt>
                <c:pt idx="905">
                  <c:v>317.60000000000002</c:v>
                </c:pt>
                <c:pt idx="906">
                  <c:v>312.2</c:v>
                </c:pt>
                <c:pt idx="907">
                  <c:v>297.64999999999998</c:v>
                </c:pt>
                <c:pt idx="908">
                  <c:v>283.10000000000002</c:v>
                </c:pt>
                <c:pt idx="909">
                  <c:v>190.45</c:v>
                </c:pt>
                <c:pt idx="910">
                  <c:v>97.8</c:v>
                </c:pt>
                <c:pt idx="911">
                  <c:v>172</c:v>
                </c:pt>
                <c:pt idx="912">
                  <c:v>246.2</c:v>
                </c:pt>
                <c:pt idx="913">
                  <c:v>211.65</c:v>
                </c:pt>
                <c:pt idx="914">
                  <c:v>177.1</c:v>
                </c:pt>
                <c:pt idx="915">
                  <c:v>144.65</c:v>
                </c:pt>
                <c:pt idx="916">
                  <c:v>112.2</c:v>
                </c:pt>
                <c:pt idx="917">
                  <c:v>222.9</c:v>
                </c:pt>
                <c:pt idx="918">
                  <c:v>333.6</c:v>
                </c:pt>
                <c:pt idx="919">
                  <c:v>282.55</c:v>
                </c:pt>
                <c:pt idx="920">
                  <c:v>231.5</c:v>
                </c:pt>
                <c:pt idx="921">
                  <c:v>165.6</c:v>
                </c:pt>
                <c:pt idx="922">
                  <c:v>99.7</c:v>
                </c:pt>
                <c:pt idx="923">
                  <c:v>109.5</c:v>
                </c:pt>
                <c:pt idx="924">
                  <c:v>119.3</c:v>
                </c:pt>
                <c:pt idx="925">
                  <c:v>210.7</c:v>
                </c:pt>
                <c:pt idx="926">
                  <c:v>302.10000000000002</c:v>
                </c:pt>
                <c:pt idx="927">
                  <c:v>303</c:v>
                </c:pt>
                <c:pt idx="928">
                  <c:v>303.89999999999998</c:v>
                </c:pt>
                <c:pt idx="929">
                  <c:v>295.35000000000002</c:v>
                </c:pt>
                <c:pt idx="930">
                  <c:v>286.8</c:v>
                </c:pt>
                <c:pt idx="931">
                  <c:v>294.75</c:v>
                </c:pt>
                <c:pt idx="932">
                  <c:v>302.7</c:v>
                </c:pt>
                <c:pt idx="933">
                  <c:v>302.14999999999998</c:v>
                </c:pt>
                <c:pt idx="934">
                  <c:v>301.60000000000002</c:v>
                </c:pt>
                <c:pt idx="935">
                  <c:v>290.7</c:v>
                </c:pt>
                <c:pt idx="936">
                  <c:v>279.8</c:v>
                </c:pt>
                <c:pt idx="937">
                  <c:v>288.2</c:v>
                </c:pt>
                <c:pt idx="938">
                  <c:v>296.60000000000002</c:v>
                </c:pt>
                <c:pt idx="939">
                  <c:v>234.75</c:v>
                </c:pt>
                <c:pt idx="940">
                  <c:v>172.9</c:v>
                </c:pt>
                <c:pt idx="941">
                  <c:v>185.8</c:v>
                </c:pt>
                <c:pt idx="942">
                  <c:v>198.7</c:v>
                </c:pt>
                <c:pt idx="943">
                  <c:v>149.44999999999999</c:v>
                </c:pt>
                <c:pt idx="944">
                  <c:v>100.2</c:v>
                </c:pt>
                <c:pt idx="945">
                  <c:v>101.05</c:v>
                </c:pt>
                <c:pt idx="946">
                  <c:v>101.9</c:v>
                </c:pt>
                <c:pt idx="947">
                  <c:v>96.2</c:v>
                </c:pt>
                <c:pt idx="948">
                  <c:v>90.5</c:v>
                </c:pt>
                <c:pt idx="949">
                  <c:v>86.7</c:v>
                </c:pt>
                <c:pt idx="950">
                  <c:v>82.9</c:v>
                </c:pt>
                <c:pt idx="951">
                  <c:v>100.5</c:v>
                </c:pt>
                <c:pt idx="952">
                  <c:v>118.1</c:v>
                </c:pt>
                <c:pt idx="953">
                  <c:v>176.8</c:v>
                </c:pt>
                <c:pt idx="954">
                  <c:v>235.5</c:v>
                </c:pt>
                <c:pt idx="955">
                  <c:v>227.15</c:v>
                </c:pt>
                <c:pt idx="956">
                  <c:v>218.8</c:v>
                </c:pt>
                <c:pt idx="957">
                  <c:v>211.75</c:v>
                </c:pt>
                <c:pt idx="958">
                  <c:v>204.7</c:v>
                </c:pt>
                <c:pt idx="959">
                  <c:v>207.2</c:v>
                </c:pt>
                <c:pt idx="960">
                  <c:v>209.7</c:v>
                </c:pt>
                <c:pt idx="961">
                  <c:v>206.4</c:v>
                </c:pt>
                <c:pt idx="962">
                  <c:v>203.1</c:v>
                </c:pt>
                <c:pt idx="963">
                  <c:v>194.75</c:v>
                </c:pt>
                <c:pt idx="964">
                  <c:v>186.4</c:v>
                </c:pt>
                <c:pt idx="965">
                  <c:v>188.45</c:v>
                </c:pt>
                <c:pt idx="966">
                  <c:v>190.5</c:v>
                </c:pt>
                <c:pt idx="967">
                  <c:v>179.65</c:v>
                </c:pt>
                <c:pt idx="968">
                  <c:v>168.8</c:v>
                </c:pt>
                <c:pt idx="969">
                  <c:v>170.05</c:v>
                </c:pt>
                <c:pt idx="970">
                  <c:v>171.3</c:v>
                </c:pt>
                <c:pt idx="971">
                  <c:v>163.6</c:v>
                </c:pt>
                <c:pt idx="972">
                  <c:v>155.9</c:v>
                </c:pt>
                <c:pt idx="973">
                  <c:v>136.6</c:v>
                </c:pt>
                <c:pt idx="974">
                  <c:v>117.3</c:v>
                </c:pt>
                <c:pt idx="975">
                  <c:v>97.55</c:v>
                </c:pt>
                <c:pt idx="976">
                  <c:v>77.8</c:v>
                </c:pt>
                <c:pt idx="977">
                  <c:v>96.25</c:v>
                </c:pt>
                <c:pt idx="978">
                  <c:v>114.7</c:v>
                </c:pt>
                <c:pt idx="979">
                  <c:v>130.05000000000001</c:v>
                </c:pt>
                <c:pt idx="980">
                  <c:v>145.4</c:v>
                </c:pt>
                <c:pt idx="981">
                  <c:v>154.15</c:v>
                </c:pt>
                <c:pt idx="982">
                  <c:v>162.9</c:v>
                </c:pt>
                <c:pt idx="983">
                  <c:v>164.5</c:v>
                </c:pt>
                <c:pt idx="984">
                  <c:v>166.1</c:v>
                </c:pt>
                <c:pt idx="985">
                  <c:v>168.05</c:v>
                </c:pt>
                <c:pt idx="986">
                  <c:v>170</c:v>
                </c:pt>
                <c:pt idx="987">
                  <c:v>150.35</c:v>
                </c:pt>
                <c:pt idx="988">
                  <c:v>130.69999999999999</c:v>
                </c:pt>
                <c:pt idx="989">
                  <c:v>124.7</c:v>
                </c:pt>
                <c:pt idx="990">
                  <c:v>118.7</c:v>
                </c:pt>
                <c:pt idx="991">
                  <c:v>122.05</c:v>
                </c:pt>
                <c:pt idx="992">
                  <c:v>125.4</c:v>
                </c:pt>
                <c:pt idx="993">
                  <c:v>109.85</c:v>
                </c:pt>
                <c:pt idx="994">
                  <c:v>94.3</c:v>
                </c:pt>
                <c:pt idx="995">
                  <c:v>89.85</c:v>
                </c:pt>
                <c:pt idx="996">
                  <c:v>85.4</c:v>
                </c:pt>
                <c:pt idx="997">
                  <c:v>93.4</c:v>
                </c:pt>
                <c:pt idx="998">
                  <c:v>101.4</c:v>
                </c:pt>
                <c:pt idx="999">
                  <c:v>79.150000000000006</c:v>
                </c:pt>
                <c:pt idx="1000">
                  <c:v>56.9</c:v>
                </c:pt>
                <c:pt idx="1001">
                  <c:v>60.4</c:v>
                </c:pt>
                <c:pt idx="1002">
                  <c:v>63.9</c:v>
                </c:pt>
                <c:pt idx="1003">
                  <c:v>66.7</c:v>
                </c:pt>
                <c:pt idx="1004">
                  <c:v>69.5</c:v>
                </c:pt>
                <c:pt idx="1005">
                  <c:v>85.8</c:v>
                </c:pt>
                <c:pt idx="1006">
                  <c:v>102.1</c:v>
                </c:pt>
                <c:pt idx="1007">
                  <c:v>86.65</c:v>
                </c:pt>
                <c:pt idx="1008">
                  <c:v>71.2</c:v>
                </c:pt>
                <c:pt idx="1009">
                  <c:v>76.599999999999994</c:v>
                </c:pt>
                <c:pt idx="1010">
                  <c:v>82</c:v>
                </c:pt>
                <c:pt idx="1011">
                  <c:v>80.099999999999994</c:v>
                </c:pt>
                <c:pt idx="1012">
                  <c:v>78.2</c:v>
                </c:pt>
                <c:pt idx="1013">
                  <c:v>84.5</c:v>
                </c:pt>
                <c:pt idx="1014">
                  <c:v>90.8</c:v>
                </c:pt>
                <c:pt idx="1015">
                  <c:v>84.15</c:v>
                </c:pt>
                <c:pt idx="1016">
                  <c:v>77.5</c:v>
                </c:pt>
                <c:pt idx="1017">
                  <c:v>76.349999999999994</c:v>
                </c:pt>
                <c:pt idx="1018">
                  <c:v>75.2</c:v>
                </c:pt>
                <c:pt idx="1019">
                  <c:v>66.400000000000006</c:v>
                </c:pt>
                <c:pt idx="1020">
                  <c:v>57.6</c:v>
                </c:pt>
                <c:pt idx="1021">
                  <c:v>55.45</c:v>
                </c:pt>
                <c:pt idx="1022">
                  <c:v>53.3</c:v>
                </c:pt>
                <c:pt idx="1023">
                  <c:v>50.95</c:v>
                </c:pt>
                <c:pt idx="1024">
                  <c:v>48.6</c:v>
                </c:pt>
                <c:pt idx="1025">
                  <c:v>45.65</c:v>
                </c:pt>
                <c:pt idx="1026">
                  <c:v>42.7</c:v>
                </c:pt>
                <c:pt idx="1027">
                  <c:v>42.1</c:v>
                </c:pt>
                <c:pt idx="1028">
                  <c:v>41.5</c:v>
                </c:pt>
                <c:pt idx="1029">
                  <c:v>41.15</c:v>
                </c:pt>
                <c:pt idx="1030">
                  <c:v>40.799999999999997</c:v>
                </c:pt>
                <c:pt idx="1031">
                  <c:v>39.700000000000003</c:v>
                </c:pt>
                <c:pt idx="1032">
                  <c:v>38.6</c:v>
                </c:pt>
                <c:pt idx="1033">
                  <c:v>37.25</c:v>
                </c:pt>
                <c:pt idx="1034">
                  <c:v>35.9</c:v>
                </c:pt>
                <c:pt idx="1035">
                  <c:v>35.75</c:v>
                </c:pt>
                <c:pt idx="1036">
                  <c:v>35.6</c:v>
                </c:pt>
                <c:pt idx="1037">
                  <c:v>34.6</c:v>
                </c:pt>
                <c:pt idx="1038">
                  <c:v>33.6</c:v>
                </c:pt>
                <c:pt idx="1039">
                  <c:v>34.299999999999997</c:v>
                </c:pt>
                <c:pt idx="1040">
                  <c:v>35</c:v>
                </c:pt>
                <c:pt idx="1041">
                  <c:v>34.75</c:v>
                </c:pt>
                <c:pt idx="1042">
                  <c:v>34.5</c:v>
                </c:pt>
                <c:pt idx="1043">
                  <c:v>33.85</c:v>
                </c:pt>
                <c:pt idx="1044">
                  <c:v>33.200000000000003</c:v>
                </c:pt>
                <c:pt idx="1045">
                  <c:v>31.95</c:v>
                </c:pt>
                <c:pt idx="1046">
                  <c:v>30.7</c:v>
                </c:pt>
                <c:pt idx="1047">
                  <c:v>30.05</c:v>
                </c:pt>
                <c:pt idx="1048">
                  <c:v>29.4</c:v>
                </c:pt>
                <c:pt idx="1049">
                  <c:v>28.8</c:v>
                </c:pt>
                <c:pt idx="1050">
                  <c:v>28.2</c:v>
                </c:pt>
                <c:pt idx="1051">
                  <c:v>27</c:v>
                </c:pt>
                <c:pt idx="1052">
                  <c:v>25.8</c:v>
                </c:pt>
                <c:pt idx="1053">
                  <c:v>24.25</c:v>
                </c:pt>
                <c:pt idx="1054">
                  <c:v>22.7</c:v>
                </c:pt>
                <c:pt idx="1055">
                  <c:v>21.05</c:v>
                </c:pt>
                <c:pt idx="1056">
                  <c:v>19.399999999999999</c:v>
                </c:pt>
                <c:pt idx="1057">
                  <c:v>17.899999999999999</c:v>
                </c:pt>
                <c:pt idx="1058">
                  <c:v>16.399999999999999</c:v>
                </c:pt>
                <c:pt idx="1059">
                  <c:v>15.55</c:v>
                </c:pt>
                <c:pt idx="1060">
                  <c:v>14.7</c:v>
                </c:pt>
                <c:pt idx="1061">
                  <c:v>14.1</c:v>
                </c:pt>
                <c:pt idx="1062">
                  <c:v>13.5</c:v>
                </c:pt>
                <c:pt idx="1063">
                  <c:v>13</c:v>
                </c:pt>
                <c:pt idx="1064">
                  <c:v>12.5</c:v>
                </c:pt>
                <c:pt idx="1065">
                  <c:v>11.6</c:v>
                </c:pt>
                <c:pt idx="1066">
                  <c:v>10.7</c:v>
                </c:pt>
                <c:pt idx="1067">
                  <c:v>10.65</c:v>
                </c:pt>
                <c:pt idx="1068">
                  <c:v>10.6</c:v>
                </c:pt>
                <c:pt idx="1069">
                  <c:v>10</c:v>
                </c:pt>
                <c:pt idx="1070">
                  <c:v>9.4</c:v>
                </c:pt>
                <c:pt idx="1071">
                  <c:v>9.1999999999999993</c:v>
                </c:pt>
                <c:pt idx="1072">
                  <c:v>9</c:v>
                </c:pt>
                <c:pt idx="1073">
                  <c:v>8.15</c:v>
                </c:pt>
                <c:pt idx="1074">
                  <c:v>7.3</c:v>
                </c:pt>
                <c:pt idx="1075">
                  <c:v>7.05</c:v>
                </c:pt>
                <c:pt idx="1076">
                  <c:v>6.8</c:v>
                </c:pt>
                <c:pt idx="1077">
                  <c:v>6.7</c:v>
                </c:pt>
                <c:pt idx="1078">
                  <c:v>6.6</c:v>
                </c:pt>
                <c:pt idx="1079">
                  <c:v>5.9</c:v>
                </c:pt>
                <c:pt idx="1080">
                  <c:v>5.2</c:v>
                </c:pt>
                <c:pt idx="1081">
                  <c:v>5.0999999999999996</c:v>
                </c:pt>
                <c:pt idx="1082">
                  <c:v>5</c:v>
                </c:pt>
                <c:pt idx="1083">
                  <c:v>4.75</c:v>
                </c:pt>
                <c:pt idx="1084">
                  <c:v>4.5</c:v>
                </c:pt>
                <c:pt idx="1085">
                  <c:v>3.7</c:v>
                </c:pt>
                <c:pt idx="1086">
                  <c:v>2.9</c:v>
                </c:pt>
                <c:pt idx="1087">
                  <c:v>2.9</c:v>
                </c:pt>
                <c:pt idx="1088">
                  <c:v>2.9</c:v>
                </c:pt>
                <c:pt idx="1089">
                  <c:v>2.65</c:v>
                </c:pt>
                <c:pt idx="1090">
                  <c:v>2.4</c:v>
                </c:pt>
                <c:pt idx="1091">
                  <c:v>2.4</c:v>
                </c:pt>
                <c:pt idx="1092">
                  <c:v>2.4</c:v>
                </c:pt>
                <c:pt idx="1093">
                  <c:v>2.7</c:v>
                </c:pt>
                <c:pt idx="1094">
                  <c:v>3</c:v>
                </c:pt>
                <c:pt idx="1095">
                  <c:v>2.65</c:v>
                </c:pt>
                <c:pt idx="1096">
                  <c:v>2.2999999999999998</c:v>
                </c:pt>
                <c:pt idx="1097">
                  <c:v>1.75</c:v>
                </c:pt>
                <c:pt idx="1098">
                  <c:v>1.2</c:v>
                </c:pt>
                <c:pt idx="1099">
                  <c:v>2.2000000000000002</c:v>
                </c:pt>
                <c:pt idx="1100">
                  <c:v>3.2</c:v>
                </c:pt>
                <c:pt idx="1101">
                  <c:v>3.1</c:v>
                </c:pt>
                <c:pt idx="1102">
                  <c:v>3</c:v>
                </c:pt>
                <c:pt idx="1103">
                  <c:v>3.35</c:v>
                </c:pt>
                <c:pt idx="1104">
                  <c:v>3.7</c:v>
                </c:pt>
                <c:pt idx="1105">
                  <c:v>3.7</c:v>
                </c:pt>
                <c:pt idx="1106">
                  <c:v>3.7</c:v>
                </c:pt>
                <c:pt idx="1107">
                  <c:v>3.9</c:v>
                </c:pt>
                <c:pt idx="1108">
                  <c:v>4.0999999999999996</c:v>
                </c:pt>
                <c:pt idx="1109">
                  <c:v>3.85</c:v>
                </c:pt>
                <c:pt idx="1110">
                  <c:v>3.6</c:v>
                </c:pt>
                <c:pt idx="1111">
                  <c:v>3.6</c:v>
                </c:pt>
                <c:pt idx="1112">
                  <c:v>3.6</c:v>
                </c:pt>
                <c:pt idx="1113">
                  <c:v>3.05</c:v>
                </c:pt>
                <c:pt idx="1114">
                  <c:v>2.5</c:v>
                </c:pt>
                <c:pt idx="1115">
                  <c:v>2.5</c:v>
                </c:pt>
                <c:pt idx="1116">
                  <c:v>2.5</c:v>
                </c:pt>
                <c:pt idx="1117">
                  <c:v>2.5</c:v>
                </c:pt>
                <c:pt idx="1118">
                  <c:v>2.5</c:v>
                </c:pt>
                <c:pt idx="1119">
                  <c:v>2.4</c:v>
                </c:pt>
                <c:pt idx="1120">
                  <c:v>2.2999999999999998</c:v>
                </c:pt>
                <c:pt idx="1121">
                  <c:v>2.0499999999999998</c:v>
                </c:pt>
                <c:pt idx="1122">
                  <c:v>1.8</c:v>
                </c:pt>
                <c:pt idx="1123">
                  <c:v>2.35</c:v>
                </c:pt>
                <c:pt idx="1124">
                  <c:v>2.9</c:v>
                </c:pt>
                <c:pt idx="1125">
                  <c:v>2.25</c:v>
                </c:pt>
                <c:pt idx="1126">
                  <c:v>1.6</c:v>
                </c:pt>
                <c:pt idx="1127">
                  <c:v>2.0499999999999998</c:v>
                </c:pt>
                <c:pt idx="1128">
                  <c:v>2.5</c:v>
                </c:pt>
                <c:pt idx="1129">
                  <c:v>2.4</c:v>
                </c:pt>
                <c:pt idx="1130">
                  <c:v>2.2999999999999998</c:v>
                </c:pt>
                <c:pt idx="1131">
                  <c:v>2.4</c:v>
                </c:pt>
                <c:pt idx="1132">
                  <c:v>2.5</c:v>
                </c:pt>
                <c:pt idx="1133">
                  <c:v>2.4500000000000002</c:v>
                </c:pt>
                <c:pt idx="1134">
                  <c:v>2.4</c:v>
                </c:pt>
                <c:pt idx="1135">
                  <c:v>2.65</c:v>
                </c:pt>
                <c:pt idx="1136">
                  <c:v>2.9</c:v>
                </c:pt>
                <c:pt idx="1137">
                  <c:v>3.35</c:v>
                </c:pt>
                <c:pt idx="1138">
                  <c:v>3.8</c:v>
                </c:pt>
                <c:pt idx="1139">
                  <c:v>4.0999999999999996</c:v>
                </c:pt>
                <c:pt idx="1140">
                  <c:v>4.4000000000000004</c:v>
                </c:pt>
                <c:pt idx="1141">
                  <c:v>4.4000000000000004</c:v>
                </c:pt>
                <c:pt idx="1142">
                  <c:v>4.4000000000000004</c:v>
                </c:pt>
                <c:pt idx="1143">
                  <c:v>4.45</c:v>
                </c:pt>
                <c:pt idx="1144">
                  <c:v>4.5</c:v>
                </c:pt>
                <c:pt idx="1145">
                  <c:v>4.55</c:v>
                </c:pt>
                <c:pt idx="1146">
                  <c:v>4.5999999999999996</c:v>
                </c:pt>
                <c:pt idx="1147">
                  <c:v>4.0999999999999996</c:v>
                </c:pt>
                <c:pt idx="1148">
                  <c:v>3.6</c:v>
                </c:pt>
                <c:pt idx="1149">
                  <c:v>2.95</c:v>
                </c:pt>
                <c:pt idx="1150">
                  <c:v>2.2999999999999998</c:v>
                </c:pt>
                <c:pt idx="1151">
                  <c:v>2</c:v>
                </c:pt>
                <c:pt idx="1152">
                  <c:v>1.7</c:v>
                </c:pt>
                <c:pt idx="1153">
                  <c:v>2.4</c:v>
                </c:pt>
                <c:pt idx="1154">
                  <c:v>3.1</c:v>
                </c:pt>
                <c:pt idx="1155">
                  <c:v>2.5</c:v>
                </c:pt>
                <c:pt idx="1156">
                  <c:v>1.9</c:v>
                </c:pt>
                <c:pt idx="1157">
                  <c:v>2.15</c:v>
                </c:pt>
                <c:pt idx="1158">
                  <c:v>2.4</c:v>
                </c:pt>
                <c:pt idx="1159">
                  <c:v>3.1</c:v>
                </c:pt>
                <c:pt idx="1160">
                  <c:v>3.8</c:v>
                </c:pt>
                <c:pt idx="1161">
                  <c:v>3.1</c:v>
                </c:pt>
                <c:pt idx="1162">
                  <c:v>2.4</c:v>
                </c:pt>
                <c:pt idx="1163">
                  <c:v>3</c:v>
                </c:pt>
                <c:pt idx="1164">
                  <c:v>3.6</c:v>
                </c:pt>
                <c:pt idx="1165">
                  <c:v>2.95</c:v>
                </c:pt>
                <c:pt idx="1166">
                  <c:v>2.2999999999999998</c:v>
                </c:pt>
                <c:pt idx="1167">
                  <c:v>2.1</c:v>
                </c:pt>
                <c:pt idx="1168">
                  <c:v>1.9</c:v>
                </c:pt>
                <c:pt idx="1169">
                  <c:v>2.75</c:v>
                </c:pt>
                <c:pt idx="1170">
                  <c:v>3.6</c:v>
                </c:pt>
                <c:pt idx="1171">
                  <c:v>3.25</c:v>
                </c:pt>
                <c:pt idx="1172">
                  <c:v>2.9</c:v>
                </c:pt>
                <c:pt idx="1173">
                  <c:v>3.05</c:v>
                </c:pt>
                <c:pt idx="1174">
                  <c:v>3.2</c:v>
                </c:pt>
                <c:pt idx="1175">
                  <c:v>3.05</c:v>
                </c:pt>
                <c:pt idx="1176">
                  <c:v>2.9</c:v>
                </c:pt>
                <c:pt idx="1177">
                  <c:v>3.3</c:v>
                </c:pt>
                <c:pt idx="1178">
                  <c:v>3.7</c:v>
                </c:pt>
                <c:pt idx="1179">
                  <c:v>3.3</c:v>
                </c:pt>
                <c:pt idx="1180">
                  <c:v>2.9</c:v>
                </c:pt>
                <c:pt idx="1181">
                  <c:v>3</c:v>
                </c:pt>
                <c:pt idx="1182">
                  <c:v>3.1</c:v>
                </c:pt>
                <c:pt idx="1183">
                  <c:v>3.15</c:v>
                </c:pt>
                <c:pt idx="1184">
                  <c:v>3.2</c:v>
                </c:pt>
                <c:pt idx="1185">
                  <c:v>2.4</c:v>
                </c:pt>
                <c:pt idx="1186">
                  <c:v>1.6</c:v>
                </c:pt>
                <c:pt idx="1187">
                  <c:v>2.0499999999999998</c:v>
                </c:pt>
                <c:pt idx="1188">
                  <c:v>2.5</c:v>
                </c:pt>
                <c:pt idx="1189">
                  <c:v>2.7</c:v>
                </c:pt>
                <c:pt idx="1190">
                  <c:v>2.9</c:v>
                </c:pt>
                <c:pt idx="1191">
                  <c:v>2.95</c:v>
                </c:pt>
                <c:pt idx="1192">
                  <c:v>3</c:v>
                </c:pt>
                <c:pt idx="1193">
                  <c:v>2.7</c:v>
                </c:pt>
                <c:pt idx="1194">
                  <c:v>2.4</c:v>
                </c:pt>
                <c:pt idx="1195">
                  <c:v>2.35</c:v>
                </c:pt>
                <c:pt idx="1196">
                  <c:v>2.2999999999999998</c:v>
                </c:pt>
                <c:pt idx="1197">
                  <c:v>2.35</c:v>
                </c:pt>
                <c:pt idx="1198">
                  <c:v>2.4</c:v>
                </c:pt>
                <c:pt idx="1199">
                  <c:v>2.7</c:v>
                </c:pt>
                <c:pt idx="1200">
                  <c:v>3</c:v>
                </c:pt>
                <c:pt idx="1201">
                  <c:v>2.7</c:v>
                </c:pt>
                <c:pt idx="1202">
                  <c:v>2.4</c:v>
                </c:pt>
                <c:pt idx="1203">
                  <c:v>2.4500000000000002</c:v>
                </c:pt>
                <c:pt idx="1204">
                  <c:v>2.5</c:v>
                </c:pt>
                <c:pt idx="1205">
                  <c:v>2.15</c:v>
                </c:pt>
                <c:pt idx="1206">
                  <c:v>1.8</c:v>
                </c:pt>
                <c:pt idx="1207">
                  <c:v>1.85</c:v>
                </c:pt>
                <c:pt idx="1208">
                  <c:v>1.9</c:v>
                </c:pt>
                <c:pt idx="1209">
                  <c:v>1.25</c:v>
                </c:pt>
                <c:pt idx="1210">
                  <c:v>0.6</c:v>
                </c:pt>
                <c:pt idx="1211">
                  <c:v>1.25</c:v>
                </c:pt>
                <c:pt idx="1212">
                  <c:v>1.9</c:v>
                </c:pt>
                <c:pt idx="1213">
                  <c:v>2.1</c:v>
                </c:pt>
                <c:pt idx="1214">
                  <c:v>2.2999999999999998</c:v>
                </c:pt>
                <c:pt idx="1215">
                  <c:v>2.4</c:v>
                </c:pt>
                <c:pt idx="1216">
                  <c:v>2.5</c:v>
                </c:pt>
                <c:pt idx="1217">
                  <c:v>2.4500000000000002</c:v>
                </c:pt>
                <c:pt idx="1218">
                  <c:v>2.4</c:v>
                </c:pt>
                <c:pt idx="1219">
                  <c:v>2.4</c:v>
                </c:pt>
                <c:pt idx="1220">
                  <c:v>2.4</c:v>
                </c:pt>
                <c:pt idx="1221">
                  <c:v>3.1</c:v>
                </c:pt>
                <c:pt idx="1222">
                  <c:v>3.8</c:v>
                </c:pt>
                <c:pt idx="1223">
                  <c:v>3.75</c:v>
                </c:pt>
                <c:pt idx="1224">
                  <c:v>3.7</c:v>
                </c:pt>
                <c:pt idx="1225">
                  <c:v>4.0999999999999996</c:v>
                </c:pt>
                <c:pt idx="1226">
                  <c:v>4.5</c:v>
                </c:pt>
                <c:pt idx="1227">
                  <c:v>4.1500000000000004</c:v>
                </c:pt>
                <c:pt idx="1228">
                  <c:v>3.8</c:v>
                </c:pt>
                <c:pt idx="1229">
                  <c:v>3.75</c:v>
                </c:pt>
                <c:pt idx="1230">
                  <c:v>3.7</c:v>
                </c:pt>
                <c:pt idx="1231">
                  <c:v>4.05</c:v>
                </c:pt>
                <c:pt idx="1232">
                  <c:v>4.4000000000000004</c:v>
                </c:pt>
                <c:pt idx="1233">
                  <c:v>3.35</c:v>
                </c:pt>
                <c:pt idx="1234">
                  <c:v>2.2999999999999998</c:v>
                </c:pt>
                <c:pt idx="1235">
                  <c:v>2.35</c:v>
                </c:pt>
                <c:pt idx="1236">
                  <c:v>2.4</c:v>
                </c:pt>
                <c:pt idx="1237">
                  <c:v>2.4</c:v>
                </c:pt>
                <c:pt idx="1238">
                  <c:v>2.4</c:v>
                </c:pt>
                <c:pt idx="1239">
                  <c:v>2.0499999999999998</c:v>
                </c:pt>
                <c:pt idx="1240">
                  <c:v>1.7</c:v>
                </c:pt>
                <c:pt idx="1241">
                  <c:v>2</c:v>
                </c:pt>
                <c:pt idx="1242">
                  <c:v>2.2999999999999998</c:v>
                </c:pt>
                <c:pt idx="1243">
                  <c:v>1.45</c:v>
                </c:pt>
                <c:pt idx="1244">
                  <c:v>0.6</c:v>
                </c:pt>
                <c:pt idx="1245">
                  <c:v>0.9</c:v>
                </c:pt>
                <c:pt idx="1246">
                  <c:v>1.2</c:v>
                </c:pt>
                <c:pt idx="1247">
                  <c:v>1.1499999999999999</c:v>
                </c:pt>
                <c:pt idx="1248">
                  <c:v>1.1000000000000001</c:v>
                </c:pt>
                <c:pt idx="1249">
                  <c:v>1.1000000000000001</c:v>
                </c:pt>
                <c:pt idx="1250">
                  <c:v>1.1000000000000001</c:v>
                </c:pt>
                <c:pt idx="1251">
                  <c:v>1.35</c:v>
                </c:pt>
                <c:pt idx="1252">
                  <c:v>1.6</c:v>
                </c:pt>
                <c:pt idx="1253">
                  <c:v>2.6</c:v>
                </c:pt>
                <c:pt idx="1254">
                  <c:v>3.6</c:v>
                </c:pt>
                <c:pt idx="1255">
                  <c:v>3.4</c:v>
                </c:pt>
                <c:pt idx="1256">
                  <c:v>3.2</c:v>
                </c:pt>
                <c:pt idx="1257">
                  <c:v>3.8</c:v>
                </c:pt>
                <c:pt idx="1258">
                  <c:v>4.4000000000000004</c:v>
                </c:pt>
                <c:pt idx="1259">
                  <c:v>4.45</c:v>
                </c:pt>
                <c:pt idx="1260">
                  <c:v>4.5</c:v>
                </c:pt>
                <c:pt idx="1261">
                  <c:v>4.5</c:v>
                </c:pt>
                <c:pt idx="1262">
                  <c:v>4.5</c:v>
                </c:pt>
                <c:pt idx="1263">
                  <c:v>4.8</c:v>
                </c:pt>
                <c:pt idx="1264">
                  <c:v>5.0999999999999996</c:v>
                </c:pt>
                <c:pt idx="1265">
                  <c:v>4.75</c:v>
                </c:pt>
                <c:pt idx="1266">
                  <c:v>4.4000000000000004</c:v>
                </c:pt>
                <c:pt idx="1267">
                  <c:v>5.2</c:v>
                </c:pt>
                <c:pt idx="1268">
                  <c:v>6</c:v>
                </c:pt>
                <c:pt idx="1269">
                  <c:v>5.3</c:v>
                </c:pt>
                <c:pt idx="1270">
                  <c:v>4.5999999999999996</c:v>
                </c:pt>
                <c:pt idx="1271">
                  <c:v>4.8</c:v>
                </c:pt>
                <c:pt idx="1272">
                  <c:v>5</c:v>
                </c:pt>
                <c:pt idx="1273">
                  <c:v>4.7</c:v>
                </c:pt>
                <c:pt idx="1274">
                  <c:v>4.4000000000000004</c:v>
                </c:pt>
                <c:pt idx="1275">
                  <c:v>4.45</c:v>
                </c:pt>
                <c:pt idx="1276">
                  <c:v>4.5</c:v>
                </c:pt>
                <c:pt idx="1277">
                  <c:v>4.1500000000000004</c:v>
                </c:pt>
                <c:pt idx="1278">
                  <c:v>3.8</c:v>
                </c:pt>
                <c:pt idx="1279">
                  <c:v>3.75</c:v>
                </c:pt>
                <c:pt idx="1280">
                  <c:v>3.7</c:v>
                </c:pt>
                <c:pt idx="1281">
                  <c:v>3.35</c:v>
                </c:pt>
                <c:pt idx="1282">
                  <c:v>3</c:v>
                </c:pt>
                <c:pt idx="1283">
                  <c:v>3.4</c:v>
                </c:pt>
                <c:pt idx="1284">
                  <c:v>3.8</c:v>
                </c:pt>
                <c:pt idx="1285">
                  <c:v>3.5</c:v>
                </c:pt>
                <c:pt idx="1286">
                  <c:v>3.2</c:v>
                </c:pt>
                <c:pt idx="1287">
                  <c:v>2.85</c:v>
                </c:pt>
                <c:pt idx="1288">
                  <c:v>2.5</c:v>
                </c:pt>
                <c:pt idx="1289">
                  <c:v>3.2</c:v>
                </c:pt>
                <c:pt idx="1290">
                  <c:v>3.9</c:v>
                </c:pt>
                <c:pt idx="1291">
                  <c:v>3.2</c:v>
                </c:pt>
                <c:pt idx="1292">
                  <c:v>2.5</c:v>
                </c:pt>
                <c:pt idx="1293">
                  <c:v>3.4</c:v>
                </c:pt>
                <c:pt idx="1294">
                  <c:v>4.3</c:v>
                </c:pt>
                <c:pt idx="1295">
                  <c:v>3.85</c:v>
                </c:pt>
                <c:pt idx="1296">
                  <c:v>3.4</c:v>
                </c:pt>
                <c:pt idx="1297">
                  <c:v>3.65</c:v>
                </c:pt>
                <c:pt idx="1298">
                  <c:v>3.9</c:v>
                </c:pt>
                <c:pt idx="1299">
                  <c:v>3.2</c:v>
                </c:pt>
                <c:pt idx="1300">
                  <c:v>2.5</c:v>
                </c:pt>
                <c:pt idx="1301">
                  <c:v>2.85</c:v>
                </c:pt>
                <c:pt idx="1302">
                  <c:v>3.2</c:v>
                </c:pt>
                <c:pt idx="1303">
                  <c:v>3.05</c:v>
                </c:pt>
                <c:pt idx="1304">
                  <c:v>2.9</c:v>
                </c:pt>
                <c:pt idx="1305">
                  <c:v>2.9</c:v>
                </c:pt>
                <c:pt idx="1306">
                  <c:v>2.9</c:v>
                </c:pt>
                <c:pt idx="1307">
                  <c:v>2.4</c:v>
                </c:pt>
                <c:pt idx="1308">
                  <c:v>1.9</c:v>
                </c:pt>
                <c:pt idx="1309">
                  <c:v>2.15</c:v>
                </c:pt>
                <c:pt idx="1310">
                  <c:v>2.4</c:v>
                </c:pt>
                <c:pt idx="1311">
                  <c:v>2.35</c:v>
                </c:pt>
                <c:pt idx="1312">
                  <c:v>2.2999999999999998</c:v>
                </c:pt>
                <c:pt idx="1313">
                  <c:v>2.95</c:v>
                </c:pt>
                <c:pt idx="1314">
                  <c:v>3.6</c:v>
                </c:pt>
                <c:pt idx="1315">
                  <c:v>3.35</c:v>
                </c:pt>
                <c:pt idx="1316">
                  <c:v>3.1</c:v>
                </c:pt>
                <c:pt idx="1317">
                  <c:v>3.45</c:v>
                </c:pt>
                <c:pt idx="1318">
                  <c:v>3.8</c:v>
                </c:pt>
                <c:pt idx="1319">
                  <c:v>3.35</c:v>
                </c:pt>
                <c:pt idx="1320">
                  <c:v>2.9</c:v>
                </c:pt>
                <c:pt idx="1321">
                  <c:v>3.3</c:v>
                </c:pt>
                <c:pt idx="1322">
                  <c:v>3.7</c:v>
                </c:pt>
                <c:pt idx="1323">
                  <c:v>2.8</c:v>
                </c:pt>
                <c:pt idx="1324">
                  <c:v>1.9</c:v>
                </c:pt>
                <c:pt idx="1325">
                  <c:v>1.55</c:v>
                </c:pt>
                <c:pt idx="1326">
                  <c:v>1.2</c:v>
                </c:pt>
                <c:pt idx="1327">
                  <c:v>1.2</c:v>
                </c:pt>
                <c:pt idx="1328">
                  <c:v>1.2</c:v>
                </c:pt>
                <c:pt idx="1329">
                  <c:v>1.45</c:v>
                </c:pt>
                <c:pt idx="1330">
                  <c:v>1.7</c:v>
                </c:pt>
                <c:pt idx="1331">
                  <c:v>2.1</c:v>
                </c:pt>
                <c:pt idx="1332">
                  <c:v>2.5</c:v>
                </c:pt>
                <c:pt idx="1333">
                  <c:v>2.4500000000000002</c:v>
                </c:pt>
                <c:pt idx="1334">
                  <c:v>2.4</c:v>
                </c:pt>
                <c:pt idx="1335">
                  <c:v>3.4</c:v>
                </c:pt>
                <c:pt idx="1336">
                  <c:v>4.4000000000000004</c:v>
                </c:pt>
                <c:pt idx="1337">
                  <c:v>3.65</c:v>
                </c:pt>
                <c:pt idx="1338">
                  <c:v>2.9</c:v>
                </c:pt>
                <c:pt idx="1339">
                  <c:v>3.25</c:v>
                </c:pt>
                <c:pt idx="1340">
                  <c:v>3.6</c:v>
                </c:pt>
                <c:pt idx="1341">
                  <c:v>3.95</c:v>
                </c:pt>
                <c:pt idx="1342">
                  <c:v>4.3</c:v>
                </c:pt>
                <c:pt idx="1343">
                  <c:v>3.35</c:v>
                </c:pt>
                <c:pt idx="1344">
                  <c:v>2.4</c:v>
                </c:pt>
                <c:pt idx="1345">
                  <c:v>2.15</c:v>
                </c:pt>
                <c:pt idx="1346">
                  <c:v>1.9</c:v>
                </c:pt>
                <c:pt idx="1347">
                  <c:v>2.4</c:v>
                </c:pt>
                <c:pt idx="1348">
                  <c:v>2.9</c:v>
                </c:pt>
                <c:pt idx="1349">
                  <c:v>2.7</c:v>
                </c:pt>
                <c:pt idx="1350">
                  <c:v>2.5</c:v>
                </c:pt>
                <c:pt idx="1351">
                  <c:v>2.7</c:v>
                </c:pt>
                <c:pt idx="1352">
                  <c:v>2.9</c:v>
                </c:pt>
                <c:pt idx="1353">
                  <c:v>2.4</c:v>
                </c:pt>
                <c:pt idx="1354">
                  <c:v>1.9</c:v>
                </c:pt>
                <c:pt idx="1355">
                  <c:v>2.1</c:v>
                </c:pt>
                <c:pt idx="1356">
                  <c:v>2.2999999999999998</c:v>
                </c:pt>
                <c:pt idx="1357">
                  <c:v>2.75</c:v>
                </c:pt>
                <c:pt idx="1358">
                  <c:v>3.2</c:v>
                </c:pt>
                <c:pt idx="1359">
                  <c:v>3.4</c:v>
                </c:pt>
                <c:pt idx="1360">
                  <c:v>3.6</c:v>
                </c:pt>
                <c:pt idx="1361">
                  <c:v>3.35</c:v>
                </c:pt>
                <c:pt idx="1362">
                  <c:v>3.1</c:v>
                </c:pt>
                <c:pt idx="1363">
                  <c:v>2.75</c:v>
                </c:pt>
                <c:pt idx="1364">
                  <c:v>2.4</c:v>
                </c:pt>
                <c:pt idx="1365">
                  <c:v>2.0499999999999998</c:v>
                </c:pt>
                <c:pt idx="1366">
                  <c:v>1.7</c:v>
                </c:pt>
                <c:pt idx="1367">
                  <c:v>2.2999999999999998</c:v>
                </c:pt>
                <c:pt idx="1368">
                  <c:v>2.9</c:v>
                </c:pt>
                <c:pt idx="1369">
                  <c:v>2.7</c:v>
                </c:pt>
                <c:pt idx="1370">
                  <c:v>2.5</c:v>
                </c:pt>
                <c:pt idx="1371">
                  <c:v>2.5</c:v>
                </c:pt>
                <c:pt idx="1372">
                  <c:v>2.5</c:v>
                </c:pt>
                <c:pt idx="1373">
                  <c:v>2.4500000000000002</c:v>
                </c:pt>
                <c:pt idx="1374">
                  <c:v>2.4</c:v>
                </c:pt>
                <c:pt idx="1375">
                  <c:v>2.15</c:v>
                </c:pt>
                <c:pt idx="1376">
                  <c:v>1.9</c:v>
                </c:pt>
                <c:pt idx="1377">
                  <c:v>1.9</c:v>
                </c:pt>
                <c:pt idx="1378">
                  <c:v>1.9</c:v>
                </c:pt>
                <c:pt idx="1379">
                  <c:v>1.55</c:v>
                </c:pt>
                <c:pt idx="1380">
                  <c:v>1.2</c:v>
                </c:pt>
                <c:pt idx="1381">
                  <c:v>1.75</c:v>
                </c:pt>
                <c:pt idx="1382">
                  <c:v>2.2999999999999998</c:v>
                </c:pt>
                <c:pt idx="1383">
                  <c:v>2.2999999999999998</c:v>
                </c:pt>
                <c:pt idx="1384">
                  <c:v>2.2999999999999998</c:v>
                </c:pt>
                <c:pt idx="1385">
                  <c:v>2.75</c:v>
                </c:pt>
                <c:pt idx="1386">
                  <c:v>3.2</c:v>
                </c:pt>
                <c:pt idx="1387">
                  <c:v>3.1</c:v>
                </c:pt>
                <c:pt idx="1388">
                  <c:v>3</c:v>
                </c:pt>
                <c:pt idx="1389">
                  <c:v>3.1</c:v>
                </c:pt>
                <c:pt idx="1390">
                  <c:v>3.2</c:v>
                </c:pt>
                <c:pt idx="1391">
                  <c:v>3.8</c:v>
                </c:pt>
                <c:pt idx="1392">
                  <c:v>4.4000000000000004</c:v>
                </c:pt>
                <c:pt idx="1393">
                  <c:v>3.65</c:v>
                </c:pt>
                <c:pt idx="1394">
                  <c:v>2.9</c:v>
                </c:pt>
                <c:pt idx="1395">
                  <c:v>3</c:v>
                </c:pt>
                <c:pt idx="1396">
                  <c:v>3.1</c:v>
                </c:pt>
                <c:pt idx="1397">
                  <c:v>3.1</c:v>
                </c:pt>
                <c:pt idx="1398">
                  <c:v>3.1</c:v>
                </c:pt>
                <c:pt idx="1399">
                  <c:v>3.35</c:v>
                </c:pt>
                <c:pt idx="1400">
                  <c:v>3.6</c:v>
                </c:pt>
                <c:pt idx="1401">
                  <c:v>3.6</c:v>
                </c:pt>
                <c:pt idx="1402">
                  <c:v>3.6</c:v>
                </c:pt>
                <c:pt idx="1403">
                  <c:v>2.65</c:v>
                </c:pt>
                <c:pt idx="1404">
                  <c:v>1.7</c:v>
                </c:pt>
                <c:pt idx="1405">
                  <c:v>2.0499999999999998</c:v>
                </c:pt>
                <c:pt idx="1406">
                  <c:v>2.4</c:v>
                </c:pt>
                <c:pt idx="1407">
                  <c:v>2.35</c:v>
                </c:pt>
                <c:pt idx="1408">
                  <c:v>2.2999999999999998</c:v>
                </c:pt>
                <c:pt idx="1409">
                  <c:v>2.2999999999999998</c:v>
                </c:pt>
                <c:pt idx="1410">
                  <c:v>2.2999999999999998</c:v>
                </c:pt>
                <c:pt idx="1411">
                  <c:v>2.35</c:v>
                </c:pt>
                <c:pt idx="1412">
                  <c:v>2.4</c:v>
                </c:pt>
                <c:pt idx="1413">
                  <c:v>2.15</c:v>
                </c:pt>
                <c:pt idx="1414">
                  <c:v>1.9</c:v>
                </c:pt>
                <c:pt idx="1415">
                  <c:v>1.8</c:v>
                </c:pt>
                <c:pt idx="1416">
                  <c:v>1.7</c:v>
                </c:pt>
                <c:pt idx="1417">
                  <c:v>1.1499999999999999</c:v>
                </c:pt>
                <c:pt idx="1418">
                  <c:v>0.6</c:v>
                </c:pt>
                <c:pt idx="1419">
                  <c:v>1.55</c:v>
                </c:pt>
                <c:pt idx="1420">
                  <c:v>2.5</c:v>
                </c:pt>
                <c:pt idx="1421">
                  <c:v>2.15</c:v>
                </c:pt>
                <c:pt idx="1422">
                  <c:v>1.8</c:v>
                </c:pt>
                <c:pt idx="1423">
                  <c:v>1.85</c:v>
                </c:pt>
                <c:pt idx="1424">
                  <c:v>1.9</c:v>
                </c:pt>
                <c:pt idx="1425">
                  <c:v>1.25</c:v>
                </c:pt>
                <c:pt idx="1426">
                  <c:v>0.6</c:v>
                </c:pt>
                <c:pt idx="1427">
                  <c:v>1.5</c:v>
                </c:pt>
                <c:pt idx="1428">
                  <c:v>2.4</c:v>
                </c:pt>
                <c:pt idx="1429">
                  <c:v>2.35</c:v>
                </c:pt>
                <c:pt idx="1430">
                  <c:v>2.2999999999999998</c:v>
                </c:pt>
                <c:pt idx="1431">
                  <c:v>2.65</c:v>
                </c:pt>
                <c:pt idx="1432">
                  <c:v>3</c:v>
                </c:pt>
                <c:pt idx="1433">
                  <c:v>3.3</c:v>
                </c:pt>
                <c:pt idx="1434">
                  <c:v>3.6</c:v>
                </c:pt>
                <c:pt idx="1435">
                  <c:v>4.2</c:v>
                </c:pt>
                <c:pt idx="1436">
                  <c:v>4.8</c:v>
                </c:pt>
                <c:pt idx="1437">
                  <c:v>4.3</c:v>
                </c:pt>
                <c:pt idx="1438">
                  <c:v>3.8</c:v>
                </c:pt>
                <c:pt idx="1439">
                  <c:v>3.75</c:v>
                </c:pt>
              </c:numCache>
            </c:numRef>
          </c:yVal>
          <c:smooth val="1"/>
          <c:extLst>
            <c:ext xmlns:c16="http://schemas.microsoft.com/office/drawing/2014/chart" uri="{C3380CC4-5D6E-409C-BE32-E72D297353CC}">
              <c16:uniqueId val="{00000002-3F12-415F-8D82-C055D47F70E9}"/>
            </c:ext>
          </c:extLst>
        </c:ser>
        <c:dLbls>
          <c:showLegendKey val="0"/>
          <c:showVal val="0"/>
          <c:showCatName val="0"/>
          <c:showSerName val="0"/>
          <c:showPercent val="0"/>
          <c:showBubbleSize val="0"/>
        </c:dLbls>
        <c:axId val="87780736"/>
        <c:axId val="87787008"/>
      </c:scatterChart>
      <c:valAx>
        <c:axId val="87780736"/>
        <c:scaling>
          <c:orientation val="minMax"/>
          <c:max val="41703"/>
          <c:min val="4170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a:latin typeface="Times New Roman" panose="02020603050405020304" pitchFamily="18" charset="0"/>
                    <a:cs typeface="Times New Roman" panose="02020603050405020304" pitchFamily="18" charset="0"/>
                  </a:rPr>
                  <a:t>Time</a:t>
                </a:r>
                <a:endParaRPr lang="en-GB">
                  <a:latin typeface="Times New Roman" panose="02020603050405020304" pitchFamily="18" charset="0"/>
                  <a:cs typeface="Times New Roman" panose="02020603050405020304" pitchFamily="18" charset="0"/>
                </a:endParaRPr>
              </a:p>
            </c:rich>
          </c:tx>
          <c:layout>
            <c:manualLayout>
              <c:xMode val="edge"/>
              <c:yMode val="edge"/>
              <c:x val="0.49999366608099605"/>
              <c:y val="0.9408688284043234"/>
            </c:manualLayout>
          </c:layout>
          <c:overlay val="0"/>
          <c:spPr>
            <a:noFill/>
            <a:ln>
              <a:noFill/>
            </a:ln>
            <a:effectLst/>
          </c:spPr>
        </c:title>
        <c:numFmt formatCode="h:mm" sourceLinked="1"/>
        <c:majorTickMark val="out"/>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7787008"/>
        <c:crosses val="autoZero"/>
        <c:crossBetween val="midCat"/>
        <c:majorUnit val="0.25"/>
      </c:valAx>
      <c:valAx>
        <c:axId val="87787008"/>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a:latin typeface="Times New Roman" panose="02020603050405020304" pitchFamily="18" charset="0"/>
                    <a:cs typeface="Times New Roman" panose="02020603050405020304" pitchFamily="18" charset="0"/>
                  </a:rPr>
                  <a:t>Irraiance (W/m</a:t>
                </a:r>
                <a:r>
                  <a:rPr lang="en-GB" sz="1200" baseline="30000">
                    <a:latin typeface="Times New Roman" panose="02020603050405020304" pitchFamily="18" charset="0"/>
                    <a:cs typeface="Times New Roman" panose="02020603050405020304" pitchFamily="18" charset="0"/>
                  </a:rPr>
                  <a:t>2</a:t>
                </a:r>
                <a:r>
                  <a:rPr lang="en-GB" sz="1200" baseline="0">
                    <a:latin typeface="Times New Roman" panose="02020603050405020304" pitchFamily="18" charset="0"/>
                    <a:cs typeface="Times New Roman" panose="02020603050405020304" pitchFamily="18" charset="0"/>
                  </a:rPr>
                  <a:t>)</a:t>
                </a:r>
                <a:endParaRPr lang="en-GB" sz="1200">
                  <a:latin typeface="Times New Roman" panose="02020603050405020304" pitchFamily="18" charset="0"/>
                  <a:cs typeface="Times New Roman" panose="02020603050405020304" pitchFamily="18" charset="0"/>
                </a:endParaRPr>
              </a:p>
            </c:rich>
          </c:tx>
          <c:layout>
            <c:manualLayout>
              <c:xMode val="edge"/>
              <c:yMode val="edge"/>
              <c:x val="1.9617892591012334E-2"/>
              <c:y val="0.5054453750196769"/>
            </c:manualLayout>
          </c:layout>
          <c:overlay val="0"/>
          <c:spPr>
            <a:noFill/>
            <a:ln>
              <a:noFill/>
            </a:ln>
            <a:effectLst/>
          </c:spPr>
        </c:title>
        <c:numFmt formatCode="General" sourceLinked="1"/>
        <c:majorTickMark val="out"/>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7780736"/>
        <c:crosses val="autoZero"/>
        <c:crossBetween val="midCat"/>
      </c:valAx>
      <c:spPr>
        <a:noFill/>
        <a:ln>
          <a:noFill/>
        </a:ln>
        <a:effectLst/>
      </c:spPr>
    </c:plotArea>
    <c:legend>
      <c:legendPos val="b"/>
      <c:layout>
        <c:manualLayout>
          <c:xMode val="edge"/>
          <c:yMode val="edge"/>
          <c:x val="3.1015948587821876E-2"/>
          <c:y val="0.95302681110581433"/>
          <c:w val="0.93747965195908234"/>
          <c:h val="4.697318889418572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49267097426775"/>
          <c:y val="5.5815254436479021E-2"/>
          <c:w val="0.83594701825062567"/>
          <c:h val="0.8455585066792024"/>
        </c:manualLayout>
      </c:layout>
      <c:scatterChart>
        <c:scatterStyle val="smoothMarker"/>
        <c:varyColors val="0"/>
        <c:ser>
          <c:idx val="0"/>
          <c:order val="0"/>
          <c:tx>
            <c:strRef>
              <c:f>Sheet1!$B$1</c:f>
              <c:strCache>
                <c:ptCount val="1"/>
                <c:pt idx="0">
                  <c:v>Direct Irradiance (W/m^2)</c:v>
                </c:pt>
              </c:strCache>
            </c:strRef>
          </c:tx>
          <c:spPr>
            <a:ln w="12700" cap="rnd">
              <a:solidFill>
                <a:srgbClr val="00B050"/>
              </a:solidFill>
              <a:round/>
            </a:ln>
            <a:effectLst/>
          </c:spPr>
          <c:marker>
            <c:symbol val="none"/>
          </c:marker>
          <c:xVal>
            <c:numRef>
              <c:f>Sheet1!$A$2:$A$1441</c:f>
              <c:numCache>
                <c:formatCode>h:mm</c:formatCode>
                <c:ptCount val="1440"/>
                <c:pt idx="0">
                  <c:v>41791</c:v>
                </c:pt>
                <c:pt idx="1">
                  <c:v>41791.000694444447</c:v>
                </c:pt>
                <c:pt idx="2">
                  <c:v>41791.001388888886</c:v>
                </c:pt>
                <c:pt idx="3">
                  <c:v>41791.002083333333</c:v>
                </c:pt>
                <c:pt idx="4">
                  <c:v>41791.00277777778</c:v>
                </c:pt>
                <c:pt idx="5">
                  <c:v>41791.003472222219</c:v>
                </c:pt>
                <c:pt idx="6">
                  <c:v>41791.004166666666</c:v>
                </c:pt>
                <c:pt idx="7">
                  <c:v>41791.004861111112</c:v>
                </c:pt>
                <c:pt idx="8">
                  <c:v>41791.005555555559</c:v>
                </c:pt>
                <c:pt idx="9">
                  <c:v>41791.006249999999</c:v>
                </c:pt>
                <c:pt idx="10">
                  <c:v>41791.006944444445</c:v>
                </c:pt>
                <c:pt idx="11">
                  <c:v>41791.007638888892</c:v>
                </c:pt>
                <c:pt idx="12">
                  <c:v>41791.008333333331</c:v>
                </c:pt>
                <c:pt idx="13">
                  <c:v>41791.009027777778</c:v>
                </c:pt>
                <c:pt idx="14">
                  <c:v>41791.009722222225</c:v>
                </c:pt>
                <c:pt idx="15">
                  <c:v>41791.010416666664</c:v>
                </c:pt>
                <c:pt idx="16">
                  <c:v>41791.011111111111</c:v>
                </c:pt>
                <c:pt idx="17">
                  <c:v>41791.011805555558</c:v>
                </c:pt>
                <c:pt idx="18">
                  <c:v>41791.012499999997</c:v>
                </c:pt>
                <c:pt idx="19">
                  <c:v>41791.013194444444</c:v>
                </c:pt>
                <c:pt idx="20">
                  <c:v>41791.013888888891</c:v>
                </c:pt>
                <c:pt idx="21">
                  <c:v>41791.01458333333</c:v>
                </c:pt>
                <c:pt idx="22">
                  <c:v>41791.015277777777</c:v>
                </c:pt>
                <c:pt idx="23">
                  <c:v>41791.015972222223</c:v>
                </c:pt>
                <c:pt idx="24">
                  <c:v>41791.01666666667</c:v>
                </c:pt>
                <c:pt idx="25">
                  <c:v>41791.017361111109</c:v>
                </c:pt>
                <c:pt idx="26">
                  <c:v>41791.018055555556</c:v>
                </c:pt>
                <c:pt idx="27">
                  <c:v>41791.018750000003</c:v>
                </c:pt>
                <c:pt idx="28">
                  <c:v>41791.019444444442</c:v>
                </c:pt>
                <c:pt idx="29">
                  <c:v>41791.020138888889</c:v>
                </c:pt>
                <c:pt idx="30">
                  <c:v>41791.020833333336</c:v>
                </c:pt>
                <c:pt idx="31">
                  <c:v>41791.021527777775</c:v>
                </c:pt>
                <c:pt idx="32">
                  <c:v>41791.022222222222</c:v>
                </c:pt>
                <c:pt idx="33">
                  <c:v>41791.022916666669</c:v>
                </c:pt>
                <c:pt idx="34">
                  <c:v>41791.023611111108</c:v>
                </c:pt>
                <c:pt idx="35">
                  <c:v>41791.024305555555</c:v>
                </c:pt>
                <c:pt idx="36">
                  <c:v>41791.025000000001</c:v>
                </c:pt>
                <c:pt idx="37">
                  <c:v>41791.025694444441</c:v>
                </c:pt>
                <c:pt idx="38">
                  <c:v>41791.026388888888</c:v>
                </c:pt>
                <c:pt idx="39">
                  <c:v>41791.027083333334</c:v>
                </c:pt>
                <c:pt idx="40">
                  <c:v>41791.027777777781</c:v>
                </c:pt>
                <c:pt idx="41">
                  <c:v>41791.02847222222</c:v>
                </c:pt>
                <c:pt idx="42">
                  <c:v>41791.029166666667</c:v>
                </c:pt>
                <c:pt idx="43">
                  <c:v>41791.029861111114</c:v>
                </c:pt>
                <c:pt idx="44">
                  <c:v>41791.030555555553</c:v>
                </c:pt>
                <c:pt idx="45">
                  <c:v>41791.03125</c:v>
                </c:pt>
                <c:pt idx="46">
                  <c:v>41791.031944444447</c:v>
                </c:pt>
                <c:pt idx="47">
                  <c:v>41791.032638888886</c:v>
                </c:pt>
                <c:pt idx="48">
                  <c:v>41791.033333333333</c:v>
                </c:pt>
                <c:pt idx="49">
                  <c:v>41791.03402777778</c:v>
                </c:pt>
                <c:pt idx="50">
                  <c:v>41791.034722222219</c:v>
                </c:pt>
                <c:pt idx="51">
                  <c:v>41791.035416666666</c:v>
                </c:pt>
                <c:pt idx="52">
                  <c:v>41791.036111111112</c:v>
                </c:pt>
                <c:pt idx="53">
                  <c:v>41791.036805555559</c:v>
                </c:pt>
                <c:pt idx="54">
                  <c:v>41791.037499999999</c:v>
                </c:pt>
                <c:pt idx="55">
                  <c:v>41791.038194444445</c:v>
                </c:pt>
                <c:pt idx="56">
                  <c:v>41791.038888888892</c:v>
                </c:pt>
                <c:pt idx="57">
                  <c:v>41791.039583333331</c:v>
                </c:pt>
                <c:pt idx="58">
                  <c:v>41791.040277777778</c:v>
                </c:pt>
                <c:pt idx="59">
                  <c:v>41791.040972222225</c:v>
                </c:pt>
                <c:pt idx="60">
                  <c:v>41791.041666666664</c:v>
                </c:pt>
                <c:pt idx="61">
                  <c:v>41791.042361111111</c:v>
                </c:pt>
                <c:pt idx="62">
                  <c:v>41791.043055555558</c:v>
                </c:pt>
                <c:pt idx="63">
                  <c:v>41791.043749999997</c:v>
                </c:pt>
                <c:pt idx="64">
                  <c:v>41791.044444444444</c:v>
                </c:pt>
                <c:pt idx="65">
                  <c:v>41791.045138888891</c:v>
                </c:pt>
                <c:pt idx="66">
                  <c:v>41791.04583333333</c:v>
                </c:pt>
                <c:pt idx="67">
                  <c:v>41791.046527777777</c:v>
                </c:pt>
                <c:pt idx="68">
                  <c:v>41791.047222222223</c:v>
                </c:pt>
                <c:pt idx="69">
                  <c:v>41791.04791666667</c:v>
                </c:pt>
                <c:pt idx="70">
                  <c:v>41791.048611111109</c:v>
                </c:pt>
                <c:pt idx="71">
                  <c:v>41791.049305555556</c:v>
                </c:pt>
                <c:pt idx="72">
                  <c:v>41791.050000000003</c:v>
                </c:pt>
                <c:pt idx="73">
                  <c:v>41791.050694444442</c:v>
                </c:pt>
                <c:pt idx="74">
                  <c:v>41791.051388888889</c:v>
                </c:pt>
                <c:pt idx="75">
                  <c:v>41791.052083333336</c:v>
                </c:pt>
                <c:pt idx="76">
                  <c:v>41791.052777777775</c:v>
                </c:pt>
                <c:pt idx="77">
                  <c:v>41791.053472222222</c:v>
                </c:pt>
                <c:pt idx="78">
                  <c:v>41791.054166666669</c:v>
                </c:pt>
                <c:pt idx="79">
                  <c:v>41791.054861111108</c:v>
                </c:pt>
                <c:pt idx="80">
                  <c:v>41791.055555555555</c:v>
                </c:pt>
                <c:pt idx="81">
                  <c:v>41791.056250000001</c:v>
                </c:pt>
                <c:pt idx="82">
                  <c:v>41791.056944444441</c:v>
                </c:pt>
                <c:pt idx="83">
                  <c:v>41791.057638888888</c:v>
                </c:pt>
                <c:pt idx="84">
                  <c:v>41791.058333333334</c:v>
                </c:pt>
                <c:pt idx="85">
                  <c:v>41791.059027777781</c:v>
                </c:pt>
                <c:pt idx="86">
                  <c:v>41791.05972222222</c:v>
                </c:pt>
                <c:pt idx="87">
                  <c:v>41791.060416666667</c:v>
                </c:pt>
                <c:pt idx="88">
                  <c:v>41791.061111111114</c:v>
                </c:pt>
                <c:pt idx="89">
                  <c:v>41791.061805555553</c:v>
                </c:pt>
                <c:pt idx="90">
                  <c:v>41791.0625</c:v>
                </c:pt>
                <c:pt idx="91">
                  <c:v>41791.063194444447</c:v>
                </c:pt>
                <c:pt idx="92">
                  <c:v>41791.063888888886</c:v>
                </c:pt>
                <c:pt idx="93">
                  <c:v>41791.064583333333</c:v>
                </c:pt>
                <c:pt idx="94">
                  <c:v>41791.06527777778</c:v>
                </c:pt>
                <c:pt idx="95">
                  <c:v>41791.065972222219</c:v>
                </c:pt>
                <c:pt idx="96">
                  <c:v>41791.066666666666</c:v>
                </c:pt>
                <c:pt idx="97">
                  <c:v>41791.067361111112</c:v>
                </c:pt>
                <c:pt idx="98">
                  <c:v>41791.068055555559</c:v>
                </c:pt>
                <c:pt idx="99">
                  <c:v>41791.068749999999</c:v>
                </c:pt>
                <c:pt idx="100">
                  <c:v>41791.069444444445</c:v>
                </c:pt>
                <c:pt idx="101">
                  <c:v>41791.070138888892</c:v>
                </c:pt>
                <c:pt idx="102">
                  <c:v>41791.070833333331</c:v>
                </c:pt>
                <c:pt idx="103">
                  <c:v>41791.071527777778</c:v>
                </c:pt>
                <c:pt idx="104">
                  <c:v>41791.072222222225</c:v>
                </c:pt>
                <c:pt idx="105">
                  <c:v>41791.072916666664</c:v>
                </c:pt>
                <c:pt idx="106">
                  <c:v>41791.073611111111</c:v>
                </c:pt>
                <c:pt idx="107">
                  <c:v>41791.074305555558</c:v>
                </c:pt>
                <c:pt idx="108">
                  <c:v>41791.074999999997</c:v>
                </c:pt>
                <c:pt idx="109">
                  <c:v>41791.075694444444</c:v>
                </c:pt>
                <c:pt idx="110">
                  <c:v>41791.076388888891</c:v>
                </c:pt>
                <c:pt idx="111">
                  <c:v>41791.07708333333</c:v>
                </c:pt>
                <c:pt idx="112">
                  <c:v>41791.077777777777</c:v>
                </c:pt>
                <c:pt idx="113">
                  <c:v>41791.078472222223</c:v>
                </c:pt>
                <c:pt idx="114">
                  <c:v>41791.07916666667</c:v>
                </c:pt>
                <c:pt idx="115">
                  <c:v>41791.079861111109</c:v>
                </c:pt>
                <c:pt idx="116">
                  <c:v>41791.080555555556</c:v>
                </c:pt>
                <c:pt idx="117">
                  <c:v>41791.081250000003</c:v>
                </c:pt>
                <c:pt idx="118">
                  <c:v>41791.081944444442</c:v>
                </c:pt>
                <c:pt idx="119">
                  <c:v>41791.082638888889</c:v>
                </c:pt>
                <c:pt idx="120">
                  <c:v>41791.083333333336</c:v>
                </c:pt>
                <c:pt idx="121">
                  <c:v>41791.084027777775</c:v>
                </c:pt>
                <c:pt idx="122">
                  <c:v>41791.084722222222</c:v>
                </c:pt>
                <c:pt idx="123">
                  <c:v>41791.085416666669</c:v>
                </c:pt>
                <c:pt idx="124">
                  <c:v>41791.086111111108</c:v>
                </c:pt>
                <c:pt idx="125">
                  <c:v>41791.086805555555</c:v>
                </c:pt>
                <c:pt idx="126">
                  <c:v>41791.087500000001</c:v>
                </c:pt>
                <c:pt idx="127">
                  <c:v>41791.088194444441</c:v>
                </c:pt>
                <c:pt idx="128">
                  <c:v>41791.088888888888</c:v>
                </c:pt>
                <c:pt idx="129">
                  <c:v>41791.089583333334</c:v>
                </c:pt>
                <c:pt idx="130">
                  <c:v>41791.090277777781</c:v>
                </c:pt>
                <c:pt idx="131">
                  <c:v>41791.09097222222</c:v>
                </c:pt>
                <c:pt idx="132">
                  <c:v>41791.091666666667</c:v>
                </c:pt>
                <c:pt idx="133">
                  <c:v>41791.092361111114</c:v>
                </c:pt>
                <c:pt idx="134">
                  <c:v>41791.093055555553</c:v>
                </c:pt>
                <c:pt idx="135">
                  <c:v>41791.09375</c:v>
                </c:pt>
                <c:pt idx="136">
                  <c:v>41791.094444444447</c:v>
                </c:pt>
                <c:pt idx="137">
                  <c:v>41791.095138888886</c:v>
                </c:pt>
                <c:pt idx="138">
                  <c:v>41791.095833333333</c:v>
                </c:pt>
                <c:pt idx="139">
                  <c:v>41791.09652777778</c:v>
                </c:pt>
                <c:pt idx="140">
                  <c:v>41791.097222222219</c:v>
                </c:pt>
                <c:pt idx="141">
                  <c:v>41791.097916666666</c:v>
                </c:pt>
                <c:pt idx="142">
                  <c:v>41791.098611111112</c:v>
                </c:pt>
                <c:pt idx="143">
                  <c:v>41791.099305555559</c:v>
                </c:pt>
                <c:pt idx="144">
                  <c:v>41791.1</c:v>
                </c:pt>
                <c:pt idx="145">
                  <c:v>41791.100694444445</c:v>
                </c:pt>
                <c:pt idx="146">
                  <c:v>41791.101388888892</c:v>
                </c:pt>
                <c:pt idx="147">
                  <c:v>41791.102083333331</c:v>
                </c:pt>
                <c:pt idx="148">
                  <c:v>41791.102777777778</c:v>
                </c:pt>
                <c:pt idx="149">
                  <c:v>41791.103472222225</c:v>
                </c:pt>
                <c:pt idx="150">
                  <c:v>41791.104166666664</c:v>
                </c:pt>
                <c:pt idx="151">
                  <c:v>41791.104861111111</c:v>
                </c:pt>
                <c:pt idx="152">
                  <c:v>41791.105555555558</c:v>
                </c:pt>
                <c:pt idx="153">
                  <c:v>41791.106249999997</c:v>
                </c:pt>
                <c:pt idx="154">
                  <c:v>41791.106944444444</c:v>
                </c:pt>
                <c:pt idx="155">
                  <c:v>41791.107638888891</c:v>
                </c:pt>
                <c:pt idx="156">
                  <c:v>41791.10833333333</c:v>
                </c:pt>
                <c:pt idx="157">
                  <c:v>41791.109027777777</c:v>
                </c:pt>
                <c:pt idx="158">
                  <c:v>41791.109722222223</c:v>
                </c:pt>
                <c:pt idx="159">
                  <c:v>41791.11041666667</c:v>
                </c:pt>
                <c:pt idx="160">
                  <c:v>41791.111111111109</c:v>
                </c:pt>
                <c:pt idx="161">
                  <c:v>41791.111805555556</c:v>
                </c:pt>
                <c:pt idx="162">
                  <c:v>41791.112500000003</c:v>
                </c:pt>
                <c:pt idx="163">
                  <c:v>41791.113194444442</c:v>
                </c:pt>
                <c:pt idx="164">
                  <c:v>41791.113888888889</c:v>
                </c:pt>
                <c:pt idx="165">
                  <c:v>41791.114583333336</c:v>
                </c:pt>
                <c:pt idx="166">
                  <c:v>41791.115277777775</c:v>
                </c:pt>
                <c:pt idx="167">
                  <c:v>41791.115972222222</c:v>
                </c:pt>
                <c:pt idx="168">
                  <c:v>41791.116666666669</c:v>
                </c:pt>
                <c:pt idx="169">
                  <c:v>41791.117361111108</c:v>
                </c:pt>
                <c:pt idx="170">
                  <c:v>41791.118055555555</c:v>
                </c:pt>
                <c:pt idx="171">
                  <c:v>41791.118750000001</c:v>
                </c:pt>
                <c:pt idx="172">
                  <c:v>41791.119444444441</c:v>
                </c:pt>
                <c:pt idx="173">
                  <c:v>41791.120138888888</c:v>
                </c:pt>
                <c:pt idx="174">
                  <c:v>41791.120833333334</c:v>
                </c:pt>
                <c:pt idx="175">
                  <c:v>41791.121527777781</c:v>
                </c:pt>
                <c:pt idx="176">
                  <c:v>41791.12222222222</c:v>
                </c:pt>
                <c:pt idx="177">
                  <c:v>41791.122916666667</c:v>
                </c:pt>
                <c:pt idx="178">
                  <c:v>41791.123611111114</c:v>
                </c:pt>
                <c:pt idx="179">
                  <c:v>41791.124305555553</c:v>
                </c:pt>
                <c:pt idx="180">
                  <c:v>41791.125</c:v>
                </c:pt>
                <c:pt idx="181">
                  <c:v>41791.125694444447</c:v>
                </c:pt>
                <c:pt idx="182">
                  <c:v>41791.126388888886</c:v>
                </c:pt>
                <c:pt idx="183">
                  <c:v>41791.127083333333</c:v>
                </c:pt>
                <c:pt idx="184">
                  <c:v>41791.12777777778</c:v>
                </c:pt>
                <c:pt idx="185">
                  <c:v>41791.128472222219</c:v>
                </c:pt>
                <c:pt idx="186">
                  <c:v>41791.129166666666</c:v>
                </c:pt>
                <c:pt idx="187">
                  <c:v>41791.129861111112</c:v>
                </c:pt>
                <c:pt idx="188">
                  <c:v>41791.130555555559</c:v>
                </c:pt>
                <c:pt idx="189">
                  <c:v>41791.131249999999</c:v>
                </c:pt>
                <c:pt idx="190">
                  <c:v>41791.131944444445</c:v>
                </c:pt>
                <c:pt idx="191">
                  <c:v>41791.132638888892</c:v>
                </c:pt>
                <c:pt idx="192">
                  <c:v>41791.133333333331</c:v>
                </c:pt>
                <c:pt idx="193">
                  <c:v>41791.134027777778</c:v>
                </c:pt>
                <c:pt idx="194">
                  <c:v>41791.134722222225</c:v>
                </c:pt>
                <c:pt idx="195">
                  <c:v>41791.135416666664</c:v>
                </c:pt>
                <c:pt idx="196">
                  <c:v>41791.136111111111</c:v>
                </c:pt>
                <c:pt idx="197">
                  <c:v>41791.136805555558</c:v>
                </c:pt>
                <c:pt idx="198">
                  <c:v>41791.137499999997</c:v>
                </c:pt>
                <c:pt idx="199">
                  <c:v>41791.138194444444</c:v>
                </c:pt>
                <c:pt idx="200">
                  <c:v>41791.138888888891</c:v>
                </c:pt>
                <c:pt idx="201">
                  <c:v>41791.13958333333</c:v>
                </c:pt>
                <c:pt idx="202">
                  <c:v>41791.140277777777</c:v>
                </c:pt>
                <c:pt idx="203">
                  <c:v>41791.140972222223</c:v>
                </c:pt>
                <c:pt idx="204">
                  <c:v>41791.14166666667</c:v>
                </c:pt>
                <c:pt idx="205">
                  <c:v>41791.142361111109</c:v>
                </c:pt>
                <c:pt idx="206">
                  <c:v>41791.143055555556</c:v>
                </c:pt>
                <c:pt idx="207">
                  <c:v>41791.143750000003</c:v>
                </c:pt>
                <c:pt idx="208">
                  <c:v>41791.144444444442</c:v>
                </c:pt>
                <c:pt idx="209">
                  <c:v>41791.145138888889</c:v>
                </c:pt>
                <c:pt idx="210">
                  <c:v>41791.145833333336</c:v>
                </c:pt>
                <c:pt idx="211">
                  <c:v>41791.146527777775</c:v>
                </c:pt>
                <c:pt idx="212">
                  <c:v>41791.147222222222</c:v>
                </c:pt>
                <c:pt idx="213">
                  <c:v>41791.147916666669</c:v>
                </c:pt>
                <c:pt idx="214">
                  <c:v>41791.148611111108</c:v>
                </c:pt>
                <c:pt idx="215">
                  <c:v>41791.149305555555</c:v>
                </c:pt>
                <c:pt idx="216">
                  <c:v>41791.15</c:v>
                </c:pt>
                <c:pt idx="217">
                  <c:v>41791.150694444441</c:v>
                </c:pt>
                <c:pt idx="218">
                  <c:v>41791.151388888888</c:v>
                </c:pt>
                <c:pt idx="219">
                  <c:v>41791.152083333334</c:v>
                </c:pt>
                <c:pt idx="220">
                  <c:v>41791.152777777781</c:v>
                </c:pt>
                <c:pt idx="221">
                  <c:v>41791.15347222222</c:v>
                </c:pt>
                <c:pt idx="222">
                  <c:v>41791.154166666667</c:v>
                </c:pt>
                <c:pt idx="223">
                  <c:v>41791.154861111114</c:v>
                </c:pt>
                <c:pt idx="224">
                  <c:v>41791.155555555553</c:v>
                </c:pt>
                <c:pt idx="225">
                  <c:v>41791.15625</c:v>
                </c:pt>
                <c:pt idx="226">
                  <c:v>41791.156944444447</c:v>
                </c:pt>
                <c:pt idx="227">
                  <c:v>41791.157638888886</c:v>
                </c:pt>
                <c:pt idx="228">
                  <c:v>41791.158333333333</c:v>
                </c:pt>
                <c:pt idx="229">
                  <c:v>41791.15902777778</c:v>
                </c:pt>
                <c:pt idx="230">
                  <c:v>41791.159722222219</c:v>
                </c:pt>
                <c:pt idx="231">
                  <c:v>41791.160416666666</c:v>
                </c:pt>
                <c:pt idx="232">
                  <c:v>41791.161111111112</c:v>
                </c:pt>
                <c:pt idx="233">
                  <c:v>41791.161805555559</c:v>
                </c:pt>
                <c:pt idx="234">
                  <c:v>41791.162499999999</c:v>
                </c:pt>
                <c:pt idx="235">
                  <c:v>41791.163194444445</c:v>
                </c:pt>
                <c:pt idx="236">
                  <c:v>41791.163888888892</c:v>
                </c:pt>
                <c:pt idx="237">
                  <c:v>41791.164583333331</c:v>
                </c:pt>
                <c:pt idx="238">
                  <c:v>41791.165277777778</c:v>
                </c:pt>
                <c:pt idx="239">
                  <c:v>41791.165972222225</c:v>
                </c:pt>
                <c:pt idx="240">
                  <c:v>41791.166666666664</c:v>
                </c:pt>
                <c:pt idx="241">
                  <c:v>41791.167361111111</c:v>
                </c:pt>
                <c:pt idx="242">
                  <c:v>41791.168055555558</c:v>
                </c:pt>
                <c:pt idx="243">
                  <c:v>41791.168749999997</c:v>
                </c:pt>
                <c:pt idx="244">
                  <c:v>41791.169444444444</c:v>
                </c:pt>
                <c:pt idx="245">
                  <c:v>41791.170138888891</c:v>
                </c:pt>
                <c:pt idx="246">
                  <c:v>41791.17083333333</c:v>
                </c:pt>
                <c:pt idx="247">
                  <c:v>41791.171527777777</c:v>
                </c:pt>
                <c:pt idx="248">
                  <c:v>41791.172222222223</c:v>
                </c:pt>
                <c:pt idx="249">
                  <c:v>41791.17291666667</c:v>
                </c:pt>
                <c:pt idx="250">
                  <c:v>41791.173611111109</c:v>
                </c:pt>
                <c:pt idx="251">
                  <c:v>41791.174305555556</c:v>
                </c:pt>
                <c:pt idx="252">
                  <c:v>41791.175000000003</c:v>
                </c:pt>
                <c:pt idx="253">
                  <c:v>41791.175694444442</c:v>
                </c:pt>
                <c:pt idx="254">
                  <c:v>41791.176388888889</c:v>
                </c:pt>
                <c:pt idx="255">
                  <c:v>41791.177083333336</c:v>
                </c:pt>
                <c:pt idx="256">
                  <c:v>41791.177777777775</c:v>
                </c:pt>
                <c:pt idx="257">
                  <c:v>41791.178472222222</c:v>
                </c:pt>
                <c:pt idx="258">
                  <c:v>41791.179166666669</c:v>
                </c:pt>
                <c:pt idx="259">
                  <c:v>41791.179861111108</c:v>
                </c:pt>
                <c:pt idx="260">
                  <c:v>41791.180555555555</c:v>
                </c:pt>
                <c:pt idx="261">
                  <c:v>41791.181250000001</c:v>
                </c:pt>
                <c:pt idx="262">
                  <c:v>41791.181944444441</c:v>
                </c:pt>
                <c:pt idx="263">
                  <c:v>41791.182638888888</c:v>
                </c:pt>
                <c:pt idx="264">
                  <c:v>41791.183333333334</c:v>
                </c:pt>
                <c:pt idx="265">
                  <c:v>41791.184027777781</c:v>
                </c:pt>
                <c:pt idx="266">
                  <c:v>41791.18472222222</c:v>
                </c:pt>
                <c:pt idx="267">
                  <c:v>41791.185416666667</c:v>
                </c:pt>
                <c:pt idx="268">
                  <c:v>41791.186111111114</c:v>
                </c:pt>
                <c:pt idx="269">
                  <c:v>41791.186805555553</c:v>
                </c:pt>
                <c:pt idx="270">
                  <c:v>41791.1875</c:v>
                </c:pt>
                <c:pt idx="271">
                  <c:v>41791.188194444447</c:v>
                </c:pt>
                <c:pt idx="272">
                  <c:v>41791.188888888886</c:v>
                </c:pt>
                <c:pt idx="273">
                  <c:v>41791.189583333333</c:v>
                </c:pt>
                <c:pt idx="274">
                  <c:v>41791.19027777778</c:v>
                </c:pt>
                <c:pt idx="275">
                  <c:v>41791.190972222219</c:v>
                </c:pt>
                <c:pt idx="276">
                  <c:v>41791.191666666666</c:v>
                </c:pt>
                <c:pt idx="277">
                  <c:v>41791.192361111112</c:v>
                </c:pt>
                <c:pt idx="278">
                  <c:v>41791.193055555559</c:v>
                </c:pt>
                <c:pt idx="279">
                  <c:v>41791.193749999999</c:v>
                </c:pt>
                <c:pt idx="280">
                  <c:v>41791.194444444445</c:v>
                </c:pt>
                <c:pt idx="281">
                  <c:v>41791.195138888892</c:v>
                </c:pt>
                <c:pt idx="282">
                  <c:v>41791.195833333331</c:v>
                </c:pt>
                <c:pt idx="283">
                  <c:v>41791.196527777778</c:v>
                </c:pt>
                <c:pt idx="284">
                  <c:v>41791.197222222225</c:v>
                </c:pt>
                <c:pt idx="285">
                  <c:v>41791.197916666664</c:v>
                </c:pt>
                <c:pt idx="286">
                  <c:v>41791.198611111111</c:v>
                </c:pt>
                <c:pt idx="287">
                  <c:v>41791.199305555558</c:v>
                </c:pt>
                <c:pt idx="288">
                  <c:v>41791.199999999997</c:v>
                </c:pt>
                <c:pt idx="289">
                  <c:v>41791.200694444444</c:v>
                </c:pt>
                <c:pt idx="290">
                  <c:v>41791.201388888891</c:v>
                </c:pt>
                <c:pt idx="291">
                  <c:v>41791.20208333333</c:v>
                </c:pt>
                <c:pt idx="292">
                  <c:v>41791.202777777777</c:v>
                </c:pt>
                <c:pt idx="293">
                  <c:v>41791.203472222223</c:v>
                </c:pt>
                <c:pt idx="294">
                  <c:v>41791.20416666667</c:v>
                </c:pt>
                <c:pt idx="295">
                  <c:v>41791.204861111109</c:v>
                </c:pt>
                <c:pt idx="296">
                  <c:v>41791.205555555556</c:v>
                </c:pt>
                <c:pt idx="297">
                  <c:v>41791.206250000003</c:v>
                </c:pt>
                <c:pt idx="298">
                  <c:v>41791.206944444442</c:v>
                </c:pt>
                <c:pt idx="299">
                  <c:v>41791.207638888889</c:v>
                </c:pt>
                <c:pt idx="300">
                  <c:v>41791.208333333336</c:v>
                </c:pt>
                <c:pt idx="301">
                  <c:v>41791.209027777775</c:v>
                </c:pt>
                <c:pt idx="302">
                  <c:v>41791.209722222222</c:v>
                </c:pt>
                <c:pt idx="303">
                  <c:v>41791.210416666669</c:v>
                </c:pt>
                <c:pt idx="304">
                  <c:v>41791.211111111108</c:v>
                </c:pt>
                <c:pt idx="305">
                  <c:v>41791.211805555555</c:v>
                </c:pt>
                <c:pt idx="306">
                  <c:v>41791.212500000001</c:v>
                </c:pt>
                <c:pt idx="307">
                  <c:v>41791.213194444441</c:v>
                </c:pt>
                <c:pt idx="308">
                  <c:v>41791.213888888888</c:v>
                </c:pt>
                <c:pt idx="309">
                  <c:v>41791.214583333334</c:v>
                </c:pt>
                <c:pt idx="310">
                  <c:v>41791.215277777781</c:v>
                </c:pt>
                <c:pt idx="311">
                  <c:v>41791.21597222222</c:v>
                </c:pt>
                <c:pt idx="312">
                  <c:v>41791.216666666667</c:v>
                </c:pt>
                <c:pt idx="313">
                  <c:v>41791.217361111114</c:v>
                </c:pt>
                <c:pt idx="314">
                  <c:v>41791.218055555553</c:v>
                </c:pt>
                <c:pt idx="315">
                  <c:v>41791.21875</c:v>
                </c:pt>
                <c:pt idx="316">
                  <c:v>41791.219444444447</c:v>
                </c:pt>
                <c:pt idx="317">
                  <c:v>41791.220138888886</c:v>
                </c:pt>
                <c:pt idx="318">
                  <c:v>41791.220833333333</c:v>
                </c:pt>
                <c:pt idx="319">
                  <c:v>41791.22152777778</c:v>
                </c:pt>
                <c:pt idx="320">
                  <c:v>41791.222222222219</c:v>
                </c:pt>
                <c:pt idx="321">
                  <c:v>41791.222916666666</c:v>
                </c:pt>
                <c:pt idx="322">
                  <c:v>41791.223611111112</c:v>
                </c:pt>
                <c:pt idx="323">
                  <c:v>41791.224305555559</c:v>
                </c:pt>
                <c:pt idx="324">
                  <c:v>41791.224999999999</c:v>
                </c:pt>
                <c:pt idx="325">
                  <c:v>41791.225694444445</c:v>
                </c:pt>
                <c:pt idx="326">
                  <c:v>41791.226388888892</c:v>
                </c:pt>
                <c:pt idx="327">
                  <c:v>41791.227083333331</c:v>
                </c:pt>
                <c:pt idx="328">
                  <c:v>41791.227777777778</c:v>
                </c:pt>
                <c:pt idx="329">
                  <c:v>41791.228472222225</c:v>
                </c:pt>
                <c:pt idx="330">
                  <c:v>41791.229166666664</c:v>
                </c:pt>
                <c:pt idx="331">
                  <c:v>41791.229861111111</c:v>
                </c:pt>
                <c:pt idx="332">
                  <c:v>41791.230555555558</c:v>
                </c:pt>
                <c:pt idx="333">
                  <c:v>41791.231249999997</c:v>
                </c:pt>
                <c:pt idx="334">
                  <c:v>41791.231944444444</c:v>
                </c:pt>
                <c:pt idx="335">
                  <c:v>41791.232638888891</c:v>
                </c:pt>
                <c:pt idx="336">
                  <c:v>41791.23333333333</c:v>
                </c:pt>
                <c:pt idx="337">
                  <c:v>41791.234027777777</c:v>
                </c:pt>
                <c:pt idx="338">
                  <c:v>41791.234722222223</c:v>
                </c:pt>
                <c:pt idx="339">
                  <c:v>41791.23541666667</c:v>
                </c:pt>
                <c:pt idx="340">
                  <c:v>41791.236111111109</c:v>
                </c:pt>
                <c:pt idx="341">
                  <c:v>41791.236805555556</c:v>
                </c:pt>
                <c:pt idx="342">
                  <c:v>41791.237500000003</c:v>
                </c:pt>
                <c:pt idx="343">
                  <c:v>41791.238194444442</c:v>
                </c:pt>
                <c:pt idx="344">
                  <c:v>41791.238888888889</c:v>
                </c:pt>
                <c:pt idx="345">
                  <c:v>41791.239583333336</c:v>
                </c:pt>
                <c:pt idx="346">
                  <c:v>41791.240277777775</c:v>
                </c:pt>
                <c:pt idx="347">
                  <c:v>41791.240972222222</c:v>
                </c:pt>
                <c:pt idx="348">
                  <c:v>41791.241666666669</c:v>
                </c:pt>
                <c:pt idx="349">
                  <c:v>41791.242361111108</c:v>
                </c:pt>
                <c:pt idx="350">
                  <c:v>41791.243055555555</c:v>
                </c:pt>
                <c:pt idx="351">
                  <c:v>41791.243750000001</c:v>
                </c:pt>
                <c:pt idx="352">
                  <c:v>41791.244444444441</c:v>
                </c:pt>
                <c:pt idx="353">
                  <c:v>41791.245138888888</c:v>
                </c:pt>
                <c:pt idx="354">
                  <c:v>41791.245833333334</c:v>
                </c:pt>
                <c:pt idx="355">
                  <c:v>41791.246527777781</c:v>
                </c:pt>
                <c:pt idx="356">
                  <c:v>41791.24722222222</c:v>
                </c:pt>
                <c:pt idx="357">
                  <c:v>41791.247916666667</c:v>
                </c:pt>
                <c:pt idx="358">
                  <c:v>41791.248611111114</c:v>
                </c:pt>
                <c:pt idx="359">
                  <c:v>41791.249305555553</c:v>
                </c:pt>
                <c:pt idx="360">
                  <c:v>41791.25</c:v>
                </c:pt>
                <c:pt idx="361">
                  <c:v>41791.250694444447</c:v>
                </c:pt>
                <c:pt idx="362">
                  <c:v>41791.251388888886</c:v>
                </c:pt>
                <c:pt idx="363">
                  <c:v>41791.252083333333</c:v>
                </c:pt>
                <c:pt idx="364">
                  <c:v>41791.25277777778</c:v>
                </c:pt>
                <c:pt idx="365">
                  <c:v>41791.253472222219</c:v>
                </c:pt>
                <c:pt idx="366">
                  <c:v>41791.254166666666</c:v>
                </c:pt>
                <c:pt idx="367">
                  <c:v>41791.254861111112</c:v>
                </c:pt>
                <c:pt idx="368">
                  <c:v>41791.255555555559</c:v>
                </c:pt>
                <c:pt idx="369">
                  <c:v>41791.256249999999</c:v>
                </c:pt>
                <c:pt idx="370">
                  <c:v>41791.256944444445</c:v>
                </c:pt>
                <c:pt idx="371">
                  <c:v>41791.257638888892</c:v>
                </c:pt>
                <c:pt idx="372">
                  <c:v>41791.258333333331</c:v>
                </c:pt>
                <c:pt idx="373">
                  <c:v>41791.259027777778</c:v>
                </c:pt>
                <c:pt idx="374">
                  <c:v>41791.259722222225</c:v>
                </c:pt>
                <c:pt idx="375">
                  <c:v>41791.260416666664</c:v>
                </c:pt>
                <c:pt idx="376">
                  <c:v>41791.261111111111</c:v>
                </c:pt>
                <c:pt idx="377">
                  <c:v>41791.261805555558</c:v>
                </c:pt>
                <c:pt idx="378">
                  <c:v>41791.262499999997</c:v>
                </c:pt>
                <c:pt idx="379">
                  <c:v>41791.263194444444</c:v>
                </c:pt>
                <c:pt idx="380">
                  <c:v>41791.263888888891</c:v>
                </c:pt>
                <c:pt idx="381">
                  <c:v>41791.26458333333</c:v>
                </c:pt>
                <c:pt idx="382">
                  <c:v>41791.265277777777</c:v>
                </c:pt>
                <c:pt idx="383">
                  <c:v>41791.265972222223</c:v>
                </c:pt>
                <c:pt idx="384">
                  <c:v>41791.26666666667</c:v>
                </c:pt>
                <c:pt idx="385">
                  <c:v>41791.267361111109</c:v>
                </c:pt>
                <c:pt idx="386">
                  <c:v>41791.268055555556</c:v>
                </c:pt>
                <c:pt idx="387">
                  <c:v>41791.268750000003</c:v>
                </c:pt>
                <c:pt idx="388">
                  <c:v>41791.269444444442</c:v>
                </c:pt>
                <c:pt idx="389">
                  <c:v>41791.270138888889</c:v>
                </c:pt>
                <c:pt idx="390">
                  <c:v>41791.270833333336</c:v>
                </c:pt>
                <c:pt idx="391">
                  <c:v>41791.271527777775</c:v>
                </c:pt>
                <c:pt idx="392">
                  <c:v>41791.272222222222</c:v>
                </c:pt>
                <c:pt idx="393">
                  <c:v>41791.272916666669</c:v>
                </c:pt>
                <c:pt idx="394">
                  <c:v>41791.273611111108</c:v>
                </c:pt>
                <c:pt idx="395">
                  <c:v>41791.274305555555</c:v>
                </c:pt>
                <c:pt idx="396">
                  <c:v>41791.275000000001</c:v>
                </c:pt>
                <c:pt idx="397">
                  <c:v>41791.275694444441</c:v>
                </c:pt>
                <c:pt idx="398">
                  <c:v>41791.276388888888</c:v>
                </c:pt>
                <c:pt idx="399">
                  <c:v>41791.277083333334</c:v>
                </c:pt>
                <c:pt idx="400">
                  <c:v>41791.277777777781</c:v>
                </c:pt>
                <c:pt idx="401">
                  <c:v>41791.27847222222</c:v>
                </c:pt>
                <c:pt idx="402">
                  <c:v>41791.279166666667</c:v>
                </c:pt>
                <c:pt idx="403">
                  <c:v>41791.279861111114</c:v>
                </c:pt>
                <c:pt idx="404">
                  <c:v>41791.280555555553</c:v>
                </c:pt>
                <c:pt idx="405">
                  <c:v>41791.28125</c:v>
                </c:pt>
                <c:pt idx="406">
                  <c:v>41791.281944444447</c:v>
                </c:pt>
                <c:pt idx="407">
                  <c:v>41791.282638888886</c:v>
                </c:pt>
                <c:pt idx="408">
                  <c:v>41791.283333333333</c:v>
                </c:pt>
                <c:pt idx="409">
                  <c:v>41791.28402777778</c:v>
                </c:pt>
                <c:pt idx="410">
                  <c:v>41791.284722222219</c:v>
                </c:pt>
                <c:pt idx="411">
                  <c:v>41791.285416666666</c:v>
                </c:pt>
                <c:pt idx="412">
                  <c:v>41791.286111111112</c:v>
                </c:pt>
                <c:pt idx="413">
                  <c:v>41791.286805555559</c:v>
                </c:pt>
                <c:pt idx="414">
                  <c:v>41791.287499999999</c:v>
                </c:pt>
                <c:pt idx="415">
                  <c:v>41791.288194444445</c:v>
                </c:pt>
                <c:pt idx="416">
                  <c:v>41791.288888888892</c:v>
                </c:pt>
                <c:pt idx="417">
                  <c:v>41791.289583333331</c:v>
                </c:pt>
                <c:pt idx="418">
                  <c:v>41791.290277777778</c:v>
                </c:pt>
                <c:pt idx="419">
                  <c:v>41791.290972222225</c:v>
                </c:pt>
                <c:pt idx="420">
                  <c:v>41791.291666666664</c:v>
                </c:pt>
                <c:pt idx="421">
                  <c:v>41791.292361111111</c:v>
                </c:pt>
                <c:pt idx="422">
                  <c:v>41791.293055555558</c:v>
                </c:pt>
                <c:pt idx="423">
                  <c:v>41791.293749999997</c:v>
                </c:pt>
                <c:pt idx="424">
                  <c:v>41791.294444444444</c:v>
                </c:pt>
                <c:pt idx="425">
                  <c:v>41791.295138888891</c:v>
                </c:pt>
                <c:pt idx="426">
                  <c:v>41791.29583333333</c:v>
                </c:pt>
                <c:pt idx="427">
                  <c:v>41791.296527777777</c:v>
                </c:pt>
                <c:pt idx="428">
                  <c:v>41791.297222222223</c:v>
                </c:pt>
                <c:pt idx="429">
                  <c:v>41791.29791666667</c:v>
                </c:pt>
                <c:pt idx="430">
                  <c:v>41791.298611111109</c:v>
                </c:pt>
                <c:pt idx="431">
                  <c:v>41791.299305555556</c:v>
                </c:pt>
                <c:pt idx="432">
                  <c:v>41791.300000000003</c:v>
                </c:pt>
                <c:pt idx="433">
                  <c:v>41791.300694444442</c:v>
                </c:pt>
                <c:pt idx="434">
                  <c:v>41791.301388888889</c:v>
                </c:pt>
                <c:pt idx="435">
                  <c:v>41791.302083333336</c:v>
                </c:pt>
                <c:pt idx="436">
                  <c:v>41791.302777777775</c:v>
                </c:pt>
                <c:pt idx="437">
                  <c:v>41791.303472222222</c:v>
                </c:pt>
                <c:pt idx="438">
                  <c:v>41791.304166666669</c:v>
                </c:pt>
                <c:pt idx="439">
                  <c:v>41791.304861111108</c:v>
                </c:pt>
                <c:pt idx="440">
                  <c:v>41791.305555555555</c:v>
                </c:pt>
                <c:pt idx="441">
                  <c:v>41791.306250000001</c:v>
                </c:pt>
                <c:pt idx="442">
                  <c:v>41791.306944444441</c:v>
                </c:pt>
                <c:pt idx="443">
                  <c:v>41791.307638888888</c:v>
                </c:pt>
                <c:pt idx="444">
                  <c:v>41791.308333333334</c:v>
                </c:pt>
                <c:pt idx="445">
                  <c:v>41791.309027777781</c:v>
                </c:pt>
                <c:pt idx="446">
                  <c:v>41791.30972222222</c:v>
                </c:pt>
                <c:pt idx="447">
                  <c:v>41791.310416666667</c:v>
                </c:pt>
                <c:pt idx="448">
                  <c:v>41791.311111111114</c:v>
                </c:pt>
                <c:pt idx="449">
                  <c:v>41791.311805555553</c:v>
                </c:pt>
                <c:pt idx="450">
                  <c:v>41791.3125</c:v>
                </c:pt>
                <c:pt idx="451">
                  <c:v>41791.313194444447</c:v>
                </c:pt>
                <c:pt idx="452">
                  <c:v>41791.313888888886</c:v>
                </c:pt>
                <c:pt idx="453">
                  <c:v>41791.314583333333</c:v>
                </c:pt>
                <c:pt idx="454">
                  <c:v>41791.31527777778</c:v>
                </c:pt>
                <c:pt idx="455">
                  <c:v>41791.315972222219</c:v>
                </c:pt>
                <c:pt idx="456">
                  <c:v>41791.316666666666</c:v>
                </c:pt>
                <c:pt idx="457">
                  <c:v>41791.317361111112</c:v>
                </c:pt>
                <c:pt idx="458">
                  <c:v>41791.318055555559</c:v>
                </c:pt>
                <c:pt idx="459">
                  <c:v>41791.318749999999</c:v>
                </c:pt>
                <c:pt idx="460">
                  <c:v>41791.319444444445</c:v>
                </c:pt>
                <c:pt idx="461">
                  <c:v>41791.320138888892</c:v>
                </c:pt>
                <c:pt idx="462">
                  <c:v>41791.320833333331</c:v>
                </c:pt>
                <c:pt idx="463">
                  <c:v>41791.321527777778</c:v>
                </c:pt>
                <c:pt idx="464">
                  <c:v>41791.322222222225</c:v>
                </c:pt>
                <c:pt idx="465">
                  <c:v>41791.322916666664</c:v>
                </c:pt>
                <c:pt idx="466">
                  <c:v>41791.323611111111</c:v>
                </c:pt>
                <c:pt idx="467">
                  <c:v>41791.324305555558</c:v>
                </c:pt>
                <c:pt idx="468">
                  <c:v>41791.324999999997</c:v>
                </c:pt>
                <c:pt idx="469">
                  <c:v>41791.325694444444</c:v>
                </c:pt>
                <c:pt idx="470">
                  <c:v>41791.326388888891</c:v>
                </c:pt>
                <c:pt idx="471">
                  <c:v>41791.32708333333</c:v>
                </c:pt>
                <c:pt idx="472">
                  <c:v>41791.327777777777</c:v>
                </c:pt>
                <c:pt idx="473">
                  <c:v>41791.328472222223</c:v>
                </c:pt>
                <c:pt idx="474">
                  <c:v>41791.32916666667</c:v>
                </c:pt>
                <c:pt idx="475">
                  <c:v>41791.329861111109</c:v>
                </c:pt>
                <c:pt idx="476">
                  <c:v>41791.330555555556</c:v>
                </c:pt>
                <c:pt idx="477">
                  <c:v>41791.331250000003</c:v>
                </c:pt>
                <c:pt idx="478">
                  <c:v>41791.331944444442</c:v>
                </c:pt>
                <c:pt idx="479">
                  <c:v>41791.332638888889</c:v>
                </c:pt>
                <c:pt idx="480">
                  <c:v>41791.333333333336</c:v>
                </c:pt>
                <c:pt idx="481">
                  <c:v>41791.334027777775</c:v>
                </c:pt>
                <c:pt idx="482">
                  <c:v>41791.334722222222</c:v>
                </c:pt>
                <c:pt idx="483">
                  <c:v>41791.335416666669</c:v>
                </c:pt>
                <c:pt idx="484">
                  <c:v>41791.336111111108</c:v>
                </c:pt>
                <c:pt idx="485">
                  <c:v>41791.336805555555</c:v>
                </c:pt>
                <c:pt idx="486">
                  <c:v>41791.337500000001</c:v>
                </c:pt>
                <c:pt idx="487">
                  <c:v>41791.338194444441</c:v>
                </c:pt>
                <c:pt idx="488">
                  <c:v>41791.338888888888</c:v>
                </c:pt>
                <c:pt idx="489">
                  <c:v>41791.339583333334</c:v>
                </c:pt>
                <c:pt idx="490">
                  <c:v>41791.340277777781</c:v>
                </c:pt>
                <c:pt idx="491">
                  <c:v>41791.34097222222</c:v>
                </c:pt>
                <c:pt idx="492">
                  <c:v>41791.341666666667</c:v>
                </c:pt>
                <c:pt idx="493">
                  <c:v>41791.342361111114</c:v>
                </c:pt>
                <c:pt idx="494">
                  <c:v>41791.343055555553</c:v>
                </c:pt>
                <c:pt idx="495">
                  <c:v>41791.34375</c:v>
                </c:pt>
                <c:pt idx="496">
                  <c:v>41791.344444444447</c:v>
                </c:pt>
                <c:pt idx="497">
                  <c:v>41791.345138888886</c:v>
                </c:pt>
                <c:pt idx="498">
                  <c:v>41791.345833333333</c:v>
                </c:pt>
                <c:pt idx="499">
                  <c:v>41791.34652777778</c:v>
                </c:pt>
                <c:pt idx="500">
                  <c:v>41791.347222222219</c:v>
                </c:pt>
                <c:pt idx="501">
                  <c:v>41791.347916666666</c:v>
                </c:pt>
                <c:pt idx="502">
                  <c:v>41791.348611111112</c:v>
                </c:pt>
                <c:pt idx="503">
                  <c:v>41791.349305555559</c:v>
                </c:pt>
                <c:pt idx="504">
                  <c:v>41791.35</c:v>
                </c:pt>
                <c:pt idx="505">
                  <c:v>41791.350694444445</c:v>
                </c:pt>
                <c:pt idx="506">
                  <c:v>41791.351388888892</c:v>
                </c:pt>
                <c:pt idx="507">
                  <c:v>41791.352083333331</c:v>
                </c:pt>
                <c:pt idx="508">
                  <c:v>41791.352777777778</c:v>
                </c:pt>
                <c:pt idx="509">
                  <c:v>41791.353472222225</c:v>
                </c:pt>
                <c:pt idx="510">
                  <c:v>41791.354166666664</c:v>
                </c:pt>
                <c:pt idx="511">
                  <c:v>41791.354861111111</c:v>
                </c:pt>
                <c:pt idx="512">
                  <c:v>41791.355555555558</c:v>
                </c:pt>
                <c:pt idx="513">
                  <c:v>41791.356249999997</c:v>
                </c:pt>
                <c:pt idx="514">
                  <c:v>41791.356944444444</c:v>
                </c:pt>
                <c:pt idx="515">
                  <c:v>41791.357638888891</c:v>
                </c:pt>
                <c:pt idx="516">
                  <c:v>41791.35833333333</c:v>
                </c:pt>
                <c:pt idx="517">
                  <c:v>41791.359027777777</c:v>
                </c:pt>
                <c:pt idx="518">
                  <c:v>41791.359722222223</c:v>
                </c:pt>
                <c:pt idx="519">
                  <c:v>41791.36041666667</c:v>
                </c:pt>
                <c:pt idx="520">
                  <c:v>41791.361111111109</c:v>
                </c:pt>
                <c:pt idx="521">
                  <c:v>41791.361805555556</c:v>
                </c:pt>
                <c:pt idx="522">
                  <c:v>41791.362500000003</c:v>
                </c:pt>
                <c:pt idx="523">
                  <c:v>41791.363194444442</c:v>
                </c:pt>
                <c:pt idx="524">
                  <c:v>41791.363888888889</c:v>
                </c:pt>
                <c:pt idx="525">
                  <c:v>41791.364583333336</c:v>
                </c:pt>
                <c:pt idx="526">
                  <c:v>41791.365277777775</c:v>
                </c:pt>
                <c:pt idx="527">
                  <c:v>41791.365972222222</c:v>
                </c:pt>
                <c:pt idx="528">
                  <c:v>41791.366666666669</c:v>
                </c:pt>
                <c:pt idx="529">
                  <c:v>41791.367361111108</c:v>
                </c:pt>
                <c:pt idx="530">
                  <c:v>41791.368055555555</c:v>
                </c:pt>
                <c:pt idx="531">
                  <c:v>41791.368750000001</c:v>
                </c:pt>
                <c:pt idx="532">
                  <c:v>41791.369444444441</c:v>
                </c:pt>
                <c:pt idx="533">
                  <c:v>41791.370138888888</c:v>
                </c:pt>
                <c:pt idx="534">
                  <c:v>41791.370833333334</c:v>
                </c:pt>
                <c:pt idx="535">
                  <c:v>41791.371527777781</c:v>
                </c:pt>
                <c:pt idx="536">
                  <c:v>41791.37222222222</c:v>
                </c:pt>
                <c:pt idx="537">
                  <c:v>41791.372916666667</c:v>
                </c:pt>
                <c:pt idx="538">
                  <c:v>41791.373611111114</c:v>
                </c:pt>
                <c:pt idx="539">
                  <c:v>41791.374305555553</c:v>
                </c:pt>
                <c:pt idx="540">
                  <c:v>41791.375</c:v>
                </c:pt>
                <c:pt idx="541">
                  <c:v>41791.375694444447</c:v>
                </c:pt>
                <c:pt idx="542">
                  <c:v>41791.376388888886</c:v>
                </c:pt>
                <c:pt idx="543">
                  <c:v>41791.377083333333</c:v>
                </c:pt>
                <c:pt idx="544">
                  <c:v>41791.37777777778</c:v>
                </c:pt>
                <c:pt idx="545">
                  <c:v>41791.378472222219</c:v>
                </c:pt>
                <c:pt idx="546">
                  <c:v>41791.379166666666</c:v>
                </c:pt>
                <c:pt idx="547">
                  <c:v>41791.379861111112</c:v>
                </c:pt>
                <c:pt idx="548">
                  <c:v>41791.380555555559</c:v>
                </c:pt>
                <c:pt idx="549">
                  <c:v>41791.381249999999</c:v>
                </c:pt>
                <c:pt idx="550">
                  <c:v>41791.381944444445</c:v>
                </c:pt>
                <c:pt idx="551">
                  <c:v>41791.382638888892</c:v>
                </c:pt>
                <c:pt idx="552">
                  <c:v>41791.383333333331</c:v>
                </c:pt>
                <c:pt idx="553">
                  <c:v>41791.384027777778</c:v>
                </c:pt>
                <c:pt idx="554">
                  <c:v>41791.384722222225</c:v>
                </c:pt>
                <c:pt idx="555">
                  <c:v>41791.385416666664</c:v>
                </c:pt>
                <c:pt idx="556">
                  <c:v>41791.386111111111</c:v>
                </c:pt>
                <c:pt idx="557">
                  <c:v>41791.386805555558</c:v>
                </c:pt>
                <c:pt idx="558">
                  <c:v>41791.387499999997</c:v>
                </c:pt>
                <c:pt idx="559">
                  <c:v>41791.388194444444</c:v>
                </c:pt>
                <c:pt idx="560">
                  <c:v>41791.388888888891</c:v>
                </c:pt>
                <c:pt idx="561">
                  <c:v>41791.38958333333</c:v>
                </c:pt>
                <c:pt idx="562">
                  <c:v>41791.390277777777</c:v>
                </c:pt>
                <c:pt idx="563">
                  <c:v>41791.390972222223</c:v>
                </c:pt>
                <c:pt idx="564">
                  <c:v>41791.39166666667</c:v>
                </c:pt>
                <c:pt idx="565">
                  <c:v>41791.392361111109</c:v>
                </c:pt>
                <c:pt idx="566">
                  <c:v>41791.393055555556</c:v>
                </c:pt>
                <c:pt idx="567">
                  <c:v>41791.393750000003</c:v>
                </c:pt>
                <c:pt idx="568">
                  <c:v>41791.394444444442</c:v>
                </c:pt>
                <c:pt idx="569">
                  <c:v>41791.395138888889</c:v>
                </c:pt>
                <c:pt idx="570">
                  <c:v>41791.395833333336</c:v>
                </c:pt>
                <c:pt idx="571">
                  <c:v>41791.396527777775</c:v>
                </c:pt>
                <c:pt idx="572">
                  <c:v>41791.397222222222</c:v>
                </c:pt>
                <c:pt idx="573">
                  <c:v>41791.397916666669</c:v>
                </c:pt>
                <c:pt idx="574">
                  <c:v>41791.398611111108</c:v>
                </c:pt>
                <c:pt idx="575">
                  <c:v>41791.399305555555</c:v>
                </c:pt>
                <c:pt idx="576">
                  <c:v>41791.4</c:v>
                </c:pt>
                <c:pt idx="577">
                  <c:v>41791.400694444441</c:v>
                </c:pt>
                <c:pt idx="578">
                  <c:v>41791.401388888888</c:v>
                </c:pt>
                <c:pt idx="579">
                  <c:v>41791.402083333334</c:v>
                </c:pt>
                <c:pt idx="580">
                  <c:v>41791.402777777781</c:v>
                </c:pt>
                <c:pt idx="581">
                  <c:v>41791.40347222222</c:v>
                </c:pt>
                <c:pt idx="582">
                  <c:v>41791.404166666667</c:v>
                </c:pt>
                <c:pt idx="583">
                  <c:v>41791.404861111114</c:v>
                </c:pt>
                <c:pt idx="584">
                  <c:v>41791.405555555553</c:v>
                </c:pt>
                <c:pt idx="585">
                  <c:v>41791.40625</c:v>
                </c:pt>
                <c:pt idx="586">
                  <c:v>41791.406944444447</c:v>
                </c:pt>
                <c:pt idx="587">
                  <c:v>41791.407638888886</c:v>
                </c:pt>
                <c:pt idx="588">
                  <c:v>41791.408333333333</c:v>
                </c:pt>
                <c:pt idx="589">
                  <c:v>41791.40902777778</c:v>
                </c:pt>
                <c:pt idx="590">
                  <c:v>41791.409722222219</c:v>
                </c:pt>
                <c:pt idx="591">
                  <c:v>41791.410416666666</c:v>
                </c:pt>
                <c:pt idx="592">
                  <c:v>41791.411111111112</c:v>
                </c:pt>
                <c:pt idx="593">
                  <c:v>41791.411805555559</c:v>
                </c:pt>
                <c:pt idx="594">
                  <c:v>41791.412499999999</c:v>
                </c:pt>
                <c:pt idx="595">
                  <c:v>41791.413194444445</c:v>
                </c:pt>
                <c:pt idx="596">
                  <c:v>41791.413888888892</c:v>
                </c:pt>
                <c:pt idx="597">
                  <c:v>41791.414583333331</c:v>
                </c:pt>
                <c:pt idx="598">
                  <c:v>41791.415277777778</c:v>
                </c:pt>
                <c:pt idx="599">
                  <c:v>41791.415972222225</c:v>
                </c:pt>
                <c:pt idx="600">
                  <c:v>41791.416666666664</c:v>
                </c:pt>
                <c:pt idx="601">
                  <c:v>41791.417361111111</c:v>
                </c:pt>
                <c:pt idx="602">
                  <c:v>41791.418055555558</c:v>
                </c:pt>
                <c:pt idx="603">
                  <c:v>41791.418749999997</c:v>
                </c:pt>
                <c:pt idx="604">
                  <c:v>41791.419444444444</c:v>
                </c:pt>
                <c:pt idx="605">
                  <c:v>41791.420138888891</c:v>
                </c:pt>
                <c:pt idx="606">
                  <c:v>41791.42083333333</c:v>
                </c:pt>
                <c:pt idx="607">
                  <c:v>41791.421527777777</c:v>
                </c:pt>
                <c:pt idx="608">
                  <c:v>41791.422222222223</c:v>
                </c:pt>
                <c:pt idx="609">
                  <c:v>41791.42291666667</c:v>
                </c:pt>
                <c:pt idx="610">
                  <c:v>41791.423611111109</c:v>
                </c:pt>
                <c:pt idx="611">
                  <c:v>41791.424305555556</c:v>
                </c:pt>
                <c:pt idx="612">
                  <c:v>41791.425000000003</c:v>
                </c:pt>
                <c:pt idx="613">
                  <c:v>41791.425694444442</c:v>
                </c:pt>
                <c:pt idx="614">
                  <c:v>41791.426388888889</c:v>
                </c:pt>
                <c:pt idx="615">
                  <c:v>41791.427083333336</c:v>
                </c:pt>
                <c:pt idx="616">
                  <c:v>41791.427777777775</c:v>
                </c:pt>
                <c:pt idx="617">
                  <c:v>41791.428472222222</c:v>
                </c:pt>
                <c:pt idx="618">
                  <c:v>41791.429166666669</c:v>
                </c:pt>
                <c:pt idx="619">
                  <c:v>41791.429861111108</c:v>
                </c:pt>
                <c:pt idx="620">
                  <c:v>41791.430555555555</c:v>
                </c:pt>
                <c:pt idx="621">
                  <c:v>41791.431250000001</c:v>
                </c:pt>
                <c:pt idx="622">
                  <c:v>41791.431944444441</c:v>
                </c:pt>
                <c:pt idx="623">
                  <c:v>41791.432638888888</c:v>
                </c:pt>
                <c:pt idx="624">
                  <c:v>41791.433333333334</c:v>
                </c:pt>
                <c:pt idx="625">
                  <c:v>41791.434027777781</c:v>
                </c:pt>
                <c:pt idx="626">
                  <c:v>41791.43472222222</c:v>
                </c:pt>
                <c:pt idx="627">
                  <c:v>41791.435416666667</c:v>
                </c:pt>
                <c:pt idx="628">
                  <c:v>41791.436111111114</c:v>
                </c:pt>
                <c:pt idx="629">
                  <c:v>41791.436805555553</c:v>
                </c:pt>
                <c:pt idx="630">
                  <c:v>41791.4375</c:v>
                </c:pt>
                <c:pt idx="631">
                  <c:v>41791.438194444447</c:v>
                </c:pt>
                <c:pt idx="632">
                  <c:v>41791.438888888886</c:v>
                </c:pt>
                <c:pt idx="633">
                  <c:v>41791.439583333333</c:v>
                </c:pt>
                <c:pt idx="634">
                  <c:v>41791.44027777778</c:v>
                </c:pt>
                <c:pt idx="635">
                  <c:v>41791.440972222219</c:v>
                </c:pt>
                <c:pt idx="636">
                  <c:v>41791.441666666666</c:v>
                </c:pt>
                <c:pt idx="637">
                  <c:v>41791.442361111112</c:v>
                </c:pt>
                <c:pt idx="638">
                  <c:v>41791.443055555559</c:v>
                </c:pt>
                <c:pt idx="639">
                  <c:v>41791.443749999999</c:v>
                </c:pt>
                <c:pt idx="640">
                  <c:v>41791.444444444445</c:v>
                </c:pt>
                <c:pt idx="641">
                  <c:v>41791.445138888892</c:v>
                </c:pt>
                <c:pt idx="642">
                  <c:v>41791.445833333331</c:v>
                </c:pt>
                <c:pt idx="643">
                  <c:v>41791.446527777778</c:v>
                </c:pt>
                <c:pt idx="644">
                  <c:v>41791.447222222225</c:v>
                </c:pt>
                <c:pt idx="645">
                  <c:v>41791.447916666664</c:v>
                </c:pt>
                <c:pt idx="646">
                  <c:v>41791.448611111111</c:v>
                </c:pt>
                <c:pt idx="647">
                  <c:v>41791.449305555558</c:v>
                </c:pt>
                <c:pt idx="648">
                  <c:v>41791.449999999997</c:v>
                </c:pt>
                <c:pt idx="649">
                  <c:v>41791.450694444444</c:v>
                </c:pt>
                <c:pt idx="650">
                  <c:v>41791.451388888891</c:v>
                </c:pt>
                <c:pt idx="651">
                  <c:v>41791.45208333333</c:v>
                </c:pt>
                <c:pt idx="652">
                  <c:v>41791.452777777777</c:v>
                </c:pt>
                <c:pt idx="653">
                  <c:v>41791.453472222223</c:v>
                </c:pt>
                <c:pt idx="654">
                  <c:v>41791.45416666667</c:v>
                </c:pt>
                <c:pt idx="655">
                  <c:v>41791.454861111109</c:v>
                </c:pt>
                <c:pt idx="656">
                  <c:v>41791.455555555556</c:v>
                </c:pt>
                <c:pt idx="657">
                  <c:v>41791.456250000003</c:v>
                </c:pt>
                <c:pt idx="658">
                  <c:v>41791.456944444442</c:v>
                </c:pt>
                <c:pt idx="659">
                  <c:v>41791.457638888889</c:v>
                </c:pt>
                <c:pt idx="660">
                  <c:v>41791.458333333336</c:v>
                </c:pt>
                <c:pt idx="661">
                  <c:v>41791.459027777775</c:v>
                </c:pt>
                <c:pt idx="662">
                  <c:v>41791.459722222222</c:v>
                </c:pt>
                <c:pt idx="663">
                  <c:v>41791.460416666669</c:v>
                </c:pt>
                <c:pt idx="664">
                  <c:v>41791.461111111108</c:v>
                </c:pt>
                <c:pt idx="665">
                  <c:v>41791.461805555555</c:v>
                </c:pt>
                <c:pt idx="666">
                  <c:v>41791.462500000001</c:v>
                </c:pt>
                <c:pt idx="667">
                  <c:v>41791.463194444441</c:v>
                </c:pt>
                <c:pt idx="668">
                  <c:v>41791.463888888888</c:v>
                </c:pt>
                <c:pt idx="669">
                  <c:v>41791.464583333334</c:v>
                </c:pt>
                <c:pt idx="670">
                  <c:v>41791.465277777781</c:v>
                </c:pt>
                <c:pt idx="671">
                  <c:v>41791.46597222222</c:v>
                </c:pt>
                <c:pt idx="672">
                  <c:v>41791.466666666667</c:v>
                </c:pt>
                <c:pt idx="673">
                  <c:v>41791.467361111114</c:v>
                </c:pt>
                <c:pt idx="674">
                  <c:v>41791.468055555553</c:v>
                </c:pt>
                <c:pt idx="675">
                  <c:v>41791.46875</c:v>
                </c:pt>
                <c:pt idx="676">
                  <c:v>41791.469444444447</c:v>
                </c:pt>
                <c:pt idx="677">
                  <c:v>41791.470138888886</c:v>
                </c:pt>
                <c:pt idx="678">
                  <c:v>41791.470833333333</c:v>
                </c:pt>
                <c:pt idx="679">
                  <c:v>41791.47152777778</c:v>
                </c:pt>
                <c:pt idx="680">
                  <c:v>41791.472222222219</c:v>
                </c:pt>
                <c:pt idx="681">
                  <c:v>41791.472916666666</c:v>
                </c:pt>
                <c:pt idx="682">
                  <c:v>41791.473611111112</c:v>
                </c:pt>
                <c:pt idx="683">
                  <c:v>41791.474305555559</c:v>
                </c:pt>
                <c:pt idx="684">
                  <c:v>41791.474999999999</c:v>
                </c:pt>
                <c:pt idx="685">
                  <c:v>41791.475694444445</c:v>
                </c:pt>
                <c:pt idx="686">
                  <c:v>41791.476388888892</c:v>
                </c:pt>
                <c:pt idx="687">
                  <c:v>41791.477083333331</c:v>
                </c:pt>
                <c:pt idx="688">
                  <c:v>41791.477777777778</c:v>
                </c:pt>
                <c:pt idx="689">
                  <c:v>41791.478472222225</c:v>
                </c:pt>
                <c:pt idx="690">
                  <c:v>41791.479166666664</c:v>
                </c:pt>
                <c:pt idx="691">
                  <c:v>41791.479861111111</c:v>
                </c:pt>
                <c:pt idx="692">
                  <c:v>41791.480555555558</c:v>
                </c:pt>
                <c:pt idx="693">
                  <c:v>41791.481249999997</c:v>
                </c:pt>
                <c:pt idx="694">
                  <c:v>41791.481944444444</c:v>
                </c:pt>
                <c:pt idx="695">
                  <c:v>41791.482638888891</c:v>
                </c:pt>
                <c:pt idx="696">
                  <c:v>41791.48333333333</c:v>
                </c:pt>
                <c:pt idx="697">
                  <c:v>41791.484027777777</c:v>
                </c:pt>
                <c:pt idx="698">
                  <c:v>41791.484722222223</c:v>
                </c:pt>
                <c:pt idx="699">
                  <c:v>41791.48541666667</c:v>
                </c:pt>
                <c:pt idx="700">
                  <c:v>41791.486111111109</c:v>
                </c:pt>
                <c:pt idx="701">
                  <c:v>41791.486805555556</c:v>
                </c:pt>
                <c:pt idx="702">
                  <c:v>41791.487500000003</c:v>
                </c:pt>
                <c:pt idx="703">
                  <c:v>41791.488194444442</c:v>
                </c:pt>
                <c:pt idx="704">
                  <c:v>41791.488888888889</c:v>
                </c:pt>
                <c:pt idx="705">
                  <c:v>41791.489583333336</c:v>
                </c:pt>
                <c:pt idx="706">
                  <c:v>41791.490277777775</c:v>
                </c:pt>
                <c:pt idx="707">
                  <c:v>41791.490972222222</c:v>
                </c:pt>
                <c:pt idx="708">
                  <c:v>41791.491666666669</c:v>
                </c:pt>
                <c:pt idx="709">
                  <c:v>41791.492361111108</c:v>
                </c:pt>
                <c:pt idx="710">
                  <c:v>41791.493055555555</c:v>
                </c:pt>
                <c:pt idx="711">
                  <c:v>41791.493750000001</c:v>
                </c:pt>
                <c:pt idx="712">
                  <c:v>41791.494444444441</c:v>
                </c:pt>
                <c:pt idx="713">
                  <c:v>41791.495138888888</c:v>
                </c:pt>
                <c:pt idx="714">
                  <c:v>41791.495833333334</c:v>
                </c:pt>
                <c:pt idx="715">
                  <c:v>41791.496527777781</c:v>
                </c:pt>
                <c:pt idx="716">
                  <c:v>41791.49722222222</c:v>
                </c:pt>
                <c:pt idx="717">
                  <c:v>41791.497916666667</c:v>
                </c:pt>
                <c:pt idx="718">
                  <c:v>41791.498611111114</c:v>
                </c:pt>
                <c:pt idx="719">
                  <c:v>41791.499305555553</c:v>
                </c:pt>
                <c:pt idx="720">
                  <c:v>41791.5</c:v>
                </c:pt>
                <c:pt idx="721">
                  <c:v>41791.500694444447</c:v>
                </c:pt>
                <c:pt idx="722">
                  <c:v>41791.501388888886</c:v>
                </c:pt>
                <c:pt idx="723">
                  <c:v>41791.502083333333</c:v>
                </c:pt>
                <c:pt idx="724">
                  <c:v>41791.50277777778</c:v>
                </c:pt>
                <c:pt idx="725">
                  <c:v>41791.503472222219</c:v>
                </c:pt>
                <c:pt idx="726">
                  <c:v>41791.504166666666</c:v>
                </c:pt>
                <c:pt idx="727">
                  <c:v>41791.504861111112</c:v>
                </c:pt>
                <c:pt idx="728">
                  <c:v>41791.505555555559</c:v>
                </c:pt>
                <c:pt idx="729">
                  <c:v>41791.506249999999</c:v>
                </c:pt>
                <c:pt idx="730">
                  <c:v>41791.506944444445</c:v>
                </c:pt>
                <c:pt idx="731">
                  <c:v>41791.507638888892</c:v>
                </c:pt>
                <c:pt idx="732">
                  <c:v>41791.508333333331</c:v>
                </c:pt>
                <c:pt idx="733">
                  <c:v>41791.509027777778</c:v>
                </c:pt>
                <c:pt idx="734">
                  <c:v>41791.509722222225</c:v>
                </c:pt>
                <c:pt idx="735">
                  <c:v>41791.510416666664</c:v>
                </c:pt>
                <c:pt idx="736">
                  <c:v>41791.511111111111</c:v>
                </c:pt>
                <c:pt idx="737">
                  <c:v>41791.511805555558</c:v>
                </c:pt>
                <c:pt idx="738">
                  <c:v>41791.512499999997</c:v>
                </c:pt>
                <c:pt idx="739">
                  <c:v>41791.513194444444</c:v>
                </c:pt>
                <c:pt idx="740">
                  <c:v>41791.513888888891</c:v>
                </c:pt>
                <c:pt idx="741">
                  <c:v>41791.51458333333</c:v>
                </c:pt>
                <c:pt idx="742">
                  <c:v>41791.515277777777</c:v>
                </c:pt>
                <c:pt idx="743">
                  <c:v>41791.515972222223</c:v>
                </c:pt>
                <c:pt idx="744">
                  <c:v>41791.51666666667</c:v>
                </c:pt>
                <c:pt idx="745">
                  <c:v>41791.517361111109</c:v>
                </c:pt>
                <c:pt idx="746">
                  <c:v>41791.518055555556</c:v>
                </c:pt>
                <c:pt idx="747">
                  <c:v>41791.518750000003</c:v>
                </c:pt>
                <c:pt idx="748">
                  <c:v>41791.519444444442</c:v>
                </c:pt>
                <c:pt idx="749">
                  <c:v>41791.520138888889</c:v>
                </c:pt>
                <c:pt idx="750">
                  <c:v>41791.520833333336</c:v>
                </c:pt>
                <c:pt idx="751">
                  <c:v>41791.521527777775</c:v>
                </c:pt>
                <c:pt idx="752">
                  <c:v>41791.522222222222</c:v>
                </c:pt>
                <c:pt idx="753">
                  <c:v>41791.522916666669</c:v>
                </c:pt>
                <c:pt idx="754">
                  <c:v>41791.523611111108</c:v>
                </c:pt>
                <c:pt idx="755">
                  <c:v>41791.524305555555</c:v>
                </c:pt>
                <c:pt idx="756">
                  <c:v>41791.525000000001</c:v>
                </c:pt>
                <c:pt idx="757">
                  <c:v>41791.525694444441</c:v>
                </c:pt>
                <c:pt idx="758">
                  <c:v>41791.526388888888</c:v>
                </c:pt>
                <c:pt idx="759">
                  <c:v>41791.527083333334</c:v>
                </c:pt>
                <c:pt idx="760">
                  <c:v>41791.527777777781</c:v>
                </c:pt>
                <c:pt idx="761">
                  <c:v>41791.52847222222</c:v>
                </c:pt>
                <c:pt idx="762">
                  <c:v>41791.529166666667</c:v>
                </c:pt>
                <c:pt idx="763">
                  <c:v>41791.529861111114</c:v>
                </c:pt>
                <c:pt idx="764">
                  <c:v>41791.530555555553</c:v>
                </c:pt>
                <c:pt idx="765">
                  <c:v>41791.53125</c:v>
                </c:pt>
                <c:pt idx="766">
                  <c:v>41791.531944444447</c:v>
                </c:pt>
                <c:pt idx="767">
                  <c:v>41791.532638888886</c:v>
                </c:pt>
                <c:pt idx="768">
                  <c:v>41791.533333333333</c:v>
                </c:pt>
                <c:pt idx="769">
                  <c:v>41791.53402777778</c:v>
                </c:pt>
                <c:pt idx="770">
                  <c:v>41791.534722222219</c:v>
                </c:pt>
                <c:pt idx="771">
                  <c:v>41791.535416666666</c:v>
                </c:pt>
                <c:pt idx="772">
                  <c:v>41791.536111111112</c:v>
                </c:pt>
                <c:pt idx="773">
                  <c:v>41791.536805555559</c:v>
                </c:pt>
                <c:pt idx="774">
                  <c:v>41791.537499999999</c:v>
                </c:pt>
                <c:pt idx="775">
                  <c:v>41791.538194444445</c:v>
                </c:pt>
                <c:pt idx="776">
                  <c:v>41791.538888888892</c:v>
                </c:pt>
                <c:pt idx="777">
                  <c:v>41791.539583333331</c:v>
                </c:pt>
                <c:pt idx="778">
                  <c:v>41791.540277777778</c:v>
                </c:pt>
                <c:pt idx="779">
                  <c:v>41791.540972222225</c:v>
                </c:pt>
                <c:pt idx="780">
                  <c:v>41791.541666666664</c:v>
                </c:pt>
                <c:pt idx="781">
                  <c:v>41791.542361111111</c:v>
                </c:pt>
                <c:pt idx="782">
                  <c:v>41791.543055555558</c:v>
                </c:pt>
                <c:pt idx="783">
                  <c:v>41791.543749999997</c:v>
                </c:pt>
                <c:pt idx="784">
                  <c:v>41791.544444444444</c:v>
                </c:pt>
                <c:pt idx="785">
                  <c:v>41791.545138888891</c:v>
                </c:pt>
                <c:pt idx="786">
                  <c:v>41791.54583333333</c:v>
                </c:pt>
                <c:pt idx="787">
                  <c:v>41791.546527777777</c:v>
                </c:pt>
                <c:pt idx="788">
                  <c:v>41791.547222222223</c:v>
                </c:pt>
                <c:pt idx="789">
                  <c:v>41791.54791666667</c:v>
                </c:pt>
                <c:pt idx="790">
                  <c:v>41791.548611111109</c:v>
                </c:pt>
                <c:pt idx="791">
                  <c:v>41791.549305555556</c:v>
                </c:pt>
                <c:pt idx="792">
                  <c:v>41791.550000000003</c:v>
                </c:pt>
                <c:pt idx="793">
                  <c:v>41791.550694444442</c:v>
                </c:pt>
                <c:pt idx="794">
                  <c:v>41791.551388888889</c:v>
                </c:pt>
                <c:pt idx="795">
                  <c:v>41791.552083333336</c:v>
                </c:pt>
                <c:pt idx="796">
                  <c:v>41791.552777777775</c:v>
                </c:pt>
                <c:pt idx="797">
                  <c:v>41791.553472222222</c:v>
                </c:pt>
                <c:pt idx="798">
                  <c:v>41791.554166666669</c:v>
                </c:pt>
                <c:pt idx="799">
                  <c:v>41791.554861111108</c:v>
                </c:pt>
                <c:pt idx="800">
                  <c:v>41791.555555555555</c:v>
                </c:pt>
                <c:pt idx="801">
                  <c:v>41791.556250000001</c:v>
                </c:pt>
                <c:pt idx="802">
                  <c:v>41791.556944444441</c:v>
                </c:pt>
                <c:pt idx="803">
                  <c:v>41791.557638888888</c:v>
                </c:pt>
                <c:pt idx="804">
                  <c:v>41791.558333333334</c:v>
                </c:pt>
                <c:pt idx="805">
                  <c:v>41791.559027777781</c:v>
                </c:pt>
                <c:pt idx="806">
                  <c:v>41791.55972222222</c:v>
                </c:pt>
                <c:pt idx="807">
                  <c:v>41791.560416666667</c:v>
                </c:pt>
                <c:pt idx="808">
                  <c:v>41791.561111111114</c:v>
                </c:pt>
                <c:pt idx="809">
                  <c:v>41791.561805555553</c:v>
                </c:pt>
                <c:pt idx="810">
                  <c:v>41791.5625</c:v>
                </c:pt>
                <c:pt idx="811">
                  <c:v>41791.563194444447</c:v>
                </c:pt>
                <c:pt idx="812">
                  <c:v>41791.563888888886</c:v>
                </c:pt>
                <c:pt idx="813">
                  <c:v>41791.564583333333</c:v>
                </c:pt>
                <c:pt idx="814">
                  <c:v>41791.56527777778</c:v>
                </c:pt>
                <c:pt idx="815">
                  <c:v>41791.565972222219</c:v>
                </c:pt>
                <c:pt idx="816">
                  <c:v>41791.566666666666</c:v>
                </c:pt>
                <c:pt idx="817">
                  <c:v>41791.567361111112</c:v>
                </c:pt>
                <c:pt idx="818">
                  <c:v>41791.568055555559</c:v>
                </c:pt>
                <c:pt idx="819">
                  <c:v>41791.568749999999</c:v>
                </c:pt>
                <c:pt idx="820">
                  <c:v>41791.569444444445</c:v>
                </c:pt>
                <c:pt idx="821">
                  <c:v>41791.570138888892</c:v>
                </c:pt>
                <c:pt idx="822">
                  <c:v>41791.570833333331</c:v>
                </c:pt>
                <c:pt idx="823">
                  <c:v>41791.571527777778</c:v>
                </c:pt>
                <c:pt idx="824">
                  <c:v>41791.572222222225</c:v>
                </c:pt>
                <c:pt idx="825">
                  <c:v>41791.572916666664</c:v>
                </c:pt>
                <c:pt idx="826">
                  <c:v>41791.573611111111</c:v>
                </c:pt>
                <c:pt idx="827">
                  <c:v>41791.574305555558</c:v>
                </c:pt>
                <c:pt idx="828">
                  <c:v>41791.574999999997</c:v>
                </c:pt>
                <c:pt idx="829">
                  <c:v>41791.575694444444</c:v>
                </c:pt>
                <c:pt idx="830">
                  <c:v>41791.576388888891</c:v>
                </c:pt>
                <c:pt idx="831">
                  <c:v>41791.57708333333</c:v>
                </c:pt>
                <c:pt idx="832">
                  <c:v>41791.577777777777</c:v>
                </c:pt>
                <c:pt idx="833">
                  <c:v>41791.578472222223</c:v>
                </c:pt>
                <c:pt idx="834">
                  <c:v>41791.57916666667</c:v>
                </c:pt>
                <c:pt idx="835">
                  <c:v>41791.579861111109</c:v>
                </c:pt>
                <c:pt idx="836">
                  <c:v>41791.580555555556</c:v>
                </c:pt>
                <c:pt idx="837">
                  <c:v>41791.581250000003</c:v>
                </c:pt>
                <c:pt idx="838">
                  <c:v>41791.581944444442</c:v>
                </c:pt>
                <c:pt idx="839">
                  <c:v>41791.582638888889</c:v>
                </c:pt>
                <c:pt idx="840">
                  <c:v>41791.583333333336</c:v>
                </c:pt>
                <c:pt idx="841">
                  <c:v>41791.584027777775</c:v>
                </c:pt>
                <c:pt idx="842">
                  <c:v>41791.584722222222</c:v>
                </c:pt>
                <c:pt idx="843">
                  <c:v>41791.585416666669</c:v>
                </c:pt>
                <c:pt idx="844">
                  <c:v>41791.586111111108</c:v>
                </c:pt>
                <c:pt idx="845">
                  <c:v>41791.586805555555</c:v>
                </c:pt>
                <c:pt idx="846">
                  <c:v>41791.587500000001</c:v>
                </c:pt>
                <c:pt idx="847">
                  <c:v>41791.588194444441</c:v>
                </c:pt>
                <c:pt idx="848">
                  <c:v>41791.588888888888</c:v>
                </c:pt>
                <c:pt idx="849">
                  <c:v>41791.589583333334</c:v>
                </c:pt>
                <c:pt idx="850">
                  <c:v>41791.590277777781</c:v>
                </c:pt>
                <c:pt idx="851">
                  <c:v>41791.59097222222</c:v>
                </c:pt>
                <c:pt idx="852">
                  <c:v>41791.591666666667</c:v>
                </c:pt>
                <c:pt idx="853">
                  <c:v>41791.592361111114</c:v>
                </c:pt>
                <c:pt idx="854">
                  <c:v>41791.593055555553</c:v>
                </c:pt>
                <c:pt idx="855">
                  <c:v>41791.59375</c:v>
                </c:pt>
                <c:pt idx="856">
                  <c:v>41791.594444444447</c:v>
                </c:pt>
                <c:pt idx="857">
                  <c:v>41791.595138888886</c:v>
                </c:pt>
                <c:pt idx="858">
                  <c:v>41791.595833333333</c:v>
                </c:pt>
                <c:pt idx="859">
                  <c:v>41791.59652777778</c:v>
                </c:pt>
                <c:pt idx="860">
                  <c:v>41791.597222222219</c:v>
                </c:pt>
                <c:pt idx="861">
                  <c:v>41791.597916666666</c:v>
                </c:pt>
                <c:pt idx="862">
                  <c:v>41791.598611111112</c:v>
                </c:pt>
                <c:pt idx="863">
                  <c:v>41791.599305555559</c:v>
                </c:pt>
                <c:pt idx="864">
                  <c:v>41791.599999999999</c:v>
                </c:pt>
                <c:pt idx="865">
                  <c:v>41791.600694444445</c:v>
                </c:pt>
                <c:pt idx="866">
                  <c:v>41791.601388888892</c:v>
                </c:pt>
                <c:pt idx="867">
                  <c:v>41791.602083333331</c:v>
                </c:pt>
                <c:pt idx="868">
                  <c:v>41791.602777777778</c:v>
                </c:pt>
                <c:pt idx="869">
                  <c:v>41791.603472222225</c:v>
                </c:pt>
                <c:pt idx="870">
                  <c:v>41791.604166666664</c:v>
                </c:pt>
                <c:pt idx="871">
                  <c:v>41791.604861111111</c:v>
                </c:pt>
                <c:pt idx="872">
                  <c:v>41791.605555555558</c:v>
                </c:pt>
                <c:pt idx="873">
                  <c:v>41791.606249999997</c:v>
                </c:pt>
                <c:pt idx="874">
                  <c:v>41791.606944444444</c:v>
                </c:pt>
                <c:pt idx="875">
                  <c:v>41791.607638888891</c:v>
                </c:pt>
                <c:pt idx="876">
                  <c:v>41791.60833333333</c:v>
                </c:pt>
                <c:pt idx="877">
                  <c:v>41791.609027777777</c:v>
                </c:pt>
                <c:pt idx="878">
                  <c:v>41791.609722222223</c:v>
                </c:pt>
                <c:pt idx="879">
                  <c:v>41791.61041666667</c:v>
                </c:pt>
                <c:pt idx="880">
                  <c:v>41791.611111111109</c:v>
                </c:pt>
                <c:pt idx="881">
                  <c:v>41791.611805555556</c:v>
                </c:pt>
                <c:pt idx="882">
                  <c:v>41791.612500000003</c:v>
                </c:pt>
                <c:pt idx="883">
                  <c:v>41791.613194444442</c:v>
                </c:pt>
                <c:pt idx="884">
                  <c:v>41791.613888888889</c:v>
                </c:pt>
                <c:pt idx="885">
                  <c:v>41791.614583333336</c:v>
                </c:pt>
                <c:pt idx="886">
                  <c:v>41791.615277777775</c:v>
                </c:pt>
                <c:pt idx="887">
                  <c:v>41791.615972222222</c:v>
                </c:pt>
                <c:pt idx="888">
                  <c:v>41791.616666666669</c:v>
                </c:pt>
                <c:pt idx="889">
                  <c:v>41791.617361111108</c:v>
                </c:pt>
                <c:pt idx="890">
                  <c:v>41791.618055555555</c:v>
                </c:pt>
                <c:pt idx="891">
                  <c:v>41791.618750000001</c:v>
                </c:pt>
                <c:pt idx="892">
                  <c:v>41791.619444444441</c:v>
                </c:pt>
                <c:pt idx="893">
                  <c:v>41791.620138888888</c:v>
                </c:pt>
                <c:pt idx="894">
                  <c:v>41791.620833333334</c:v>
                </c:pt>
                <c:pt idx="895">
                  <c:v>41791.621527777781</c:v>
                </c:pt>
                <c:pt idx="896">
                  <c:v>41791.62222222222</c:v>
                </c:pt>
                <c:pt idx="897">
                  <c:v>41791.622916666667</c:v>
                </c:pt>
                <c:pt idx="898">
                  <c:v>41791.623611111114</c:v>
                </c:pt>
                <c:pt idx="899">
                  <c:v>41791.624305555553</c:v>
                </c:pt>
                <c:pt idx="900">
                  <c:v>41791.625</c:v>
                </c:pt>
                <c:pt idx="901">
                  <c:v>41791.625694444447</c:v>
                </c:pt>
                <c:pt idx="902">
                  <c:v>41791.626388888886</c:v>
                </c:pt>
                <c:pt idx="903">
                  <c:v>41791.627083333333</c:v>
                </c:pt>
                <c:pt idx="904">
                  <c:v>41791.62777777778</c:v>
                </c:pt>
                <c:pt idx="905">
                  <c:v>41791.628472222219</c:v>
                </c:pt>
                <c:pt idx="906">
                  <c:v>41791.629166666666</c:v>
                </c:pt>
                <c:pt idx="907">
                  <c:v>41791.629861111112</c:v>
                </c:pt>
                <c:pt idx="908">
                  <c:v>41791.630555555559</c:v>
                </c:pt>
                <c:pt idx="909">
                  <c:v>41791.631249999999</c:v>
                </c:pt>
                <c:pt idx="910">
                  <c:v>41791.631944444445</c:v>
                </c:pt>
                <c:pt idx="911">
                  <c:v>41791.632638888892</c:v>
                </c:pt>
                <c:pt idx="912">
                  <c:v>41791.633333333331</c:v>
                </c:pt>
                <c:pt idx="913">
                  <c:v>41791.634027777778</c:v>
                </c:pt>
                <c:pt idx="914">
                  <c:v>41791.634722222225</c:v>
                </c:pt>
                <c:pt idx="915">
                  <c:v>41791.635416666664</c:v>
                </c:pt>
                <c:pt idx="916">
                  <c:v>41791.636111111111</c:v>
                </c:pt>
                <c:pt idx="917">
                  <c:v>41791.636805555558</c:v>
                </c:pt>
                <c:pt idx="918">
                  <c:v>41791.637499999997</c:v>
                </c:pt>
                <c:pt idx="919">
                  <c:v>41791.638194444444</c:v>
                </c:pt>
                <c:pt idx="920">
                  <c:v>41791.638888888891</c:v>
                </c:pt>
                <c:pt idx="921">
                  <c:v>41791.63958333333</c:v>
                </c:pt>
                <c:pt idx="922">
                  <c:v>41791.640277777777</c:v>
                </c:pt>
                <c:pt idx="923">
                  <c:v>41791.640972222223</c:v>
                </c:pt>
                <c:pt idx="924">
                  <c:v>41791.64166666667</c:v>
                </c:pt>
                <c:pt idx="925">
                  <c:v>41791.642361111109</c:v>
                </c:pt>
                <c:pt idx="926">
                  <c:v>41791.643055555556</c:v>
                </c:pt>
                <c:pt idx="927">
                  <c:v>41791.643750000003</c:v>
                </c:pt>
                <c:pt idx="928">
                  <c:v>41791.644444444442</c:v>
                </c:pt>
                <c:pt idx="929">
                  <c:v>41791.645138888889</c:v>
                </c:pt>
                <c:pt idx="930">
                  <c:v>41791.645833333336</c:v>
                </c:pt>
                <c:pt idx="931">
                  <c:v>41791.646527777775</c:v>
                </c:pt>
                <c:pt idx="932">
                  <c:v>41791.647222222222</c:v>
                </c:pt>
                <c:pt idx="933">
                  <c:v>41791.647916666669</c:v>
                </c:pt>
                <c:pt idx="934">
                  <c:v>41791.648611111108</c:v>
                </c:pt>
                <c:pt idx="935">
                  <c:v>41791.649305555555</c:v>
                </c:pt>
                <c:pt idx="936">
                  <c:v>41791.65</c:v>
                </c:pt>
                <c:pt idx="937">
                  <c:v>41791.650694444441</c:v>
                </c:pt>
                <c:pt idx="938">
                  <c:v>41791.651388888888</c:v>
                </c:pt>
                <c:pt idx="939">
                  <c:v>41791.652083333334</c:v>
                </c:pt>
                <c:pt idx="940">
                  <c:v>41791.652777777781</c:v>
                </c:pt>
                <c:pt idx="941">
                  <c:v>41791.65347222222</c:v>
                </c:pt>
                <c:pt idx="942">
                  <c:v>41791.654166666667</c:v>
                </c:pt>
                <c:pt idx="943">
                  <c:v>41791.654861111114</c:v>
                </c:pt>
                <c:pt idx="944">
                  <c:v>41791.655555555553</c:v>
                </c:pt>
                <c:pt idx="945">
                  <c:v>41791.65625</c:v>
                </c:pt>
                <c:pt idx="946">
                  <c:v>41791.656944444447</c:v>
                </c:pt>
                <c:pt idx="947">
                  <c:v>41791.657638888886</c:v>
                </c:pt>
                <c:pt idx="948">
                  <c:v>41791.658333333333</c:v>
                </c:pt>
                <c:pt idx="949">
                  <c:v>41791.65902777778</c:v>
                </c:pt>
                <c:pt idx="950">
                  <c:v>41791.659722222219</c:v>
                </c:pt>
                <c:pt idx="951">
                  <c:v>41791.660416666666</c:v>
                </c:pt>
                <c:pt idx="952">
                  <c:v>41791.661111111112</c:v>
                </c:pt>
                <c:pt idx="953">
                  <c:v>41791.661805555559</c:v>
                </c:pt>
                <c:pt idx="954">
                  <c:v>41791.662499999999</c:v>
                </c:pt>
                <c:pt idx="955">
                  <c:v>41791.663194444445</c:v>
                </c:pt>
                <c:pt idx="956">
                  <c:v>41791.663888888892</c:v>
                </c:pt>
                <c:pt idx="957">
                  <c:v>41791.664583333331</c:v>
                </c:pt>
                <c:pt idx="958">
                  <c:v>41791.665277777778</c:v>
                </c:pt>
                <c:pt idx="959">
                  <c:v>41791.665972222225</c:v>
                </c:pt>
                <c:pt idx="960">
                  <c:v>41791.666666666664</c:v>
                </c:pt>
                <c:pt idx="961">
                  <c:v>41791.667361111111</c:v>
                </c:pt>
                <c:pt idx="962">
                  <c:v>41791.668055555558</c:v>
                </c:pt>
                <c:pt idx="963">
                  <c:v>41791.668749999997</c:v>
                </c:pt>
                <c:pt idx="964">
                  <c:v>41791.669444444444</c:v>
                </c:pt>
                <c:pt idx="965">
                  <c:v>41791.670138888891</c:v>
                </c:pt>
                <c:pt idx="966">
                  <c:v>41791.67083333333</c:v>
                </c:pt>
                <c:pt idx="967">
                  <c:v>41791.671527777777</c:v>
                </c:pt>
                <c:pt idx="968">
                  <c:v>41791.672222222223</c:v>
                </c:pt>
                <c:pt idx="969">
                  <c:v>41791.67291666667</c:v>
                </c:pt>
                <c:pt idx="970">
                  <c:v>41791.673611111109</c:v>
                </c:pt>
                <c:pt idx="971">
                  <c:v>41791.674305555556</c:v>
                </c:pt>
                <c:pt idx="972">
                  <c:v>41791.675000000003</c:v>
                </c:pt>
                <c:pt idx="973">
                  <c:v>41791.675694444442</c:v>
                </c:pt>
                <c:pt idx="974">
                  <c:v>41791.676388888889</c:v>
                </c:pt>
                <c:pt idx="975">
                  <c:v>41791.677083333336</c:v>
                </c:pt>
                <c:pt idx="976">
                  <c:v>41791.677777777775</c:v>
                </c:pt>
                <c:pt idx="977">
                  <c:v>41791.678472222222</c:v>
                </c:pt>
                <c:pt idx="978">
                  <c:v>41791.679166666669</c:v>
                </c:pt>
                <c:pt idx="979">
                  <c:v>41791.679861111108</c:v>
                </c:pt>
                <c:pt idx="980">
                  <c:v>41791.680555555555</c:v>
                </c:pt>
                <c:pt idx="981">
                  <c:v>41791.681250000001</c:v>
                </c:pt>
                <c:pt idx="982">
                  <c:v>41791.681944444441</c:v>
                </c:pt>
                <c:pt idx="983">
                  <c:v>41791.682638888888</c:v>
                </c:pt>
                <c:pt idx="984">
                  <c:v>41791.683333333334</c:v>
                </c:pt>
                <c:pt idx="985">
                  <c:v>41791.684027777781</c:v>
                </c:pt>
                <c:pt idx="986">
                  <c:v>41791.68472222222</c:v>
                </c:pt>
                <c:pt idx="987">
                  <c:v>41791.685416666667</c:v>
                </c:pt>
                <c:pt idx="988">
                  <c:v>41791.686111111114</c:v>
                </c:pt>
                <c:pt idx="989">
                  <c:v>41791.686805555553</c:v>
                </c:pt>
                <c:pt idx="990">
                  <c:v>41791.6875</c:v>
                </c:pt>
                <c:pt idx="991">
                  <c:v>41791.688194444447</c:v>
                </c:pt>
                <c:pt idx="992">
                  <c:v>41791.688888888886</c:v>
                </c:pt>
                <c:pt idx="993">
                  <c:v>41791.689583333333</c:v>
                </c:pt>
                <c:pt idx="994">
                  <c:v>41791.69027777778</c:v>
                </c:pt>
                <c:pt idx="995">
                  <c:v>41791.690972222219</c:v>
                </c:pt>
                <c:pt idx="996">
                  <c:v>41791.691666666666</c:v>
                </c:pt>
                <c:pt idx="997">
                  <c:v>41791.692361111112</c:v>
                </c:pt>
                <c:pt idx="998">
                  <c:v>41791.693055555559</c:v>
                </c:pt>
                <c:pt idx="999">
                  <c:v>41791.693749999999</c:v>
                </c:pt>
                <c:pt idx="1000">
                  <c:v>41791.694444444445</c:v>
                </c:pt>
                <c:pt idx="1001">
                  <c:v>41791.695138888892</c:v>
                </c:pt>
                <c:pt idx="1002">
                  <c:v>41791.695833333331</c:v>
                </c:pt>
                <c:pt idx="1003">
                  <c:v>41791.696527777778</c:v>
                </c:pt>
                <c:pt idx="1004">
                  <c:v>41791.697222222225</c:v>
                </c:pt>
                <c:pt idx="1005">
                  <c:v>41791.697916666664</c:v>
                </c:pt>
                <c:pt idx="1006">
                  <c:v>41791.698611111111</c:v>
                </c:pt>
                <c:pt idx="1007">
                  <c:v>41791.699305555558</c:v>
                </c:pt>
                <c:pt idx="1008">
                  <c:v>41791.699999999997</c:v>
                </c:pt>
                <c:pt idx="1009">
                  <c:v>41791.700694444444</c:v>
                </c:pt>
                <c:pt idx="1010">
                  <c:v>41791.701388888891</c:v>
                </c:pt>
                <c:pt idx="1011">
                  <c:v>41791.70208333333</c:v>
                </c:pt>
                <c:pt idx="1012">
                  <c:v>41791.702777777777</c:v>
                </c:pt>
                <c:pt idx="1013">
                  <c:v>41791.703472222223</c:v>
                </c:pt>
                <c:pt idx="1014">
                  <c:v>41791.70416666667</c:v>
                </c:pt>
                <c:pt idx="1015">
                  <c:v>41791.704861111109</c:v>
                </c:pt>
                <c:pt idx="1016">
                  <c:v>41791.705555555556</c:v>
                </c:pt>
                <c:pt idx="1017">
                  <c:v>41791.706250000003</c:v>
                </c:pt>
                <c:pt idx="1018">
                  <c:v>41791.706944444442</c:v>
                </c:pt>
                <c:pt idx="1019">
                  <c:v>41791.707638888889</c:v>
                </c:pt>
                <c:pt idx="1020">
                  <c:v>41791.708333333336</c:v>
                </c:pt>
                <c:pt idx="1021">
                  <c:v>41791.709027777775</c:v>
                </c:pt>
                <c:pt idx="1022">
                  <c:v>41791.709722222222</c:v>
                </c:pt>
                <c:pt idx="1023">
                  <c:v>41791.710416666669</c:v>
                </c:pt>
                <c:pt idx="1024">
                  <c:v>41791.711111111108</c:v>
                </c:pt>
                <c:pt idx="1025">
                  <c:v>41791.711805555555</c:v>
                </c:pt>
                <c:pt idx="1026">
                  <c:v>41791.712500000001</c:v>
                </c:pt>
                <c:pt idx="1027">
                  <c:v>41791.713194444441</c:v>
                </c:pt>
                <c:pt idx="1028">
                  <c:v>41791.713888888888</c:v>
                </c:pt>
                <c:pt idx="1029">
                  <c:v>41791.714583333334</c:v>
                </c:pt>
                <c:pt idx="1030">
                  <c:v>41791.715277777781</c:v>
                </c:pt>
                <c:pt idx="1031">
                  <c:v>41791.71597222222</c:v>
                </c:pt>
                <c:pt idx="1032">
                  <c:v>41791.716666666667</c:v>
                </c:pt>
                <c:pt idx="1033">
                  <c:v>41791.717361111114</c:v>
                </c:pt>
                <c:pt idx="1034">
                  <c:v>41791.718055555553</c:v>
                </c:pt>
                <c:pt idx="1035">
                  <c:v>41791.71875</c:v>
                </c:pt>
                <c:pt idx="1036">
                  <c:v>41791.719444444447</c:v>
                </c:pt>
                <c:pt idx="1037">
                  <c:v>41791.720138888886</c:v>
                </c:pt>
                <c:pt idx="1038">
                  <c:v>41791.720833333333</c:v>
                </c:pt>
                <c:pt idx="1039">
                  <c:v>41791.72152777778</c:v>
                </c:pt>
                <c:pt idx="1040">
                  <c:v>41791.722222222219</c:v>
                </c:pt>
                <c:pt idx="1041">
                  <c:v>41791.722916666666</c:v>
                </c:pt>
                <c:pt idx="1042">
                  <c:v>41791.723611111112</c:v>
                </c:pt>
                <c:pt idx="1043">
                  <c:v>41791.724305555559</c:v>
                </c:pt>
                <c:pt idx="1044">
                  <c:v>41791.724999999999</c:v>
                </c:pt>
                <c:pt idx="1045">
                  <c:v>41791.725694444445</c:v>
                </c:pt>
                <c:pt idx="1046">
                  <c:v>41791.726388888892</c:v>
                </c:pt>
                <c:pt idx="1047">
                  <c:v>41791.727083333331</c:v>
                </c:pt>
                <c:pt idx="1048">
                  <c:v>41791.727777777778</c:v>
                </c:pt>
                <c:pt idx="1049">
                  <c:v>41791.728472222225</c:v>
                </c:pt>
                <c:pt idx="1050">
                  <c:v>41791.729166666664</c:v>
                </c:pt>
                <c:pt idx="1051">
                  <c:v>41791.729861111111</c:v>
                </c:pt>
                <c:pt idx="1052">
                  <c:v>41791.730555555558</c:v>
                </c:pt>
                <c:pt idx="1053">
                  <c:v>41791.731249999997</c:v>
                </c:pt>
                <c:pt idx="1054">
                  <c:v>41791.731944444444</c:v>
                </c:pt>
                <c:pt idx="1055">
                  <c:v>41791.732638888891</c:v>
                </c:pt>
                <c:pt idx="1056">
                  <c:v>41791.73333333333</c:v>
                </c:pt>
                <c:pt idx="1057">
                  <c:v>41791.734027777777</c:v>
                </c:pt>
                <c:pt idx="1058">
                  <c:v>41791.734722222223</c:v>
                </c:pt>
                <c:pt idx="1059">
                  <c:v>41791.73541666667</c:v>
                </c:pt>
                <c:pt idx="1060">
                  <c:v>41791.736111111109</c:v>
                </c:pt>
                <c:pt idx="1061">
                  <c:v>41791.736805555556</c:v>
                </c:pt>
                <c:pt idx="1062">
                  <c:v>41791.737500000003</c:v>
                </c:pt>
                <c:pt idx="1063">
                  <c:v>41791.738194444442</c:v>
                </c:pt>
                <c:pt idx="1064">
                  <c:v>41791.738888888889</c:v>
                </c:pt>
                <c:pt idx="1065">
                  <c:v>41791.739583333336</c:v>
                </c:pt>
                <c:pt idx="1066">
                  <c:v>41791.740277777775</c:v>
                </c:pt>
                <c:pt idx="1067">
                  <c:v>41791.740972222222</c:v>
                </c:pt>
                <c:pt idx="1068">
                  <c:v>41791.741666666669</c:v>
                </c:pt>
                <c:pt idx="1069">
                  <c:v>41791.742361111108</c:v>
                </c:pt>
                <c:pt idx="1070">
                  <c:v>41791.743055555555</c:v>
                </c:pt>
                <c:pt idx="1071">
                  <c:v>41791.743750000001</c:v>
                </c:pt>
                <c:pt idx="1072">
                  <c:v>41791.744444444441</c:v>
                </c:pt>
                <c:pt idx="1073">
                  <c:v>41791.745138888888</c:v>
                </c:pt>
                <c:pt idx="1074">
                  <c:v>41791.745833333334</c:v>
                </c:pt>
                <c:pt idx="1075">
                  <c:v>41791.746527777781</c:v>
                </c:pt>
                <c:pt idx="1076">
                  <c:v>41791.74722222222</c:v>
                </c:pt>
                <c:pt idx="1077">
                  <c:v>41791.747916666667</c:v>
                </c:pt>
                <c:pt idx="1078">
                  <c:v>41791.748611111114</c:v>
                </c:pt>
                <c:pt idx="1079">
                  <c:v>41791.749305555553</c:v>
                </c:pt>
                <c:pt idx="1080">
                  <c:v>41791.75</c:v>
                </c:pt>
                <c:pt idx="1081">
                  <c:v>41791.750694444447</c:v>
                </c:pt>
                <c:pt idx="1082">
                  <c:v>41791.751388888886</c:v>
                </c:pt>
                <c:pt idx="1083">
                  <c:v>41791.752083333333</c:v>
                </c:pt>
                <c:pt idx="1084">
                  <c:v>41791.75277777778</c:v>
                </c:pt>
                <c:pt idx="1085">
                  <c:v>41791.753472222219</c:v>
                </c:pt>
                <c:pt idx="1086">
                  <c:v>41791.754166666666</c:v>
                </c:pt>
                <c:pt idx="1087">
                  <c:v>41791.754861111112</c:v>
                </c:pt>
                <c:pt idx="1088">
                  <c:v>41791.755555555559</c:v>
                </c:pt>
                <c:pt idx="1089">
                  <c:v>41791.756249999999</c:v>
                </c:pt>
                <c:pt idx="1090">
                  <c:v>41791.756944444445</c:v>
                </c:pt>
                <c:pt idx="1091">
                  <c:v>41791.757638888892</c:v>
                </c:pt>
                <c:pt idx="1092">
                  <c:v>41791.758333333331</c:v>
                </c:pt>
                <c:pt idx="1093">
                  <c:v>41791.759027777778</c:v>
                </c:pt>
                <c:pt idx="1094">
                  <c:v>41791.759722222225</c:v>
                </c:pt>
                <c:pt idx="1095">
                  <c:v>41791.760416666664</c:v>
                </c:pt>
                <c:pt idx="1096">
                  <c:v>41791.761111111111</c:v>
                </c:pt>
                <c:pt idx="1097">
                  <c:v>41791.761805555558</c:v>
                </c:pt>
                <c:pt idx="1098">
                  <c:v>41791.762499999997</c:v>
                </c:pt>
                <c:pt idx="1099">
                  <c:v>41791.763194444444</c:v>
                </c:pt>
                <c:pt idx="1100">
                  <c:v>41791.763888888891</c:v>
                </c:pt>
                <c:pt idx="1101">
                  <c:v>41791.76458333333</c:v>
                </c:pt>
                <c:pt idx="1102">
                  <c:v>41791.765277777777</c:v>
                </c:pt>
                <c:pt idx="1103">
                  <c:v>41791.765972222223</c:v>
                </c:pt>
                <c:pt idx="1104">
                  <c:v>41791.76666666667</c:v>
                </c:pt>
                <c:pt idx="1105">
                  <c:v>41791.767361111109</c:v>
                </c:pt>
                <c:pt idx="1106">
                  <c:v>41791.768055555556</c:v>
                </c:pt>
                <c:pt idx="1107">
                  <c:v>41791.768750000003</c:v>
                </c:pt>
                <c:pt idx="1108">
                  <c:v>41791.769444444442</c:v>
                </c:pt>
                <c:pt idx="1109">
                  <c:v>41791.770138888889</c:v>
                </c:pt>
                <c:pt idx="1110">
                  <c:v>41791.770833333336</c:v>
                </c:pt>
                <c:pt idx="1111">
                  <c:v>41791.771527777775</c:v>
                </c:pt>
                <c:pt idx="1112">
                  <c:v>41791.772222222222</c:v>
                </c:pt>
                <c:pt idx="1113">
                  <c:v>41791.772916666669</c:v>
                </c:pt>
                <c:pt idx="1114">
                  <c:v>41791.773611111108</c:v>
                </c:pt>
                <c:pt idx="1115">
                  <c:v>41791.774305555555</c:v>
                </c:pt>
                <c:pt idx="1116">
                  <c:v>41791.775000000001</c:v>
                </c:pt>
                <c:pt idx="1117">
                  <c:v>41791.775694444441</c:v>
                </c:pt>
                <c:pt idx="1118">
                  <c:v>41791.776388888888</c:v>
                </c:pt>
                <c:pt idx="1119">
                  <c:v>41791.777083333334</c:v>
                </c:pt>
                <c:pt idx="1120">
                  <c:v>41791.777777777781</c:v>
                </c:pt>
                <c:pt idx="1121">
                  <c:v>41791.77847222222</c:v>
                </c:pt>
                <c:pt idx="1122">
                  <c:v>41791.779166666667</c:v>
                </c:pt>
                <c:pt idx="1123">
                  <c:v>41791.779861111114</c:v>
                </c:pt>
                <c:pt idx="1124">
                  <c:v>41791.780555555553</c:v>
                </c:pt>
                <c:pt idx="1125">
                  <c:v>41791.78125</c:v>
                </c:pt>
                <c:pt idx="1126">
                  <c:v>41791.781944444447</c:v>
                </c:pt>
                <c:pt idx="1127">
                  <c:v>41791.782638888886</c:v>
                </c:pt>
                <c:pt idx="1128">
                  <c:v>41791.783333333333</c:v>
                </c:pt>
                <c:pt idx="1129">
                  <c:v>41791.78402777778</c:v>
                </c:pt>
                <c:pt idx="1130">
                  <c:v>41791.784722222219</c:v>
                </c:pt>
                <c:pt idx="1131">
                  <c:v>41791.785416666666</c:v>
                </c:pt>
                <c:pt idx="1132">
                  <c:v>41791.786111111112</c:v>
                </c:pt>
                <c:pt idx="1133">
                  <c:v>41791.786805555559</c:v>
                </c:pt>
                <c:pt idx="1134">
                  <c:v>41791.787499999999</c:v>
                </c:pt>
                <c:pt idx="1135">
                  <c:v>41791.788194444445</c:v>
                </c:pt>
                <c:pt idx="1136">
                  <c:v>41791.788888888892</c:v>
                </c:pt>
                <c:pt idx="1137">
                  <c:v>41791.789583333331</c:v>
                </c:pt>
                <c:pt idx="1138">
                  <c:v>41791.790277777778</c:v>
                </c:pt>
                <c:pt idx="1139">
                  <c:v>41791.790972222225</c:v>
                </c:pt>
                <c:pt idx="1140">
                  <c:v>41791.791666666664</c:v>
                </c:pt>
                <c:pt idx="1141">
                  <c:v>41791.792361111111</c:v>
                </c:pt>
                <c:pt idx="1142">
                  <c:v>41791.793055555558</c:v>
                </c:pt>
                <c:pt idx="1143">
                  <c:v>41791.793749999997</c:v>
                </c:pt>
                <c:pt idx="1144">
                  <c:v>41791.794444444444</c:v>
                </c:pt>
                <c:pt idx="1145">
                  <c:v>41791.795138888891</c:v>
                </c:pt>
                <c:pt idx="1146">
                  <c:v>41791.79583333333</c:v>
                </c:pt>
                <c:pt idx="1147">
                  <c:v>41791.796527777777</c:v>
                </c:pt>
                <c:pt idx="1148">
                  <c:v>41791.797222222223</c:v>
                </c:pt>
                <c:pt idx="1149">
                  <c:v>41791.79791666667</c:v>
                </c:pt>
                <c:pt idx="1150">
                  <c:v>41791.798611111109</c:v>
                </c:pt>
                <c:pt idx="1151">
                  <c:v>41791.799305555556</c:v>
                </c:pt>
                <c:pt idx="1152">
                  <c:v>41791.800000000003</c:v>
                </c:pt>
                <c:pt idx="1153">
                  <c:v>41791.800694444442</c:v>
                </c:pt>
                <c:pt idx="1154">
                  <c:v>41791.801388888889</c:v>
                </c:pt>
                <c:pt idx="1155">
                  <c:v>41791.802083333336</c:v>
                </c:pt>
                <c:pt idx="1156">
                  <c:v>41791.802777777775</c:v>
                </c:pt>
                <c:pt idx="1157">
                  <c:v>41791.803472222222</c:v>
                </c:pt>
                <c:pt idx="1158">
                  <c:v>41791.804166666669</c:v>
                </c:pt>
                <c:pt idx="1159">
                  <c:v>41791.804861111108</c:v>
                </c:pt>
                <c:pt idx="1160">
                  <c:v>41791.805555555555</c:v>
                </c:pt>
                <c:pt idx="1161">
                  <c:v>41791.806250000001</c:v>
                </c:pt>
                <c:pt idx="1162">
                  <c:v>41791.806944444441</c:v>
                </c:pt>
                <c:pt idx="1163">
                  <c:v>41791.807638888888</c:v>
                </c:pt>
                <c:pt idx="1164">
                  <c:v>41791.808333333334</c:v>
                </c:pt>
                <c:pt idx="1165">
                  <c:v>41791.809027777781</c:v>
                </c:pt>
                <c:pt idx="1166">
                  <c:v>41791.80972222222</c:v>
                </c:pt>
                <c:pt idx="1167">
                  <c:v>41791.810416666667</c:v>
                </c:pt>
                <c:pt idx="1168">
                  <c:v>41791.811111111114</c:v>
                </c:pt>
                <c:pt idx="1169">
                  <c:v>41791.811805555553</c:v>
                </c:pt>
                <c:pt idx="1170">
                  <c:v>41791.8125</c:v>
                </c:pt>
                <c:pt idx="1171">
                  <c:v>41791.813194444447</c:v>
                </c:pt>
                <c:pt idx="1172">
                  <c:v>41791.813888888886</c:v>
                </c:pt>
                <c:pt idx="1173">
                  <c:v>41791.814583333333</c:v>
                </c:pt>
                <c:pt idx="1174">
                  <c:v>41791.81527777778</c:v>
                </c:pt>
                <c:pt idx="1175">
                  <c:v>41791.815972222219</c:v>
                </c:pt>
                <c:pt idx="1176">
                  <c:v>41791.816666666666</c:v>
                </c:pt>
                <c:pt idx="1177">
                  <c:v>41791.817361111112</c:v>
                </c:pt>
                <c:pt idx="1178">
                  <c:v>41791.818055555559</c:v>
                </c:pt>
                <c:pt idx="1179">
                  <c:v>41791.818749999999</c:v>
                </c:pt>
                <c:pt idx="1180">
                  <c:v>41791.819444444445</c:v>
                </c:pt>
                <c:pt idx="1181">
                  <c:v>41791.820138888892</c:v>
                </c:pt>
                <c:pt idx="1182">
                  <c:v>41791.820833333331</c:v>
                </c:pt>
                <c:pt idx="1183">
                  <c:v>41791.821527777778</c:v>
                </c:pt>
                <c:pt idx="1184">
                  <c:v>41791.822222222225</c:v>
                </c:pt>
                <c:pt idx="1185">
                  <c:v>41791.822916666664</c:v>
                </c:pt>
                <c:pt idx="1186">
                  <c:v>41791.823611111111</c:v>
                </c:pt>
                <c:pt idx="1187">
                  <c:v>41791.824305555558</c:v>
                </c:pt>
                <c:pt idx="1188">
                  <c:v>41791.824999999997</c:v>
                </c:pt>
                <c:pt idx="1189">
                  <c:v>41791.825694444444</c:v>
                </c:pt>
                <c:pt idx="1190">
                  <c:v>41791.826388888891</c:v>
                </c:pt>
                <c:pt idx="1191">
                  <c:v>41791.82708333333</c:v>
                </c:pt>
                <c:pt idx="1192">
                  <c:v>41791.827777777777</c:v>
                </c:pt>
                <c:pt idx="1193">
                  <c:v>41791.828472222223</c:v>
                </c:pt>
                <c:pt idx="1194">
                  <c:v>41791.82916666667</c:v>
                </c:pt>
                <c:pt idx="1195">
                  <c:v>41791.829861111109</c:v>
                </c:pt>
                <c:pt idx="1196">
                  <c:v>41791.830555555556</c:v>
                </c:pt>
                <c:pt idx="1197">
                  <c:v>41791.831250000003</c:v>
                </c:pt>
                <c:pt idx="1198">
                  <c:v>41791.831944444442</c:v>
                </c:pt>
                <c:pt idx="1199">
                  <c:v>41791.832638888889</c:v>
                </c:pt>
                <c:pt idx="1200">
                  <c:v>41791.833333333336</c:v>
                </c:pt>
                <c:pt idx="1201">
                  <c:v>41791.834027777775</c:v>
                </c:pt>
                <c:pt idx="1202">
                  <c:v>41791.834722222222</c:v>
                </c:pt>
                <c:pt idx="1203">
                  <c:v>41791.835416666669</c:v>
                </c:pt>
                <c:pt idx="1204">
                  <c:v>41791.836111111108</c:v>
                </c:pt>
                <c:pt idx="1205">
                  <c:v>41791.836805555555</c:v>
                </c:pt>
                <c:pt idx="1206">
                  <c:v>41791.837500000001</c:v>
                </c:pt>
                <c:pt idx="1207">
                  <c:v>41791.838194444441</c:v>
                </c:pt>
                <c:pt idx="1208">
                  <c:v>41791.838888888888</c:v>
                </c:pt>
                <c:pt idx="1209">
                  <c:v>41791.839583333334</c:v>
                </c:pt>
                <c:pt idx="1210">
                  <c:v>41791.840277777781</c:v>
                </c:pt>
                <c:pt idx="1211">
                  <c:v>41791.84097222222</c:v>
                </c:pt>
                <c:pt idx="1212">
                  <c:v>41791.841666666667</c:v>
                </c:pt>
                <c:pt idx="1213">
                  <c:v>41791.842361111114</c:v>
                </c:pt>
                <c:pt idx="1214">
                  <c:v>41791.843055555553</c:v>
                </c:pt>
                <c:pt idx="1215">
                  <c:v>41791.84375</c:v>
                </c:pt>
                <c:pt idx="1216">
                  <c:v>41791.844444444447</c:v>
                </c:pt>
                <c:pt idx="1217">
                  <c:v>41791.845138888886</c:v>
                </c:pt>
                <c:pt idx="1218">
                  <c:v>41791.845833333333</c:v>
                </c:pt>
                <c:pt idx="1219">
                  <c:v>41791.84652777778</c:v>
                </c:pt>
                <c:pt idx="1220">
                  <c:v>41791.847222222219</c:v>
                </c:pt>
                <c:pt idx="1221">
                  <c:v>41791.847916666666</c:v>
                </c:pt>
                <c:pt idx="1222">
                  <c:v>41791.848611111112</c:v>
                </c:pt>
                <c:pt idx="1223">
                  <c:v>41791.849305555559</c:v>
                </c:pt>
                <c:pt idx="1224">
                  <c:v>41791.85</c:v>
                </c:pt>
                <c:pt idx="1225">
                  <c:v>41791.850694444445</c:v>
                </c:pt>
                <c:pt idx="1226">
                  <c:v>41791.851388888892</c:v>
                </c:pt>
                <c:pt idx="1227">
                  <c:v>41791.852083333331</c:v>
                </c:pt>
                <c:pt idx="1228">
                  <c:v>41791.852777777778</c:v>
                </c:pt>
                <c:pt idx="1229">
                  <c:v>41791.853472222225</c:v>
                </c:pt>
                <c:pt idx="1230">
                  <c:v>41791.854166666664</c:v>
                </c:pt>
                <c:pt idx="1231">
                  <c:v>41791.854861111111</c:v>
                </c:pt>
                <c:pt idx="1232">
                  <c:v>41791.855555555558</c:v>
                </c:pt>
                <c:pt idx="1233">
                  <c:v>41791.856249999997</c:v>
                </c:pt>
                <c:pt idx="1234">
                  <c:v>41791.856944444444</c:v>
                </c:pt>
                <c:pt idx="1235">
                  <c:v>41791.857638888891</c:v>
                </c:pt>
                <c:pt idx="1236">
                  <c:v>41791.85833333333</c:v>
                </c:pt>
                <c:pt idx="1237">
                  <c:v>41791.859027777777</c:v>
                </c:pt>
                <c:pt idx="1238">
                  <c:v>41791.859722222223</c:v>
                </c:pt>
                <c:pt idx="1239">
                  <c:v>41791.86041666667</c:v>
                </c:pt>
                <c:pt idx="1240">
                  <c:v>41791.861111111109</c:v>
                </c:pt>
                <c:pt idx="1241">
                  <c:v>41791.861805555556</c:v>
                </c:pt>
                <c:pt idx="1242">
                  <c:v>41791.862500000003</c:v>
                </c:pt>
                <c:pt idx="1243">
                  <c:v>41791.863194444442</c:v>
                </c:pt>
                <c:pt idx="1244">
                  <c:v>41791.863888888889</c:v>
                </c:pt>
                <c:pt idx="1245">
                  <c:v>41791.864583333336</c:v>
                </c:pt>
                <c:pt idx="1246">
                  <c:v>41791.865277777775</c:v>
                </c:pt>
                <c:pt idx="1247">
                  <c:v>41791.865972222222</c:v>
                </c:pt>
                <c:pt idx="1248">
                  <c:v>41791.866666666669</c:v>
                </c:pt>
                <c:pt idx="1249">
                  <c:v>41791.867361111108</c:v>
                </c:pt>
                <c:pt idx="1250">
                  <c:v>41791.868055555555</c:v>
                </c:pt>
                <c:pt idx="1251">
                  <c:v>41791.868750000001</c:v>
                </c:pt>
                <c:pt idx="1252">
                  <c:v>41791.869444444441</c:v>
                </c:pt>
                <c:pt idx="1253">
                  <c:v>41791.870138888888</c:v>
                </c:pt>
                <c:pt idx="1254">
                  <c:v>41791.870833333334</c:v>
                </c:pt>
                <c:pt idx="1255">
                  <c:v>41791.871527777781</c:v>
                </c:pt>
                <c:pt idx="1256">
                  <c:v>41791.87222222222</c:v>
                </c:pt>
                <c:pt idx="1257">
                  <c:v>41791.872916666667</c:v>
                </c:pt>
                <c:pt idx="1258">
                  <c:v>41791.873611111114</c:v>
                </c:pt>
                <c:pt idx="1259">
                  <c:v>41791.874305555553</c:v>
                </c:pt>
                <c:pt idx="1260">
                  <c:v>41791.875</c:v>
                </c:pt>
                <c:pt idx="1261">
                  <c:v>41791.875694444447</c:v>
                </c:pt>
                <c:pt idx="1262">
                  <c:v>41791.876388888886</c:v>
                </c:pt>
                <c:pt idx="1263">
                  <c:v>41791.877083333333</c:v>
                </c:pt>
                <c:pt idx="1264">
                  <c:v>41791.87777777778</c:v>
                </c:pt>
                <c:pt idx="1265">
                  <c:v>41791.878472222219</c:v>
                </c:pt>
                <c:pt idx="1266">
                  <c:v>41791.879166666666</c:v>
                </c:pt>
                <c:pt idx="1267">
                  <c:v>41791.879861111112</c:v>
                </c:pt>
                <c:pt idx="1268">
                  <c:v>41791.880555555559</c:v>
                </c:pt>
                <c:pt idx="1269">
                  <c:v>41791.881249999999</c:v>
                </c:pt>
                <c:pt idx="1270">
                  <c:v>41791.881944444445</c:v>
                </c:pt>
                <c:pt idx="1271">
                  <c:v>41791.882638888892</c:v>
                </c:pt>
                <c:pt idx="1272">
                  <c:v>41791.883333333331</c:v>
                </c:pt>
                <c:pt idx="1273">
                  <c:v>41791.884027777778</c:v>
                </c:pt>
                <c:pt idx="1274">
                  <c:v>41791.884722222225</c:v>
                </c:pt>
                <c:pt idx="1275">
                  <c:v>41791.885416666664</c:v>
                </c:pt>
                <c:pt idx="1276">
                  <c:v>41791.886111111111</c:v>
                </c:pt>
                <c:pt idx="1277">
                  <c:v>41791.886805555558</c:v>
                </c:pt>
                <c:pt idx="1278">
                  <c:v>41791.887499999997</c:v>
                </c:pt>
                <c:pt idx="1279">
                  <c:v>41791.888194444444</c:v>
                </c:pt>
                <c:pt idx="1280">
                  <c:v>41791.888888888891</c:v>
                </c:pt>
                <c:pt idx="1281">
                  <c:v>41791.88958333333</c:v>
                </c:pt>
                <c:pt idx="1282">
                  <c:v>41791.890277777777</c:v>
                </c:pt>
                <c:pt idx="1283">
                  <c:v>41791.890972222223</c:v>
                </c:pt>
                <c:pt idx="1284">
                  <c:v>41791.89166666667</c:v>
                </c:pt>
                <c:pt idx="1285">
                  <c:v>41791.892361111109</c:v>
                </c:pt>
                <c:pt idx="1286">
                  <c:v>41791.893055555556</c:v>
                </c:pt>
                <c:pt idx="1287">
                  <c:v>41791.893750000003</c:v>
                </c:pt>
                <c:pt idx="1288">
                  <c:v>41791.894444444442</c:v>
                </c:pt>
                <c:pt idx="1289">
                  <c:v>41791.895138888889</c:v>
                </c:pt>
                <c:pt idx="1290">
                  <c:v>41791.895833333336</c:v>
                </c:pt>
                <c:pt idx="1291">
                  <c:v>41791.896527777775</c:v>
                </c:pt>
                <c:pt idx="1292">
                  <c:v>41791.897222222222</c:v>
                </c:pt>
                <c:pt idx="1293">
                  <c:v>41791.897916666669</c:v>
                </c:pt>
                <c:pt idx="1294">
                  <c:v>41791.898611111108</c:v>
                </c:pt>
                <c:pt idx="1295">
                  <c:v>41791.899305555555</c:v>
                </c:pt>
                <c:pt idx="1296">
                  <c:v>41791.9</c:v>
                </c:pt>
                <c:pt idx="1297">
                  <c:v>41791.900694444441</c:v>
                </c:pt>
                <c:pt idx="1298">
                  <c:v>41791.901388888888</c:v>
                </c:pt>
                <c:pt idx="1299">
                  <c:v>41791.902083333334</c:v>
                </c:pt>
                <c:pt idx="1300">
                  <c:v>41791.902777777781</c:v>
                </c:pt>
                <c:pt idx="1301">
                  <c:v>41791.90347222222</c:v>
                </c:pt>
                <c:pt idx="1302">
                  <c:v>41791.904166666667</c:v>
                </c:pt>
                <c:pt idx="1303">
                  <c:v>41791.904861111114</c:v>
                </c:pt>
                <c:pt idx="1304">
                  <c:v>41791.905555555553</c:v>
                </c:pt>
                <c:pt idx="1305">
                  <c:v>41791.90625</c:v>
                </c:pt>
                <c:pt idx="1306">
                  <c:v>41791.906944444447</c:v>
                </c:pt>
                <c:pt idx="1307">
                  <c:v>41791.907638888886</c:v>
                </c:pt>
                <c:pt idx="1308">
                  <c:v>41791.908333333333</c:v>
                </c:pt>
                <c:pt idx="1309">
                  <c:v>41791.90902777778</c:v>
                </c:pt>
                <c:pt idx="1310">
                  <c:v>41791.909722222219</c:v>
                </c:pt>
                <c:pt idx="1311">
                  <c:v>41791.910416666666</c:v>
                </c:pt>
                <c:pt idx="1312">
                  <c:v>41791.911111111112</c:v>
                </c:pt>
                <c:pt idx="1313">
                  <c:v>41791.911805555559</c:v>
                </c:pt>
                <c:pt idx="1314">
                  <c:v>41791.912499999999</c:v>
                </c:pt>
                <c:pt idx="1315">
                  <c:v>41791.913194444445</c:v>
                </c:pt>
                <c:pt idx="1316">
                  <c:v>41791.913888888892</c:v>
                </c:pt>
                <c:pt idx="1317">
                  <c:v>41791.914583333331</c:v>
                </c:pt>
                <c:pt idx="1318">
                  <c:v>41791.915277777778</c:v>
                </c:pt>
                <c:pt idx="1319">
                  <c:v>41791.915972222225</c:v>
                </c:pt>
                <c:pt idx="1320">
                  <c:v>41791.916666666664</c:v>
                </c:pt>
                <c:pt idx="1321">
                  <c:v>41791.917361111111</c:v>
                </c:pt>
                <c:pt idx="1322">
                  <c:v>41791.918055555558</c:v>
                </c:pt>
                <c:pt idx="1323">
                  <c:v>41791.918749999997</c:v>
                </c:pt>
                <c:pt idx="1324">
                  <c:v>41791.919444444444</c:v>
                </c:pt>
                <c:pt idx="1325">
                  <c:v>41791.920138888891</c:v>
                </c:pt>
                <c:pt idx="1326">
                  <c:v>41791.92083333333</c:v>
                </c:pt>
                <c:pt idx="1327">
                  <c:v>41791.921527777777</c:v>
                </c:pt>
                <c:pt idx="1328">
                  <c:v>41791.922222222223</c:v>
                </c:pt>
                <c:pt idx="1329">
                  <c:v>41791.92291666667</c:v>
                </c:pt>
                <c:pt idx="1330">
                  <c:v>41791.923611111109</c:v>
                </c:pt>
                <c:pt idx="1331">
                  <c:v>41791.924305555556</c:v>
                </c:pt>
                <c:pt idx="1332">
                  <c:v>41791.925000000003</c:v>
                </c:pt>
                <c:pt idx="1333">
                  <c:v>41791.925694444442</c:v>
                </c:pt>
                <c:pt idx="1334">
                  <c:v>41791.926388888889</c:v>
                </c:pt>
                <c:pt idx="1335">
                  <c:v>41791.927083333336</c:v>
                </c:pt>
                <c:pt idx="1336">
                  <c:v>41791.927777777775</c:v>
                </c:pt>
                <c:pt idx="1337">
                  <c:v>41791.928472222222</c:v>
                </c:pt>
                <c:pt idx="1338">
                  <c:v>41791.929166666669</c:v>
                </c:pt>
                <c:pt idx="1339">
                  <c:v>41791.929861111108</c:v>
                </c:pt>
                <c:pt idx="1340">
                  <c:v>41791.930555555555</c:v>
                </c:pt>
                <c:pt idx="1341">
                  <c:v>41791.931250000001</c:v>
                </c:pt>
                <c:pt idx="1342">
                  <c:v>41791.931944444441</c:v>
                </c:pt>
                <c:pt idx="1343">
                  <c:v>41791.932638888888</c:v>
                </c:pt>
                <c:pt idx="1344">
                  <c:v>41791.933333333334</c:v>
                </c:pt>
                <c:pt idx="1345">
                  <c:v>41791.934027777781</c:v>
                </c:pt>
                <c:pt idx="1346">
                  <c:v>41791.93472222222</c:v>
                </c:pt>
                <c:pt idx="1347">
                  <c:v>41791.935416666667</c:v>
                </c:pt>
                <c:pt idx="1348">
                  <c:v>41791.936111111114</c:v>
                </c:pt>
                <c:pt idx="1349">
                  <c:v>41791.936805555553</c:v>
                </c:pt>
                <c:pt idx="1350">
                  <c:v>41791.9375</c:v>
                </c:pt>
                <c:pt idx="1351">
                  <c:v>41791.938194444447</c:v>
                </c:pt>
                <c:pt idx="1352">
                  <c:v>41791.938888888886</c:v>
                </c:pt>
                <c:pt idx="1353">
                  <c:v>41791.939583333333</c:v>
                </c:pt>
                <c:pt idx="1354">
                  <c:v>41791.94027777778</c:v>
                </c:pt>
                <c:pt idx="1355">
                  <c:v>41791.940972222219</c:v>
                </c:pt>
                <c:pt idx="1356">
                  <c:v>41791.941666666666</c:v>
                </c:pt>
                <c:pt idx="1357">
                  <c:v>41791.942361111112</c:v>
                </c:pt>
                <c:pt idx="1358">
                  <c:v>41791.943055555559</c:v>
                </c:pt>
                <c:pt idx="1359">
                  <c:v>41791.943749999999</c:v>
                </c:pt>
                <c:pt idx="1360">
                  <c:v>41791.944444444445</c:v>
                </c:pt>
                <c:pt idx="1361">
                  <c:v>41791.945138888892</c:v>
                </c:pt>
                <c:pt idx="1362">
                  <c:v>41791.945833333331</c:v>
                </c:pt>
                <c:pt idx="1363">
                  <c:v>41791.946527777778</c:v>
                </c:pt>
                <c:pt idx="1364">
                  <c:v>41791.947222222225</c:v>
                </c:pt>
                <c:pt idx="1365">
                  <c:v>41791.947916666664</c:v>
                </c:pt>
                <c:pt idx="1366">
                  <c:v>41791.948611111111</c:v>
                </c:pt>
                <c:pt idx="1367">
                  <c:v>41791.949305555558</c:v>
                </c:pt>
                <c:pt idx="1368">
                  <c:v>41791.949999999997</c:v>
                </c:pt>
                <c:pt idx="1369">
                  <c:v>41791.950694444444</c:v>
                </c:pt>
                <c:pt idx="1370">
                  <c:v>41791.951388888891</c:v>
                </c:pt>
                <c:pt idx="1371">
                  <c:v>41791.95208333333</c:v>
                </c:pt>
                <c:pt idx="1372">
                  <c:v>41791.952777777777</c:v>
                </c:pt>
                <c:pt idx="1373">
                  <c:v>41791.953472222223</c:v>
                </c:pt>
                <c:pt idx="1374">
                  <c:v>41791.95416666667</c:v>
                </c:pt>
                <c:pt idx="1375">
                  <c:v>41791.954861111109</c:v>
                </c:pt>
                <c:pt idx="1376">
                  <c:v>41791.955555555556</c:v>
                </c:pt>
                <c:pt idx="1377">
                  <c:v>41791.956250000003</c:v>
                </c:pt>
                <c:pt idx="1378">
                  <c:v>41791.956944444442</c:v>
                </c:pt>
                <c:pt idx="1379">
                  <c:v>41791.957638888889</c:v>
                </c:pt>
                <c:pt idx="1380">
                  <c:v>41791.958333333336</c:v>
                </c:pt>
                <c:pt idx="1381">
                  <c:v>41791.959027777775</c:v>
                </c:pt>
                <c:pt idx="1382">
                  <c:v>41791.959722222222</c:v>
                </c:pt>
                <c:pt idx="1383">
                  <c:v>41791.960416666669</c:v>
                </c:pt>
                <c:pt idx="1384">
                  <c:v>41791.961111111108</c:v>
                </c:pt>
                <c:pt idx="1385">
                  <c:v>41791.961805555555</c:v>
                </c:pt>
                <c:pt idx="1386">
                  <c:v>41791.962500000001</c:v>
                </c:pt>
                <c:pt idx="1387">
                  <c:v>41791.963194444441</c:v>
                </c:pt>
                <c:pt idx="1388">
                  <c:v>41791.963888888888</c:v>
                </c:pt>
                <c:pt idx="1389">
                  <c:v>41791.964583333334</c:v>
                </c:pt>
                <c:pt idx="1390">
                  <c:v>41791.965277777781</c:v>
                </c:pt>
                <c:pt idx="1391">
                  <c:v>41791.96597222222</c:v>
                </c:pt>
                <c:pt idx="1392">
                  <c:v>41791.966666666667</c:v>
                </c:pt>
                <c:pt idx="1393">
                  <c:v>41791.967361111114</c:v>
                </c:pt>
                <c:pt idx="1394">
                  <c:v>41791.968055555553</c:v>
                </c:pt>
                <c:pt idx="1395">
                  <c:v>41791.96875</c:v>
                </c:pt>
                <c:pt idx="1396">
                  <c:v>41791.969444444447</c:v>
                </c:pt>
                <c:pt idx="1397">
                  <c:v>41791.970138888886</c:v>
                </c:pt>
                <c:pt idx="1398">
                  <c:v>41791.970833333333</c:v>
                </c:pt>
                <c:pt idx="1399">
                  <c:v>41791.97152777778</c:v>
                </c:pt>
                <c:pt idx="1400">
                  <c:v>41791.972222222219</c:v>
                </c:pt>
                <c:pt idx="1401">
                  <c:v>41791.972916666666</c:v>
                </c:pt>
                <c:pt idx="1402">
                  <c:v>41791.973611111112</c:v>
                </c:pt>
                <c:pt idx="1403">
                  <c:v>41791.974305555559</c:v>
                </c:pt>
                <c:pt idx="1404">
                  <c:v>41791.974999999999</c:v>
                </c:pt>
                <c:pt idx="1405">
                  <c:v>41791.975694444445</c:v>
                </c:pt>
                <c:pt idx="1406">
                  <c:v>41791.976388888892</c:v>
                </c:pt>
                <c:pt idx="1407">
                  <c:v>41791.977083333331</c:v>
                </c:pt>
                <c:pt idx="1408">
                  <c:v>41791.977777777778</c:v>
                </c:pt>
                <c:pt idx="1409">
                  <c:v>41791.978472222225</c:v>
                </c:pt>
                <c:pt idx="1410">
                  <c:v>41791.979166666664</c:v>
                </c:pt>
                <c:pt idx="1411">
                  <c:v>41791.979861111111</c:v>
                </c:pt>
                <c:pt idx="1412">
                  <c:v>41791.980555555558</c:v>
                </c:pt>
                <c:pt idx="1413">
                  <c:v>41791.981249999997</c:v>
                </c:pt>
                <c:pt idx="1414">
                  <c:v>41791.981944444444</c:v>
                </c:pt>
                <c:pt idx="1415">
                  <c:v>41791.982638888891</c:v>
                </c:pt>
                <c:pt idx="1416">
                  <c:v>41791.98333333333</c:v>
                </c:pt>
                <c:pt idx="1417">
                  <c:v>41791.984027777777</c:v>
                </c:pt>
                <c:pt idx="1418">
                  <c:v>41791.984722222223</c:v>
                </c:pt>
                <c:pt idx="1419">
                  <c:v>41791.98541666667</c:v>
                </c:pt>
                <c:pt idx="1420">
                  <c:v>41791.986111111109</c:v>
                </c:pt>
                <c:pt idx="1421">
                  <c:v>41791.986805555556</c:v>
                </c:pt>
                <c:pt idx="1422">
                  <c:v>41791.987500000003</c:v>
                </c:pt>
                <c:pt idx="1423">
                  <c:v>41791.988194444442</c:v>
                </c:pt>
                <c:pt idx="1424">
                  <c:v>41791.988888888889</c:v>
                </c:pt>
                <c:pt idx="1425">
                  <c:v>41791.989583333336</c:v>
                </c:pt>
                <c:pt idx="1426">
                  <c:v>41791.990277777775</c:v>
                </c:pt>
                <c:pt idx="1427">
                  <c:v>41791.990972222222</c:v>
                </c:pt>
                <c:pt idx="1428">
                  <c:v>41791.991666666669</c:v>
                </c:pt>
                <c:pt idx="1429">
                  <c:v>41791.992361111108</c:v>
                </c:pt>
                <c:pt idx="1430">
                  <c:v>41791.993055555555</c:v>
                </c:pt>
                <c:pt idx="1431">
                  <c:v>41791.993750000001</c:v>
                </c:pt>
                <c:pt idx="1432">
                  <c:v>41791.994444444441</c:v>
                </c:pt>
                <c:pt idx="1433">
                  <c:v>41791.995138888888</c:v>
                </c:pt>
                <c:pt idx="1434">
                  <c:v>41791.995833333334</c:v>
                </c:pt>
                <c:pt idx="1435">
                  <c:v>41791.996527777781</c:v>
                </c:pt>
                <c:pt idx="1436">
                  <c:v>41791.99722222222</c:v>
                </c:pt>
                <c:pt idx="1437">
                  <c:v>41791.997916666667</c:v>
                </c:pt>
                <c:pt idx="1438">
                  <c:v>41791.998611111114</c:v>
                </c:pt>
                <c:pt idx="1439">
                  <c:v>41791.999305555553</c:v>
                </c:pt>
              </c:numCache>
            </c:numRef>
          </c:xVal>
          <c:yVal>
            <c:numRef>
              <c:f>Sheet1!$B$2:$B$1441</c:f>
              <c:numCache>
                <c:formatCode>General</c:formatCode>
                <c:ptCount val="1440"/>
                <c:pt idx="0">
                  <c:v>0.33</c:v>
                </c:pt>
                <c:pt idx="1">
                  <c:v>0.66</c:v>
                </c:pt>
                <c:pt idx="2">
                  <c:v>1.64</c:v>
                </c:pt>
                <c:pt idx="3">
                  <c:v>2.63</c:v>
                </c:pt>
                <c:pt idx="4">
                  <c:v>2.2999999999999998</c:v>
                </c:pt>
                <c:pt idx="5">
                  <c:v>1.97</c:v>
                </c:pt>
                <c:pt idx="6">
                  <c:v>0.98</c:v>
                </c:pt>
                <c:pt idx="7">
                  <c:v>0</c:v>
                </c:pt>
                <c:pt idx="8">
                  <c:v>0.33</c:v>
                </c:pt>
                <c:pt idx="9">
                  <c:v>0.66</c:v>
                </c:pt>
                <c:pt idx="10">
                  <c:v>0.33</c:v>
                </c:pt>
                <c:pt idx="11">
                  <c:v>0</c:v>
                </c:pt>
                <c:pt idx="12">
                  <c:v>0.49</c:v>
                </c:pt>
                <c:pt idx="13">
                  <c:v>0.98</c:v>
                </c:pt>
                <c:pt idx="14">
                  <c:v>1.1499999999999999</c:v>
                </c:pt>
                <c:pt idx="15">
                  <c:v>1.31</c:v>
                </c:pt>
                <c:pt idx="16">
                  <c:v>0.98</c:v>
                </c:pt>
                <c:pt idx="17">
                  <c:v>0.66</c:v>
                </c:pt>
                <c:pt idx="18">
                  <c:v>0.49</c:v>
                </c:pt>
                <c:pt idx="19">
                  <c:v>0.33</c:v>
                </c:pt>
                <c:pt idx="20">
                  <c:v>0.82</c:v>
                </c:pt>
                <c:pt idx="21">
                  <c:v>1.31</c:v>
                </c:pt>
                <c:pt idx="22">
                  <c:v>1.97</c:v>
                </c:pt>
                <c:pt idx="23">
                  <c:v>2.63</c:v>
                </c:pt>
                <c:pt idx="24">
                  <c:v>1.64</c:v>
                </c:pt>
                <c:pt idx="25">
                  <c:v>0.66</c:v>
                </c:pt>
                <c:pt idx="26">
                  <c:v>0.49</c:v>
                </c:pt>
                <c:pt idx="27">
                  <c:v>0.33</c:v>
                </c:pt>
                <c:pt idx="28">
                  <c:v>0.82</c:v>
                </c:pt>
                <c:pt idx="29">
                  <c:v>1.31</c:v>
                </c:pt>
                <c:pt idx="30">
                  <c:v>1.1499999999999999</c:v>
                </c:pt>
                <c:pt idx="31">
                  <c:v>0.98</c:v>
                </c:pt>
                <c:pt idx="32">
                  <c:v>0.49</c:v>
                </c:pt>
                <c:pt idx="33">
                  <c:v>0</c:v>
                </c:pt>
                <c:pt idx="34">
                  <c:v>0.49</c:v>
                </c:pt>
                <c:pt idx="35">
                  <c:v>0.98</c:v>
                </c:pt>
                <c:pt idx="36">
                  <c:v>0.49</c:v>
                </c:pt>
                <c:pt idx="37">
                  <c:v>0</c:v>
                </c:pt>
                <c:pt idx="38">
                  <c:v>0</c:v>
                </c:pt>
                <c:pt idx="39">
                  <c:v>0</c:v>
                </c:pt>
                <c:pt idx="40">
                  <c:v>0.82</c:v>
                </c:pt>
                <c:pt idx="41">
                  <c:v>1.64</c:v>
                </c:pt>
                <c:pt idx="42">
                  <c:v>1.48</c:v>
                </c:pt>
                <c:pt idx="43">
                  <c:v>1.31</c:v>
                </c:pt>
                <c:pt idx="44">
                  <c:v>0.66</c:v>
                </c:pt>
                <c:pt idx="45">
                  <c:v>0</c:v>
                </c:pt>
                <c:pt idx="46">
                  <c:v>1.97</c:v>
                </c:pt>
                <c:pt idx="47">
                  <c:v>3.94</c:v>
                </c:pt>
                <c:pt idx="48">
                  <c:v>2.13</c:v>
                </c:pt>
                <c:pt idx="49">
                  <c:v>0.33</c:v>
                </c:pt>
                <c:pt idx="50">
                  <c:v>1.1499999999999999</c:v>
                </c:pt>
                <c:pt idx="51">
                  <c:v>1.97</c:v>
                </c:pt>
                <c:pt idx="52">
                  <c:v>2.13</c:v>
                </c:pt>
                <c:pt idx="53">
                  <c:v>2.2999999999999998</c:v>
                </c:pt>
                <c:pt idx="54">
                  <c:v>1.1499999999999999</c:v>
                </c:pt>
                <c:pt idx="55">
                  <c:v>0</c:v>
                </c:pt>
                <c:pt idx="56">
                  <c:v>0.33</c:v>
                </c:pt>
                <c:pt idx="57">
                  <c:v>0.66</c:v>
                </c:pt>
                <c:pt idx="58">
                  <c:v>2.2999999999999998</c:v>
                </c:pt>
                <c:pt idx="59">
                  <c:v>3.94</c:v>
                </c:pt>
                <c:pt idx="60">
                  <c:v>2.46</c:v>
                </c:pt>
                <c:pt idx="61">
                  <c:v>0.98</c:v>
                </c:pt>
                <c:pt idx="62">
                  <c:v>0.49</c:v>
                </c:pt>
                <c:pt idx="63">
                  <c:v>0</c:v>
                </c:pt>
                <c:pt idx="64">
                  <c:v>0</c:v>
                </c:pt>
                <c:pt idx="65">
                  <c:v>0</c:v>
                </c:pt>
                <c:pt idx="66">
                  <c:v>0.66</c:v>
                </c:pt>
                <c:pt idx="67">
                  <c:v>1.31</c:v>
                </c:pt>
                <c:pt idx="68">
                  <c:v>0.98</c:v>
                </c:pt>
                <c:pt idx="69">
                  <c:v>0.66</c:v>
                </c:pt>
                <c:pt idx="70">
                  <c:v>1.97</c:v>
                </c:pt>
                <c:pt idx="71">
                  <c:v>3.28</c:v>
                </c:pt>
                <c:pt idx="72">
                  <c:v>2.2999999999999998</c:v>
                </c:pt>
                <c:pt idx="73">
                  <c:v>1.31</c:v>
                </c:pt>
                <c:pt idx="74">
                  <c:v>2.13</c:v>
                </c:pt>
                <c:pt idx="75">
                  <c:v>2.95</c:v>
                </c:pt>
                <c:pt idx="76">
                  <c:v>1.64</c:v>
                </c:pt>
                <c:pt idx="77">
                  <c:v>0.33</c:v>
                </c:pt>
                <c:pt idx="78">
                  <c:v>0.33</c:v>
                </c:pt>
                <c:pt idx="79">
                  <c:v>0.33</c:v>
                </c:pt>
                <c:pt idx="80">
                  <c:v>0.49</c:v>
                </c:pt>
                <c:pt idx="81">
                  <c:v>0.66</c:v>
                </c:pt>
                <c:pt idx="82">
                  <c:v>1.1499999999999999</c:v>
                </c:pt>
                <c:pt idx="83">
                  <c:v>1.64</c:v>
                </c:pt>
                <c:pt idx="84">
                  <c:v>0.82</c:v>
                </c:pt>
                <c:pt idx="85">
                  <c:v>0</c:v>
                </c:pt>
                <c:pt idx="86">
                  <c:v>0.49</c:v>
                </c:pt>
                <c:pt idx="87">
                  <c:v>0.98</c:v>
                </c:pt>
                <c:pt idx="88">
                  <c:v>0.82</c:v>
                </c:pt>
                <c:pt idx="89">
                  <c:v>0.66</c:v>
                </c:pt>
                <c:pt idx="90">
                  <c:v>1.81</c:v>
                </c:pt>
                <c:pt idx="91">
                  <c:v>2.95</c:v>
                </c:pt>
                <c:pt idx="92">
                  <c:v>2.2999999999999998</c:v>
                </c:pt>
                <c:pt idx="93">
                  <c:v>1.64</c:v>
                </c:pt>
                <c:pt idx="94">
                  <c:v>0.98</c:v>
                </c:pt>
                <c:pt idx="95">
                  <c:v>0.33</c:v>
                </c:pt>
                <c:pt idx="96">
                  <c:v>1.97</c:v>
                </c:pt>
                <c:pt idx="97">
                  <c:v>3.61</c:v>
                </c:pt>
                <c:pt idx="98">
                  <c:v>2.13</c:v>
                </c:pt>
                <c:pt idx="99">
                  <c:v>0.66</c:v>
                </c:pt>
                <c:pt idx="100">
                  <c:v>0.98</c:v>
                </c:pt>
                <c:pt idx="101">
                  <c:v>1.31</c:v>
                </c:pt>
                <c:pt idx="102">
                  <c:v>1.31</c:v>
                </c:pt>
                <c:pt idx="103">
                  <c:v>1.31</c:v>
                </c:pt>
                <c:pt idx="104">
                  <c:v>1.48</c:v>
                </c:pt>
                <c:pt idx="105">
                  <c:v>1.64</c:v>
                </c:pt>
                <c:pt idx="106">
                  <c:v>3.28</c:v>
                </c:pt>
                <c:pt idx="107">
                  <c:v>4.92</c:v>
                </c:pt>
                <c:pt idx="108">
                  <c:v>3.12</c:v>
                </c:pt>
                <c:pt idx="109">
                  <c:v>1.31</c:v>
                </c:pt>
                <c:pt idx="110">
                  <c:v>0.66</c:v>
                </c:pt>
                <c:pt idx="111">
                  <c:v>0</c:v>
                </c:pt>
                <c:pt idx="112">
                  <c:v>0.66</c:v>
                </c:pt>
                <c:pt idx="113">
                  <c:v>1.31</c:v>
                </c:pt>
                <c:pt idx="114">
                  <c:v>0.98</c:v>
                </c:pt>
                <c:pt idx="115">
                  <c:v>0.66</c:v>
                </c:pt>
                <c:pt idx="116">
                  <c:v>0.98</c:v>
                </c:pt>
                <c:pt idx="117">
                  <c:v>1.31</c:v>
                </c:pt>
                <c:pt idx="118">
                  <c:v>0.98</c:v>
                </c:pt>
                <c:pt idx="119">
                  <c:v>0.66</c:v>
                </c:pt>
                <c:pt idx="120">
                  <c:v>0.49</c:v>
                </c:pt>
                <c:pt idx="121">
                  <c:v>0.33</c:v>
                </c:pt>
                <c:pt idx="122">
                  <c:v>0.16</c:v>
                </c:pt>
                <c:pt idx="123">
                  <c:v>0</c:v>
                </c:pt>
                <c:pt idx="124">
                  <c:v>0.33</c:v>
                </c:pt>
                <c:pt idx="125">
                  <c:v>0.66</c:v>
                </c:pt>
                <c:pt idx="126">
                  <c:v>0.82</c:v>
                </c:pt>
                <c:pt idx="127">
                  <c:v>0.98</c:v>
                </c:pt>
                <c:pt idx="128">
                  <c:v>1.1499999999999999</c:v>
                </c:pt>
                <c:pt idx="129">
                  <c:v>1.31</c:v>
                </c:pt>
                <c:pt idx="130">
                  <c:v>2.63</c:v>
                </c:pt>
                <c:pt idx="131">
                  <c:v>3.94</c:v>
                </c:pt>
                <c:pt idx="132">
                  <c:v>2.13</c:v>
                </c:pt>
                <c:pt idx="133">
                  <c:v>0.33</c:v>
                </c:pt>
                <c:pt idx="134">
                  <c:v>0.98</c:v>
                </c:pt>
                <c:pt idx="135">
                  <c:v>1.64</c:v>
                </c:pt>
                <c:pt idx="136">
                  <c:v>2.46</c:v>
                </c:pt>
                <c:pt idx="137">
                  <c:v>3.28</c:v>
                </c:pt>
                <c:pt idx="138">
                  <c:v>1.97</c:v>
                </c:pt>
                <c:pt idx="139">
                  <c:v>0.66</c:v>
                </c:pt>
                <c:pt idx="140">
                  <c:v>0.98</c:v>
                </c:pt>
                <c:pt idx="141">
                  <c:v>1.31</c:v>
                </c:pt>
                <c:pt idx="142">
                  <c:v>0.98</c:v>
                </c:pt>
                <c:pt idx="143">
                  <c:v>0.66</c:v>
                </c:pt>
                <c:pt idx="144">
                  <c:v>1.1499999999999999</c:v>
                </c:pt>
                <c:pt idx="145">
                  <c:v>1.64</c:v>
                </c:pt>
                <c:pt idx="146">
                  <c:v>0.82</c:v>
                </c:pt>
                <c:pt idx="147">
                  <c:v>0</c:v>
                </c:pt>
                <c:pt idx="148">
                  <c:v>0.49</c:v>
                </c:pt>
                <c:pt idx="149">
                  <c:v>0.98</c:v>
                </c:pt>
                <c:pt idx="150">
                  <c:v>2.46</c:v>
                </c:pt>
                <c:pt idx="151">
                  <c:v>3.94</c:v>
                </c:pt>
                <c:pt idx="152">
                  <c:v>3.45</c:v>
                </c:pt>
                <c:pt idx="153">
                  <c:v>2.95</c:v>
                </c:pt>
                <c:pt idx="154">
                  <c:v>2.63</c:v>
                </c:pt>
                <c:pt idx="155">
                  <c:v>2.2999999999999998</c:v>
                </c:pt>
                <c:pt idx="156">
                  <c:v>1.97</c:v>
                </c:pt>
                <c:pt idx="157">
                  <c:v>1.64</c:v>
                </c:pt>
                <c:pt idx="158">
                  <c:v>1.31</c:v>
                </c:pt>
                <c:pt idx="159">
                  <c:v>0.98</c:v>
                </c:pt>
                <c:pt idx="160">
                  <c:v>0.49</c:v>
                </c:pt>
                <c:pt idx="161">
                  <c:v>0</c:v>
                </c:pt>
                <c:pt idx="162">
                  <c:v>0.16</c:v>
                </c:pt>
                <c:pt idx="163">
                  <c:v>0.33</c:v>
                </c:pt>
                <c:pt idx="164">
                  <c:v>0.66</c:v>
                </c:pt>
                <c:pt idx="165">
                  <c:v>0.98</c:v>
                </c:pt>
                <c:pt idx="166">
                  <c:v>0.66</c:v>
                </c:pt>
                <c:pt idx="167">
                  <c:v>0.33</c:v>
                </c:pt>
                <c:pt idx="168">
                  <c:v>1.81</c:v>
                </c:pt>
                <c:pt idx="169">
                  <c:v>3.28</c:v>
                </c:pt>
                <c:pt idx="170">
                  <c:v>1.64</c:v>
                </c:pt>
                <c:pt idx="171">
                  <c:v>0</c:v>
                </c:pt>
                <c:pt idx="172">
                  <c:v>0.33</c:v>
                </c:pt>
                <c:pt idx="173">
                  <c:v>0.66</c:v>
                </c:pt>
                <c:pt idx="174">
                  <c:v>1.48</c:v>
                </c:pt>
                <c:pt idx="175">
                  <c:v>2.2999999999999998</c:v>
                </c:pt>
                <c:pt idx="176">
                  <c:v>1.48</c:v>
                </c:pt>
                <c:pt idx="177">
                  <c:v>0.66</c:v>
                </c:pt>
                <c:pt idx="178">
                  <c:v>0.82</c:v>
                </c:pt>
                <c:pt idx="179">
                  <c:v>0.98</c:v>
                </c:pt>
                <c:pt idx="180">
                  <c:v>1.64</c:v>
                </c:pt>
                <c:pt idx="181">
                  <c:v>2.2999999999999998</c:v>
                </c:pt>
                <c:pt idx="182">
                  <c:v>1.1499999999999999</c:v>
                </c:pt>
                <c:pt idx="183">
                  <c:v>0</c:v>
                </c:pt>
                <c:pt idx="184">
                  <c:v>0</c:v>
                </c:pt>
                <c:pt idx="185">
                  <c:v>0</c:v>
                </c:pt>
                <c:pt idx="186">
                  <c:v>1.31</c:v>
                </c:pt>
                <c:pt idx="187">
                  <c:v>2.63</c:v>
                </c:pt>
                <c:pt idx="188">
                  <c:v>1.64</c:v>
                </c:pt>
                <c:pt idx="189">
                  <c:v>0.66</c:v>
                </c:pt>
                <c:pt idx="190">
                  <c:v>0.33</c:v>
                </c:pt>
                <c:pt idx="191">
                  <c:v>0</c:v>
                </c:pt>
                <c:pt idx="192">
                  <c:v>0</c:v>
                </c:pt>
                <c:pt idx="193">
                  <c:v>0</c:v>
                </c:pt>
                <c:pt idx="194">
                  <c:v>0.98</c:v>
                </c:pt>
                <c:pt idx="195">
                  <c:v>1.97</c:v>
                </c:pt>
                <c:pt idx="196">
                  <c:v>1.97</c:v>
                </c:pt>
                <c:pt idx="197">
                  <c:v>1.97</c:v>
                </c:pt>
                <c:pt idx="198">
                  <c:v>1.31</c:v>
                </c:pt>
                <c:pt idx="199">
                  <c:v>0.66</c:v>
                </c:pt>
                <c:pt idx="200">
                  <c:v>0.49</c:v>
                </c:pt>
                <c:pt idx="201">
                  <c:v>0.33</c:v>
                </c:pt>
                <c:pt idx="202">
                  <c:v>0.66</c:v>
                </c:pt>
                <c:pt idx="203">
                  <c:v>0.98</c:v>
                </c:pt>
                <c:pt idx="204">
                  <c:v>0.82</c:v>
                </c:pt>
                <c:pt idx="205">
                  <c:v>0.66</c:v>
                </c:pt>
                <c:pt idx="206">
                  <c:v>0.66</c:v>
                </c:pt>
                <c:pt idx="207">
                  <c:v>0.66</c:v>
                </c:pt>
                <c:pt idx="208">
                  <c:v>0.66</c:v>
                </c:pt>
                <c:pt idx="209">
                  <c:v>0.66</c:v>
                </c:pt>
                <c:pt idx="210">
                  <c:v>0.49</c:v>
                </c:pt>
                <c:pt idx="211">
                  <c:v>0.33</c:v>
                </c:pt>
                <c:pt idx="212">
                  <c:v>2.46</c:v>
                </c:pt>
                <c:pt idx="213">
                  <c:v>4.5999999999999996</c:v>
                </c:pt>
                <c:pt idx="214">
                  <c:v>2.46</c:v>
                </c:pt>
                <c:pt idx="215">
                  <c:v>0.33</c:v>
                </c:pt>
                <c:pt idx="216">
                  <c:v>1.64</c:v>
                </c:pt>
                <c:pt idx="217">
                  <c:v>2.95</c:v>
                </c:pt>
                <c:pt idx="218">
                  <c:v>1.48</c:v>
                </c:pt>
                <c:pt idx="219">
                  <c:v>0</c:v>
                </c:pt>
                <c:pt idx="220">
                  <c:v>0</c:v>
                </c:pt>
                <c:pt idx="221">
                  <c:v>0</c:v>
                </c:pt>
                <c:pt idx="222">
                  <c:v>1.64</c:v>
                </c:pt>
                <c:pt idx="223">
                  <c:v>3.28</c:v>
                </c:pt>
                <c:pt idx="224">
                  <c:v>4.5999999999999996</c:v>
                </c:pt>
                <c:pt idx="225">
                  <c:v>5.91</c:v>
                </c:pt>
                <c:pt idx="226">
                  <c:v>5.91</c:v>
                </c:pt>
                <c:pt idx="227">
                  <c:v>5.91</c:v>
                </c:pt>
                <c:pt idx="228">
                  <c:v>3.61</c:v>
                </c:pt>
                <c:pt idx="229">
                  <c:v>1.31</c:v>
                </c:pt>
                <c:pt idx="230">
                  <c:v>3.12</c:v>
                </c:pt>
                <c:pt idx="231">
                  <c:v>4.92</c:v>
                </c:pt>
                <c:pt idx="232">
                  <c:v>2.63</c:v>
                </c:pt>
                <c:pt idx="233">
                  <c:v>0.33</c:v>
                </c:pt>
                <c:pt idx="234">
                  <c:v>0.16</c:v>
                </c:pt>
                <c:pt idx="235">
                  <c:v>0</c:v>
                </c:pt>
                <c:pt idx="236">
                  <c:v>0.49</c:v>
                </c:pt>
                <c:pt idx="237">
                  <c:v>0.98</c:v>
                </c:pt>
                <c:pt idx="238">
                  <c:v>0.49</c:v>
                </c:pt>
                <c:pt idx="239">
                  <c:v>0</c:v>
                </c:pt>
                <c:pt idx="240">
                  <c:v>0</c:v>
                </c:pt>
                <c:pt idx="241">
                  <c:v>0</c:v>
                </c:pt>
                <c:pt idx="242">
                  <c:v>1.48</c:v>
                </c:pt>
                <c:pt idx="243">
                  <c:v>2.95</c:v>
                </c:pt>
                <c:pt idx="244">
                  <c:v>2.95</c:v>
                </c:pt>
                <c:pt idx="245">
                  <c:v>2.95</c:v>
                </c:pt>
                <c:pt idx="246">
                  <c:v>1.48</c:v>
                </c:pt>
                <c:pt idx="247">
                  <c:v>0</c:v>
                </c:pt>
                <c:pt idx="248">
                  <c:v>0.16</c:v>
                </c:pt>
                <c:pt idx="249">
                  <c:v>0.33</c:v>
                </c:pt>
                <c:pt idx="250">
                  <c:v>0.82</c:v>
                </c:pt>
                <c:pt idx="251">
                  <c:v>1.31</c:v>
                </c:pt>
                <c:pt idx="252">
                  <c:v>0.66</c:v>
                </c:pt>
                <c:pt idx="253">
                  <c:v>0</c:v>
                </c:pt>
                <c:pt idx="254">
                  <c:v>0.98</c:v>
                </c:pt>
                <c:pt idx="255">
                  <c:v>1.97</c:v>
                </c:pt>
                <c:pt idx="256">
                  <c:v>2.46</c:v>
                </c:pt>
                <c:pt idx="257">
                  <c:v>2.95</c:v>
                </c:pt>
                <c:pt idx="258">
                  <c:v>2.95</c:v>
                </c:pt>
                <c:pt idx="259">
                  <c:v>2.95</c:v>
                </c:pt>
                <c:pt idx="260">
                  <c:v>3.12</c:v>
                </c:pt>
                <c:pt idx="261">
                  <c:v>3.28</c:v>
                </c:pt>
                <c:pt idx="262">
                  <c:v>3.78</c:v>
                </c:pt>
                <c:pt idx="263">
                  <c:v>4.2699999999999996</c:v>
                </c:pt>
                <c:pt idx="264">
                  <c:v>4.5999999999999996</c:v>
                </c:pt>
                <c:pt idx="265">
                  <c:v>4.92</c:v>
                </c:pt>
                <c:pt idx="266">
                  <c:v>4.92</c:v>
                </c:pt>
                <c:pt idx="267">
                  <c:v>4.92</c:v>
                </c:pt>
                <c:pt idx="268">
                  <c:v>4.5999999999999996</c:v>
                </c:pt>
                <c:pt idx="269">
                  <c:v>4.2699999999999996</c:v>
                </c:pt>
                <c:pt idx="270">
                  <c:v>3.61</c:v>
                </c:pt>
                <c:pt idx="271">
                  <c:v>2.95</c:v>
                </c:pt>
                <c:pt idx="272">
                  <c:v>2.13</c:v>
                </c:pt>
                <c:pt idx="273">
                  <c:v>1.31</c:v>
                </c:pt>
                <c:pt idx="274">
                  <c:v>1.97</c:v>
                </c:pt>
                <c:pt idx="275">
                  <c:v>2.63</c:v>
                </c:pt>
                <c:pt idx="276">
                  <c:v>2.13</c:v>
                </c:pt>
                <c:pt idx="277">
                  <c:v>1.64</c:v>
                </c:pt>
                <c:pt idx="278">
                  <c:v>1.31</c:v>
                </c:pt>
                <c:pt idx="279">
                  <c:v>0.98</c:v>
                </c:pt>
                <c:pt idx="280">
                  <c:v>1.97</c:v>
                </c:pt>
                <c:pt idx="281">
                  <c:v>2.95</c:v>
                </c:pt>
                <c:pt idx="282">
                  <c:v>3.78</c:v>
                </c:pt>
                <c:pt idx="283">
                  <c:v>4.5999999999999996</c:v>
                </c:pt>
                <c:pt idx="284">
                  <c:v>3.61</c:v>
                </c:pt>
                <c:pt idx="285">
                  <c:v>2.63</c:v>
                </c:pt>
                <c:pt idx="286">
                  <c:v>1.97</c:v>
                </c:pt>
                <c:pt idx="287">
                  <c:v>1.31</c:v>
                </c:pt>
                <c:pt idx="288">
                  <c:v>2.13</c:v>
                </c:pt>
                <c:pt idx="289">
                  <c:v>2.95</c:v>
                </c:pt>
                <c:pt idx="290">
                  <c:v>2.79</c:v>
                </c:pt>
                <c:pt idx="291">
                  <c:v>2.63</c:v>
                </c:pt>
                <c:pt idx="292">
                  <c:v>3.94</c:v>
                </c:pt>
                <c:pt idx="293">
                  <c:v>5.25</c:v>
                </c:pt>
                <c:pt idx="294">
                  <c:v>5.09</c:v>
                </c:pt>
                <c:pt idx="295">
                  <c:v>4.92</c:v>
                </c:pt>
                <c:pt idx="296">
                  <c:v>4.76</c:v>
                </c:pt>
                <c:pt idx="297">
                  <c:v>4.5999999999999996</c:v>
                </c:pt>
                <c:pt idx="298">
                  <c:v>3.94</c:v>
                </c:pt>
                <c:pt idx="299">
                  <c:v>3.28</c:v>
                </c:pt>
                <c:pt idx="300">
                  <c:v>3.61</c:v>
                </c:pt>
                <c:pt idx="301">
                  <c:v>3.94</c:v>
                </c:pt>
                <c:pt idx="302">
                  <c:v>3.45</c:v>
                </c:pt>
                <c:pt idx="303">
                  <c:v>2.95</c:v>
                </c:pt>
                <c:pt idx="304">
                  <c:v>4.0999999999999996</c:v>
                </c:pt>
                <c:pt idx="305">
                  <c:v>5.25</c:v>
                </c:pt>
                <c:pt idx="306">
                  <c:v>6.4</c:v>
                </c:pt>
                <c:pt idx="307">
                  <c:v>7.55</c:v>
                </c:pt>
                <c:pt idx="308">
                  <c:v>6.57</c:v>
                </c:pt>
                <c:pt idx="309">
                  <c:v>5.58</c:v>
                </c:pt>
                <c:pt idx="310">
                  <c:v>5.42</c:v>
                </c:pt>
                <c:pt idx="311">
                  <c:v>5.25</c:v>
                </c:pt>
                <c:pt idx="312">
                  <c:v>4.5999999999999996</c:v>
                </c:pt>
                <c:pt idx="313">
                  <c:v>3.94</c:v>
                </c:pt>
                <c:pt idx="314">
                  <c:v>5.58</c:v>
                </c:pt>
                <c:pt idx="315">
                  <c:v>7.22</c:v>
                </c:pt>
                <c:pt idx="316">
                  <c:v>7.39</c:v>
                </c:pt>
                <c:pt idx="317">
                  <c:v>7.55</c:v>
                </c:pt>
                <c:pt idx="318">
                  <c:v>6.73</c:v>
                </c:pt>
                <c:pt idx="319">
                  <c:v>5.91</c:v>
                </c:pt>
                <c:pt idx="320">
                  <c:v>5.42</c:v>
                </c:pt>
                <c:pt idx="321">
                  <c:v>4.92</c:v>
                </c:pt>
                <c:pt idx="322">
                  <c:v>5.25</c:v>
                </c:pt>
                <c:pt idx="323">
                  <c:v>5.58</c:v>
                </c:pt>
                <c:pt idx="324">
                  <c:v>5.25</c:v>
                </c:pt>
                <c:pt idx="325">
                  <c:v>4.92</c:v>
                </c:pt>
                <c:pt idx="326">
                  <c:v>5.58</c:v>
                </c:pt>
                <c:pt idx="327">
                  <c:v>6.24</c:v>
                </c:pt>
                <c:pt idx="328">
                  <c:v>7.55</c:v>
                </c:pt>
                <c:pt idx="329">
                  <c:v>8.86</c:v>
                </c:pt>
                <c:pt idx="330">
                  <c:v>9.68</c:v>
                </c:pt>
                <c:pt idx="331">
                  <c:v>10.5</c:v>
                </c:pt>
                <c:pt idx="332">
                  <c:v>11.98</c:v>
                </c:pt>
                <c:pt idx="333">
                  <c:v>13.46</c:v>
                </c:pt>
                <c:pt idx="334">
                  <c:v>14.77</c:v>
                </c:pt>
                <c:pt idx="335">
                  <c:v>16.09</c:v>
                </c:pt>
                <c:pt idx="336">
                  <c:v>19.53</c:v>
                </c:pt>
                <c:pt idx="337">
                  <c:v>22.98</c:v>
                </c:pt>
                <c:pt idx="338">
                  <c:v>19.37</c:v>
                </c:pt>
                <c:pt idx="339">
                  <c:v>15.76</c:v>
                </c:pt>
                <c:pt idx="340">
                  <c:v>14.94</c:v>
                </c:pt>
                <c:pt idx="341">
                  <c:v>14.12</c:v>
                </c:pt>
                <c:pt idx="342">
                  <c:v>45.47</c:v>
                </c:pt>
                <c:pt idx="343">
                  <c:v>76.819999999999993</c:v>
                </c:pt>
                <c:pt idx="344">
                  <c:v>54.49</c:v>
                </c:pt>
                <c:pt idx="345">
                  <c:v>32.17</c:v>
                </c:pt>
                <c:pt idx="346">
                  <c:v>64.34</c:v>
                </c:pt>
                <c:pt idx="347">
                  <c:v>96.51</c:v>
                </c:pt>
                <c:pt idx="348">
                  <c:v>113.42</c:v>
                </c:pt>
                <c:pt idx="349">
                  <c:v>130.32</c:v>
                </c:pt>
                <c:pt idx="350">
                  <c:v>132.13</c:v>
                </c:pt>
                <c:pt idx="351">
                  <c:v>133.94</c:v>
                </c:pt>
                <c:pt idx="352">
                  <c:v>125.73</c:v>
                </c:pt>
                <c:pt idx="353">
                  <c:v>117.52</c:v>
                </c:pt>
                <c:pt idx="354">
                  <c:v>82.89</c:v>
                </c:pt>
                <c:pt idx="355">
                  <c:v>48.26</c:v>
                </c:pt>
                <c:pt idx="356">
                  <c:v>46.12</c:v>
                </c:pt>
                <c:pt idx="357">
                  <c:v>43.99</c:v>
                </c:pt>
                <c:pt idx="358">
                  <c:v>71.400000000000006</c:v>
                </c:pt>
                <c:pt idx="359">
                  <c:v>98.81</c:v>
                </c:pt>
                <c:pt idx="360">
                  <c:v>93.89</c:v>
                </c:pt>
                <c:pt idx="361">
                  <c:v>88.96</c:v>
                </c:pt>
                <c:pt idx="362">
                  <c:v>107.51</c:v>
                </c:pt>
                <c:pt idx="363">
                  <c:v>126.06</c:v>
                </c:pt>
                <c:pt idx="364">
                  <c:v>110.14</c:v>
                </c:pt>
                <c:pt idx="365">
                  <c:v>94.21</c:v>
                </c:pt>
                <c:pt idx="366">
                  <c:v>93.07</c:v>
                </c:pt>
                <c:pt idx="367">
                  <c:v>91.92</c:v>
                </c:pt>
                <c:pt idx="368">
                  <c:v>83.22</c:v>
                </c:pt>
                <c:pt idx="369">
                  <c:v>74.52</c:v>
                </c:pt>
                <c:pt idx="370">
                  <c:v>63.03</c:v>
                </c:pt>
                <c:pt idx="371">
                  <c:v>51.54</c:v>
                </c:pt>
                <c:pt idx="372">
                  <c:v>50.39</c:v>
                </c:pt>
                <c:pt idx="373">
                  <c:v>49.24</c:v>
                </c:pt>
                <c:pt idx="374">
                  <c:v>44.65</c:v>
                </c:pt>
                <c:pt idx="375">
                  <c:v>40.049999999999997</c:v>
                </c:pt>
                <c:pt idx="376">
                  <c:v>35.619999999999997</c:v>
                </c:pt>
                <c:pt idx="377">
                  <c:v>31.19</c:v>
                </c:pt>
                <c:pt idx="378">
                  <c:v>47.11</c:v>
                </c:pt>
                <c:pt idx="379">
                  <c:v>63.03</c:v>
                </c:pt>
                <c:pt idx="380">
                  <c:v>71.89</c:v>
                </c:pt>
                <c:pt idx="381">
                  <c:v>80.760000000000005</c:v>
                </c:pt>
                <c:pt idx="382">
                  <c:v>91.26</c:v>
                </c:pt>
                <c:pt idx="383">
                  <c:v>101.76</c:v>
                </c:pt>
                <c:pt idx="384">
                  <c:v>106.69</c:v>
                </c:pt>
                <c:pt idx="385">
                  <c:v>111.61</c:v>
                </c:pt>
                <c:pt idx="386">
                  <c:v>124.58</c:v>
                </c:pt>
                <c:pt idx="387">
                  <c:v>137.55000000000001</c:v>
                </c:pt>
                <c:pt idx="388">
                  <c:v>132.13</c:v>
                </c:pt>
                <c:pt idx="389">
                  <c:v>126.71</c:v>
                </c:pt>
                <c:pt idx="390">
                  <c:v>167.75</c:v>
                </c:pt>
                <c:pt idx="391">
                  <c:v>208.78</c:v>
                </c:pt>
                <c:pt idx="392">
                  <c:v>216.99</c:v>
                </c:pt>
                <c:pt idx="393">
                  <c:v>225.2</c:v>
                </c:pt>
                <c:pt idx="394">
                  <c:v>226.34</c:v>
                </c:pt>
                <c:pt idx="395">
                  <c:v>227.49</c:v>
                </c:pt>
                <c:pt idx="396">
                  <c:v>230.94</c:v>
                </c:pt>
                <c:pt idx="397">
                  <c:v>234.39</c:v>
                </c:pt>
                <c:pt idx="398">
                  <c:v>234.71</c:v>
                </c:pt>
                <c:pt idx="399">
                  <c:v>235.04</c:v>
                </c:pt>
                <c:pt idx="400">
                  <c:v>234.55</c:v>
                </c:pt>
                <c:pt idx="401">
                  <c:v>234.06</c:v>
                </c:pt>
                <c:pt idx="402">
                  <c:v>239.64</c:v>
                </c:pt>
                <c:pt idx="403">
                  <c:v>245.22</c:v>
                </c:pt>
                <c:pt idx="404">
                  <c:v>248.01</c:v>
                </c:pt>
                <c:pt idx="405">
                  <c:v>250.8</c:v>
                </c:pt>
                <c:pt idx="406">
                  <c:v>251.13</c:v>
                </c:pt>
                <c:pt idx="407">
                  <c:v>251.46</c:v>
                </c:pt>
                <c:pt idx="408">
                  <c:v>253.43</c:v>
                </c:pt>
                <c:pt idx="409">
                  <c:v>255.4</c:v>
                </c:pt>
                <c:pt idx="410">
                  <c:v>258.68</c:v>
                </c:pt>
                <c:pt idx="411">
                  <c:v>261.95999999999998</c:v>
                </c:pt>
                <c:pt idx="412">
                  <c:v>266.39</c:v>
                </c:pt>
                <c:pt idx="413">
                  <c:v>270.82</c:v>
                </c:pt>
                <c:pt idx="414">
                  <c:v>270</c:v>
                </c:pt>
                <c:pt idx="415">
                  <c:v>269.18</c:v>
                </c:pt>
                <c:pt idx="416">
                  <c:v>262.62</c:v>
                </c:pt>
                <c:pt idx="417">
                  <c:v>256.05</c:v>
                </c:pt>
                <c:pt idx="418">
                  <c:v>259.5</c:v>
                </c:pt>
                <c:pt idx="419">
                  <c:v>262.95</c:v>
                </c:pt>
                <c:pt idx="420">
                  <c:v>269.18</c:v>
                </c:pt>
                <c:pt idx="421">
                  <c:v>275.42</c:v>
                </c:pt>
                <c:pt idx="422">
                  <c:v>278.20999999999998</c:v>
                </c:pt>
                <c:pt idx="423">
                  <c:v>281</c:v>
                </c:pt>
                <c:pt idx="424">
                  <c:v>284.77999999999997</c:v>
                </c:pt>
                <c:pt idx="425">
                  <c:v>288.55</c:v>
                </c:pt>
                <c:pt idx="426">
                  <c:v>283.63</c:v>
                </c:pt>
                <c:pt idx="427">
                  <c:v>278.7</c:v>
                </c:pt>
                <c:pt idx="428">
                  <c:v>271.97000000000003</c:v>
                </c:pt>
                <c:pt idx="429">
                  <c:v>265.24</c:v>
                </c:pt>
                <c:pt idx="430">
                  <c:v>264.92</c:v>
                </c:pt>
                <c:pt idx="431">
                  <c:v>264.58999999999997</c:v>
                </c:pt>
                <c:pt idx="432">
                  <c:v>265.41000000000003</c:v>
                </c:pt>
                <c:pt idx="433">
                  <c:v>266.23</c:v>
                </c:pt>
                <c:pt idx="434">
                  <c:v>260.81</c:v>
                </c:pt>
                <c:pt idx="435">
                  <c:v>255.4</c:v>
                </c:pt>
                <c:pt idx="436">
                  <c:v>254.25</c:v>
                </c:pt>
                <c:pt idx="437">
                  <c:v>253.1</c:v>
                </c:pt>
                <c:pt idx="438">
                  <c:v>243.74</c:v>
                </c:pt>
                <c:pt idx="439">
                  <c:v>234.39</c:v>
                </c:pt>
                <c:pt idx="440">
                  <c:v>239.97</c:v>
                </c:pt>
                <c:pt idx="441">
                  <c:v>245.55</c:v>
                </c:pt>
                <c:pt idx="442">
                  <c:v>255.07</c:v>
                </c:pt>
                <c:pt idx="443">
                  <c:v>264.58999999999997</c:v>
                </c:pt>
                <c:pt idx="444">
                  <c:v>238.65</c:v>
                </c:pt>
                <c:pt idx="445">
                  <c:v>212.72</c:v>
                </c:pt>
                <c:pt idx="446">
                  <c:v>235.86</c:v>
                </c:pt>
                <c:pt idx="447">
                  <c:v>259.01</c:v>
                </c:pt>
                <c:pt idx="448">
                  <c:v>264.92</c:v>
                </c:pt>
                <c:pt idx="449">
                  <c:v>270.82</c:v>
                </c:pt>
                <c:pt idx="450">
                  <c:v>276.08</c:v>
                </c:pt>
                <c:pt idx="451">
                  <c:v>281.33</c:v>
                </c:pt>
                <c:pt idx="452">
                  <c:v>281.82</c:v>
                </c:pt>
                <c:pt idx="453">
                  <c:v>282.31</c:v>
                </c:pt>
                <c:pt idx="454">
                  <c:v>290.19</c:v>
                </c:pt>
                <c:pt idx="455">
                  <c:v>298.07</c:v>
                </c:pt>
                <c:pt idx="456">
                  <c:v>298.73</c:v>
                </c:pt>
                <c:pt idx="457">
                  <c:v>299.38</c:v>
                </c:pt>
                <c:pt idx="458">
                  <c:v>302.01</c:v>
                </c:pt>
                <c:pt idx="459">
                  <c:v>304.64</c:v>
                </c:pt>
                <c:pt idx="460">
                  <c:v>301.35000000000002</c:v>
                </c:pt>
                <c:pt idx="461">
                  <c:v>298.07</c:v>
                </c:pt>
                <c:pt idx="462">
                  <c:v>292</c:v>
                </c:pt>
                <c:pt idx="463">
                  <c:v>285.93</c:v>
                </c:pt>
                <c:pt idx="464">
                  <c:v>297.42</c:v>
                </c:pt>
                <c:pt idx="465">
                  <c:v>308.89999999999998</c:v>
                </c:pt>
                <c:pt idx="466">
                  <c:v>307.26</c:v>
                </c:pt>
                <c:pt idx="467">
                  <c:v>305.62</c:v>
                </c:pt>
                <c:pt idx="468">
                  <c:v>308.58</c:v>
                </c:pt>
                <c:pt idx="469">
                  <c:v>311.52999999999997</c:v>
                </c:pt>
                <c:pt idx="470">
                  <c:v>315.47000000000003</c:v>
                </c:pt>
                <c:pt idx="471">
                  <c:v>319.41000000000003</c:v>
                </c:pt>
                <c:pt idx="472">
                  <c:v>314.64999999999998</c:v>
                </c:pt>
                <c:pt idx="473">
                  <c:v>309.89</c:v>
                </c:pt>
                <c:pt idx="474">
                  <c:v>313.01</c:v>
                </c:pt>
                <c:pt idx="475">
                  <c:v>316.13</c:v>
                </c:pt>
                <c:pt idx="476">
                  <c:v>320.07</c:v>
                </c:pt>
                <c:pt idx="477">
                  <c:v>324.01</c:v>
                </c:pt>
                <c:pt idx="478">
                  <c:v>324.01</c:v>
                </c:pt>
                <c:pt idx="479">
                  <c:v>324.01</c:v>
                </c:pt>
                <c:pt idx="480">
                  <c:v>337.63</c:v>
                </c:pt>
                <c:pt idx="481">
                  <c:v>351.25</c:v>
                </c:pt>
                <c:pt idx="482">
                  <c:v>366.19</c:v>
                </c:pt>
                <c:pt idx="483">
                  <c:v>381.12</c:v>
                </c:pt>
                <c:pt idx="484">
                  <c:v>390.48</c:v>
                </c:pt>
                <c:pt idx="485">
                  <c:v>399.84</c:v>
                </c:pt>
                <c:pt idx="486">
                  <c:v>406.07</c:v>
                </c:pt>
                <c:pt idx="487">
                  <c:v>412.31</c:v>
                </c:pt>
                <c:pt idx="488">
                  <c:v>418.55</c:v>
                </c:pt>
                <c:pt idx="489">
                  <c:v>424.78</c:v>
                </c:pt>
                <c:pt idx="490">
                  <c:v>424.13</c:v>
                </c:pt>
                <c:pt idx="491">
                  <c:v>423.47</c:v>
                </c:pt>
                <c:pt idx="492">
                  <c:v>432.17</c:v>
                </c:pt>
                <c:pt idx="493">
                  <c:v>440.87</c:v>
                </c:pt>
                <c:pt idx="494">
                  <c:v>445.47</c:v>
                </c:pt>
                <c:pt idx="495">
                  <c:v>450.06</c:v>
                </c:pt>
                <c:pt idx="496">
                  <c:v>453.18</c:v>
                </c:pt>
                <c:pt idx="497">
                  <c:v>456.3</c:v>
                </c:pt>
                <c:pt idx="498">
                  <c:v>459.09</c:v>
                </c:pt>
                <c:pt idx="499">
                  <c:v>461.88</c:v>
                </c:pt>
                <c:pt idx="500">
                  <c:v>465.98</c:v>
                </c:pt>
                <c:pt idx="501">
                  <c:v>470.09</c:v>
                </c:pt>
                <c:pt idx="502">
                  <c:v>470.25</c:v>
                </c:pt>
                <c:pt idx="503">
                  <c:v>470.41</c:v>
                </c:pt>
                <c:pt idx="504">
                  <c:v>472.38</c:v>
                </c:pt>
                <c:pt idx="505">
                  <c:v>474.35</c:v>
                </c:pt>
                <c:pt idx="506">
                  <c:v>478.13</c:v>
                </c:pt>
                <c:pt idx="507">
                  <c:v>481.9</c:v>
                </c:pt>
                <c:pt idx="508">
                  <c:v>483.05</c:v>
                </c:pt>
                <c:pt idx="509">
                  <c:v>484.2</c:v>
                </c:pt>
                <c:pt idx="510">
                  <c:v>485.35</c:v>
                </c:pt>
                <c:pt idx="511">
                  <c:v>486.5</c:v>
                </c:pt>
                <c:pt idx="512">
                  <c:v>489.45</c:v>
                </c:pt>
                <c:pt idx="513">
                  <c:v>492.41</c:v>
                </c:pt>
                <c:pt idx="514">
                  <c:v>494.54</c:v>
                </c:pt>
                <c:pt idx="515">
                  <c:v>496.68</c:v>
                </c:pt>
                <c:pt idx="516">
                  <c:v>499.63</c:v>
                </c:pt>
                <c:pt idx="517">
                  <c:v>502.59</c:v>
                </c:pt>
                <c:pt idx="518">
                  <c:v>504.23</c:v>
                </c:pt>
                <c:pt idx="519">
                  <c:v>505.87</c:v>
                </c:pt>
                <c:pt idx="520">
                  <c:v>505.54</c:v>
                </c:pt>
                <c:pt idx="521">
                  <c:v>505.21</c:v>
                </c:pt>
                <c:pt idx="522">
                  <c:v>509.64</c:v>
                </c:pt>
                <c:pt idx="523">
                  <c:v>514.08000000000004</c:v>
                </c:pt>
                <c:pt idx="524">
                  <c:v>516.21</c:v>
                </c:pt>
                <c:pt idx="525">
                  <c:v>518.34</c:v>
                </c:pt>
                <c:pt idx="526">
                  <c:v>516.04</c:v>
                </c:pt>
                <c:pt idx="527">
                  <c:v>513.75</c:v>
                </c:pt>
                <c:pt idx="528">
                  <c:v>520.30999999999995</c:v>
                </c:pt>
                <c:pt idx="529">
                  <c:v>526.88</c:v>
                </c:pt>
                <c:pt idx="530">
                  <c:v>525.73</c:v>
                </c:pt>
                <c:pt idx="531">
                  <c:v>524.58000000000004</c:v>
                </c:pt>
                <c:pt idx="532">
                  <c:v>527.37</c:v>
                </c:pt>
                <c:pt idx="533">
                  <c:v>530.16</c:v>
                </c:pt>
                <c:pt idx="534">
                  <c:v>528.03</c:v>
                </c:pt>
                <c:pt idx="535">
                  <c:v>525.89</c:v>
                </c:pt>
                <c:pt idx="536">
                  <c:v>528.03</c:v>
                </c:pt>
                <c:pt idx="537">
                  <c:v>530.16</c:v>
                </c:pt>
                <c:pt idx="538">
                  <c:v>531.30999999999995</c:v>
                </c:pt>
                <c:pt idx="539">
                  <c:v>532.46</c:v>
                </c:pt>
                <c:pt idx="540">
                  <c:v>537.54999999999995</c:v>
                </c:pt>
                <c:pt idx="541">
                  <c:v>542.63</c:v>
                </c:pt>
                <c:pt idx="542">
                  <c:v>533.94000000000005</c:v>
                </c:pt>
                <c:pt idx="543">
                  <c:v>525.24</c:v>
                </c:pt>
                <c:pt idx="544">
                  <c:v>527.86</c:v>
                </c:pt>
                <c:pt idx="545">
                  <c:v>530.49</c:v>
                </c:pt>
                <c:pt idx="546">
                  <c:v>543.95000000000005</c:v>
                </c:pt>
                <c:pt idx="547">
                  <c:v>557.41</c:v>
                </c:pt>
                <c:pt idx="548">
                  <c:v>561.17999999999995</c:v>
                </c:pt>
                <c:pt idx="549">
                  <c:v>564.96</c:v>
                </c:pt>
                <c:pt idx="550">
                  <c:v>567.91</c:v>
                </c:pt>
                <c:pt idx="551">
                  <c:v>570.87</c:v>
                </c:pt>
                <c:pt idx="552">
                  <c:v>557.08000000000004</c:v>
                </c:pt>
                <c:pt idx="553">
                  <c:v>543.29</c:v>
                </c:pt>
                <c:pt idx="554">
                  <c:v>560.53</c:v>
                </c:pt>
                <c:pt idx="555">
                  <c:v>577.76</c:v>
                </c:pt>
                <c:pt idx="556">
                  <c:v>575.29999999999995</c:v>
                </c:pt>
                <c:pt idx="557">
                  <c:v>572.84</c:v>
                </c:pt>
                <c:pt idx="558">
                  <c:v>569.72</c:v>
                </c:pt>
                <c:pt idx="559">
                  <c:v>566.6</c:v>
                </c:pt>
                <c:pt idx="560">
                  <c:v>538.53</c:v>
                </c:pt>
                <c:pt idx="561">
                  <c:v>510.46</c:v>
                </c:pt>
                <c:pt idx="562">
                  <c:v>509.32</c:v>
                </c:pt>
                <c:pt idx="563">
                  <c:v>508.17</c:v>
                </c:pt>
                <c:pt idx="564">
                  <c:v>518.34</c:v>
                </c:pt>
                <c:pt idx="565">
                  <c:v>528.52</c:v>
                </c:pt>
                <c:pt idx="566">
                  <c:v>539.19000000000005</c:v>
                </c:pt>
                <c:pt idx="567">
                  <c:v>549.86</c:v>
                </c:pt>
                <c:pt idx="568">
                  <c:v>545.26</c:v>
                </c:pt>
                <c:pt idx="569">
                  <c:v>540.66999999999996</c:v>
                </c:pt>
                <c:pt idx="570">
                  <c:v>553.79999999999995</c:v>
                </c:pt>
                <c:pt idx="571">
                  <c:v>566.92999999999995</c:v>
                </c:pt>
                <c:pt idx="572">
                  <c:v>544.11</c:v>
                </c:pt>
                <c:pt idx="573">
                  <c:v>521.29999999999995</c:v>
                </c:pt>
                <c:pt idx="574">
                  <c:v>377.84</c:v>
                </c:pt>
                <c:pt idx="575">
                  <c:v>234.39</c:v>
                </c:pt>
                <c:pt idx="576">
                  <c:v>149.04</c:v>
                </c:pt>
                <c:pt idx="577">
                  <c:v>63.68</c:v>
                </c:pt>
                <c:pt idx="578">
                  <c:v>275.26</c:v>
                </c:pt>
                <c:pt idx="579">
                  <c:v>486.83</c:v>
                </c:pt>
                <c:pt idx="580">
                  <c:v>366.19</c:v>
                </c:pt>
                <c:pt idx="581">
                  <c:v>245.55</c:v>
                </c:pt>
                <c:pt idx="582">
                  <c:v>363.23</c:v>
                </c:pt>
                <c:pt idx="583">
                  <c:v>480.92</c:v>
                </c:pt>
                <c:pt idx="584">
                  <c:v>532.46</c:v>
                </c:pt>
                <c:pt idx="585">
                  <c:v>584</c:v>
                </c:pt>
                <c:pt idx="586">
                  <c:v>565.61</c:v>
                </c:pt>
                <c:pt idx="587">
                  <c:v>547.23</c:v>
                </c:pt>
                <c:pt idx="588">
                  <c:v>554.29</c:v>
                </c:pt>
                <c:pt idx="589">
                  <c:v>561.35</c:v>
                </c:pt>
                <c:pt idx="590">
                  <c:v>421.5</c:v>
                </c:pt>
                <c:pt idx="591">
                  <c:v>281.66000000000003</c:v>
                </c:pt>
                <c:pt idx="592">
                  <c:v>435.29</c:v>
                </c:pt>
                <c:pt idx="593">
                  <c:v>588.91999999999996</c:v>
                </c:pt>
                <c:pt idx="594">
                  <c:v>588.91999999999996</c:v>
                </c:pt>
                <c:pt idx="595">
                  <c:v>588.91999999999996</c:v>
                </c:pt>
                <c:pt idx="596">
                  <c:v>601.55999999999995</c:v>
                </c:pt>
                <c:pt idx="597">
                  <c:v>614.20000000000005</c:v>
                </c:pt>
                <c:pt idx="598">
                  <c:v>612.39</c:v>
                </c:pt>
                <c:pt idx="599">
                  <c:v>610.59</c:v>
                </c:pt>
                <c:pt idx="600">
                  <c:v>616</c:v>
                </c:pt>
                <c:pt idx="601">
                  <c:v>621.41999999999996</c:v>
                </c:pt>
                <c:pt idx="602">
                  <c:v>623.72</c:v>
                </c:pt>
                <c:pt idx="603">
                  <c:v>626.02</c:v>
                </c:pt>
                <c:pt idx="604">
                  <c:v>527.70000000000005</c:v>
                </c:pt>
                <c:pt idx="605">
                  <c:v>429.38</c:v>
                </c:pt>
                <c:pt idx="606">
                  <c:v>223.55</c:v>
                </c:pt>
                <c:pt idx="607">
                  <c:v>17.73</c:v>
                </c:pt>
                <c:pt idx="608">
                  <c:v>20.02</c:v>
                </c:pt>
                <c:pt idx="609">
                  <c:v>22.32</c:v>
                </c:pt>
                <c:pt idx="610">
                  <c:v>26.26</c:v>
                </c:pt>
                <c:pt idx="611">
                  <c:v>30.2</c:v>
                </c:pt>
                <c:pt idx="612">
                  <c:v>352.73</c:v>
                </c:pt>
                <c:pt idx="613">
                  <c:v>675.26</c:v>
                </c:pt>
                <c:pt idx="614">
                  <c:v>367.17</c:v>
                </c:pt>
                <c:pt idx="615">
                  <c:v>59.09</c:v>
                </c:pt>
                <c:pt idx="616">
                  <c:v>72.709999999999994</c:v>
                </c:pt>
                <c:pt idx="617">
                  <c:v>86.34</c:v>
                </c:pt>
                <c:pt idx="618">
                  <c:v>343.54</c:v>
                </c:pt>
                <c:pt idx="619">
                  <c:v>600.74</c:v>
                </c:pt>
                <c:pt idx="620">
                  <c:v>644.4</c:v>
                </c:pt>
                <c:pt idx="621">
                  <c:v>688.06</c:v>
                </c:pt>
                <c:pt idx="622">
                  <c:v>687.57</c:v>
                </c:pt>
                <c:pt idx="623">
                  <c:v>687.07</c:v>
                </c:pt>
                <c:pt idx="624">
                  <c:v>673.45</c:v>
                </c:pt>
                <c:pt idx="625">
                  <c:v>659.83</c:v>
                </c:pt>
                <c:pt idx="626">
                  <c:v>672.47</c:v>
                </c:pt>
                <c:pt idx="627">
                  <c:v>685.11</c:v>
                </c:pt>
                <c:pt idx="628">
                  <c:v>689.37</c:v>
                </c:pt>
                <c:pt idx="629">
                  <c:v>693.64</c:v>
                </c:pt>
                <c:pt idx="630">
                  <c:v>703.98</c:v>
                </c:pt>
                <c:pt idx="631">
                  <c:v>714.32</c:v>
                </c:pt>
                <c:pt idx="632">
                  <c:v>723.35</c:v>
                </c:pt>
                <c:pt idx="633">
                  <c:v>732.38</c:v>
                </c:pt>
                <c:pt idx="634">
                  <c:v>691.51</c:v>
                </c:pt>
                <c:pt idx="635">
                  <c:v>650.64</c:v>
                </c:pt>
                <c:pt idx="636">
                  <c:v>421.99</c:v>
                </c:pt>
                <c:pt idx="637">
                  <c:v>193.35</c:v>
                </c:pt>
                <c:pt idx="638">
                  <c:v>111.94</c:v>
                </c:pt>
                <c:pt idx="639">
                  <c:v>30.53</c:v>
                </c:pt>
                <c:pt idx="640">
                  <c:v>35.619999999999997</c:v>
                </c:pt>
                <c:pt idx="641">
                  <c:v>40.71</c:v>
                </c:pt>
                <c:pt idx="642">
                  <c:v>25.93</c:v>
                </c:pt>
                <c:pt idx="643">
                  <c:v>11.16</c:v>
                </c:pt>
                <c:pt idx="644">
                  <c:v>13.95</c:v>
                </c:pt>
                <c:pt idx="645">
                  <c:v>16.739999999999998</c:v>
                </c:pt>
                <c:pt idx="646">
                  <c:v>22.49</c:v>
                </c:pt>
                <c:pt idx="647">
                  <c:v>28.23</c:v>
                </c:pt>
                <c:pt idx="648">
                  <c:v>72.38</c:v>
                </c:pt>
                <c:pt idx="649">
                  <c:v>116.54</c:v>
                </c:pt>
                <c:pt idx="650">
                  <c:v>418.38</c:v>
                </c:pt>
                <c:pt idx="651">
                  <c:v>720.23</c:v>
                </c:pt>
                <c:pt idx="652">
                  <c:v>558.23</c:v>
                </c:pt>
                <c:pt idx="653">
                  <c:v>396.23</c:v>
                </c:pt>
                <c:pt idx="654">
                  <c:v>539.35</c:v>
                </c:pt>
                <c:pt idx="655">
                  <c:v>682.48</c:v>
                </c:pt>
                <c:pt idx="656">
                  <c:v>672.47</c:v>
                </c:pt>
                <c:pt idx="657">
                  <c:v>662.45</c:v>
                </c:pt>
                <c:pt idx="658">
                  <c:v>530.32000000000005</c:v>
                </c:pt>
                <c:pt idx="659">
                  <c:v>398.19</c:v>
                </c:pt>
                <c:pt idx="660">
                  <c:v>543.46</c:v>
                </c:pt>
                <c:pt idx="661">
                  <c:v>688.72</c:v>
                </c:pt>
                <c:pt idx="662">
                  <c:v>714.49</c:v>
                </c:pt>
                <c:pt idx="663">
                  <c:v>740.25</c:v>
                </c:pt>
                <c:pt idx="664">
                  <c:v>736.97</c:v>
                </c:pt>
                <c:pt idx="665">
                  <c:v>733.69</c:v>
                </c:pt>
                <c:pt idx="666">
                  <c:v>731.88</c:v>
                </c:pt>
                <c:pt idx="667">
                  <c:v>730.08</c:v>
                </c:pt>
                <c:pt idx="668">
                  <c:v>676.73</c:v>
                </c:pt>
                <c:pt idx="669">
                  <c:v>623.39</c:v>
                </c:pt>
                <c:pt idx="670">
                  <c:v>681.66</c:v>
                </c:pt>
                <c:pt idx="671">
                  <c:v>739.93</c:v>
                </c:pt>
                <c:pt idx="672">
                  <c:v>737.46</c:v>
                </c:pt>
                <c:pt idx="673">
                  <c:v>735</c:v>
                </c:pt>
                <c:pt idx="674">
                  <c:v>673.12</c:v>
                </c:pt>
                <c:pt idx="675">
                  <c:v>611.24</c:v>
                </c:pt>
                <c:pt idx="676">
                  <c:v>654.9</c:v>
                </c:pt>
                <c:pt idx="677">
                  <c:v>698.56</c:v>
                </c:pt>
                <c:pt idx="678">
                  <c:v>484.04</c:v>
                </c:pt>
                <c:pt idx="679">
                  <c:v>269.51</c:v>
                </c:pt>
                <c:pt idx="680">
                  <c:v>309.07</c:v>
                </c:pt>
                <c:pt idx="681">
                  <c:v>348.63</c:v>
                </c:pt>
                <c:pt idx="682">
                  <c:v>214.03</c:v>
                </c:pt>
                <c:pt idx="683">
                  <c:v>79.44</c:v>
                </c:pt>
                <c:pt idx="684">
                  <c:v>219.12</c:v>
                </c:pt>
                <c:pt idx="685">
                  <c:v>358.8</c:v>
                </c:pt>
                <c:pt idx="686">
                  <c:v>224.21</c:v>
                </c:pt>
                <c:pt idx="687">
                  <c:v>89.62</c:v>
                </c:pt>
                <c:pt idx="688">
                  <c:v>87.48</c:v>
                </c:pt>
                <c:pt idx="689">
                  <c:v>85.35</c:v>
                </c:pt>
                <c:pt idx="690">
                  <c:v>155.77000000000001</c:v>
                </c:pt>
                <c:pt idx="691">
                  <c:v>226.18</c:v>
                </c:pt>
                <c:pt idx="692">
                  <c:v>208.12</c:v>
                </c:pt>
                <c:pt idx="693">
                  <c:v>190.07</c:v>
                </c:pt>
                <c:pt idx="694">
                  <c:v>454.49</c:v>
                </c:pt>
                <c:pt idx="695">
                  <c:v>718.92</c:v>
                </c:pt>
                <c:pt idx="696">
                  <c:v>687.57</c:v>
                </c:pt>
                <c:pt idx="697">
                  <c:v>656.22</c:v>
                </c:pt>
                <c:pt idx="698">
                  <c:v>704.64</c:v>
                </c:pt>
                <c:pt idx="699">
                  <c:v>753.06</c:v>
                </c:pt>
                <c:pt idx="700">
                  <c:v>698.56</c:v>
                </c:pt>
                <c:pt idx="701">
                  <c:v>644.07000000000005</c:v>
                </c:pt>
                <c:pt idx="702">
                  <c:v>341.57</c:v>
                </c:pt>
                <c:pt idx="703">
                  <c:v>39.06</c:v>
                </c:pt>
                <c:pt idx="704">
                  <c:v>35.130000000000003</c:v>
                </c:pt>
                <c:pt idx="705">
                  <c:v>31.19</c:v>
                </c:pt>
                <c:pt idx="706">
                  <c:v>24.78</c:v>
                </c:pt>
                <c:pt idx="707">
                  <c:v>18.38</c:v>
                </c:pt>
                <c:pt idx="708">
                  <c:v>13.79</c:v>
                </c:pt>
                <c:pt idx="709">
                  <c:v>9.19</c:v>
                </c:pt>
                <c:pt idx="710">
                  <c:v>8.3699999999999992</c:v>
                </c:pt>
                <c:pt idx="711">
                  <c:v>7.55</c:v>
                </c:pt>
                <c:pt idx="712">
                  <c:v>10.34</c:v>
                </c:pt>
                <c:pt idx="713">
                  <c:v>13.13</c:v>
                </c:pt>
                <c:pt idx="714">
                  <c:v>9.0299999999999994</c:v>
                </c:pt>
                <c:pt idx="715">
                  <c:v>4.92</c:v>
                </c:pt>
                <c:pt idx="716">
                  <c:v>6.24</c:v>
                </c:pt>
                <c:pt idx="717">
                  <c:v>7.55</c:v>
                </c:pt>
                <c:pt idx="718">
                  <c:v>11</c:v>
                </c:pt>
                <c:pt idx="719">
                  <c:v>14.44</c:v>
                </c:pt>
                <c:pt idx="720">
                  <c:v>18.38</c:v>
                </c:pt>
                <c:pt idx="721">
                  <c:v>22.32</c:v>
                </c:pt>
                <c:pt idx="722">
                  <c:v>27.57</c:v>
                </c:pt>
                <c:pt idx="723">
                  <c:v>32.83</c:v>
                </c:pt>
                <c:pt idx="724">
                  <c:v>29.87</c:v>
                </c:pt>
                <c:pt idx="725">
                  <c:v>26.92</c:v>
                </c:pt>
                <c:pt idx="726">
                  <c:v>26.1</c:v>
                </c:pt>
                <c:pt idx="727">
                  <c:v>25.28</c:v>
                </c:pt>
                <c:pt idx="728">
                  <c:v>22.98</c:v>
                </c:pt>
                <c:pt idx="729">
                  <c:v>20.68</c:v>
                </c:pt>
                <c:pt idx="730">
                  <c:v>18.88</c:v>
                </c:pt>
                <c:pt idx="731">
                  <c:v>17.07</c:v>
                </c:pt>
                <c:pt idx="732">
                  <c:v>14.61</c:v>
                </c:pt>
                <c:pt idx="733">
                  <c:v>12.15</c:v>
                </c:pt>
                <c:pt idx="734">
                  <c:v>23.31</c:v>
                </c:pt>
                <c:pt idx="735">
                  <c:v>34.47</c:v>
                </c:pt>
                <c:pt idx="736">
                  <c:v>30.04</c:v>
                </c:pt>
                <c:pt idx="737">
                  <c:v>25.61</c:v>
                </c:pt>
                <c:pt idx="738">
                  <c:v>21.01</c:v>
                </c:pt>
                <c:pt idx="739">
                  <c:v>16.41</c:v>
                </c:pt>
                <c:pt idx="740">
                  <c:v>28.07</c:v>
                </c:pt>
                <c:pt idx="741">
                  <c:v>39.72</c:v>
                </c:pt>
                <c:pt idx="742">
                  <c:v>130.65</c:v>
                </c:pt>
                <c:pt idx="743">
                  <c:v>221.58</c:v>
                </c:pt>
                <c:pt idx="744">
                  <c:v>429.38</c:v>
                </c:pt>
                <c:pt idx="745">
                  <c:v>637.17999999999995</c:v>
                </c:pt>
                <c:pt idx="746">
                  <c:v>516.37</c:v>
                </c:pt>
                <c:pt idx="747">
                  <c:v>395.57</c:v>
                </c:pt>
                <c:pt idx="748">
                  <c:v>516.70000000000005</c:v>
                </c:pt>
                <c:pt idx="749">
                  <c:v>637.83000000000004</c:v>
                </c:pt>
                <c:pt idx="750">
                  <c:v>332.21</c:v>
                </c:pt>
                <c:pt idx="751">
                  <c:v>26.59</c:v>
                </c:pt>
                <c:pt idx="752">
                  <c:v>44.15</c:v>
                </c:pt>
                <c:pt idx="753">
                  <c:v>61.72</c:v>
                </c:pt>
                <c:pt idx="754">
                  <c:v>41.53</c:v>
                </c:pt>
                <c:pt idx="755">
                  <c:v>21.34</c:v>
                </c:pt>
                <c:pt idx="756">
                  <c:v>19.2</c:v>
                </c:pt>
                <c:pt idx="757">
                  <c:v>17.07</c:v>
                </c:pt>
                <c:pt idx="758">
                  <c:v>18.55</c:v>
                </c:pt>
                <c:pt idx="759">
                  <c:v>20.02</c:v>
                </c:pt>
                <c:pt idx="760">
                  <c:v>20.68</c:v>
                </c:pt>
                <c:pt idx="761">
                  <c:v>21.34</c:v>
                </c:pt>
                <c:pt idx="762">
                  <c:v>21.99</c:v>
                </c:pt>
                <c:pt idx="763">
                  <c:v>22.65</c:v>
                </c:pt>
                <c:pt idx="764">
                  <c:v>19.86</c:v>
                </c:pt>
                <c:pt idx="765">
                  <c:v>17.07</c:v>
                </c:pt>
                <c:pt idx="766">
                  <c:v>13.13</c:v>
                </c:pt>
                <c:pt idx="767">
                  <c:v>9.19</c:v>
                </c:pt>
                <c:pt idx="768">
                  <c:v>8.6999999999999993</c:v>
                </c:pt>
                <c:pt idx="769">
                  <c:v>8.2100000000000009</c:v>
                </c:pt>
                <c:pt idx="770">
                  <c:v>94.05</c:v>
                </c:pt>
                <c:pt idx="771">
                  <c:v>179.89</c:v>
                </c:pt>
                <c:pt idx="772">
                  <c:v>99.96</c:v>
                </c:pt>
                <c:pt idx="773">
                  <c:v>20.02</c:v>
                </c:pt>
                <c:pt idx="774">
                  <c:v>21.01</c:v>
                </c:pt>
                <c:pt idx="775">
                  <c:v>21.99</c:v>
                </c:pt>
                <c:pt idx="776">
                  <c:v>24.62</c:v>
                </c:pt>
                <c:pt idx="777">
                  <c:v>27.25</c:v>
                </c:pt>
                <c:pt idx="778">
                  <c:v>177.27</c:v>
                </c:pt>
                <c:pt idx="779">
                  <c:v>327.29000000000002</c:v>
                </c:pt>
                <c:pt idx="780">
                  <c:v>192.7</c:v>
                </c:pt>
                <c:pt idx="781">
                  <c:v>58.1</c:v>
                </c:pt>
                <c:pt idx="782">
                  <c:v>165.29</c:v>
                </c:pt>
                <c:pt idx="783">
                  <c:v>272.47000000000003</c:v>
                </c:pt>
                <c:pt idx="784">
                  <c:v>216.33</c:v>
                </c:pt>
                <c:pt idx="785">
                  <c:v>160.19999999999999</c:v>
                </c:pt>
                <c:pt idx="786">
                  <c:v>146.74</c:v>
                </c:pt>
                <c:pt idx="787">
                  <c:v>133.28</c:v>
                </c:pt>
                <c:pt idx="788">
                  <c:v>85.35</c:v>
                </c:pt>
                <c:pt idx="789">
                  <c:v>37.42</c:v>
                </c:pt>
                <c:pt idx="790">
                  <c:v>35.619999999999997</c:v>
                </c:pt>
                <c:pt idx="791">
                  <c:v>33.81</c:v>
                </c:pt>
                <c:pt idx="792">
                  <c:v>29.71</c:v>
                </c:pt>
                <c:pt idx="793">
                  <c:v>25.61</c:v>
                </c:pt>
                <c:pt idx="794">
                  <c:v>21.83</c:v>
                </c:pt>
                <c:pt idx="795">
                  <c:v>18.059999999999999</c:v>
                </c:pt>
                <c:pt idx="796">
                  <c:v>14.94</c:v>
                </c:pt>
                <c:pt idx="797">
                  <c:v>11.82</c:v>
                </c:pt>
                <c:pt idx="798">
                  <c:v>18.55</c:v>
                </c:pt>
                <c:pt idx="799">
                  <c:v>25.28</c:v>
                </c:pt>
                <c:pt idx="800">
                  <c:v>23.96</c:v>
                </c:pt>
                <c:pt idx="801">
                  <c:v>22.65</c:v>
                </c:pt>
                <c:pt idx="802">
                  <c:v>25.11</c:v>
                </c:pt>
                <c:pt idx="803">
                  <c:v>27.57</c:v>
                </c:pt>
                <c:pt idx="804">
                  <c:v>21.83</c:v>
                </c:pt>
                <c:pt idx="805">
                  <c:v>16.09</c:v>
                </c:pt>
                <c:pt idx="806">
                  <c:v>20.190000000000001</c:v>
                </c:pt>
                <c:pt idx="807">
                  <c:v>24.29</c:v>
                </c:pt>
                <c:pt idx="808">
                  <c:v>23.64</c:v>
                </c:pt>
                <c:pt idx="809">
                  <c:v>22.98</c:v>
                </c:pt>
                <c:pt idx="810">
                  <c:v>18.38</c:v>
                </c:pt>
                <c:pt idx="811">
                  <c:v>13.79</c:v>
                </c:pt>
                <c:pt idx="812">
                  <c:v>11.65</c:v>
                </c:pt>
                <c:pt idx="813">
                  <c:v>9.52</c:v>
                </c:pt>
                <c:pt idx="814">
                  <c:v>8.5399999999999991</c:v>
                </c:pt>
                <c:pt idx="815">
                  <c:v>7.55</c:v>
                </c:pt>
                <c:pt idx="816">
                  <c:v>8.5399999999999991</c:v>
                </c:pt>
                <c:pt idx="817">
                  <c:v>9.52</c:v>
                </c:pt>
                <c:pt idx="818">
                  <c:v>9.36</c:v>
                </c:pt>
                <c:pt idx="819">
                  <c:v>9.19</c:v>
                </c:pt>
                <c:pt idx="820">
                  <c:v>6.73</c:v>
                </c:pt>
                <c:pt idx="821">
                  <c:v>4.2699999999999996</c:v>
                </c:pt>
                <c:pt idx="822">
                  <c:v>2.79</c:v>
                </c:pt>
                <c:pt idx="823">
                  <c:v>1.31</c:v>
                </c:pt>
                <c:pt idx="824">
                  <c:v>2.13</c:v>
                </c:pt>
                <c:pt idx="825">
                  <c:v>2.95</c:v>
                </c:pt>
                <c:pt idx="826">
                  <c:v>6.57</c:v>
                </c:pt>
                <c:pt idx="827">
                  <c:v>10.18</c:v>
                </c:pt>
                <c:pt idx="828">
                  <c:v>11.33</c:v>
                </c:pt>
                <c:pt idx="829">
                  <c:v>12.47</c:v>
                </c:pt>
                <c:pt idx="830">
                  <c:v>8.5399999999999991</c:v>
                </c:pt>
                <c:pt idx="831">
                  <c:v>4.5999999999999996</c:v>
                </c:pt>
                <c:pt idx="832">
                  <c:v>7.71</c:v>
                </c:pt>
                <c:pt idx="833">
                  <c:v>10.83</c:v>
                </c:pt>
                <c:pt idx="834">
                  <c:v>10.01</c:v>
                </c:pt>
                <c:pt idx="835">
                  <c:v>9.19</c:v>
                </c:pt>
                <c:pt idx="836">
                  <c:v>10.18</c:v>
                </c:pt>
                <c:pt idx="837">
                  <c:v>11.16</c:v>
                </c:pt>
                <c:pt idx="838">
                  <c:v>12.31</c:v>
                </c:pt>
                <c:pt idx="839">
                  <c:v>13.46</c:v>
                </c:pt>
                <c:pt idx="840">
                  <c:v>11.16</c:v>
                </c:pt>
                <c:pt idx="841">
                  <c:v>8.86</c:v>
                </c:pt>
                <c:pt idx="842">
                  <c:v>11.98</c:v>
                </c:pt>
                <c:pt idx="843">
                  <c:v>15.1</c:v>
                </c:pt>
                <c:pt idx="844">
                  <c:v>20.68</c:v>
                </c:pt>
                <c:pt idx="845">
                  <c:v>26.26</c:v>
                </c:pt>
                <c:pt idx="846">
                  <c:v>19.2</c:v>
                </c:pt>
                <c:pt idx="847">
                  <c:v>12.15</c:v>
                </c:pt>
                <c:pt idx="848">
                  <c:v>14.44</c:v>
                </c:pt>
                <c:pt idx="849">
                  <c:v>16.739999999999998</c:v>
                </c:pt>
                <c:pt idx="850">
                  <c:v>15.92</c:v>
                </c:pt>
                <c:pt idx="851">
                  <c:v>15.1</c:v>
                </c:pt>
                <c:pt idx="852">
                  <c:v>19.86</c:v>
                </c:pt>
                <c:pt idx="853">
                  <c:v>24.62</c:v>
                </c:pt>
                <c:pt idx="854">
                  <c:v>118.83</c:v>
                </c:pt>
                <c:pt idx="855">
                  <c:v>213.05</c:v>
                </c:pt>
                <c:pt idx="856">
                  <c:v>311.86</c:v>
                </c:pt>
                <c:pt idx="857">
                  <c:v>410.67</c:v>
                </c:pt>
                <c:pt idx="858">
                  <c:v>521.46</c:v>
                </c:pt>
                <c:pt idx="859">
                  <c:v>632.25</c:v>
                </c:pt>
                <c:pt idx="860">
                  <c:v>632.41999999999996</c:v>
                </c:pt>
                <c:pt idx="861">
                  <c:v>632.58000000000004</c:v>
                </c:pt>
                <c:pt idx="862">
                  <c:v>599.75</c:v>
                </c:pt>
                <c:pt idx="863">
                  <c:v>566.92999999999995</c:v>
                </c:pt>
                <c:pt idx="864">
                  <c:v>311.52999999999997</c:v>
                </c:pt>
                <c:pt idx="865">
                  <c:v>56.13</c:v>
                </c:pt>
                <c:pt idx="866">
                  <c:v>48.09</c:v>
                </c:pt>
                <c:pt idx="867">
                  <c:v>40.049999999999997</c:v>
                </c:pt>
                <c:pt idx="868">
                  <c:v>38.08</c:v>
                </c:pt>
                <c:pt idx="869">
                  <c:v>36.11</c:v>
                </c:pt>
                <c:pt idx="870">
                  <c:v>65.16</c:v>
                </c:pt>
                <c:pt idx="871">
                  <c:v>94.21</c:v>
                </c:pt>
                <c:pt idx="872">
                  <c:v>73.53</c:v>
                </c:pt>
                <c:pt idx="873">
                  <c:v>52.85</c:v>
                </c:pt>
                <c:pt idx="874">
                  <c:v>39.89</c:v>
                </c:pt>
                <c:pt idx="875">
                  <c:v>26.92</c:v>
                </c:pt>
                <c:pt idx="876">
                  <c:v>18.22</c:v>
                </c:pt>
                <c:pt idx="877">
                  <c:v>9.52</c:v>
                </c:pt>
                <c:pt idx="878">
                  <c:v>11.65</c:v>
                </c:pt>
                <c:pt idx="879">
                  <c:v>13.79</c:v>
                </c:pt>
                <c:pt idx="880">
                  <c:v>28.4</c:v>
                </c:pt>
                <c:pt idx="881">
                  <c:v>43</c:v>
                </c:pt>
                <c:pt idx="882">
                  <c:v>34.299999999999997</c:v>
                </c:pt>
                <c:pt idx="883">
                  <c:v>25.61</c:v>
                </c:pt>
                <c:pt idx="884">
                  <c:v>58.92</c:v>
                </c:pt>
                <c:pt idx="885">
                  <c:v>92.24</c:v>
                </c:pt>
                <c:pt idx="886">
                  <c:v>65.33</c:v>
                </c:pt>
                <c:pt idx="887">
                  <c:v>38.409999999999997</c:v>
                </c:pt>
                <c:pt idx="888">
                  <c:v>131.97</c:v>
                </c:pt>
                <c:pt idx="889">
                  <c:v>225.52</c:v>
                </c:pt>
                <c:pt idx="890">
                  <c:v>186.79</c:v>
                </c:pt>
                <c:pt idx="891">
                  <c:v>148.05000000000001</c:v>
                </c:pt>
                <c:pt idx="892">
                  <c:v>133.77000000000001</c:v>
                </c:pt>
                <c:pt idx="893">
                  <c:v>119.49</c:v>
                </c:pt>
                <c:pt idx="894">
                  <c:v>175.79</c:v>
                </c:pt>
                <c:pt idx="895">
                  <c:v>232.09</c:v>
                </c:pt>
                <c:pt idx="896">
                  <c:v>285.27</c:v>
                </c:pt>
                <c:pt idx="897">
                  <c:v>338.45</c:v>
                </c:pt>
                <c:pt idx="898">
                  <c:v>432.5</c:v>
                </c:pt>
                <c:pt idx="899">
                  <c:v>526.54999999999995</c:v>
                </c:pt>
                <c:pt idx="900">
                  <c:v>464.01</c:v>
                </c:pt>
                <c:pt idx="901">
                  <c:v>401.48</c:v>
                </c:pt>
                <c:pt idx="902">
                  <c:v>248.99</c:v>
                </c:pt>
                <c:pt idx="903">
                  <c:v>96.51</c:v>
                </c:pt>
                <c:pt idx="904">
                  <c:v>93.56</c:v>
                </c:pt>
                <c:pt idx="905">
                  <c:v>90.6</c:v>
                </c:pt>
                <c:pt idx="906">
                  <c:v>86.01</c:v>
                </c:pt>
                <c:pt idx="907">
                  <c:v>81.41</c:v>
                </c:pt>
                <c:pt idx="908">
                  <c:v>89.29</c:v>
                </c:pt>
                <c:pt idx="909">
                  <c:v>97.17</c:v>
                </c:pt>
                <c:pt idx="910">
                  <c:v>115.06</c:v>
                </c:pt>
                <c:pt idx="911">
                  <c:v>132.94999999999999</c:v>
                </c:pt>
                <c:pt idx="912">
                  <c:v>212.06</c:v>
                </c:pt>
                <c:pt idx="913">
                  <c:v>291.18</c:v>
                </c:pt>
                <c:pt idx="914">
                  <c:v>370.29</c:v>
                </c:pt>
                <c:pt idx="915">
                  <c:v>449.41</c:v>
                </c:pt>
                <c:pt idx="916">
                  <c:v>268.69</c:v>
                </c:pt>
                <c:pt idx="917">
                  <c:v>87.98</c:v>
                </c:pt>
                <c:pt idx="918">
                  <c:v>102.09</c:v>
                </c:pt>
                <c:pt idx="919">
                  <c:v>116.21</c:v>
                </c:pt>
                <c:pt idx="920">
                  <c:v>98.81</c:v>
                </c:pt>
                <c:pt idx="921">
                  <c:v>81.41</c:v>
                </c:pt>
                <c:pt idx="922">
                  <c:v>74.19</c:v>
                </c:pt>
                <c:pt idx="923">
                  <c:v>66.97</c:v>
                </c:pt>
                <c:pt idx="924">
                  <c:v>123.43</c:v>
                </c:pt>
                <c:pt idx="925">
                  <c:v>179.89</c:v>
                </c:pt>
                <c:pt idx="926">
                  <c:v>133.77000000000001</c:v>
                </c:pt>
                <c:pt idx="927">
                  <c:v>87.65</c:v>
                </c:pt>
                <c:pt idx="928">
                  <c:v>74.19</c:v>
                </c:pt>
                <c:pt idx="929">
                  <c:v>60.73</c:v>
                </c:pt>
                <c:pt idx="930">
                  <c:v>50.06</c:v>
                </c:pt>
                <c:pt idx="931">
                  <c:v>39.39</c:v>
                </c:pt>
                <c:pt idx="932">
                  <c:v>30.53</c:v>
                </c:pt>
                <c:pt idx="933">
                  <c:v>21.67</c:v>
                </c:pt>
                <c:pt idx="934">
                  <c:v>18.71</c:v>
                </c:pt>
                <c:pt idx="935">
                  <c:v>15.76</c:v>
                </c:pt>
                <c:pt idx="936">
                  <c:v>18.38</c:v>
                </c:pt>
                <c:pt idx="937">
                  <c:v>21.01</c:v>
                </c:pt>
                <c:pt idx="938">
                  <c:v>15.76</c:v>
                </c:pt>
                <c:pt idx="939">
                  <c:v>10.5</c:v>
                </c:pt>
                <c:pt idx="940">
                  <c:v>10.18</c:v>
                </c:pt>
                <c:pt idx="941">
                  <c:v>9.85</c:v>
                </c:pt>
                <c:pt idx="942">
                  <c:v>8.2100000000000009</c:v>
                </c:pt>
                <c:pt idx="943">
                  <c:v>6.57</c:v>
                </c:pt>
                <c:pt idx="944">
                  <c:v>9.68</c:v>
                </c:pt>
                <c:pt idx="945">
                  <c:v>12.8</c:v>
                </c:pt>
                <c:pt idx="946">
                  <c:v>8.2100000000000009</c:v>
                </c:pt>
                <c:pt idx="947">
                  <c:v>3.61</c:v>
                </c:pt>
                <c:pt idx="948">
                  <c:v>7.06</c:v>
                </c:pt>
                <c:pt idx="949">
                  <c:v>10.5</c:v>
                </c:pt>
                <c:pt idx="950">
                  <c:v>9.0299999999999994</c:v>
                </c:pt>
                <c:pt idx="951">
                  <c:v>7.55</c:v>
                </c:pt>
                <c:pt idx="952">
                  <c:v>8.6999999999999993</c:v>
                </c:pt>
                <c:pt idx="953">
                  <c:v>9.85</c:v>
                </c:pt>
                <c:pt idx="954">
                  <c:v>9.85</c:v>
                </c:pt>
                <c:pt idx="955">
                  <c:v>9.85</c:v>
                </c:pt>
                <c:pt idx="956">
                  <c:v>9.36</c:v>
                </c:pt>
                <c:pt idx="957">
                  <c:v>8.86</c:v>
                </c:pt>
                <c:pt idx="958">
                  <c:v>8.3699999999999992</c:v>
                </c:pt>
                <c:pt idx="959">
                  <c:v>7.88</c:v>
                </c:pt>
                <c:pt idx="960">
                  <c:v>10.67</c:v>
                </c:pt>
                <c:pt idx="961">
                  <c:v>13.46</c:v>
                </c:pt>
                <c:pt idx="962">
                  <c:v>14.44</c:v>
                </c:pt>
                <c:pt idx="963">
                  <c:v>15.43</c:v>
                </c:pt>
                <c:pt idx="964">
                  <c:v>11.82</c:v>
                </c:pt>
                <c:pt idx="965">
                  <c:v>8.2100000000000009</c:v>
                </c:pt>
                <c:pt idx="966">
                  <c:v>6.57</c:v>
                </c:pt>
                <c:pt idx="967">
                  <c:v>4.92</c:v>
                </c:pt>
                <c:pt idx="968">
                  <c:v>4.76</c:v>
                </c:pt>
                <c:pt idx="969">
                  <c:v>4.5999999999999996</c:v>
                </c:pt>
                <c:pt idx="970">
                  <c:v>5.42</c:v>
                </c:pt>
                <c:pt idx="971">
                  <c:v>6.24</c:v>
                </c:pt>
                <c:pt idx="972">
                  <c:v>7.88</c:v>
                </c:pt>
                <c:pt idx="973">
                  <c:v>9.52</c:v>
                </c:pt>
                <c:pt idx="974">
                  <c:v>11.65</c:v>
                </c:pt>
                <c:pt idx="975">
                  <c:v>13.79</c:v>
                </c:pt>
                <c:pt idx="976">
                  <c:v>17.73</c:v>
                </c:pt>
                <c:pt idx="977">
                  <c:v>21.67</c:v>
                </c:pt>
                <c:pt idx="978">
                  <c:v>19.04</c:v>
                </c:pt>
                <c:pt idx="979">
                  <c:v>16.41</c:v>
                </c:pt>
                <c:pt idx="980">
                  <c:v>10.5</c:v>
                </c:pt>
                <c:pt idx="981">
                  <c:v>4.5999999999999996</c:v>
                </c:pt>
                <c:pt idx="982">
                  <c:v>5.42</c:v>
                </c:pt>
                <c:pt idx="983">
                  <c:v>6.24</c:v>
                </c:pt>
                <c:pt idx="984">
                  <c:v>6.57</c:v>
                </c:pt>
                <c:pt idx="985">
                  <c:v>6.89</c:v>
                </c:pt>
                <c:pt idx="986">
                  <c:v>8.0399999999999991</c:v>
                </c:pt>
                <c:pt idx="987">
                  <c:v>9.19</c:v>
                </c:pt>
                <c:pt idx="988">
                  <c:v>11.16</c:v>
                </c:pt>
                <c:pt idx="989">
                  <c:v>13.13</c:v>
                </c:pt>
                <c:pt idx="990">
                  <c:v>12.15</c:v>
                </c:pt>
                <c:pt idx="991">
                  <c:v>11.16</c:v>
                </c:pt>
                <c:pt idx="992">
                  <c:v>7.88</c:v>
                </c:pt>
                <c:pt idx="993">
                  <c:v>4.5999999999999996</c:v>
                </c:pt>
                <c:pt idx="994">
                  <c:v>6.24</c:v>
                </c:pt>
                <c:pt idx="995">
                  <c:v>7.88</c:v>
                </c:pt>
                <c:pt idx="996">
                  <c:v>9.68</c:v>
                </c:pt>
                <c:pt idx="997">
                  <c:v>11.49</c:v>
                </c:pt>
                <c:pt idx="998">
                  <c:v>12.97</c:v>
                </c:pt>
                <c:pt idx="999">
                  <c:v>14.44</c:v>
                </c:pt>
                <c:pt idx="1000">
                  <c:v>37.090000000000003</c:v>
                </c:pt>
                <c:pt idx="1001">
                  <c:v>59.75</c:v>
                </c:pt>
                <c:pt idx="1002">
                  <c:v>36.93</c:v>
                </c:pt>
                <c:pt idx="1003">
                  <c:v>14.12</c:v>
                </c:pt>
                <c:pt idx="1004">
                  <c:v>15.26</c:v>
                </c:pt>
                <c:pt idx="1005">
                  <c:v>16.41</c:v>
                </c:pt>
                <c:pt idx="1006">
                  <c:v>12.47</c:v>
                </c:pt>
                <c:pt idx="1007">
                  <c:v>8.5399999999999991</c:v>
                </c:pt>
                <c:pt idx="1008">
                  <c:v>8.2100000000000009</c:v>
                </c:pt>
                <c:pt idx="1009">
                  <c:v>7.88</c:v>
                </c:pt>
                <c:pt idx="1010">
                  <c:v>6.73</c:v>
                </c:pt>
                <c:pt idx="1011">
                  <c:v>5.58</c:v>
                </c:pt>
                <c:pt idx="1012">
                  <c:v>5.09</c:v>
                </c:pt>
                <c:pt idx="1013">
                  <c:v>4.5999999999999996</c:v>
                </c:pt>
                <c:pt idx="1014">
                  <c:v>6.4</c:v>
                </c:pt>
                <c:pt idx="1015">
                  <c:v>8.2100000000000009</c:v>
                </c:pt>
                <c:pt idx="1016">
                  <c:v>12.64</c:v>
                </c:pt>
                <c:pt idx="1017">
                  <c:v>17.07</c:v>
                </c:pt>
                <c:pt idx="1018">
                  <c:v>20.02</c:v>
                </c:pt>
                <c:pt idx="1019">
                  <c:v>22.98</c:v>
                </c:pt>
                <c:pt idx="1020">
                  <c:v>21.83</c:v>
                </c:pt>
                <c:pt idx="1021">
                  <c:v>20.68</c:v>
                </c:pt>
                <c:pt idx="1022">
                  <c:v>16.09</c:v>
                </c:pt>
                <c:pt idx="1023">
                  <c:v>11.49</c:v>
                </c:pt>
                <c:pt idx="1024">
                  <c:v>10.67</c:v>
                </c:pt>
                <c:pt idx="1025">
                  <c:v>9.85</c:v>
                </c:pt>
                <c:pt idx="1026">
                  <c:v>9.19</c:v>
                </c:pt>
                <c:pt idx="1027">
                  <c:v>8.5399999999999991</c:v>
                </c:pt>
                <c:pt idx="1028">
                  <c:v>11.82</c:v>
                </c:pt>
                <c:pt idx="1029">
                  <c:v>15.1</c:v>
                </c:pt>
                <c:pt idx="1030">
                  <c:v>14.94</c:v>
                </c:pt>
                <c:pt idx="1031">
                  <c:v>14.77</c:v>
                </c:pt>
                <c:pt idx="1032">
                  <c:v>14.61</c:v>
                </c:pt>
                <c:pt idx="1033">
                  <c:v>14.44</c:v>
                </c:pt>
                <c:pt idx="1034">
                  <c:v>12.15</c:v>
                </c:pt>
                <c:pt idx="1035">
                  <c:v>9.85</c:v>
                </c:pt>
                <c:pt idx="1036">
                  <c:v>6.24</c:v>
                </c:pt>
                <c:pt idx="1037">
                  <c:v>2.63</c:v>
                </c:pt>
                <c:pt idx="1038">
                  <c:v>3.78</c:v>
                </c:pt>
                <c:pt idx="1039">
                  <c:v>4.92</c:v>
                </c:pt>
                <c:pt idx="1040">
                  <c:v>2.95</c:v>
                </c:pt>
                <c:pt idx="1041">
                  <c:v>0.98</c:v>
                </c:pt>
                <c:pt idx="1042">
                  <c:v>2.13</c:v>
                </c:pt>
                <c:pt idx="1043">
                  <c:v>3.28</c:v>
                </c:pt>
                <c:pt idx="1044">
                  <c:v>5.09</c:v>
                </c:pt>
                <c:pt idx="1045">
                  <c:v>6.89</c:v>
                </c:pt>
                <c:pt idx="1046">
                  <c:v>5.91</c:v>
                </c:pt>
                <c:pt idx="1047">
                  <c:v>4.92</c:v>
                </c:pt>
                <c:pt idx="1048">
                  <c:v>6.24</c:v>
                </c:pt>
                <c:pt idx="1049">
                  <c:v>7.55</c:v>
                </c:pt>
                <c:pt idx="1050">
                  <c:v>4.92</c:v>
                </c:pt>
                <c:pt idx="1051">
                  <c:v>2.2999999999999998</c:v>
                </c:pt>
                <c:pt idx="1052">
                  <c:v>3.94</c:v>
                </c:pt>
                <c:pt idx="1053">
                  <c:v>5.58</c:v>
                </c:pt>
                <c:pt idx="1054">
                  <c:v>5.25</c:v>
                </c:pt>
                <c:pt idx="1055">
                  <c:v>4.92</c:v>
                </c:pt>
                <c:pt idx="1056">
                  <c:v>4.2699999999999996</c:v>
                </c:pt>
                <c:pt idx="1057">
                  <c:v>3.61</c:v>
                </c:pt>
                <c:pt idx="1058">
                  <c:v>3.45</c:v>
                </c:pt>
                <c:pt idx="1059">
                  <c:v>3.28</c:v>
                </c:pt>
                <c:pt idx="1060">
                  <c:v>3.45</c:v>
                </c:pt>
                <c:pt idx="1061">
                  <c:v>3.61</c:v>
                </c:pt>
                <c:pt idx="1062">
                  <c:v>4.5999999999999996</c:v>
                </c:pt>
                <c:pt idx="1063">
                  <c:v>5.58</c:v>
                </c:pt>
                <c:pt idx="1064">
                  <c:v>6.57</c:v>
                </c:pt>
                <c:pt idx="1065">
                  <c:v>7.55</c:v>
                </c:pt>
                <c:pt idx="1066">
                  <c:v>6.73</c:v>
                </c:pt>
                <c:pt idx="1067">
                  <c:v>5.91</c:v>
                </c:pt>
                <c:pt idx="1068">
                  <c:v>5.58</c:v>
                </c:pt>
                <c:pt idx="1069">
                  <c:v>5.25</c:v>
                </c:pt>
                <c:pt idx="1070">
                  <c:v>4.5999999999999996</c:v>
                </c:pt>
                <c:pt idx="1071">
                  <c:v>3.94</c:v>
                </c:pt>
                <c:pt idx="1072">
                  <c:v>3.28</c:v>
                </c:pt>
                <c:pt idx="1073">
                  <c:v>2.63</c:v>
                </c:pt>
                <c:pt idx="1074">
                  <c:v>3.94</c:v>
                </c:pt>
                <c:pt idx="1075">
                  <c:v>5.25</c:v>
                </c:pt>
                <c:pt idx="1076">
                  <c:v>5.74</c:v>
                </c:pt>
                <c:pt idx="1077">
                  <c:v>6.24</c:v>
                </c:pt>
                <c:pt idx="1078">
                  <c:v>5.09</c:v>
                </c:pt>
                <c:pt idx="1079">
                  <c:v>3.94</c:v>
                </c:pt>
                <c:pt idx="1080">
                  <c:v>4.2699999999999996</c:v>
                </c:pt>
                <c:pt idx="1081">
                  <c:v>4.5999999999999996</c:v>
                </c:pt>
                <c:pt idx="1082">
                  <c:v>4.43</c:v>
                </c:pt>
                <c:pt idx="1083">
                  <c:v>4.2699999999999996</c:v>
                </c:pt>
                <c:pt idx="1084">
                  <c:v>4.92</c:v>
                </c:pt>
                <c:pt idx="1085">
                  <c:v>5.58</c:v>
                </c:pt>
                <c:pt idx="1086">
                  <c:v>4.92</c:v>
                </c:pt>
                <c:pt idx="1087">
                  <c:v>4.2699999999999996</c:v>
                </c:pt>
                <c:pt idx="1088">
                  <c:v>4.92</c:v>
                </c:pt>
                <c:pt idx="1089">
                  <c:v>5.58</c:v>
                </c:pt>
                <c:pt idx="1090">
                  <c:v>5.25</c:v>
                </c:pt>
                <c:pt idx="1091">
                  <c:v>4.92</c:v>
                </c:pt>
                <c:pt idx="1092">
                  <c:v>4.0999999999999996</c:v>
                </c:pt>
                <c:pt idx="1093">
                  <c:v>3.28</c:v>
                </c:pt>
                <c:pt idx="1094">
                  <c:v>3.61</c:v>
                </c:pt>
                <c:pt idx="1095">
                  <c:v>3.94</c:v>
                </c:pt>
                <c:pt idx="1096">
                  <c:v>3.12</c:v>
                </c:pt>
                <c:pt idx="1097">
                  <c:v>2.2999999999999998</c:v>
                </c:pt>
                <c:pt idx="1098">
                  <c:v>3.28</c:v>
                </c:pt>
                <c:pt idx="1099">
                  <c:v>4.2699999999999996</c:v>
                </c:pt>
                <c:pt idx="1100">
                  <c:v>4.76</c:v>
                </c:pt>
                <c:pt idx="1101">
                  <c:v>5.25</c:v>
                </c:pt>
                <c:pt idx="1102">
                  <c:v>4.2699999999999996</c:v>
                </c:pt>
                <c:pt idx="1103">
                  <c:v>3.28</c:v>
                </c:pt>
                <c:pt idx="1104">
                  <c:v>4.2699999999999996</c:v>
                </c:pt>
                <c:pt idx="1105">
                  <c:v>5.25</c:v>
                </c:pt>
                <c:pt idx="1106">
                  <c:v>4.2699999999999996</c:v>
                </c:pt>
                <c:pt idx="1107">
                  <c:v>3.28</c:v>
                </c:pt>
                <c:pt idx="1108">
                  <c:v>4.0999999999999996</c:v>
                </c:pt>
                <c:pt idx="1109">
                  <c:v>4.92</c:v>
                </c:pt>
                <c:pt idx="1110">
                  <c:v>4.76</c:v>
                </c:pt>
                <c:pt idx="1111">
                  <c:v>4.5999999999999996</c:v>
                </c:pt>
                <c:pt idx="1112">
                  <c:v>3.12</c:v>
                </c:pt>
                <c:pt idx="1113">
                  <c:v>1.64</c:v>
                </c:pt>
                <c:pt idx="1114">
                  <c:v>1.48</c:v>
                </c:pt>
                <c:pt idx="1115">
                  <c:v>1.31</c:v>
                </c:pt>
                <c:pt idx="1116">
                  <c:v>1.81</c:v>
                </c:pt>
                <c:pt idx="1117">
                  <c:v>2.2999999999999998</c:v>
                </c:pt>
                <c:pt idx="1118">
                  <c:v>3.28</c:v>
                </c:pt>
                <c:pt idx="1119">
                  <c:v>4.2699999999999996</c:v>
                </c:pt>
                <c:pt idx="1120">
                  <c:v>3.12</c:v>
                </c:pt>
                <c:pt idx="1121">
                  <c:v>1.97</c:v>
                </c:pt>
                <c:pt idx="1122">
                  <c:v>1.81</c:v>
                </c:pt>
                <c:pt idx="1123">
                  <c:v>1.64</c:v>
                </c:pt>
                <c:pt idx="1124">
                  <c:v>1.81</c:v>
                </c:pt>
                <c:pt idx="1125">
                  <c:v>1.97</c:v>
                </c:pt>
                <c:pt idx="1126">
                  <c:v>2.63</c:v>
                </c:pt>
                <c:pt idx="1127">
                  <c:v>3.28</c:v>
                </c:pt>
                <c:pt idx="1128">
                  <c:v>2.63</c:v>
                </c:pt>
                <c:pt idx="1129">
                  <c:v>1.97</c:v>
                </c:pt>
                <c:pt idx="1130">
                  <c:v>3.12</c:v>
                </c:pt>
                <c:pt idx="1131">
                  <c:v>4.2699999999999996</c:v>
                </c:pt>
                <c:pt idx="1132">
                  <c:v>2.79</c:v>
                </c:pt>
                <c:pt idx="1133">
                  <c:v>1.31</c:v>
                </c:pt>
                <c:pt idx="1134">
                  <c:v>1.97</c:v>
                </c:pt>
                <c:pt idx="1135">
                  <c:v>2.63</c:v>
                </c:pt>
                <c:pt idx="1136">
                  <c:v>2.63</c:v>
                </c:pt>
                <c:pt idx="1137">
                  <c:v>2.63</c:v>
                </c:pt>
                <c:pt idx="1138">
                  <c:v>3.78</c:v>
                </c:pt>
                <c:pt idx="1139">
                  <c:v>4.92</c:v>
                </c:pt>
                <c:pt idx="1140">
                  <c:v>3.94</c:v>
                </c:pt>
                <c:pt idx="1141">
                  <c:v>2.95</c:v>
                </c:pt>
                <c:pt idx="1142">
                  <c:v>1.64</c:v>
                </c:pt>
                <c:pt idx="1143">
                  <c:v>0.33</c:v>
                </c:pt>
                <c:pt idx="1144">
                  <c:v>1.64</c:v>
                </c:pt>
                <c:pt idx="1145">
                  <c:v>2.95</c:v>
                </c:pt>
                <c:pt idx="1146">
                  <c:v>1.48</c:v>
                </c:pt>
                <c:pt idx="1147">
                  <c:v>0</c:v>
                </c:pt>
                <c:pt idx="1148">
                  <c:v>1.97</c:v>
                </c:pt>
                <c:pt idx="1149">
                  <c:v>3.94</c:v>
                </c:pt>
                <c:pt idx="1150">
                  <c:v>3.94</c:v>
                </c:pt>
                <c:pt idx="1151">
                  <c:v>3.94</c:v>
                </c:pt>
                <c:pt idx="1152">
                  <c:v>4.2699999999999996</c:v>
                </c:pt>
                <c:pt idx="1153">
                  <c:v>4.5999999999999996</c:v>
                </c:pt>
                <c:pt idx="1154">
                  <c:v>4.0999999999999996</c:v>
                </c:pt>
                <c:pt idx="1155">
                  <c:v>3.61</c:v>
                </c:pt>
                <c:pt idx="1156">
                  <c:v>2.79</c:v>
                </c:pt>
                <c:pt idx="1157">
                  <c:v>1.97</c:v>
                </c:pt>
                <c:pt idx="1158">
                  <c:v>2.79</c:v>
                </c:pt>
                <c:pt idx="1159">
                  <c:v>3.61</c:v>
                </c:pt>
                <c:pt idx="1160">
                  <c:v>2.95</c:v>
                </c:pt>
                <c:pt idx="1161">
                  <c:v>2.2999999999999998</c:v>
                </c:pt>
                <c:pt idx="1162">
                  <c:v>2.63</c:v>
                </c:pt>
                <c:pt idx="1163">
                  <c:v>2.95</c:v>
                </c:pt>
                <c:pt idx="1164">
                  <c:v>1.48</c:v>
                </c:pt>
                <c:pt idx="1165">
                  <c:v>0</c:v>
                </c:pt>
                <c:pt idx="1166">
                  <c:v>1.1499999999999999</c:v>
                </c:pt>
                <c:pt idx="1167">
                  <c:v>2.2999999999999998</c:v>
                </c:pt>
                <c:pt idx="1168">
                  <c:v>1.64</c:v>
                </c:pt>
                <c:pt idx="1169">
                  <c:v>0.98</c:v>
                </c:pt>
                <c:pt idx="1170">
                  <c:v>1.64</c:v>
                </c:pt>
                <c:pt idx="1171">
                  <c:v>2.2999999999999998</c:v>
                </c:pt>
                <c:pt idx="1172">
                  <c:v>2.2999999999999998</c:v>
                </c:pt>
                <c:pt idx="1173">
                  <c:v>2.2999999999999998</c:v>
                </c:pt>
                <c:pt idx="1174">
                  <c:v>2.46</c:v>
                </c:pt>
                <c:pt idx="1175">
                  <c:v>2.63</c:v>
                </c:pt>
                <c:pt idx="1176">
                  <c:v>2.95</c:v>
                </c:pt>
                <c:pt idx="1177">
                  <c:v>3.28</c:v>
                </c:pt>
                <c:pt idx="1178">
                  <c:v>2.63</c:v>
                </c:pt>
                <c:pt idx="1179">
                  <c:v>1.97</c:v>
                </c:pt>
                <c:pt idx="1180">
                  <c:v>1.31</c:v>
                </c:pt>
                <c:pt idx="1181">
                  <c:v>0.66</c:v>
                </c:pt>
                <c:pt idx="1182">
                  <c:v>0.49</c:v>
                </c:pt>
                <c:pt idx="1183">
                  <c:v>0.33</c:v>
                </c:pt>
                <c:pt idx="1184">
                  <c:v>0.66</c:v>
                </c:pt>
                <c:pt idx="1185">
                  <c:v>0.98</c:v>
                </c:pt>
                <c:pt idx="1186">
                  <c:v>0.49</c:v>
                </c:pt>
                <c:pt idx="1187">
                  <c:v>0</c:v>
                </c:pt>
                <c:pt idx="1188">
                  <c:v>0.82</c:v>
                </c:pt>
                <c:pt idx="1189">
                  <c:v>1.64</c:v>
                </c:pt>
                <c:pt idx="1190">
                  <c:v>3.12</c:v>
                </c:pt>
                <c:pt idx="1191">
                  <c:v>4.5999999999999996</c:v>
                </c:pt>
                <c:pt idx="1192">
                  <c:v>4.2699999999999996</c:v>
                </c:pt>
                <c:pt idx="1193">
                  <c:v>3.94</c:v>
                </c:pt>
                <c:pt idx="1194">
                  <c:v>2.79</c:v>
                </c:pt>
                <c:pt idx="1195">
                  <c:v>1.64</c:v>
                </c:pt>
                <c:pt idx="1196">
                  <c:v>3.61</c:v>
                </c:pt>
                <c:pt idx="1197">
                  <c:v>5.58</c:v>
                </c:pt>
                <c:pt idx="1198">
                  <c:v>4.0999999999999996</c:v>
                </c:pt>
                <c:pt idx="1199">
                  <c:v>2.63</c:v>
                </c:pt>
                <c:pt idx="1200">
                  <c:v>3.61</c:v>
                </c:pt>
                <c:pt idx="1201">
                  <c:v>4.5999999999999996</c:v>
                </c:pt>
                <c:pt idx="1202">
                  <c:v>3.94</c:v>
                </c:pt>
                <c:pt idx="1203">
                  <c:v>3.28</c:v>
                </c:pt>
                <c:pt idx="1204">
                  <c:v>1.64</c:v>
                </c:pt>
                <c:pt idx="1205">
                  <c:v>0</c:v>
                </c:pt>
                <c:pt idx="1206">
                  <c:v>1.31</c:v>
                </c:pt>
                <c:pt idx="1207">
                  <c:v>2.63</c:v>
                </c:pt>
                <c:pt idx="1208">
                  <c:v>2.79</c:v>
                </c:pt>
                <c:pt idx="1209">
                  <c:v>2.95</c:v>
                </c:pt>
                <c:pt idx="1210">
                  <c:v>1.48</c:v>
                </c:pt>
                <c:pt idx="1211">
                  <c:v>0</c:v>
                </c:pt>
                <c:pt idx="1212">
                  <c:v>3.61</c:v>
                </c:pt>
                <c:pt idx="1213">
                  <c:v>7.22</c:v>
                </c:pt>
                <c:pt idx="1214">
                  <c:v>3.61</c:v>
                </c:pt>
                <c:pt idx="1215">
                  <c:v>0</c:v>
                </c:pt>
                <c:pt idx="1216">
                  <c:v>2.46</c:v>
                </c:pt>
                <c:pt idx="1217">
                  <c:v>4.92</c:v>
                </c:pt>
                <c:pt idx="1218">
                  <c:v>2.46</c:v>
                </c:pt>
                <c:pt idx="1219">
                  <c:v>0</c:v>
                </c:pt>
                <c:pt idx="1220">
                  <c:v>0</c:v>
                </c:pt>
                <c:pt idx="1221">
                  <c:v>0</c:v>
                </c:pt>
                <c:pt idx="1222">
                  <c:v>0</c:v>
                </c:pt>
                <c:pt idx="1223">
                  <c:v>0</c:v>
                </c:pt>
                <c:pt idx="1224">
                  <c:v>0.66</c:v>
                </c:pt>
                <c:pt idx="1225">
                  <c:v>1.31</c:v>
                </c:pt>
                <c:pt idx="1226">
                  <c:v>0.66</c:v>
                </c:pt>
                <c:pt idx="1227">
                  <c:v>0</c:v>
                </c:pt>
                <c:pt idx="1228">
                  <c:v>1.97</c:v>
                </c:pt>
                <c:pt idx="1229">
                  <c:v>3.94</c:v>
                </c:pt>
                <c:pt idx="1230">
                  <c:v>3.61</c:v>
                </c:pt>
                <c:pt idx="1231">
                  <c:v>3.28</c:v>
                </c:pt>
                <c:pt idx="1232">
                  <c:v>2.79</c:v>
                </c:pt>
                <c:pt idx="1233">
                  <c:v>2.2999999999999998</c:v>
                </c:pt>
                <c:pt idx="1234">
                  <c:v>1.64</c:v>
                </c:pt>
                <c:pt idx="1235">
                  <c:v>0.98</c:v>
                </c:pt>
                <c:pt idx="1236">
                  <c:v>0.49</c:v>
                </c:pt>
                <c:pt idx="1237">
                  <c:v>0</c:v>
                </c:pt>
                <c:pt idx="1238">
                  <c:v>1.31</c:v>
                </c:pt>
                <c:pt idx="1239">
                  <c:v>2.63</c:v>
                </c:pt>
                <c:pt idx="1240">
                  <c:v>1.31</c:v>
                </c:pt>
                <c:pt idx="1241">
                  <c:v>0</c:v>
                </c:pt>
                <c:pt idx="1242">
                  <c:v>1.48</c:v>
                </c:pt>
                <c:pt idx="1243">
                  <c:v>2.95</c:v>
                </c:pt>
                <c:pt idx="1244">
                  <c:v>2.13</c:v>
                </c:pt>
                <c:pt idx="1245">
                  <c:v>1.31</c:v>
                </c:pt>
                <c:pt idx="1246">
                  <c:v>0.98</c:v>
                </c:pt>
                <c:pt idx="1247">
                  <c:v>0.66</c:v>
                </c:pt>
                <c:pt idx="1248">
                  <c:v>0.49</c:v>
                </c:pt>
                <c:pt idx="1249">
                  <c:v>0.33</c:v>
                </c:pt>
                <c:pt idx="1250">
                  <c:v>1.1499999999999999</c:v>
                </c:pt>
                <c:pt idx="1251">
                  <c:v>1.97</c:v>
                </c:pt>
                <c:pt idx="1252">
                  <c:v>2.13</c:v>
                </c:pt>
                <c:pt idx="1253">
                  <c:v>2.2999999999999998</c:v>
                </c:pt>
                <c:pt idx="1254">
                  <c:v>1.1499999999999999</c:v>
                </c:pt>
                <c:pt idx="1255">
                  <c:v>0</c:v>
                </c:pt>
                <c:pt idx="1256">
                  <c:v>0.66</c:v>
                </c:pt>
                <c:pt idx="1257">
                  <c:v>1.31</c:v>
                </c:pt>
                <c:pt idx="1258">
                  <c:v>2.13</c:v>
                </c:pt>
                <c:pt idx="1259">
                  <c:v>2.95</c:v>
                </c:pt>
                <c:pt idx="1260">
                  <c:v>2.13</c:v>
                </c:pt>
                <c:pt idx="1261">
                  <c:v>1.31</c:v>
                </c:pt>
                <c:pt idx="1262">
                  <c:v>1.97</c:v>
                </c:pt>
                <c:pt idx="1263">
                  <c:v>2.63</c:v>
                </c:pt>
                <c:pt idx="1264">
                  <c:v>2.95</c:v>
                </c:pt>
                <c:pt idx="1265">
                  <c:v>3.28</c:v>
                </c:pt>
                <c:pt idx="1266">
                  <c:v>2.46</c:v>
                </c:pt>
                <c:pt idx="1267">
                  <c:v>1.64</c:v>
                </c:pt>
                <c:pt idx="1268">
                  <c:v>0.98</c:v>
                </c:pt>
                <c:pt idx="1269">
                  <c:v>0.33</c:v>
                </c:pt>
                <c:pt idx="1270">
                  <c:v>0.16</c:v>
                </c:pt>
                <c:pt idx="1271">
                  <c:v>0</c:v>
                </c:pt>
                <c:pt idx="1272">
                  <c:v>0.16</c:v>
                </c:pt>
                <c:pt idx="1273">
                  <c:v>0.33</c:v>
                </c:pt>
                <c:pt idx="1274">
                  <c:v>0.82</c:v>
                </c:pt>
                <c:pt idx="1275">
                  <c:v>1.31</c:v>
                </c:pt>
                <c:pt idx="1276">
                  <c:v>0.98</c:v>
                </c:pt>
                <c:pt idx="1277">
                  <c:v>0.66</c:v>
                </c:pt>
                <c:pt idx="1278">
                  <c:v>1.1499999999999999</c:v>
                </c:pt>
                <c:pt idx="1279">
                  <c:v>1.64</c:v>
                </c:pt>
                <c:pt idx="1280">
                  <c:v>1.97</c:v>
                </c:pt>
                <c:pt idx="1281">
                  <c:v>2.2999999999999998</c:v>
                </c:pt>
                <c:pt idx="1282">
                  <c:v>1.48</c:v>
                </c:pt>
                <c:pt idx="1283">
                  <c:v>0.66</c:v>
                </c:pt>
                <c:pt idx="1284">
                  <c:v>0.82</c:v>
                </c:pt>
                <c:pt idx="1285">
                  <c:v>0.98</c:v>
                </c:pt>
                <c:pt idx="1286">
                  <c:v>2.46</c:v>
                </c:pt>
                <c:pt idx="1287">
                  <c:v>3.94</c:v>
                </c:pt>
                <c:pt idx="1288">
                  <c:v>2.2999999999999998</c:v>
                </c:pt>
                <c:pt idx="1289">
                  <c:v>0.66</c:v>
                </c:pt>
                <c:pt idx="1290">
                  <c:v>1.64</c:v>
                </c:pt>
                <c:pt idx="1291">
                  <c:v>2.63</c:v>
                </c:pt>
                <c:pt idx="1292">
                  <c:v>2.2999999999999998</c:v>
                </c:pt>
                <c:pt idx="1293">
                  <c:v>1.97</c:v>
                </c:pt>
                <c:pt idx="1294">
                  <c:v>2.63</c:v>
                </c:pt>
                <c:pt idx="1295">
                  <c:v>3.28</c:v>
                </c:pt>
                <c:pt idx="1296">
                  <c:v>1.64</c:v>
                </c:pt>
                <c:pt idx="1297">
                  <c:v>0</c:v>
                </c:pt>
                <c:pt idx="1298">
                  <c:v>0.33</c:v>
                </c:pt>
                <c:pt idx="1299">
                  <c:v>0.66</c:v>
                </c:pt>
                <c:pt idx="1300">
                  <c:v>0.33</c:v>
                </c:pt>
                <c:pt idx="1301">
                  <c:v>0</c:v>
                </c:pt>
                <c:pt idx="1302">
                  <c:v>0.82</c:v>
                </c:pt>
                <c:pt idx="1303">
                  <c:v>1.64</c:v>
                </c:pt>
                <c:pt idx="1304">
                  <c:v>0.98</c:v>
                </c:pt>
                <c:pt idx="1305">
                  <c:v>0.33</c:v>
                </c:pt>
                <c:pt idx="1306">
                  <c:v>1.48</c:v>
                </c:pt>
                <c:pt idx="1307">
                  <c:v>2.63</c:v>
                </c:pt>
                <c:pt idx="1308">
                  <c:v>2.13</c:v>
                </c:pt>
                <c:pt idx="1309">
                  <c:v>1.64</c:v>
                </c:pt>
                <c:pt idx="1310">
                  <c:v>1.31</c:v>
                </c:pt>
                <c:pt idx="1311">
                  <c:v>0.98</c:v>
                </c:pt>
                <c:pt idx="1312">
                  <c:v>0.49</c:v>
                </c:pt>
                <c:pt idx="1313">
                  <c:v>0</c:v>
                </c:pt>
                <c:pt idx="1314">
                  <c:v>0</c:v>
                </c:pt>
                <c:pt idx="1315">
                  <c:v>0</c:v>
                </c:pt>
                <c:pt idx="1316">
                  <c:v>0.49</c:v>
                </c:pt>
                <c:pt idx="1317">
                  <c:v>0.98</c:v>
                </c:pt>
                <c:pt idx="1318">
                  <c:v>1.64</c:v>
                </c:pt>
                <c:pt idx="1319">
                  <c:v>2.2999999999999998</c:v>
                </c:pt>
                <c:pt idx="1320">
                  <c:v>1.64</c:v>
                </c:pt>
                <c:pt idx="1321">
                  <c:v>0.98</c:v>
                </c:pt>
                <c:pt idx="1322">
                  <c:v>1.97</c:v>
                </c:pt>
                <c:pt idx="1323">
                  <c:v>2.95</c:v>
                </c:pt>
                <c:pt idx="1324">
                  <c:v>1.48</c:v>
                </c:pt>
                <c:pt idx="1325">
                  <c:v>0</c:v>
                </c:pt>
                <c:pt idx="1326">
                  <c:v>0</c:v>
                </c:pt>
                <c:pt idx="1327">
                  <c:v>0</c:v>
                </c:pt>
                <c:pt idx="1328">
                  <c:v>0</c:v>
                </c:pt>
                <c:pt idx="1329">
                  <c:v>0</c:v>
                </c:pt>
                <c:pt idx="1330">
                  <c:v>0.49</c:v>
                </c:pt>
                <c:pt idx="1331">
                  <c:v>0.98</c:v>
                </c:pt>
                <c:pt idx="1332">
                  <c:v>1.81</c:v>
                </c:pt>
                <c:pt idx="1333">
                  <c:v>2.63</c:v>
                </c:pt>
                <c:pt idx="1334">
                  <c:v>1.97</c:v>
                </c:pt>
                <c:pt idx="1335">
                  <c:v>1.31</c:v>
                </c:pt>
                <c:pt idx="1336">
                  <c:v>2.2999999999999998</c:v>
                </c:pt>
                <c:pt idx="1337">
                  <c:v>3.28</c:v>
                </c:pt>
                <c:pt idx="1338">
                  <c:v>2.79</c:v>
                </c:pt>
                <c:pt idx="1339">
                  <c:v>2.2999999999999998</c:v>
                </c:pt>
                <c:pt idx="1340">
                  <c:v>1.48</c:v>
                </c:pt>
                <c:pt idx="1341">
                  <c:v>0.66</c:v>
                </c:pt>
                <c:pt idx="1342">
                  <c:v>0.98</c:v>
                </c:pt>
                <c:pt idx="1343">
                  <c:v>1.31</c:v>
                </c:pt>
                <c:pt idx="1344">
                  <c:v>2.13</c:v>
                </c:pt>
                <c:pt idx="1345">
                  <c:v>2.95</c:v>
                </c:pt>
                <c:pt idx="1346">
                  <c:v>1.48</c:v>
                </c:pt>
                <c:pt idx="1347">
                  <c:v>0</c:v>
                </c:pt>
                <c:pt idx="1348">
                  <c:v>1.48</c:v>
                </c:pt>
                <c:pt idx="1349">
                  <c:v>2.95</c:v>
                </c:pt>
                <c:pt idx="1350">
                  <c:v>1.97</c:v>
                </c:pt>
                <c:pt idx="1351">
                  <c:v>0.98</c:v>
                </c:pt>
                <c:pt idx="1352">
                  <c:v>1.1499999999999999</c:v>
                </c:pt>
                <c:pt idx="1353">
                  <c:v>1.31</c:v>
                </c:pt>
                <c:pt idx="1354">
                  <c:v>0.82</c:v>
                </c:pt>
                <c:pt idx="1355">
                  <c:v>0.33</c:v>
                </c:pt>
                <c:pt idx="1356">
                  <c:v>0.66</c:v>
                </c:pt>
                <c:pt idx="1357">
                  <c:v>0.98</c:v>
                </c:pt>
                <c:pt idx="1358">
                  <c:v>1.31</c:v>
                </c:pt>
                <c:pt idx="1359">
                  <c:v>1.64</c:v>
                </c:pt>
                <c:pt idx="1360">
                  <c:v>0.82</c:v>
                </c:pt>
                <c:pt idx="1361">
                  <c:v>0</c:v>
                </c:pt>
                <c:pt idx="1362">
                  <c:v>0.66</c:v>
                </c:pt>
                <c:pt idx="1363">
                  <c:v>1.31</c:v>
                </c:pt>
                <c:pt idx="1364">
                  <c:v>1.1499999999999999</c:v>
                </c:pt>
                <c:pt idx="1365">
                  <c:v>0.98</c:v>
                </c:pt>
                <c:pt idx="1366">
                  <c:v>2.13</c:v>
                </c:pt>
                <c:pt idx="1367">
                  <c:v>3.28</c:v>
                </c:pt>
                <c:pt idx="1368">
                  <c:v>1.64</c:v>
                </c:pt>
                <c:pt idx="1369">
                  <c:v>0</c:v>
                </c:pt>
                <c:pt idx="1370">
                  <c:v>0.16</c:v>
                </c:pt>
                <c:pt idx="1371">
                  <c:v>0.33</c:v>
                </c:pt>
                <c:pt idx="1372">
                  <c:v>0.66</c:v>
                </c:pt>
                <c:pt idx="1373">
                  <c:v>0.98</c:v>
                </c:pt>
                <c:pt idx="1374">
                  <c:v>1.1499999999999999</c:v>
                </c:pt>
                <c:pt idx="1375">
                  <c:v>1.31</c:v>
                </c:pt>
                <c:pt idx="1376">
                  <c:v>0.98</c:v>
                </c:pt>
                <c:pt idx="1377">
                  <c:v>0.66</c:v>
                </c:pt>
                <c:pt idx="1378">
                  <c:v>1.81</c:v>
                </c:pt>
                <c:pt idx="1379">
                  <c:v>2.95</c:v>
                </c:pt>
                <c:pt idx="1380">
                  <c:v>2.63</c:v>
                </c:pt>
                <c:pt idx="1381">
                  <c:v>2.2999999999999998</c:v>
                </c:pt>
                <c:pt idx="1382">
                  <c:v>1.81</c:v>
                </c:pt>
                <c:pt idx="1383">
                  <c:v>1.31</c:v>
                </c:pt>
                <c:pt idx="1384">
                  <c:v>0.98</c:v>
                </c:pt>
                <c:pt idx="1385">
                  <c:v>0.66</c:v>
                </c:pt>
                <c:pt idx="1386">
                  <c:v>1.1499999999999999</c:v>
                </c:pt>
                <c:pt idx="1387">
                  <c:v>1.64</c:v>
                </c:pt>
                <c:pt idx="1388">
                  <c:v>0.82</c:v>
                </c:pt>
                <c:pt idx="1389">
                  <c:v>0</c:v>
                </c:pt>
                <c:pt idx="1390">
                  <c:v>0.16</c:v>
                </c:pt>
                <c:pt idx="1391">
                  <c:v>0.33</c:v>
                </c:pt>
                <c:pt idx="1392">
                  <c:v>0.66</c:v>
                </c:pt>
                <c:pt idx="1393">
                  <c:v>0.98</c:v>
                </c:pt>
                <c:pt idx="1394">
                  <c:v>1.31</c:v>
                </c:pt>
                <c:pt idx="1395">
                  <c:v>1.64</c:v>
                </c:pt>
                <c:pt idx="1396">
                  <c:v>2.2999999999999998</c:v>
                </c:pt>
                <c:pt idx="1397">
                  <c:v>2.95</c:v>
                </c:pt>
                <c:pt idx="1398">
                  <c:v>1.64</c:v>
                </c:pt>
                <c:pt idx="1399">
                  <c:v>0.33</c:v>
                </c:pt>
                <c:pt idx="1400">
                  <c:v>0.66</c:v>
                </c:pt>
                <c:pt idx="1401">
                  <c:v>0.98</c:v>
                </c:pt>
                <c:pt idx="1402">
                  <c:v>2.46</c:v>
                </c:pt>
                <c:pt idx="1403">
                  <c:v>3.94</c:v>
                </c:pt>
                <c:pt idx="1404">
                  <c:v>1.97</c:v>
                </c:pt>
                <c:pt idx="1405">
                  <c:v>0</c:v>
                </c:pt>
                <c:pt idx="1406">
                  <c:v>1.64</c:v>
                </c:pt>
                <c:pt idx="1407">
                  <c:v>3.28</c:v>
                </c:pt>
                <c:pt idx="1408">
                  <c:v>2.13</c:v>
                </c:pt>
                <c:pt idx="1409">
                  <c:v>0.98</c:v>
                </c:pt>
                <c:pt idx="1410">
                  <c:v>1.97</c:v>
                </c:pt>
                <c:pt idx="1411">
                  <c:v>2.95</c:v>
                </c:pt>
                <c:pt idx="1412">
                  <c:v>1.64</c:v>
                </c:pt>
                <c:pt idx="1413">
                  <c:v>0.33</c:v>
                </c:pt>
                <c:pt idx="1414">
                  <c:v>0.49</c:v>
                </c:pt>
                <c:pt idx="1415">
                  <c:v>0.66</c:v>
                </c:pt>
                <c:pt idx="1416">
                  <c:v>1.1499999999999999</c:v>
                </c:pt>
                <c:pt idx="1417">
                  <c:v>1.64</c:v>
                </c:pt>
                <c:pt idx="1418">
                  <c:v>1.81</c:v>
                </c:pt>
                <c:pt idx="1419">
                  <c:v>1.97</c:v>
                </c:pt>
                <c:pt idx="1420">
                  <c:v>0.98</c:v>
                </c:pt>
                <c:pt idx="1421">
                  <c:v>0</c:v>
                </c:pt>
                <c:pt idx="1422">
                  <c:v>0.33</c:v>
                </c:pt>
                <c:pt idx="1423">
                  <c:v>0.66</c:v>
                </c:pt>
                <c:pt idx="1424">
                  <c:v>2.46</c:v>
                </c:pt>
                <c:pt idx="1425">
                  <c:v>4.2699999999999996</c:v>
                </c:pt>
                <c:pt idx="1426">
                  <c:v>2.95</c:v>
                </c:pt>
                <c:pt idx="1427">
                  <c:v>1.64</c:v>
                </c:pt>
                <c:pt idx="1428">
                  <c:v>1.48</c:v>
                </c:pt>
                <c:pt idx="1429">
                  <c:v>1.31</c:v>
                </c:pt>
                <c:pt idx="1430">
                  <c:v>1.48</c:v>
                </c:pt>
                <c:pt idx="1431">
                  <c:v>1.64</c:v>
                </c:pt>
                <c:pt idx="1432">
                  <c:v>0.82</c:v>
                </c:pt>
                <c:pt idx="1433">
                  <c:v>0</c:v>
                </c:pt>
                <c:pt idx="1434">
                  <c:v>0.98</c:v>
                </c:pt>
                <c:pt idx="1435">
                  <c:v>1.97</c:v>
                </c:pt>
                <c:pt idx="1436">
                  <c:v>1.64</c:v>
                </c:pt>
                <c:pt idx="1437">
                  <c:v>1.31</c:v>
                </c:pt>
                <c:pt idx="1438">
                  <c:v>0.98</c:v>
                </c:pt>
                <c:pt idx="1439">
                  <c:v>0.66</c:v>
                </c:pt>
              </c:numCache>
            </c:numRef>
          </c:yVal>
          <c:smooth val="1"/>
          <c:extLst>
            <c:ext xmlns:c16="http://schemas.microsoft.com/office/drawing/2014/chart" uri="{C3380CC4-5D6E-409C-BE32-E72D297353CC}">
              <c16:uniqueId val="{00000000-584C-406B-B65E-630915D08F38}"/>
            </c:ext>
          </c:extLst>
        </c:ser>
        <c:ser>
          <c:idx val="1"/>
          <c:order val="1"/>
          <c:tx>
            <c:strRef>
              <c:f>Sheet1!$C$1</c:f>
              <c:strCache>
                <c:ptCount val="1"/>
                <c:pt idx="0">
                  <c:v>Diffuse Irradiance (W/m^2)</c:v>
                </c:pt>
              </c:strCache>
            </c:strRef>
          </c:tx>
          <c:spPr>
            <a:ln w="12700" cap="rnd">
              <a:solidFill>
                <a:srgbClr val="0070C0"/>
              </a:solidFill>
              <a:round/>
            </a:ln>
            <a:effectLst/>
          </c:spPr>
          <c:marker>
            <c:symbol val="none"/>
          </c:marker>
          <c:xVal>
            <c:numRef>
              <c:f>Sheet1!$A$2:$A$1441</c:f>
              <c:numCache>
                <c:formatCode>h:mm</c:formatCode>
                <c:ptCount val="1440"/>
                <c:pt idx="0">
                  <c:v>41791</c:v>
                </c:pt>
                <c:pt idx="1">
                  <c:v>41791.000694444447</c:v>
                </c:pt>
                <c:pt idx="2">
                  <c:v>41791.001388888886</c:v>
                </c:pt>
                <c:pt idx="3">
                  <c:v>41791.002083333333</c:v>
                </c:pt>
                <c:pt idx="4">
                  <c:v>41791.00277777778</c:v>
                </c:pt>
                <c:pt idx="5">
                  <c:v>41791.003472222219</c:v>
                </c:pt>
                <c:pt idx="6">
                  <c:v>41791.004166666666</c:v>
                </c:pt>
                <c:pt idx="7">
                  <c:v>41791.004861111112</c:v>
                </c:pt>
                <c:pt idx="8">
                  <c:v>41791.005555555559</c:v>
                </c:pt>
                <c:pt idx="9">
                  <c:v>41791.006249999999</c:v>
                </c:pt>
                <c:pt idx="10">
                  <c:v>41791.006944444445</c:v>
                </c:pt>
                <c:pt idx="11">
                  <c:v>41791.007638888892</c:v>
                </c:pt>
                <c:pt idx="12">
                  <c:v>41791.008333333331</c:v>
                </c:pt>
                <c:pt idx="13">
                  <c:v>41791.009027777778</c:v>
                </c:pt>
                <c:pt idx="14">
                  <c:v>41791.009722222225</c:v>
                </c:pt>
                <c:pt idx="15">
                  <c:v>41791.010416666664</c:v>
                </c:pt>
                <c:pt idx="16">
                  <c:v>41791.011111111111</c:v>
                </c:pt>
                <c:pt idx="17">
                  <c:v>41791.011805555558</c:v>
                </c:pt>
                <c:pt idx="18">
                  <c:v>41791.012499999997</c:v>
                </c:pt>
                <c:pt idx="19">
                  <c:v>41791.013194444444</c:v>
                </c:pt>
                <c:pt idx="20">
                  <c:v>41791.013888888891</c:v>
                </c:pt>
                <c:pt idx="21">
                  <c:v>41791.01458333333</c:v>
                </c:pt>
                <c:pt idx="22">
                  <c:v>41791.015277777777</c:v>
                </c:pt>
                <c:pt idx="23">
                  <c:v>41791.015972222223</c:v>
                </c:pt>
                <c:pt idx="24">
                  <c:v>41791.01666666667</c:v>
                </c:pt>
                <c:pt idx="25">
                  <c:v>41791.017361111109</c:v>
                </c:pt>
                <c:pt idx="26">
                  <c:v>41791.018055555556</c:v>
                </c:pt>
                <c:pt idx="27">
                  <c:v>41791.018750000003</c:v>
                </c:pt>
                <c:pt idx="28">
                  <c:v>41791.019444444442</c:v>
                </c:pt>
                <c:pt idx="29">
                  <c:v>41791.020138888889</c:v>
                </c:pt>
                <c:pt idx="30">
                  <c:v>41791.020833333336</c:v>
                </c:pt>
                <c:pt idx="31">
                  <c:v>41791.021527777775</c:v>
                </c:pt>
                <c:pt idx="32">
                  <c:v>41791.022222222222</c:v>
                </c:pt>
                <c:pt idx="33">
                  <c:v>41791.022916666669</c:v>
                </c:pt>
                <c:pt idx="34">
                  <c:v>41791.023611111108</c:v>
                </c:pt>
                <c:pt idx="35">
                  <c:v>41791.024305555555</c:v>
                </c:pt>
                <c:pt idx="36">
                  <c:v>41791.025000000001</c:v>
                </c:pt>
                <c:pt idx="37">
                  <c:v>41791.025694444441</c:v>
                </c:pt>
                <c:pt idx="38">
                  <c:v>41791.026388888888</c:v>
                </c:pt>
                <c:pt idx="39">
                  <c:v>41791.027083333334</c:v>
                </c:pt>
                <c:pt idx="40">
                  <c:v>41791.027777777781</c:v>
                </c:pt>
                <c:pt idx="41">
                  <c:v>41791.02847222222</c:v>
                </c:pt>
                <c:pt idx="42">
                  <c:v>41791.029166666667</c:v>
                </c:pt>
                <c:pt idx="43">
                  <c:v>41791.029861111114</c:v>
                </c:pt>
                <c:pt idx="44">
                  <c:v>41791.030555555553</c:v>
                </c:pt>
                <c:pt idx="45">
                  <c:v>41791.03125</c:v>
                </c:pt>
                <c:pt idx="46">
                  <c:v>41791.031944444447</c:v>
                </c:pt>
                <c:pt idx="47">
                  <c:v>41791.032638888886</c:v>
                </c:pt>
                <c:pt idx="48">
                  <c:v>41791.033333333333</c:v>
                </c:pt>
                <c:pt idx="49">
                  <c:v>41791.03402777778</c:v>
                </c:pt>
                <c:pt idx="50">
                  <c:v>41791.034722222219</c:v>
                </c:pt>
                <c:pt idx="51">
                  <c:v>41791.035416666666</c:v>
                </c:pt>
                <c:pt idx="52">
                  <c:v>41791.036111111112</c:v>
                </c:pt>
                <c:pt idx="53">
                  <c:v>41791.036805555559</c:v>
                </c:pt>
                <c:pt idx="54">
                  <c:v>41791.037499999999</c:v>
                </c:pt>
                <c:pt idx="55">
                  <c:v>41791.038194444445</c:v>
                </c:pt>
                <c:pt idx="56">
                  <c:v>41791.038888888892</c:v>
                </c:pt>
                <c:pt idx="57">
                  <c:v>41791.039583333331</c:v>
                </c:pt>
                <c:pt idx="58">
                  <c:v>41791.040277777778</c:v>
                </c:pt>
                <c:pt idx="59">
                  <c:v>41791.040972222225</c:v>
                </c:pt>
                <c:pt idx="60">
                  <c:v>41791.041666666664</c:v>
                </c:pt>
                <c:pt idx="61">
                  <c:v>41791.042361111111</c:v>
                </c:pt>
                <c:pt idx="62">
                  <c:v>41791.043055555558</c:v>
                </c:pt>
                <c:pt idx="63">
                  <c:v>41791.043749999997</c:v>
                </c:pt>
                <c:pt idx="64">
                  <c:v>41791.044444444444</c:v>
                </c:pt>
                <c:pt idx="65">
                  <c:v>41791.045138888891</c:v>
                </c:pt>
                <c:pt idx="66">
                  <c:v>41791.04583333333</c:v>
                </c:pt>
                <c:pt idx="67">
                  <c:v>41791.046527777777</c:v>
                </c:pt>
                <c:pt idx="68">
                  <c:v>41791.047222222223</c:v>
                </c:pt>
                <c:pt idx="69">
                  <c:v>41791.04791666667</c:v>
                </c:pt>
                <c:pt idx="70">
                  <c:v>41791.048611111109</c:v>
                </c:pt>
                <c:pt idx="71">
                  <c:v>41791.049305555556</c:v>
                </c:pt>
                <c:pt idx="72">
                  <c:v>41791.050000000003</c:v>
                </c:pt>
                <c:pt idx="73">
                  <c:v>41791.050694444442</c:v>
                </c:pt>
                <c:pt idx="74">
                  <c:v>41791.051388888889</c:v>
                </c:pt>
                <c:pt idx="75">
                  <c:v>41791.052083333336</c:v>
                </c:pt>
                <c:pt idx="76">
                  <c:v>41791.052777777775</c:v>
                </c:pt>
                <c:pt idx="77">
                  <c:v>41791.053472222222</c:v>
                </c:pt>
                <c:pt idx="78">
                  <c:v>41791.054166666669</c:v>
                </c:pt>
                <c:pt idx="79">
                  <c:v>41791.054861111108</c:v>
                </c:pt>
                <c:pt idx="80">
                  <c:v>41791.055555555555</c:v>
                </c:pt>
                <c:pt idx="81">
                  <c:v>41791.056250000001</c:v>
                </c:pt>
                <c:pt idx="82">
                  <c:v>41791.056944444441</c:v>
                </c:pt>
                <c:pt idx="83">
                  <c:v>41791.057638888888</c:v>
                </c:pt>
                <c:pt idx="84">
                  <c:v>41791.058333333334</c:v>
                </c:pt>
                <c:pt idx="85">
                  <c:v>41791.059027777781</c:v>
                </c:pt>
                <c:pt idx="86">
                  <c:v>41791.05972222222</c:v>
                </c:pt>
                <c:pt idx="87">
                  <c:v>41791.060416666667</c:v>
                </c:pt>
                <c:pt idx="88">
                  <c:v>41791.061111111114</c:v>
                </c:pt>
                <c:pt idx="89">
                  <c:v>41791.061805555553</c:v>
                </c:pt>
                <c:pt idx="90">
                  <c:v>41791.0625</c:v>
                </c:pt>
                <c:pt idx="91">
                  <c:v>41791.063194444447</c:v>
                </c:pt>
                <c:pt idx="92">
                  <c:v>41791.063888888886</c:v>
                </c:pt>
                <c:pt idx="93">
                  <c:v>41791.064583333333</c:v>
                </c:pt>
                <c:pt idx="94">
                  <c:v>41791.06527777778</c:v>
                </c:pt>
                <c:pt idx="95">
                  <c:v>41791.065972222219</c:v>
                </c:pt>
                <c:pt idx="96">
                  <c:v>41791.066666666666</c:v>
                </c:pt>
                <c:pt idx="97">
                  <c:v>41791.067361111112</c:v>
                </c:pt>
                <c:pt idx="98">
                  <c:v>41791.068055555559</c:v>
                </c:pt>
                <c:pt idx="99">
                  <c:v>41791.068749999999</c:v>
                </c:pt>
                <c:pt idx="100">
                  <c:v>41791.069444444445</c:v>
                </c:pt>
                <c:pt idx="101">
                  <c:v>41791.070138888892</c:v>
                </c:pt>
                <c:pt idx="102">
                  <c:v>41791.070833333331</c:v>
                </c:pt>
                <c:pt idx="103">
                  <c:v>41791.071527777778</c:v>
                </c:pt>
                <c:pt idx="104">
                  <c:v>41791.072222222225</c:v>
                </c:pt>
                <c:pt idx="105">
                  <c:v>41791.072916666664</c:v>
                </c:pt>
                <c:pt idx="106">
                  <c:v>41791.073611111111</c:v>
                </c:pt>
                <c:pt idx="107">
                  <c:v>41791.074305555558</c:v>
                </c:pt>
                <c:pt idx="108">
                  <c:v>41791.074999999997</c:v>
                </c:pt>
                <c:pt idx="109">
                  <c:v>41791.075694444444</c:v>
                </c:pt>
                <c:pt idx="110">
                  <c:v>41791.076388888891</c:v>
                </c:pt>
                <c:pt idx="111">
                  <c:v>41791.07708333333</c:v>
                </c:pt>
                <c:pt idx="112">
                  <c:v>41791.077777777777</c:v>
                </c:pt>
                <c:pt idx="113">
                  <c:v>41791.078472222223</c:v>
                </c:pt>
                <c:pt idx="114">
                  <c:v>41791.07916666667</c:v>
                </c:pt>
                <c:pt idx="115">
                  <c:v>41791.079861111109</c:v>
                </c:pt>
                <c:pt idx="116">
                  <c:v>41791.080555555556</c:v>
                </c:pt>
                <c:pt idx="117">
                  <c:v>41791.081250000003</c:v>
                </c:pt>
                <c:pt idx="118">
                  <c:v>41791.081944444442</c:v>
                </c:pt>
                <c:pt idx="119">
                  <c:v>41791.082638888889</c:v>
                </c:pt>
                <c:pt idx="120">
                  <c:v>41791.083333333336</c:v>
                </c:pt>
                <c:pt idx="121">
                  <c:v>41791.084027777775</c:v>
                </c:pt>
                <c:pt idx="122">
                  <c:v>41791.084722222222</c:v>
                </c:pt>
                <c:pt idx="123">
                  <c:v>41791.085416666669</c:v>
                </c:pt>
                <c:pt idx="124">
                  <c:v>41791.086111111108</c:v>
                </c:pt>
                <c:pt idx="125">
                  <c:v>41791.086805555555</c:v>
                </c:pt>
                <c:pt idx="126">
                  <c:v>41791.087500000001</c:v>
                </c:pt>
                <c:pt idx="127">
                  <c:v>41791.088194444441</c:v>
                </c:pt>
                <c:pt idx="128">
                  <c:v>41791.088888888888</c:v>
                </c:pt>
                <c:pt idx="129">
                  <c:v>41791.089583333334</c:v>
                </c:pt>
                <c:pt idx="130">
                  <c:v>41791.090277777781</c:v>
                </c:pt>
                <c:pt idx="131">
                  <c:v>41791.09097222222</c:v>
                </c:pt>
                <c:pt idx="132">
                  <c:v>41791.091666666667</c:v>
                </c:pt>
                <c:pt idx="133">
                  <c:v>41791.092361111114</c:v>
                </c:pt>
                <c:pt idx="134">
                  <c:v>41791.093055555553</c:v>
                </c:pt>
                <c:pt idx="135">
                  <c:v>41791.09375</c:v>
                </c:pt>
                <c:pt idx="136">
                  <c:v>41791.094444444447</c:v>
                </c:pt>
                <c:pt idx="137">
                  <c:v>41791.095138888886</c:v>
                </c:pt>
                <c:pt idx="138">
                  <c:v>41791.095833333333</c:v>
                </c:pt>
                <c:pt idx="139">
                  <c:v>41791.09652777778</c:v>
                </c:pt>
                <c:pt idx="140">
                  <c:v>41791.097222222219</c:v>
                </c:pt>
                <c:pt idx="141">
                  <c:v>41791.097916666666</c:v>
                </c:pt>
                <c:pt idx="142">
                  <c:v>41791.098611111112</c:v>
                </c:pt>
                <c:pt idx="143">
                  <c:v>41791.099305555559</c:v>
                </c:pt>
                <c:pt idx="144">
                  <c:v>41791.1</c:v>
                </c:pt>
                <c:pt idx="145">
                  <c:v>41791.100694444445</c:v>
                </c:pt>
                <c:pt idx="146">
                  <c:v>41791.101388888892</c:v>
                </c:pt>
                <c:pt idx="147">
                  <c:v>41791.102083333331</c:v>
                </c:pt>
                <c:pt idx="148">
                  <c:v>41791.102777777778</c:v>
                </c:pt>
                <c:pt idx="149">
                  <c:v>41791.103472222225</c:v>
                </c:pt>
                <c:pt idx="150">
                  <c:v>41791.104166666664</c:v>
                </c:pt>
                <c:pt idx="151">
                  <c:v>41791.104861111111</c:v>
                </c:pt>
                <c:pt idx="152">
                  <c:v>41791.105555555558</c:v>
                </c:pt>
                <c:pt idx="153">
                  <c:v>41791.106249999997</c:v>
                </c:pt>
                <c:pt idx="154">
                  <c:v>41791.106944444444</c:v>
                </c:pt>
                <c:pt idx="155">
                  <c:v>41791.107638888891</c:v>
                </c:pt>
                <c:pt idx="156">
                  <c:v>41791.10833333333</c:v>
                </c:pt>
                <c:pt idx="157">
                  <c:v>41791.109027777777</c:v>
                </c:pt>
                <c:pt idx="158">
                  <c:v>41791.109722222223</c:v>
                </c:pt>
                <c:pt idx="159">
                  <c:v>41791.11041666667</c:v>
                </c:pt>
                <c:pt idx="160">
                  <c:v>41791.111111111109</c:v>
                </c:pt>
                <c:pt idx="161">
                  <c:v>41791.111805555556</c:v>
                </c:pt>
                <c:pt idx="162">
                  <c:v>41791.112500000003</c:v>
                </c:pt>
                <c:pt idx="163">
                  <c:v>41791.113194444442</c:v>
                </c:pt>
                <c:pt idx="164">
                  <c:v>41791.113888888889</c:v>
                </c:pt>
                <c:pt idx="165">
                  <c:v>41791.114583333336</c:v>
                </c:pt>
                <c:pt idx="166">
                  <c:v>41791.115277777775</c:v>
                </c:pt>
                <c:pt idx="167">
                  <c:v>41791.115972222222</c:v>
                </c:pt>
                <c:pt idx="168">
                  <c:v>41791.116666666669</c:v>
                </c:pt>
                <c:pt idx="169">
                  <c:v>41791.117361111108</c:v>
                </c:pt>
                <c:pt idx="170">
                  <c:v>41791.118055555555</c:v>
                </c:pt>
                <c:pt idx="171">
                  <c:v>41791.118750000001</c:v>
                </c:pt>
                <c:pt idx="172">
                  <c:v>41791.119444444441</c:v>
                </c:pt>
                <c:pt idx="173">
                  <c:v>41791.120138888888</c:v>
                </c:pt>
                <c:pt idx="174">
                  <c:v>41791.120833333334</c:v>
                </c:pt>
                <c:pt idx="175">
                  <c:v>41791.121527777781</c:v>
                </c:pt>
                <c:pt idx="176">
                  <c:v>41791.12222222222</c:v>
                </c:pt>
                <c:pt idx="177">
                  <c:v>41791.122916666667</c:v>
                </c:pt>
                <c:pt idx="178">
                  <c:v>41791.123611111114</c:v>
                </c:pt>
                <c:pt idx="179">
                  <c:v>41791.124305555553</c:v>
                </c:pt>
                <c:pt idx="180">
                  <c:v>41791.125</c:v>
                </c:pt>
                <c:pt idx="181">
                  <c:v>41791.125694444447</c:v>
                </c:pt>
                <c:pt idx="182">
                  <c:v>41791.126388888886</c:v>
                </c:pt>
                <c:pt idx="183">
                  <c:v>41791.127083333333</c:v>
                </c:pt>
                <c:pt idx="184">
                  <c:v>41791.12777777778</c:v>
                </c:pt>
                <c:pt idx="185">
                  <c:v>41791.128472222219</c:v>
                </c:pt>
                <c:pt idx="186">
                  <c:v>41791.129166666666</c:v>
                </c:pt>
                <c:pt idx="187">
                  <c:v>41791.129861111112</c:v>
                </c:pt>
                <c:pt idx="188">
                  <c:v>41791.130555555559</c:v>
                </c:pt>
                <c:pt idx="189">
                  <c:v>41791.131249999999</c:v>
                </c:pt>
                <c:pt idx="190">
                  <c:v>41791.131944444445</c:v>
                </c:pt>
                <c:pt idx="191">
                  <c:v>41791.132638888892</c:v>
                </c:pt>
                <c:pt idx="192">
                  <c:v>41791.133333333331</c:v>
                </c:pt>
                <c:pt idx="193">
                  <c:v>41791.134027777778</c:v>
                </c:pt>
                <c:pt idx="194">
                  <c:v>41791.134722222225</c:v>
                </c:pt>
                <c:pt idx="195">
                  <c:v>41791.135416666664</c:v>
                </c:pt>
                <c:pt idx="196">
                  <c:v>41791.136111111111</c:v>
                </c:pt>
                <c:pt idx="197">
                  <c:v>41791.136805555558</c:v>
                </c:pt>
                <c:pt idx="198">
                  <c:v>41791.137499999997</c:v>
                </c:pt>
                <c:pt idx="199">
                  <c:v>41791.138194444444</c:v>
                </c:pt>
                <c:pt idx="200">
                  <c:v>41791.138888888891</c:v>
                </c:pt>
                <c:pt idx="201">
                  <c:v>41791.13958333333</c:v>
                </c:pt>
                <c:pt idx="202">
                  <c:v>41791.140277777777</c:v>
                </c:pt>
                <c:pt idx="203">
                  <c:v>41791.140972222223</c:v>
                </c:pt>
                <c:pt idx="204">
                  <c:v>41791.14166666667</c:v>
                </c:pt>
                <c:pt idx="205">
                  <c:v>41791.142361111109</c:v>
                </c:pt>
                <c:pt idx="206">
                  <c:v>41791.143055555556</c:v>
                </c:pt>
                <c:pt idx="207">
                  <c:v>41791.143750000003</c:v>
                </c:pt>
                <c:pt idx="208">
                  <c:v>41791.144444444442</c:v>
                </c:pt>
                <c:pt idx="209">
                  <c:v>41791.145138888889</c:v>
                </c:pt>
                <c:pt idx="210">
                  <c:v>41791.145833333336</c:v>
                </c:pt>
                <c:pt idx="211">
                  <c:v>41791.146527777775</c:v>
                </c:pt>
                <c:pt idx="212">
                  <c:v>41791.147222222222</c:v>
                </c:pt>
                <c:pt idx="213">
                  <c:v>41791.147916666669</c:v>
                </c:pt>
                <c:pt idx="214">
                  <c:v>41791.148611111108</c:v>
                </c:pt>
                <c:pt idx="215">
                  <c:v>41791.149305555555</c:v>
                </c:pt>
                <c:pt idx="216">
                  <c:v>41791.15</c:v>
                </c:pt>
                <c:pt idx="217">
                  <c:v>41791.150694444441</c:v>
                </c:pt>
                <c:pt idx="218">
                  <c:v>41791.151388888888</c:v>
                </c:pt>
                <c:pt idx="219">
                  <c:v>41791.152083333334</c:v>
                </c:pt>
                <c:pt idx="220">
                  <c:v>41791.152777777781</c:v>
                </c:pt>
                <c:pt idx="221">
                  <c:v>41791.15347222222</c:v>
                </c:pt>
                <c:pt idx="222">
                  <c:v>41791.154166666667</c:v>
                </c:pt>
                <c:pt idx="223">
                  <c:v>41791.154861111114</c:v>
                </c:pt>
                <c:pt idx="224">
                  <c:v>41791.155555555553</c:v>
                </c:pt>
                <c:pt idx="225">
                  <c:v>41791.15625</c:v>
                </c:pt>
                <c:pt idx="226">
                  <c:v>41791.156944444447</c:v>
                </c:pt>
                <c:pt idx="227">
                  <c:v>41791.157638888886</c:v>
                </c:pt>
                <c:pt idx="228">
                  <c:v>41791.158333333333</c:v>
                </c:pt>
                <c:pt idx="229">
                  <c:v>41791.15902777778</c:v>
                </c:pt>
                <c:pt idx="230">
                  <c:v>41791.159722222219</c:v>
                </c:pt>
                <c:pt idx="231">
                  <c:v>41791.160416666666</c:v>
                </c:pt>
                <c:pt idx="232">
                  <c:v>41791.161111111112</c:v>
                </c:pt>
                <c:pt idx="233">
                  <c:v>41791.161805555559</c:v>
                </c:pt>
                <c:pt idx="234">
                  <c:v>41791.162499999999</c:v>
                </c:pt>
                <c:pt idx="235">
                  <c:v>41791.163194444445</c:v>
                </c:pt>
                <c:pt idx="236">
                  <c:v>41791.163888888892</c:v>
                </c:pt>
                <c:pt idx="237">
                  <c:v>41791.164583333331</c:v>
                </c:pt>
                <c:pt idx="238">
                  <c:v>41791.165277777778</c:v>
                </c:pt>
                <c:pt idx="239">
                  <c:v>41791.165972222225</c:v>
                </c:pt>
                <c:pt idx="240">
                  <c:v>41791.166666666664</c:v>
                </c:pt>
                <c:pt idx="241">
                  <c:v>41791.167361111111</c:v>
                </c:pt>
                <c:pt idx="242">
                  <c:v>41791.168055555558</c:v>
                </c:pt>
                <c:pt idx="243">
                  <c:v>41791.168749999997</c:v>
                </c:pt>
                <c:pt idx="244">
                  <c:v>41791.169444444444</c:v>
                </c:pt>
                <c:pt idx="245">
                  <c:v>41791.170138888891</c:v>
                </c:pt>
                <c:pt idx="246">
                  <c:v>41791.17083333333</c:v>
                </c:pt>
                <c:pt idx="247">
                  <c:v>41791.171527777777</c:v>
                </c:pt>
                <c:pt idx="248">
                  <c:v>41791.172222222223</c:v>
                </c:pt>
                <c:pt idx="249">
                  <c:v>41791.17291666667</c:v>
                </c:pt>
                <c:pt idx="250">
                  <c:v>41791.173611111109</c:v>
                </c:pt>
                <c:pt idx="251">
                  <c:v>41791.174305555556</c:v>
                </c:pt>
                <c:pt idx="252">
                  <c:v>41791.175000000003</c:v>
                </c:pt>
                <c:pt idx="253">
                  <c:v>41791.175694444442</c:v>
                </c:pt>
                <c:pt idx="254">
                  <c:v>41791.176388888889</c:v>
                </c:pt>
                <c:pt idx="255">
                  <c:v>41791.177083333336</c:v>
                </c:pt>
                <c:pt idx="256">
                  <c:v>41791.177777777775</c:v>
                </c:pt>
                <c:pt idx="257">
                  <c:v>41791.178472222222</c:v>
                </c:pt>
                <c:pt idx="258">
                  <c:v>41791.179166666669</c:v>
                </c:pt>
                <c:pt idx="259">
                  <c:v>41791.179861111108</c:v>
                </c:pt>
                <c:pt idx="260">
                  <c:v>41791.180555555555</c:v>
                </c:pt>
                <c:pt idx="261">
                  <c:v>41791.181250000001</c:v>
                </c:pt>
                <c:pt idx="262">
                  <c:v>41791.181944444441</c:v>
                </c:pt>
                <c:pt idx="263">
                  <c:v>41791.182638888888</c:v>
                </c:pt>
                <c:pt idx="264">
                  <c:v>41791.183333333334</c:v>
                </c:pt>
                <c:pt idx="265">
                  <c:v>41791.184027777781</c:v>
                </c:pt>
                <c:pt idx="266">
                  <c:v>41791.18472222222</c:v>
                </c:pt>
                <c:pt idx="267">
                  <c:v>41791.185416666667</c:v>
                </c:pt>
                <c:pt idx="268">
                  <c:v>41791.186111111114</c:v>
                </c:pt>
                <c:pt idx="269">
                  <c:v>41791.186805555553</c:v>
                </c:pt>
                <c:pt idx="270">
                  <c:v>41791.1875</c:v>
                </c:pt>
                <c:pt idx="271">
                  <c:v>41791.188194444447</c:v>
                </c:pt>
                <c:pt idx="272">
                  <c:v>41791.188888888886</c:v>
                </c:pt>
                <c:pt idx="273">
                  <c:v>41791.189583333333</c:v>
                </c:pt>
                <c:pt idx="274">
                  <c:v>41791.19027777778</c:v>
                </c:pt>
                <c:pt idx="275">
                  <c:v>41791.190972222219</c:v>
                </c:pt>
                <c:pt idx="276">
                  <c:v>41791.191666666666</c:v>
                </c:pt>
                <c:pt idx="277">
                  <c:v>41791.192361111112</c:v>
                </c:pt>
                <c:pt idx="278">
                  <c:v>41791.193055555559</c:v>
                </c:pt>
                <c:pt idx="279">
                  <c:v>41791.193749999999</c:v>
                </c:pt>
                <c:pt idx="280">
                  <c:v>41791.194444444445</c:v>
                </c:pt>
                <c:pt idx="281">
                  <c:v>41791.195138888892</c:v>
                </c:pt>
                <c:pt idx="282">
                  <c:v>41791.195833333331</c:v>
                </c:pt>
                <c:pt idx="283">
                  <c:v>41791.196527777778</c:v>
                </c:pt>
                <c:pt idx="284">
                  <c:v>41791.197222222225</c:v>
                </c:pt>
                <c:pt idx="285">
                  <c:v>41791.197916666664</c:v>
                </c:pt>
                <c:pt idx="286">
                  <c:v>41791.198611111111</c:v>
                </c:pt>
                <c:pt idx="287">
                  <c:v>41791.199305555558</c:v>
                </c:pt>
                <c:pt idx="288">
                  <c:v>41791.199999999997</c:v>
                </c:pt>
                <c:pt idx="289">
                  <c:v>41791.200694444444</c:v>
                </c:pt>
                <c:pt idx="290">
                  <c:v>41791.201388888891</c:v>
                </c:pt>
                <c:pt idx="291">
                  <c:v>41791.20208333333</c:v>
                </c:pt>
                <c:pt idx="292">
                  <c:v>41791.202777777777</c:v>
                </c:pt>
                <c:pt idx="293">
                  <c:v>41791.203472222223</c:v>
                </c:pt>
                <c:pt idx="294">
                  <c:v>41791.20416666667</c:v>
                </c:pt>
                <c:pt idx="295">
                  <c:v>41791.204861111109</c:v>
                </c:pt>
                <c:pt idx="296">
                  <c:v>41791.205555555556</c:v>
                </c:pt>
                <c:pt idx="297">
                  <c:v>41791.206250000003</c:v>
                </c:pt>
                <c:pt idx="298">
                  <c:v>41791.206944444442</c:v>
                </c:pt>
                <c:pt idx="299">
                  <c:v>41791.207638888889</c:v>
                </c:pt>
                <c:pt idx="300">
                  <c:v>41791.208333333336</c:v>
                </c:pt>
                <c:pt idx="301">
                  <c:v>41791.209027777775</c:v>
                </c:pt>
                <c:pt idx="302">
                  <c:v>41791.209722222222</c:v>
                </c:pt>
                <c:pt idx="303">
                  <c:v>41791.210416666669</c:v>
                </c:pt>
                <c:pt idx="304">
                  <c:v>41791.211111111108</c:v>
                </c:pt>
                <c:pt idx="305">
                  <c:v>41791.211805555555</c:v>
                </c:pt>
                <c:pt idx="306">
                  <c:v>41791.212500000001</c:v>
                </c:pt>
                <c:pt idx="307">
                  <c:v>41791.213194444441</c:v>
                </c:pt>
                <c:pt idx="308">
                  <c:v>41791.213888888888</c:v>
                </c:pt>
                <c:pt idx="309">
                  <c:v>41791.214583333334</c:v>
                </c:pt>
                <c:pt idx="310">
                  <c:v>41791.215277777781</c:v>
                </c:pt>
                <c:pt idx="311">
                  <c:v>41791.21597222222</c:v>
                </c:pt>
                <c:pt idx="312">
                  <c:v>41791.216666666667</c:v>
                </c:pt>
                <c:pt idx="313">
                  <c:v>41791.217361111114</c:v>
                </c:pt>
                <c:pt idx="314">
                  <c:v>41791.218055555553</c:v>
                </c:pt>
                <c:pt idx="315">
                  <c:v>41791.21875</c:v>
                </c:pt>
                <c:pt idx="316">
                  <c:v>41791.219444444447</c:v>
                </c:pt>
                <c:pt idx="317">
                  <c:v>41791.220138888886</c:v>
                </c:pt>
                <c:pt idx="318">
                  <c:v>41791.220833333333</c:v>
                </c:pt>
                <c:pt idx="319">
                  <c:v>41791.22152777778</c:v>
                </c:pt>
                <c:pt idx="320">
                  <c:v>41791.222222222219</c:v>
                </c:pt>
                <c:pt idx="321">
                  <c:v>41791.222916666666</c:v>
                </c:pt>
                <c:pt idx="322">
                  <c:v>41791.223611111112</c:v>
                </c:pt>
                <c:pt idx="323">
                  <c:v>41791.224305555559</c:v>
                </c:pt>
                <c:pt idx="324">
                  <c:v>41791.224999999999</c:v>
                </c:pt>
                <c:pt idx="325">
                  <c:v>41791.225694444445</c:v>
                </c:pt>
                <c:pt idx="326">
                  <c:v>41791.226388888892</c:v>
                </c:pt>
                <c:pt idx="327">
                  <c:v>41791.227083333331</c:v>
                </c:pt>
                <c:pt idx="328">
                  <c:v>41791.227777777778</c:v>
                </c:pt>
                <c:pt idx="329">
                  <c:v>41791.228472222225</c:v>
                </c:pt>
                <c:pt idx="330">
                  <c:v>41791.229166666664</c:v>
                </c:pt>
                <c:pt idx="331">
                  <c:v>41791.229861111111</c:v>
                </c:pt>
                <c:pt idx="332">
                  <c:v>41791.230555555558</c:v>
                </c:pt>
                <c:pt idx="333">
                  <c:v>41791.231249999997</c:v>
                </c:pt>
                <c:pt idx="334">
                  <c:v>41791.231944444444</c:v>
                </c:pt>
                <c:pt idx="335">
                  <c:v>41791.232638888891</c:v>
                </c:pt>
                <c:pt idx="336">
                  <c:v>41791.23333333333</c:v>
                </c:pt>
                <c:pt idx="337">
                  <c:v>41791.234027777777</c:v>
                </c:pt>
                <c:pt idx="338">
                  <c:v>41791.234722222223</c:v>
                </c:pt>
                <c:pt idx="339">
                  <c:v>41791.23541666667</c:v>
                </c:pt>
                <c:pt idx="340">
                  <c:v>41791.236111111109</c:v>
                </c:pt>
                <c:pt idx="341">
                  <c:v>41791.236805555556</c:v>
                </c:pt>
                <c:pt idx="342">
                  <c:v>41791.237500000003</c:v>
                </c:pt>
                <c:pt idx="343">
                  <c:v>41791.238194444442</c:v>
                </c:pt>
                <c:pt idx="344">
                  <c:v>41791.238888888889</c:v>
                </c:pt>
                <c:pt idx="345">
                  <c:v>41791.239583333336</c:v>
                </c:pt>
                <c:pt idx="346">
                  <c:v>41791.240277777775</c:v>
                </c:pt>
                <c:pt idx="347">
                  <c:v>41791.240972222222</c:v>
                </c:pt>
                <c:pt idx="348">
                  <c:v>41791.241666666669</c:v>
                </c:pt>
                <c:pt idx="349">
                  <c:v>41791.242361111108</c:v>
                </c:pt>
                <c:pt idx="350">
                  <c:v>41791.243055555555</c:v>
                </c:pt>
                <c:pt idx="351">
                  <c:v>41791.243750000001</c:v>
                </c:pt>
                <c:pt idx="352">
                  <c:v>41791.244444444441</c:v>
                </c:pt>
                <c:pt idx="353">
                  <c:v>41791.245138888888</c:v>
                </c:pt>
                <c:pt idx="354">
                  <c:v>41791.245833333334</c:v>
                </c:pt>
                <c:pt idx="355">
                  <c:v>41791.246527777781</c:v>
                </c:pt>
                <c:pt idx="356">
                  <c:v>41791.24722222222</c:v>
                </c:pt>
                <c:pt idx="357">
                  <c:v>41791.247916666667</c:v>
                </c:pt>
                <c:pt idx="358">
                  <c:v>41791.248611111114</c:v>
                </c:pt>
                <c:pt idx="359">
                  <c:v>41791.249305555553</c:v>
                </c:pt>
                <c:pt idx="360">
                  <c:v>41791.25</c:v>
                </c:pt>
                <c:pt idx="361">
                  <c:v>41791.250694444447</c:v>
                </c:pt>
                <c:pt idx="362">
                  <c:v>41791.251388888886</c:v>
                </c:pt>
                <c:pt idx="363">
                  <c:v>41791.252083333333</c:v>
                </c:pt>
                <c:pt idx="364">
                  <c:v>41791.25277777778</c:v>
                </c:pt>
                <c:pt idx="365">
                  <c:v>41791.253472222219</c:v>
                </c:pt>
                <c:pt idx="366">
                  <c:v>41791.254166666666</c:v>
                </c:pt>
                <c:pt idx="367">
                  <c:v>41791.254861111112</c:v>
                </c:pt>
                <c:pt idx="368">
                  <c:v>41791.255555555559</c:v>
                </c:pt>
                <c:pt idx="369">
                  <c:v>41791.256249999999</c:v>
                </c:pt>
                <c:pt idx="370">
                  <c:v>41791.256944444445</c:v>
                </c:pt>
                <c:pt idx="371">
                  <c:v>41791.257638888892</c:v>
                </c:pt>
                <c:pt idx="372">
                  <c:v>41791.258333333331</c:v>
                </c:pt>
                <c:pt idx="373">
                  <c:v>41791.259027777778</c:v>
                </c:pt>
                <c:pt idx="374">
                  <c:v>41791.259722222225</c:v>
                </c:pt>
                <c:pt idx="375">
                  <c:v>41791.260416666664</c:v>
                </c:pt>
                <c:pt idx="376">
                  <c:v>41791.261111111111</c:v>
                </c:pt>
                <c:pt idx="377">
                  <c:v>41791.261805555558</c:v>
                </c:pt>
                <c:pt idx="378">
                  <c:v>41791.262499999997</c:v>
                </c:pt>
                <c:pt idx="379">
                  <c:v>41791.263194444444</c:v>
                </c:pt>
                <c:pt idx="380">
                  <c:v>41791.263888888891</c:v>
                </c:pt>
                <c:pt idx="381">
                  <c:v>41791.26458333333</c:v>
                </c:pt>
                <c:pt idx="382">
                  <c:v>41791.265277777777</c:v>
                </c:pt>
                <c:pt idx="383">
                  <c:v>41791.265972222223</c:v>
                </c:pt>
                <c:pt idx="384">
                  <c:v>41791.26666666667</c:v>
                </c:pt>
                <c:pt idx="385">
                  <c:v>41791.267361111109</c:v>
                </c:pt>
                <c:pt idx="386">
                  <c:v>41791.268055555556</c:v>
                </c:pt>
                <c:pt idx="387">
                  <c:v>41791.268750000003</c:v>
                </c:pt>
                <c:pt idx="388">
                  <c:v>41791.269444444442</c:v>
                </c:pt>
                <c:pt idx="389">
                  <c:v>41791.270138888889</c:v>
                </c:pt>
                <c:pt idx="390">
                  <c:v>41791.270833333336</c:v>
                </c:pt>
                <c:pt idx="391">
                  <c:v>41791.271527777775</c:v>
                </c:pt>
                <c:pt idx="392">
                  <c:v>41791.272222222222</c:v>
                </c:pt>
                <c:pt idx="393">
                  <c:v>41791.272916666669</c:v>
                </c:pt>
                <c:pt idx="394">
                  <c:v>41791.273611111108</c:v>
                </c:pt>
                <c:pt idx="395">
                  <c:v>41791.274305555555</c:v>
                </c:pt>
                <c:pt idx="396">
                  <c:v>41791.275000000001</c:v>
                </c:pt>
                <c:pt idx="397">
                  <c:v>41791.275694444441</c:v>
                </c:pt>
                <c:pt idx="398">
                  <c:v>41791.276388888888</c:v>
                </c:pt>
                <c:pt idx="399">
                  <c:v>41791.277083333334</c:v>
                </c:pt>
                <c:pt idx="400">
                  <c:v>41791.277777777781</c:v>
                </c:pt>
                <c:pt idx="401">
                  <c:v>41791.27847222222</c:v>
                </c:pt>
                <c:pt idx="402">
                  <c:v>41791.279166666667</c:v>
                </c:pt>
                <c:pt idx="403">
                  <c:v>41791.279861111114</c:v>
                </c:pt>
                <c:pt idx="404">
                  <c:v>41791.280555555553</c:v>
                </c:pt>
                <c:pt idx="405">
                  <c:v>41791.28125</c:v>
                </c:pt>
                <c:pt idx="406">
                  <c:v>41791.281944444447</c:v>
                </c:pt>
                <c:pt idx="407">
                  <c:v>41791.282638888886</c:v>
                </c:pt>
                <c:pt idx="408">
                  <c:v>41791.283333333333</c:v>
                </c:pt>
                <c:pt idx="409">
                  <c:v>41791.28402777778</c:v>
                </c:pt>
                <c:pt idx="410">
                  <c:v>41791.284722222219</c:v>
                </c:pt>
                <c:pt idx="411">
                  <c:v>41791.285416666666</c:v>
                </c:pt>
                <c:pt idx="412">
                  <c:v>41791.286111111112</c:v>
                </c:pt>
                <c:pt idx="413">
                  <c:v>41791.286805555559</c:v>
                </c:pt>
                <c:pt idx="414">
                  <c:v>41791.287499999999</c:v>
                </c:pt>
                <c:pt idx="415">
                  <c:v>41791.288194444445</c:v>
                </c:pt>
                <c:pt idx="416">
                  <c:v>41791.288888888892</c:v>
                </c:pt>
                <c:pt idx="417">
                  <c:v>41791.289583333331</c:v>
                </c:pt>
                <c:pt idx="418">
                  <c:v>41791.290277777778</c:v>
                </c:pt>
                <c:pt idx="419">
                  <c:v>41791.290972222225</c:v>
                </c:pt>
                <c:pt idx="420">
                  <c:v>41791.291666666664</c:v>
                </c:pt>
                <c:pt idx="421">
                  <c:v>41791.292361111111</c:v>
                </c:pt>
                <c:pt idx="422">
                  <c:v>41791.293055555558</c:v>
                </c:pt>
                <c:pt idx="423">
                  <c:v>41791.293749999997</c:v>
                </c:pt>
                <c:pt idx="424">
                  <c:v>41791.294444444444</c:v>
                </c:pt>
                <c:pt idx="425">
                  <c:v>41791.295138888891</c:v>
                </c:pt>
                <c:pt idx="426">
                  <c:v>41791.29583333333</c:v>
                </c:pt>
                <c:pt idx="427">
                  <c:v>41791.296527777777</c:v>
                </c:pt>
                <c:pt idx="428">
                  <c:v>41791.297222222223</c:v>
                </c:pt>
                <c:pt idx="429">
                  <c:v>41791.29791666667</c:v>
                </c:pt>
                <c:pt idx="430">
                  <c:v>41791.298611111109</c:v>
                </c:pt>
                <c:pt idx="431">
                  <c:v>41791.299305555556</c:v>
                </c:pt>
                <c:pt idx="432">
                  <c:v>41791.300000000003</c:v>
                </c:pt>
                <c:pt idx="433">
                  <c:v>41791.300694444442</c:v>
                </c:pt>
                <c:pt idx="434">
                  <c:v>41791.301388888889</c:v>
                </c:pt>
                <c:pt idx="435">
                  <c:v>41791.302083333336</c:v>
                </c:pt>
                <c:pt idx="436">
                  <c:v>41791.302777777775</c:v>
                </c:pt>
                <c:pt idx="437">
                  <c:v>41791.303472222222</c:v>
                </c:pt>
                <c:pt idx="438">
                  <c:v>41791.304166666669</c:v>
                </c:pt>
                <c:pt idx="439">
                  <c:v>41791.304861111108</c:v>
                </c:pt>
                <c:pt idx="440">
                  <c:v>41791.305555555555</c:v>
                </c:pt>
                <c:pt idx="441">
                  <c:v>41791.306250000001</c:v>
                </c:pt>
                <c:pt idx="442">
                  <c:v>41791.306944444441</c:v>
                </c:pt>
                <c:pt idx="443">
                  <c:v>41791.307638888888</c:v>
                </c:pt>
                <c:pt idx="444">
                  <c:v>41791.308333333334</c:v>
                </c:pt>
                <c:pt idx="445">
                  <c:v>41791.309027777781</c:v>
                </c:pt>
                <c:pt idx="446">
                  <c:v>41791.30972222222</c:v>
                </c:pt>
                <c:pt idx="447">
                  <c:v>41791.310416666667</c:v>
                </c:pt>
                <c:pt idx="448">
                  <c:v>41791.311111111114</c:v>
                </c:pt>
                <c:pt idx="449">
                  <c:v>41791.311805555553</c:v>
                </c:pt>
                <c:pt idx="450">
                  <c:v>41791.3125</c:v>
                </c:pt>
                <c:pt idx="451">
                  <c:v>41791.313194444447</c:v>
                </c:pt>
                <c:pt idx="452">
                  <c:v>41791.313888888886</c:v>
                </c:pt>
                <c:pt idx="453">
                  <c:v>41791.314583333333</c:v>
                </c:pt>
                <c:pt idx="454">
                  <c:v>41791.31527777778</c:v>
                </c:pt>
                <c:pt idx="455">
                  <c:v>41791.315972222219</c:v>
                </c:pt>
                <c:pt idx="456">
                  <c:v>41791.316666666666</c:v>
                </c:pt>
                <c:pt idx="457">
                  <c:v>41791.317361111112</c:v>
                </c:pt>
                <c:pt idx="458">
                  <c:v>41791.318055555559</c:v>
                </c:pt>
                <c:pt idx="459">
                  <c:v>41791.318749999999</c:v>
                </c:pt>
                <c:pt idx="460">
                  <c:v>41791.319444444445</c:v>
                </c:pt>
                <c:pt idx="461">
                  <c:v>41791.320138888892</c:v>
                </c:pt>
                <c:pt idx="462">
                  <c:v>41791.320833333331</c:v>
                </c:pt>
                <c:pt idx="463">
                  <c:v>41791.321527777778</c:v>
                </c:pt>
                <c:pt idx="464">
                  <c:v>41791.322222222225</c:v>
                </c:pt>
                <c:pt idx="465">
                  <c:v>41791.322916666664</c:v>
                </c:pt>
                <c:pt idx="466">
                  <c:v>41791.323611111111</c:v>
                </c:pt>
                <c:pt idx="467">
                  <c:v>41791.324305555558</c:v>
                </c:pt>
                <c:pt idx="468">
                  <c:v>41791.324999999997</c:v>
                </c:pt>
                <c:pt idx="469">
                  <c:v>41791.325694444444</c:v>
                </c:pt>
                <c:pt idx="470">
                  <c:v>41791.326388888891</c:v>
                </c:pt>
                <c:pt idx="471">
                  <c:v>41791.32708333333</c:v>
                </c:pt>
                <c:pt idx="472">
                  <c:v>41791.327777777777</c:v>
                </c:pt>
                <c:pt idx="473">
                  <c:v>41791.328472222223</c:v>
                </c:pt>
                <c:pt idx="474">
                  <c:v>41791.32916666667</c:v>
                </c:pt>
                <c:pt idx="475">
                  <c:v>41791.329861111109</c:v>
                </c:pt>
                <c:pt idx="476">
                  <c:v>41791.330555555556</c:v>
                </c:pt>
                <c:pt idx="477">
                  <c:v>41791.331250000003</c:v>
                </c:pt>
                <c:pt idx="478">
                  <c:v>41791.331944444442</c:v>
                </c:pt>
                <c:pt idx="479">
                  <c:v>41791.332638888889</c:v>
                </c:pt>
                <c:pt idx="480">
                  <c:v>41791.333333333336</c:v>
                </c:pt>
                <c:pt idx="481">
                  <c:v>41791.334027777775</c:v>
                </c:pt>
                <c:pt idx="482">
                  <c:v>41791.334722222222</c:v>
                </c:pt>
                <c:pt idx="483">
                  <c:v>41791.335416666669</c:v>
                </c:pt>
                <c:pt idx="484">
                  <c:v>41791.336111111108</c:v>
                </c:pt>
                <c:pt idx="485">
                  <c:v>41791.336805555555</c:v>
                </c:pt>
                <c:pt idx="486">
                  <c:v>41791.337500000001</c:v>
                </c:pt>
                <c:pt idx="487">
                  <c:v>41791.338194444441</c:v>
                </c:pt>
                <c:pt idx="488">
                  <c:v>41791.338888888888</c:v>
                </c:pt>
                <c:pt idx="489">
                  <c:v>41791.339583333334</c:v>
                </c:pt>
                <c:pt idx="490">
                  <c:v>41791.340277777781</c:v>
                </c:pt>
                <c:pt idx="491">
                  <c:v>41791.34097222222</c:v>
                </c:pt>
                <c:pt idx="492">
                  <c:v>41791.341666666667</c:v>
                </c:pt>
                <c:pt idx="493">
                  <c:v>41791.342361111114</c:v>
                </c:pt>
                <c:pt idx="494">
                  <c:v>41791.343055555553</c:v>
                </c:pt>
                <c:pt idx="495">
                  <c:v>41791.34375</c:v>
                </c:pt>
                <c:pt idx="496">
                  <c:v>41791.344444444447</c:v>
                </c:pt>
                <c:pt idx="497">
                  <c:v>41791.345138888886</c:v>
                </c:pt>
                <c:pt idx="498">
                  <c:v>41791.345833333333</c:v>
                </c:pt>
                <c:pt idx="499">
                  <c:v>41791.34652777778</c:v>
                </c:pt>
                <c:pt idx="500">
                  <c:v>41791.347222222219</c:v>
                </c:pt>
                <c:pt idx="501">
                  <c:v>41791.347916666666</c:v>
                </c:pt>
                <c:pt idx="502">
                  <c:v>41791.348611111112</c:v>
                </c:pt>
                <c:pt idx="503">
                  <c:v>41791.349305555559</c:v>
                </c:pt>
                <c:pt idx="504">
                  <c:v>41791.35</c:v>
                </c:pt>
                <c:pt idx="505">
                  <c:v>41791.350694444445</c:v>
                </c:pt>
                <c:pt idx="506">
                  <c:v>41791.351388888892</c:v>
                </c:pt>
                <c:pt idx="507">
                  <c:v>41791.352083333331</c:v>
                </c:pt>
                <c:pt idx="508">
                  <c:v>41791.352777777778</c:v>
                </c:pt>
                <c:pt idx="509">
                  <c:v>41791.353472222225</c:v>
                </c:pt>
                <c:pt idx="510">
                  <c:v>41791.354166666664</c:v>
                </c:pt>
                <c:pt idx="511">
                  <c:v>41791.354861111111</c:v>
                </c:pt>
                <c:pt idx="512">
                  <c:v>41791.355555555558</c:v>
                </c:pt>
                <c:pt idx="513">
                  <c:v>41791.356249999997</c:v>
                </c:pt>
                <c:pt idx="514">
                  <c:v>41791.356944444444</c:v>
                </c:pt>
                <c:pt idx="515">
                  <c:v>41791.357638888891</c:v>
                </c:pt>
                <c:pt idx="516">
                  <c:v>41791.35833333333</c:v>
                </c:pt>
                <c:pt idx="517">
                  <c:v>41791.359027777777</c:v>
                </c:pt>
                <c:pt idx="518">
                  <c:v>41791.359722222223</c:v>
                </c:pt>
                <c:pt idx="519">
                  <c:v>41791.36041666667</c:v>
                </c:pt>
                <c:pt idx="520">
                  <c:v>41791.361111111109</c:v>
                </c:pt>
                <c:pt idx="521">
                  <c:v>41791.361805555556</c:v>
                </c:pt>
                <c:pt idx="522">
                  <c:v>41791.362500000003</c:v>
                </c:pt>
                <c:pt idx="523">
                  <c:v>41791.363194444442</c:v>
                </c:pt>
                <c:pt idx="524">
                  <c:v>41791.363888888889</c:v>
                </c:pt>
                <c:pt idx="525">
                  <c:v>41791.364583333336</c:v>
                </c:pt>
                <c:pt idx="526">
                  <c:v>41791.365277777775</c:v>
                </c:pt>
                <c:pt idx="527">
                  <c:v>41791.365972222222</c:v>
                </c:pt>
                <c:pt idx="528">
                  <c:v>41791.366666666669</c:v>
                </c:pt>
                <c:pt idx="529">
                  <c:v>41791.367361111108</c:v>
                </c:pt>
                <c:pt idx="530">
                  <c:v>41791.368055555555</c:v>
                </c:pt>
                <c:pt idx="531">
                  <c:v>41791.368750000001</c:v>
                </c:pt>
                <c:pt idx="532">
                  <c:v>41791.369444444441</c:v>
                </c:pt>
                <c:pt idx="533">
                  <c:v>41791.370138888888</c:v>
                </c:pt>
                <c:pt idx="534">
                  <c:v>41791.370833333334</c:v>
                </c:pt>
                <c:pt idx="535">
                  <c:v>41791.371527777781</c:v>
                </c:pt>
                <c:pt idx="536">
                  <c:v>41791.37222222222</c:v>
                </c:pt>
                <c:pt idx="537">
                  <c:v>41791.372916666667</c:v>
                </c:pt>
                <c:pt idx="538">
                  <c:v>41791.373611111114</c:v>
                </c:pt>
                <c:pt idx="539">
                  <c:v>41791.374305555553</c:v>
                </c:pt>
                <c:pt idx="540">
                  <c:v>41791.375</c:v>
                </c:pt>
                <c:pt idx="541">
                  <c:v>41791.375694444447</c:v>
                </c:pt>
                <c:pt idx="542">
                  <c:v>41791.376388888886</c:v>
                </c:pt>
                <c:pt idx="543">
                  <c:v>41791.377083333333</c:v>
                </c:pt>
                <c:pt idx="544">
                  <c:v>41791.37777777778</c:v>
                </c:pt>
                <c:pt idx="545">
                  <c:v>41791.378472222219</c:v>
                </c:pt>
                <c:pt idx="546">
                  <c:v>41791.379166666666</c:v>
                </c:pt>
                <c:pt idx="547">
                  <c:v>41791.379861111112</c:v>
                </c:pt>
                <c:pt idx="548">
                  <c:v>41791.380555555559</c:v>
                </c:pt>
                <c:pt idx="549">
                  <c:v>41791.381249999999</c:v>
                </c:pt>
                <c:pt idx="550">
                  <c:v>41791.381944444445</c:v>
                </c:pt>
                <c:pt idx="551">
                  <c:v>41791.382638888892</c:v>
                </c:pt>
                <c:pt idx="552">
                  <c:v>41791.383333333331</c:v>
                </c:pt>
                <c:pt idx="553">
                  <c:v>41791.384027777778</c:v>
                </c:pt>
                <c:pt idx="554">
                  <c:v>41791.384722222225</c:v>
                </c:pt>
                <c:pt idx="555">
                  <c:v>41791.385416666664</c:v>
                </c:pt>
                <c:pt idx="556">
                  <c:v>41791.386111111111</c:v>
                </c:pt>
                <c:pt idx="557">
                  <c:v>41791.386805555558</c:v>
                </c:pt>
                <c:pt idx="558">
                  <c:v>41791.387499999997</c:v>
                </c:pt>
                <c:pt idx="559">
                  <c:v>41791.388194444444</c:v>
                </c:pt>
                <c:pt idx="560">
                  <c:v>41791.388888888891</c:v>
                </c:pt>
                <c:pt idx="561">
                  <c:v>41791.38958333333</c:v>
                </c:pt>
                <c:pt idx="562">
                  <c:v>41791.390277777777</c:v>
                </c:pt>
                <c:pt idx="563">
                  <c:v>41791.390972222223</c:v>
                </c:pt>
                <c:pt idx="564">
                  <c:v>41791.39166666667</c:v>
                </c:pt>
                <c:pt idx="565">
                  <c:v>41791.392361111109</c:v>
                </c:pt>
                <c:pt idx="566">
                  <c:v>41791.393055555556</c:v>
                </c:pt>
                <c:pt idx="567">
                  <c:v>41791.393750000003</c:v>
                </c:pt>
                <c:pt idx="568">
                  <c:v>41791.394444444442</c:v>
                </c:pt>
                <c:pt idx="569">
                  <c:v>41791.395138888889</c:v>
                </c:pt>
                <c:pt idx="570">
                  <c:v>41791.395833333336</c:v>
                </c:pt>
                <c:pt idx="571">
                  <c:v>41791.396527777775</c:v>
                </c:pt>
                <c:pt idx="572">
                  <c:v>41791.397222222222</c:v>
                </c:pt>
                <c:pt idx="573">
                  <c:v>41791.397916666669</c:v>
                </c:pt>
                <c:pt idx="574">
                  <c:v>41791.398611111108</c:v>
                </c:pt>
                <c:pt idx="575">
                  <c:v>41791.399305555555</c:v>
                </c:pt>
                <c:pt idx="576">
                  <c:v>41791.4</c:v>
                </c:pt>
                <c:pt idx="577">
                  <c:v>41791.400694444441</c:v>
                </c:pt>
                <c:pt idx="578">
                  <c:v>41791.401388888888</c:v>
                </c:pt>
                <c:pt idx="579">
                  <c:v>41791.402083333334</c:v>
                </c:pt>
                <c:pt idx="580">
                  <c:v>41791.402777777781</c:v>
                </c:pt>
                <c:pt idx="581">
                  <c:v>41791.40347222222</c:v>
                </c:pt>
                <c:pt idx="582">
                  <c:v>41791.404166666667</c:v>
                </c:pt>
                <c:pt idx="583">
                  <c:v>41791.404861111114</c:v>
                </c:pt>
                <c:pt idx="584">
                  <c:v>41791.405555555553</c:v>
                </c:pt>
                <c:pt idx="585">
                  <c:v>41791.40625</c:v>
                </c:pt>
                <c:pt idx="586">
                  <c:v>41791.406944444447</c:v>
                </c:pt>
                <c:pt idx="587">
                  <c:v>41791.407638888886</c:v>
                </c:pt>
                <c:pt idx="588">
                  <c:v>41791.408333333333</c:v>
                </c:pt>
                <c:pt idx="589">
                  <c:v>41791.40902777778</c:v>
                </c:pt>
                <c:pt idx="590">
                  <c:v>41791.409722222219</c:v>
                </c:pt>
                <c:pt idx="591">
                  <c:v>41791.410416666666</c:v>
                </c:pt>
                <c:pt idx="592">
                  <c:v>41791.411111111112</c:v>
                </c:pt>
                <c:pt idx="593">
                  <c:v>41791.411805555559</c:v>
                </c:pt>
                <c:pt idx="594">
                  <c:v>41791.412499999999</c:v>
                </c:pt>
                <c:pt idx="595">
                  <c:v>41791.413194444445</c:v>
                </c:pt>
                <c:pt idx="596">
                  <c:v>41791.413888888892</c:v>
                </c:pt>
                <c:pt idx="597">
                  <c:v>41791.414583333331</c:v>
                </c:pt>
                <c:pt idx="598">
                  <c:v>41791.415277777778</c:v>
                </c:pt>
                <c:pt idx="599">
                  <c:v>41791.415972222225</c:v>
                </c:pt>
                <c:pt idx="600">
                  <c:v>41791.416666666664</c:v>
                </c:pt>
                <c:pt idx="601">
                  <c:v>41791.417361111111</c:v>
                </c:pt>
                <c:pt idx="602">
                  <c:v>41791.418055555558</c:v>
                </c:pt>
                <c:pt idx="603">
                  <c:v>41791.418749999997</c:v>
                </c:pt>
                <c:pt idx="604">
                  <c:v>41791.419444444444</c:v>
                </c:pt>
                <c:pt idx="605">
                  <c:v>41791.420138888891</c:v>
                </c:pt>
                <c:pt idx="606">
                  <c:v>41791.42083333333</c:v>
                </c:pt>
                <c:pt idx="607">
                  <c:v>41791.421527777777</c:v>
                </c:pt>
                <c:pt idx="608">
                  <c:v>41791.422222222223</c:v>
                </c:pt>
                <c:pt idx="609">
                  <c:v>41791.42291666667</c:v>
                </c:pt>
                <c:pt idx="610">
                  <c:v>41791.423611111109</c:v>
                </c:pt>
                <c:pt idx="611">
                  <c:v>41791.424305555556</c:v>
                </c:pt>
                <c:pt idx="612">
                  <c:v>41791.425000000003</c:v>
                </c:pt>
                <c:pt idx="613">
                  <c:v>41791.425694444442</c:v>
                </c:pt>
                <c:pt idx="614">
                  <c:v>41791.426388888889</c:v>
                </c:pt>
                <c:pt idx="615">
                  <c:v>41791.427083333336</c:v>
                </c:pt>
                <c:pt idx="616">
                  <c:v>41791.427777777775</c:v>
                </c:pt>
                <c:pt idx="617">
                  <c:v>41791.428472222222</c:v>
                </c:pt>
                <c:pt idx="618">
                  <c:v>41791.429166666669</c:v>
                </c:pt>
                <c:pt idx="619">
                  <c:v>41791.429861111108</c:v>
                </c:pt>
                <c:pt idx="620">
                  <c:v>41791.430555555555</c:v>
                </c:pt>
                <c:pt idx="621">
                  <c:v>41791.431250000001</c:v>
                </c:pt>
                <c:pt idx="622">
                  <c:v>41791.431944444441</c:v>
                </c:pt>
                <c:pt idx="623">
                  <c:v>41791.432638888888</c:v>
                </c:pt>
                <c:pt idx="624">
                  <c:v>41791.433333333334</c:v>
                </c:pt>
                <c:pt idx="625">
                  <c:v>41791.434027777781</c:v>
                </c:pt>
                <c:pt idx="626">
                  <c:v>41791.43472222222</c:v>
                </c:pt>
                <c:pt idx="627">
                  <c:v>41791.435416666667</c:v>
                </c:pt>
                <c:pt idx="628">
                  <c:v>41791.436111111114</c:v>
                </c:pt>
                <c:pt idx="629">
                  <c:v>41791.436805555553</c:v>
                </c:pt>
                <c:pt idx="630">
                  <c:v>41791.4375</c:v>
                </c:pt>
                <c:pt idx="631">
                  <c:v>41791.438194444447</c:v>
                </c:pt>
                <c:pt idx="632">
                  <c:v>41791.438888888886</c:v>
                </c:pt>
                <c:pt idx="633">
                  <c:v>41791.439583333333</c:v>
                </c:pt>
                <c:pt idx="634">
                  <c:v>41791.44027777778</c:v>
                </c:pt>
                <c:pt idx="635">
                  <c:v>41791.440972222219</c:v>
                </c:pt>
                <c:pt idx="636">
                  <c:v>41791.441666666666</c:v>
                </c:pt>
                <c:pt idx="637">
                  <c:v>41791.442361111112</c:v>
                </c:pt>
                <c:pt idx="638">
                  <c:v>41791.443055555559</c:v>
                </c:pt>
                <c:pt idx="639">
                  <c:v>41791.443749999999</c:v>
                </c:pt>
                <c:pt idx="640">
                  <c:v>41791.444444444445</c:v>
                </c:pt>
                <c:pt idx="641">
                  <c:v>41791.445138888892</c:v>
                </c:pt>
                <c:pt idx="642">
                  <c:v>41791.445833333331</c:v>
                </c:pt>
                <c:pt idx="643">
                  <c:v>41791.446527777778</c:v>
                </c:pt>
                <c:pt idx="644">
                  <c:v>41791.447222222225</c:v>
                </c:pt>
                <c:pt idx="645">
                  <c:v>41791.447916666664</c:v>
                </c:pt>
                <c:pt idx="646">
                  <c:v>41791.448611111111</c:v>
                </c:pt>
                <c:pt idx="647">
                  <c:v>41791.449305555558</c:v>
                </c:pt>
                <c:pt idx="648">
                  <c:v>41791.449999999997</c:v>
                </c:pt>
                <c:pt idx="649">
                  <c:v>41791.450694444444</c:v>
                </c:pt>
                <c:pt idx="650">
                  <c:v>41791.451388888891</c:v>
                </c:pt>
                <c:pt idx="651">
                  <c:v>41791.45208333333</c:v>
                </c:pt>
                <c:pt idx="652">
                  <c:v>41791.452777777777</c:v>
                </c:pt>
                <c:pt idx="653">
                  <c:v>41791.453472222223</c:v>
                </c:pt>
                <c:pt idx="654">
                  <c:v>41791.45416666667</c:v>
                </c:pt>
                <c:pt idx="655">
                  <c:v>41791.454861111109</c:v>
                </c:pt>
                <c:pt idx="656">
                  <c:v>41791.455555555556</c:v>
                </c:pt>
                <c:pt idx="657">
                  <c:v>41791.456250000003</c:v>
                </c:pt>
                <c:pt idx="658">
                  <c:v>41791.456944444442</c:v>
                </c:pt>
                <c:pt idx="659">
                  <c:v>41791.457638888889</c:v>
                </c:pt>
                <c:pt idx="660">
                  <c:v>41791.458333333336</c:v>
                </c:pt>
                <c:pt idx="661">
                  <c:v>41791.459027777775</c:v>
                </c:pt>
                <c:pt idx="662">
                  <c:v>41791.459722222222</c:v>
                </c:pt>
                <c:pt idx="663">
                  <c:v>41791.460416666669</c:v>
                </c:pt>
                <c:pt idx="664">
                  <c:v>41791.461111111108</c:v>
                </c:pt>
                <c:pt idx="665">
                  <c:v>41791.461805555555</c:v>
                </c:pt>
                <c:pt idx="666">
                  <c:v>41791.462500000001</c:v>
                </c:pt>
                <c:pt idx="667">
                  <c:v>41791.463194444441</c:v>
                </c:pt>
                <c:pt idx="668">
                  <c:v>41791.463888888888</c:v>
                </c:pt>
                <c:pt idx="669">
                  <c:v>41791.464583333334</c:v>
                </c:pt>
                <c:pt idx="670">
                  <c:v>41791.465277777781</c:v>
                </c:pt>
                <c:pt idx="671">
                  <c:v>41791.46597222222</c:v>
                </c:pt>
                <c:pt idx="672">
                  <c:v>41791.466666666667</c:v>
                </c:pt>
                <c:pt idx="673">
                  <c:v>41791.467361111114</c:v>
                </c:pt>
                <c:pt idx="674">
                  <c:v>41791.468055555553</c:v>
                </c:pt>
                <c:pt idx="675">
                  <c:v>41791.46875</c:v>
                </c:pt>
                <c:pt idx="676">
                  <c:v>41791.469444444447</c:v>
                </c:pt>
                <c:pt idx="677">
                  <c:v>41791.470138888886</c:v>
                </c:pt>
                <c:pt idx="678">
                  <c:v>41791.470833333333</c:v>
                </c:pt>
                <c:pt idx="679">
                  <c:v>41791.47152777778</c:v>
                </c:pt>
                <c:pt idx="680">
                  <c:v>41791.472222222219</c:v>
                </c:pt>
                <c:pt idx="681">
                  <c:v>41791.472916666666</c:v>
                </c:pt>
                <c:pt idx="682">
                  <c:v>41791.473611111112</c:v>
                </c:pt>
                <c:pt idx="683">
                  <c:v>41791.474305555559</c:v>
                </c:pt>
                <c:pt idx="684">
                  <c:v>41791.474999999999</c:v>
                </c:pt>
                <c:pt idx="685">
                  <c:v>41791.475694444445</c:v>
                </c:pt>
                <c:pt idx="686">
                  <c:v>41791.476388888892</c:v>
                </c:pt>
                <c:pt idx="687">
                  <c:v>41791.477083333331</c:v>
                </c:pt>
                <c:pt idx="688">
                  <c:v>41791.477777777778</c:v>
                </c:pt>
                <c:pt idx="689">
                  <c:v>41791.478472222225</c:v>
                </c:pt>
                <c:pt idx="690">
                  <c:v>41791.479166666664</c:v>
                </c:pt>
                <c:pt idx="691">
                  <c:v>41791.479861111111</c:v>
                </c:pt>
                <c:pt idx="692">
                  <c:v>41791.480555555558</c:v>
                </c:pt>
                <c:pt idx="693">
                  <c:v>41791.481249999997</c:v>
                </c:pt>
                <c:pt idx="694">
                  <c:v>41791.481944444444</c:v>
                </c:pt>
                <c:pt idx="695">
                  <c:v>41791.482638888891</c:v>
                </c:pt>
                <c:pt idx="696">
                  <c:v>41791.48333333333</c:v>
                </c:pt>
                <c:pt idx="697">
                  <c:v>41791.484027777777</c:v>
                </c:pt>
                <c:pt idx="698">
                  <c:v>41791.484722222223</c:v>
                </c:pt>
                <c:pt idx="699">
                  <c:v>41791.48541666667</c:v>
                </c:pt>
                <c:pt idx="700">
                  <c:v>41791.486111111109</c:v>
                </c:pt>
                <c:pt idx="701">
                  <c:v>41791.486805555556</c:v>
                </c:pt>
                <c:pt idx="702">
                  <c:v>41791.487500000003</c:v>
                </c:pt>
                <c:pt idx="703">
                  <c:v>41791.488194444442</c:v>
                </c:pt>
                <c:pt idx="704">
                  <c:v>41791.488888888889</c:v>
                </c:pt>
                <c:pt idx="705">
                  <c:v>41791.489583333336</c:v>
                </c:pt>
                <c:pt idx="706">
                  <c:v>41791.490277777775</c:v>
                </c:pt>
                <c:pt idx="707">
                  <c:v>41791.490972222222</c:v>
                </c:pt>
                <c:pt idx="708">
                  <c:v>41791.491666666669</c:v>
                </c:pt>
                <c:pt idx="709">
                  <c:v>41791.492361111108</c:v>
                </c:pt>
                <c:pt idx="710">
                  <c:v>41791.493055555555</c:v>
                </c:pt>
                <c:pt idx="711">
                  <c:v>41791.493750000001</c:v>
                </c:pt>
                <c:pt idx="712">
                  <c:v>41791.494444444441</c:v>
                </c:pt>
                <c:pt idx="713">
                  <c:v>41791.495138888888</c:v>
                </c:pt>
                <c:pt idx="714">
                  <c:v>41791.495833333334</c:v>
                </c:pt>
                <c:pt idx="715">
                  <c:v>41791.496527777781</c:v>
                </c:pt>
                <c:pt idx="716">
                  <c:v>41791.49722222222</c:v>
                </c:pt>
                <c:pt idx="717">
                  <c:v>41791.497916666667</c:v>
                </c:pt>
                <c:pt idx="718">
                  <c:v>41791.498611111114</c:v>
                </c:pt>
                <c:pt idx="719">
                  <c:v>41791.499305555553</c:v>
                </c:pt>
                <c:pt idx="720">
                  <c:v>41791.5</c:v>
                </c:pt>
                <c:pt idx="721">
                  <c:v>41791.500694444447</c:v>
                </c:pt>
                <c:pt idx="722">
                  <c:v>41791.501388888886</c:v>
                </c:pt>
                <c:pt idx="723">
                  <c:v>41791.502083333333</c:v>
                </c:pt>
                <c:pt idx="724">
                  <c:v>41791.50277777778</c:v>
                </c:pt>
                <c:pt idx="725">
                  <c:v>41791.503472222219</c:v>
                </c:pt>
                <c:pt idx="726">
                  <c:v>41791.504166666666</c:v>
                </c:pt>
                <c:pt idx="727">
                  <c:v>41791.504861111112</c:v>
                </c:pt>
                <c:pt idx="728">
                  <c:v>41791.505555555559</c:v>
                </c:pt>
                <c:pt idx="729">
                  <c:v>41791.506249999999</c:v>
                </c:pt>
                <c:pt idx="730">
                  <c:v>41791.506944444445</c:v>
                </c:pt>
                <c:pt idx="731">
                  <c:v>41791.507638888892</c:v>
                </c:pt>
                <c:pt idx="732">
                  <c:v>41791.508333333331</c:v>
                </c:pt>
                <c:pt idx="733">
                  <c:v>41791.509027777778</c:v>
                </c:pt>
                <c:pt idx="734">
                  <c:v>41791.509722222225</c:v>
                </c:pt>
                <c:pt idx="735">
                  <c:v>41791.510416666664</c:v>
                </c:pt>
                <c:pt idx="736">
                  <c:v>41791.511111111111</c:v>
                </c:pt>
                <c:pt idx="737">
                  <c:v>41791.511805555558</c:v>
                </c:pt>
                <c:pt idx="738">
                  <c:v>41791.512499999997</c:v>
                </c:pt>
                <c:pt idx="739">
                  <c:v>41791.513194444444</c:v>
                </c:pt>
                <c:pt idx="740">
                  <c:v>41791.513888888891</c:v>
                </c:pt>
                <c:pt idx="741">
                  <c:v>41791.51458333333</c:v>
                </c:pt>
                <c:pt idx="742">
                  <c:v>41791.515277777777</c:v>
                </c:pt>
                <c:pt idx="743">
                  <c:v>41791.515972222223</c:v>
                </c:pt>
                <c:pt idx="744">
                  <c:v>41791.51666666667</c:v>
                </c:pt>
                <c:pt idx="745">
                  <c:v>41791.517361111109</c:v>
                </c:pt>
                <c:pt idx="746">
                  <c:v>41791.518055555556</c:v>
                </c:pt>
                <c:pt idx="747">
                  <c:v>41791.518750000003</c:v>
                </c:pt>
                <c:pt idx="748">
                  <c:v>41791.519444444442</c:v>
                </c:pt>
                <c:pt idx="749">
                  <c:v>41791.520138888889</c:v>
                </c:pt>
                <c:pt idx="750">
                  <c:v>41791.520833333336</c:v>
                </c:pt>
                <c:pt idx="751">
                  <c:v>41791.521527777775</c:v>
                </c:pt>
                <c:pt idx="752">
                  <c:v>41791.522222222222</c:v>
                </c:pt>
                <c:pt idx="753">
                  <c:v>41791.522916666669</c:v>
                </c:pt>
                <c:pt idx="754">
                  <c:v>41791.523611111108</c:v>
                </c:pt>
                <c:pt idx="755">
                  <c:v>41791.524305555555</c:v>
                </c:pt>
                <c:pt idx="756">
                  <c:v>41791.525000000001</c:v>
                </c:pt>
                <c:pt idx="757">
                  <c:v>41791.525694444441</c:v>
                </c:pt>
                <c:pt idx="758">
                  <c:v>41791.526388888888</c:v>
                </c:pt>
                <c:pt idx="759">
                  <c:v>41791.527083333334</c:v>
                </c:pt>
                <c:pt idx="760">
                  <c:v>41791.527777777781</c:v>
                </c:pt>
                <c:pt idx="761">
                  <c:v>41791.52847222222</c:v>
                </c:pt>
                <c:pt idx="762">
                  <c:v>41791.529166666667</c:v>
                </c:pt>
                <c:pt idx="763">
                  <c:v>41791.529861111114</c:v>
                </c:pt>
                <c:pt idx="764">
                  <c:v>41791.530555555553</c:v>
                </c:pt>
                <c:pt idx="765">
                  <c:v>41791.53125</c:v>
                </c:pt>
                <c:pt idx="766">
                  <c:v>41791.531944444447</c:v>
                </c:pt>
                <c:pt idx="767">
                  <c:v>41791.532638888886</c:v>
                </c:pt>
                <c:pt idx="768">
                  <c:v>41791.533333333333</c:v>
                </c:pt>
                <c:pt idx="769">
                  <c:v>41791.53402777778</c:v>
                </c:pt>
                <c:pt idx="770">
                  <c:v>41791.534722222219</c:v>
                </c:pt>
                <c:pt idx="771">
                  <c:v>41791.535416666666</c:v>
                </c:pt>
                <c:pt idx="772">
                  <c:v>41791.536111111112</c:v>
                </c:pt>
                <c:pt idx="773">
                  <c:v>41791.536805555559</c:v>
                </c:pt>
                <c:pt idx="774">
                  <c:v>41791.537499999999</c:v>
                </c:pt>
                <c:pt idx="775">
                  <c:v>41791.538194444445</c:v>
                </c:pt>
                <c:pt idx="776">
                  <c:v>41791.538888888892</c:v>
                </c:pt>
                <c:pt idx="777">
                  <c:v>41791.539583333331</c:v>
                </c:pt>
                <c:pt idx="778">
                  <c:v>41791.540277777778</c:v>
                </c:pt>
                <c:pt idx="779">
                  <c:v>41791.540972222225</c:v>
                </c:pt>
                <c:pt idx="780">
                  <c:v>41791.541666666664</c:v>
                </c:pt>
                <c:pt idx="781">
                  <c:v>41791.542361111111</c:v>
                </c:pt>
                <c:pt idx="782">
                  <c:v>41791.543055555558</c:v>
                </c:pt>
                <c:pt idx="783">
                  <c:v>41791.543749999997</c:v>
                </c:pt>
                <c:pt idx="784">
                  <c:v>41791.544444444444</c:v>
                </c:pt>
                <c:pt idx="785">
                  <c:v>41791.545138888891</c:v>
                </c:pt>
                <c:pt idx="786">
                  <c:v>41791.54583333333</c:v>
                </c:pt>
                <c:pt idx="787">
                  <c:v>41791.546527777777</c:v>
                </c:pt>
                <c:pt idx="788">
                  <c:v>41791.547222222223</c:v>
                </c:pt>
                <c:pt idx="789">
                  <c:v>41791.54791666667</c:v>
                </c:pt>
                <c:pt idx="790">
                  <c:v>41791.548611111109</c:v>
                </c:pt>
                <c:pt idx="791">
                  <c:v>41791.549305555556</c:v>
                </c:pt>
                <c:pt idx="792">
                  <c:v>41791.550000000003</c:v>
                </c:pt>
                <c:pt idx="793">
                  <c:v>41791.550694444442</c:v>
                </c:pt>
                <c:pt idx="794">
                  <c:v>41791.551388888889</c:v>
                </c:pt>
                <c:pt idx="795">
                  <c:v>41791.552083333336</c:v>
                </c:pt>
                <c:pt idx="796">
                  <c:v>41791.552777777775</c:v>
                </c:pt>
                <c:pt idx="797">
                  <c:v>41791.553472222222</c:v>
                </c:pt>
                <c:pt idx="798">
                  <c:v>41791.554166666669</c:v>
                </c:pt>
                <c:pt idx="799">
                  <c:v>41791.554861111108</c:v>
                </c:pt>
                <c:pt idx="800">
                  <c:v>41791.555555555555</c:v>
                </c:pt>
                <c:pt idx="801">
                  <c:v>41791.556250000001</c:v>
                </c:pt>
                <c:pt idx="802">
                  <c:v>41791.556944444441</c:v>
                </c:pt>
                <c:pt idx="803">
                  <c:v>41791.557638888888</c:v>
                </c:pt>
                <c:pt idx="804">
                  <c:v>41791.558333333334</c:v>
                </c:pt>
                <c:pt idx="805">
                  <c:v>41791.559027777781</c:v>
                </c:pt>
                <c:pt idx="806">
                  <c:v>41791.55972222222</c:v>
                </c:pt>
                <c:pt idx="807">
                  <c:v>41791.560416666667</c:v>
                </c:pt>
                <c:pt idx="808">
                  <c:v>41791.561111111114</c:v>
                </c:pt>
                <c:pt idx="809">
                  <c:v>41791.561805555553</c:v>
                </c:pt>
                <c:pt idx="810">
                  <c:v>41791.5625</c:v>
                </c:pt>
                <c:pt idx="811">
                  <c:v>41791.563194444447</c:v>
                </c:pt>
                <c:pt idx="812">
                  <c:v>41791.563888888886</c:v>
                </c:pt>
                <c:pt idx="813">
                  <c:v>41791.564583333333</c:v>
                </c:pt>
                <c:pt idx="814">
                  <c:v>41791.56527777778</c:v>
                </c:pt>
                <c:pt idx="815">
                  <c:v>41791.565972222219</c:v>
                </c:pt>
                <c:pt idx="816">
                  <c:v>41791.566666666666</c:v>
                </c:pt>
                <c:pt idx="817">
                  <c:v>41791.567361111112</c:v>
                </c:pt>
                <c:pt idx="818">
                  <c:v>41791.568055555559</c:v>
                </c:pt>
                <c:pt idx="819">
                  <c:v>41791.568749999999</c:v>
                </c:pt>
                <c:pt idx="820">
                  <c:v>41791.569444444445</c:v>
                </c:pt>
                <c:pt idx="821">
                  <c:v>41791.570138888892</c:v>
                </c:pt>
                <c:pt idx="822">
                  <c:v>41791.570833333331</c:v>
                </c:pt>
                <c:pt idx="823">
                  <c:v>41791.571527777778</c:v>
                </c:pt>
                <c:pt idx="824">
                  <c:v>41791.572222222225</c:v>
                </c:pt>
                <c:pt idx="825">
                  <c:v>41791.572916666664</c:v>
                </c:pt>
                <c:pt idx="826">
                  <c:v>41791.573611111111</c:v>
                </c:pt>
                <c:pt idx="827">
                  <c:v>41791.574305555558</c:v>
                </c:pt>
                <c:pt idx="828">
                  <c:v>41791.574999999997</c:v>
                </c:pt>
                <c:pt idx="829">
                  <c:v>41791.575694444444</c:v>
                </c:pt>
                <c:pt idx="830">
                  <c:v>41791.576388888891</c:v>
                </c:pt>
                <c:pt idx="831">
                  <c:v>41791.57708333333</c:v>
                </c:pt>
                <c:pt idx="832">
                  <c:v>41791.577777777777</c:v>
                </c:pt>
                <c:pt idx="833">
                  <c:v>41791.578472222223</c:v>
                </c:pt>
                <c:pt idx="834">
                  <c:v>41791.57916666667</c:v>
                </c:pt>
                <c:pt idx="835">
                  <c:v>41791.579861111109</c:v>
                </c:pt>
                <c:pt idx="836">
                  <c:v>41791.580555555556</c:v>
                </c:pt>
                <c:pt idx="837">
                  <c:v>41791.581250000003</c:v>
                </c:pt>
                <c:pt idx="838">
                  <c:v>41791.581944444442</c:v>
                </c:pt>
                <c:pt idx="839">
                  <c:v>41791.582638888889</c:v>
                </c:pt>
                <c:pt idx="840">
                  <c:v>41791.583333333336</c:v>
                </c:pt>
                <c:pt idx="841">
                  <c:v>41791.584027777775</c:v>
                </c:pt>
                <c:pt idx="842">
                  <c:v>41791.584722222222</c:v>
                </c:pt>
                <c:pt idx="843">
                  <c:v>41791.585416666669</c:v>
                </c:pt>
                <c:pt idx="844">
                  <c:v>41791.586111111108</c:v>
                </c:pt>
                <c:pt idx="845">
                  <c:v>41791.586805555555</c:v>
                </c:pt>
                <c:pt idx="846">
                  <c:v>41791.587500000001</c:v>
                </c:pt>
                <c:pt idx="847">
                  <c:v>41791.588194444441</c:v>
                </c:pt>
                <c:pt idx="848">
                  <c:v>41791.588888888888</c:v>
                </c:pt>
                <c:pt idx="849">
                  <c:v>41791.589583333334</c:v>
                </c:pt>
                <c:pt idx="850">
                  <c:v>41791.590277777781</c:v>
                </c:pt>
                <c:pt idx="851">
                  <c:v>41791.59097222222</c:v>
                </c:pt>
                <c:pt idx="852">
                  <c:v>41791.591666666667</c:v>
                </c:pt>
                <c:pt idx="853">
                  <c:v>41791.592361111114</c:v>
                </c:pt>
                <c:pt idx="854">
                  <c:v>41791.593055555553</c:v>
                </c:pt>
                <c:pt idx="855">
                  <c:v>41791.59375</c:v>
                </c:pt>
                <c:pt idx="856">
                  <c:v>41791.594444444447</c:v>
                </c:pt>
                <c:pt idx="857">
                  <c:v>41791.595138888886</c:v>
                </c:pt>
                <c:pt idx="858">
                  <c:v>41791.595833333333</c:v>
                </c:pt>
                <c:pt idx="859">
                  <c:v>41791.59652777778</c:v>
                </c:pt>
                <c:pt idx="860">
                  <c:v>41791.597222222219</c:v>
                </c:pt>
                <c:pt idx="861">
                  <c:v>41791.597916666666</c:v>
                </c:pt>
                <c:pt idx="862">
                  <c:v>41791.598611111112</c:v>
                </c:pt>
                <c:pt idx="863">
                  <c:v>41791.599305555559</c:v>
                </c:pt>
                <c:pt idx="864">
                  <c:v>41791.599999999999</c:v>
                </c:pt>
                <c:pt idx="865">
                  <c:v>41791.600694444445</c:v>
                </c:pt>
                <c:pt idx="866">
                  <c:v>41791.601388888892</c:v>
                </c:pt>
                <c:pt idx="867">
                  <c:v>41791.602083333331</c:v>
                </c:pt>
                <c:pt idx="868">
                  <c:v>41791.602777777778</c:v>
                </c:pt>
                <c:pt idx="869">
                  <c:v>41791.603472222225</c:v>
                </c:pt>
                <c:pt idx="870">
                  <c:v>41791.604166666664</c:v>
                </c:pt>
                <c:pt idx="871">
                  <c:v>41791.604861111111</c:v>
                </c:pt>
                <c:pt idx="872">
                  <c:v>41791.605555555558</c:v>
                </c:pt>
                <c:pt idx="873">
                  <c:v>41791.606249999997</c:v>
                </c:pt>
                <c:pt idx="874">
                  <c:v>41791.606944444444</c:v>
                </c:pt>
                <c:pt idx="875">
                  <c:v>41791.607638888891</c:v>
                </c:pt>
                <c:pt idx="876">
                  <c:v>41791.60833333333</c:v>
                </c:pt>
                <c:pt idx="877">
                  <c:v>41791.609027777777</c:v>
                </c:pt>
                <c:pt idx="878">
                  <c:v>41791.609722222223</c:v>
                </c:pt>
                <c:pt idx="879">
                  <c:v>41791.61041666667</c:v>
                </c:pt>
                <c:pt idx="880">
                  <c:v>41791.611111111109</c:v>
                </c:pt>
                <c:pt idx="881">
                  <c:v>41791.611805555556</c:v>
                </c:pt>
                <c:pt idx="882">
                  <c:v>41791.612500000003</c:v>
                </c:pt>
                <c:pt idx="883">
                  <c:v>41791.613194444442</c:v>
                </c:pt>
                <c:pt idx="884">
                  <c:v>41791.613888888889</c:v>
                </c:pt>
                <c:pt idx="885">
                  <c:v>41791.614583333336</c:v>
                </c:pt>
                <c:pt idx="886">
                  <c:v>41791.615277777775</c:v>
                </c:pt>
                <c:pt idx="887">
                  <c:v>41791.615972222222</c:v>
                </c:pt>
                <c:pt idx="888">
                  <c:v>41791.616666666669</c:v>
                </c:pt>
                <c:pt idx="889">
                  <c:v>41791.617361111108</c:v>
                </c:pt>
                <c:pt idx="890">
                  <c:v>41791.618055555555</c:v>
                </c:pt>
                <c:pt idx="891">
                  <c:v>41791.618750000001</c:v>
                </c:pt>
                <c:pt idx="892">
                  <c:v>41791.619444444441</c:v>
                </c:pt>
                <c:pt idx="893">
                  <c:v>41791.620138888888</c:v>
                </c:pt>
                <c:pt idx="894">
                  <c:v>41791.620833333334</c:v>
                </c:pt>
                <c:pt idx="895">
                  <c:v>41791.621527777781</c:v>
                </c:pt>
                <c:pt idx="896">
                  <c:v>41791.62222222222</c:v>
                </c:pt>
                <c:pt idx="897">
                  <c:v>41791.622916666667</c:v>
                </c:pt>
                <c:pt idx="898">
                  <c:v>41791.623611111114</c:v>
                </c:pt>
                <c:pt idx="899">
                  <c:v>41791.624305555553</c:v>
                </c:pt>
                <c:pt idx="900">
                  <c:v>41791.625</c:v>
                </c:pt>
                <c:pt idx="901">
                  <c:v>41791.625694444447</c:v>
                </c:pt>
                <c:pt idx="902">
                  <c:v>41791.626388888886</c:v>
                </c:pt>
                <c:pt idx="903">
                  <c:v>41791.627083333333</c:v>
                </c:pt>
                <c:pt idx="904">
                  <c:v>41791.62777777778</c:v>
                </c:pt>
                <c:pt idx="905">
                  <c:v>41791.628472222219</c:v>
                </c:pt>
                <c:pt idx="906">
                  <c:v>41791.629166666666</c:v>
                </c:pt>
                <c:pt idx="907">
                  <c:v>41791.629861111112</c:v>
                </c:pt>
                <c:pt idx="908">
                  <c:v>41791.630555555559</c:v>
                </c:pt>
                <c:pt idx="909">
                  <c:v>41791.631249999999</c:v>
                </c:pt>
                <c:pt idx="910">
                  <c:v>41791.631944444445</c:v>
                </c:pt>
                <c:pt idx="911">
                  <c:v>41791.632638888892</c:v>
                </c:pt>
                <c:pt idx="912">
                  <c:v>41791.633333333331</c:v>
                </c:pt>
                <c:pt idx="913">
                  <c:v>41791.634027777778</c:v>
                </c:pt>
                <c:pt idx="914">
                  <c:v>41791.634722222225</c:v>
                </c:pt>
                <c:pt idx="915">
                  <c:v>41791.635416666664</c:v>
                </c:pt>
                <c:pt idx="916">
                  <c:v>41791.636111111111</c:v>
                </c:pt>
                <c:pt idx="917">
                  <c:v>41791.636805555558</c:v>
                </c:pt>
                <c:pt idx="918">
                  <c:v>41791.637499999997</c:v>
                </c:pt>
                <c:pt idx="919">
                  <c:v>41791.638194444444</c:v>
                </c:pt>
                <c:pt idx="920">
                  <c:v>41791.638888888891</c:v>
                </c:pt>
                <c:pt idx="921">
                  <c:v>41791.63958333333</c:v>
                </c:pt>
                <c:pt idx="922">
                  <c:v>41791.640277777777</c:v>
                </c:pt>
                <c:pt idx="923">
                  <c:v>41791.640972222223</c:v>
                </c:pt>
                <c:pt idx="924">
                  <c:v>41791.64166666667</c:v>
                </c:pt>
                <c:pt idx="925">
                  <c:v>41791.642361111109</c:v>
                </c:pt>
                <c:pt idx="926">
                  <c:v>41791.643055555556</c:v>
                </c:pt>
                <c:pt idx="927">
                  <c:v>41791.643750000003</c:v>
                </c:pt>
                <c:pt idx="928">
                  <c:v>41791.644444444442</c:v>
                </c:pt>
                <c:pt idx="929">
                  <c:v>41791.645138888889</c:v>
                </c:pt>
                <c:pt idx="930">
                  <c:v>41791.645833333336</c:v>
                </c:pt>
                <c:pt idx="931">
                  <c:v>41791.646527777775</c:v>
                </c:pt>
                <c:pt idx="932">
                  <c:v>41791.647222222222</c:v>
                </c:pt>
                <c:pt idx="933">
                  <c:v>41791.647916666669</c:v>
                </c:pt>
                <c:pt idx="934">
                  <c:v>41791.648611111108</c:v>
                </c:pt>
                <c:pt idx="935">
                  <c:v>41791.649305555555</c:v>
                </c:pt>
                <c:pt idx="936">
                  <c:v>41791.65</c:v>
                </c:pt>
                <c:pt idx="937">
                  <c:v>41791.650694444441</c:v>
                </c:pt>
                <c:pt idx="938">
                  <c:v>41791.651388888888</c:v>
                </c:pt>
                <c:pt idx="939">
                  <c:v>41791.652083333334</c:v>
                </c:pt>
                <c:pt idx="940">
                  <c:v>41791.652777777781</c:v>
                </c:pt>
                <c:pt idx="941">
                  <c:v>41791.65347222222</c:v>
                </c:pt>
                <c:pt idx="942">
                  <c:v>41791.654166666667</c:v>
                </c:pt>
                <c:pt idx="943">
                  <c:v>41791.654861111114</c:v>
                </c:pt>
                <c:pt idx="944">
                  <c:v>41791.655555555553</c:v>
                </c:pt>
                <c:pt idx="945">
                  <c:v>41791.65625</c:v>
                </c:pt>
                <c:pt idx="946">
                  <c:v>41791.656944444447</c:v>
                </c:pt>
                <c:pt idx="947">
                  <c:v>41791.657638888886</c:v>
                </c:pt>
                <c:pt idx="948">
                  <c:v>41791.658333333333</c:v>
                </c:pt>
                <c:pt idx="949">
                  <c:v>41791.65902777778</c:v>
                </c:pt>
                <c:pt idx="950">
                  <c:v>41791.659722222219</c:v>
                </c:pt>
                <c:pt idx="951">
                  <c:v>41791.660416666666</c:v>
                </c:pt>
                <c:pt idx="952">
                  <c:v>41791.661111111112</c:v>
                </c:pt>
                <c:pt idx="953">
                  <c:v>41791.661805555559</c:v>
                </c:pt>
                <c:pt idx="954">
                  <c:v>41791.662499999999</c:v>
                </c:pt>
                <c:pt idx="955">
                  <c:v>41791.663194444445</c:v>
                </c:pt>
                <c:pt idx="956">
                  <c:v>41791.663888888892</c:v>
                </c:pt>
                <c:pt idx="957">
                  <c:v>41791.664583333331</c:v>
                </c:pt>
                <c:pt idx="958">
                  <c:v>41791.665277777778</c:v>
                </c:pt>
                <c:pt idx="959">
                  <c:v>41791.665972222225</c:v>
                </c:pt>
                <c:pt idx="960">
                  <c:v>41791.666666666664</c:v>
                </c:pt>
                <c:pt idx="961">
                  <c:v>41791.667361111111</c:v>
                </c:pt>
                <c:pt idx="962">
                  <c:v>41791.668055555558</c:v>
                </c:pt>
                <c:pt idx="963">
                  <c:v>41791.668749999997</c:v>
                </c:pt>
                <c:pt idx="964">
                  <c:v>41791.669444444444</c:v>
                </c:pt>
                <c:pt idx="965">
                  <c:v>41791.670138888891</c:v>
                </c:pt>
                <c:pt idx="966">
                  <c:v>41791.67083333333</c:v>
                </c:pt>
                <c:pt idx="967">
                  <c:v>41791.671527777777</c:v>
                </c:pt>
                <c:pt idx="968">
                  <c:v>41791.672222222223</c:v>
                </c:pt>
                <c:pt idx="969">
                  <c:v>41791.67291666667</c:v>
                </c:pt>
                <c:pt idx="970">
                  <c:v>41791.673611111109</c:v>
                </c:pt>
                <c:pt idx="971">
                  <c:v>41791.674305555556</c:v>
                </c:pt>
                <c:pt idx="972">
                  <c:v>41791.675000000003</c:v>
                </c:pt>
                <c:pt idx="973">
                  <c:v>41791.675694444442</c:v>
                </c:pt>
                <c:pt idx="974">
                  <c:v>41791.676388888889</c:v>
                </c:pt>
                <c:pt idx="975">
                  <c:v>41791.677083333336</c:v>
                </c:pt>
                <c:pt idx="976">
                  <c:v>41791.677777777775</c:v>
                </c:pt>
                <c:pt idx="977">
                  <c:v>41791.678472222222</c:v>
                </c:pt>
                <c:pt idx="978">
                  <c:v>41791.679166666669</c:v>
                </c:pt>
                <c:pt idx="979">
                  <c:v>41791.679861111108</c:v>
                </c:pt>
                <c:pt idx="980">
                  <c:v>41791.680555555555</c:v>
                </c:pt>
                <c:pt idx="981">
                  <c:v>41791.681250000001</c:v>
                </c:pt>
                <c:pt idx="982">
                  <c:v>41791.681944444441</c:v>
                </c:pt>
                <c:pt idx="983">
                  <c:v>41791.682638888888</c:v>
                </c:pt>
                <c:pt idx="984">
                  <c:v>41791.683333333334</c:v>
                </c:pt>
                <c:pt idx="985">
                  <c:v>41791.684027777781</c:v>
                </c:pt>
                <c:pt idx="986">
                  <c:v>41791.68472222222</c:v>
                </c:pt>
                <c:pt idx="987">
                  <c:v>41791.685416666667</c:v>
                </c:pt>
                <c:pt idx="988">
                  <c:v>41791.686111111114</c:v>
                </c:pt>
                <c:pt idx="989">
                  <c:v>41791.686805555553</c:v>
                </c:pt>
                <c:pt idx="990">
                  <c:v>41791.6875</c:v>
                </c:pt>
                <c:pt idx="991">
                  <c:v>41791.688194444447</c:v>
                </c:pt>
                <c:pt idx="992">
                  <c:v>41791.688888888886</c:v>
                </c:pt>
                <c:pt idx="993">
                  <c:v>41791.689583333333</c:v>
                </c:pt>
                <c:pt idx="994">
                  <c:v>41791.69027777778</c:v>
                </c:pt>
                <c:pt idx="995">
                  <c:v>41791.690972222219</c:v>
                </c:pt>
                <c:pt idx="996">
                  <c:v>41791.691666666666</c:v>
                </c:pt>
                <c:pt idx="997">
                  <c:v>41791.692361111112</c:v>
                </c:pt>
                <c:pt idx="998">
                  <c:v>41791.693055555559</c:v>
                </c:pt>
                <c:pt idx="999">
                  <c:v>41791.693749999999</c:v>
                </c:pt>
                <c:pt idx="1000">
                  <c:v>41791.694444444445</c:v>
                </c:pt>
                <c:pt idx="1001">
                  <c:v>41791.695138888892</c:v>
                </c:pt>
                <c:pt idx="1002">
                  <c:v>41791.695833333331</c:v>
                </c:pt>
                <c:pt idx="1003">
                  <c:v>41791.696527777778</c:v>
                </c:pt>
                <c:pt idx="1004">
                  <c:v>41791.697222222225</c:v>
                </c:pt>
                <c:pt idx="1005">
                  <c:v>41791.697916666664</c:v>
                </c:pt>
                <c:pt idx="1006">
                  <c:v>41791.698611111111</c:v>
                </c:pt>
                <c:pt idx="1007">
                  <c:v>41791.699305555558</c:v>
                </c:pt>
                <c:pt idx="1008">
                  <c:v>41791.699999999997</c:v>
                </c:pt>
                <c:pt idx="1009">
                  <c:v>41791.700694444444</c:v>
                </c:pt>
                <c:pt idx="1010">
                  <c:v>41791.701388888891</c:v>
                </c:pt>
                <c:pt idx="1011">
                  <c:v>41791.70208333333</c:v>
                </c:pt>
                <c:pt idx="1012">
                  <c:v>41791.702777777777</c:v>
                </c:pt>
                <c:pt idx="1013">
                  <c:v>41791.703472222223</c:v>
                </c:pt>
                <c:pt idx="1014">
                  <c:v>41791.70416666667</c:v>
                </c:pt>
                <c:pt idx="1015">
                  <c:v>41791.704861111109</c:v>
                </c:pt>
                <c:pt idx="1016">
                  <c:v>41791.705555555556</c:v>
                </c:pt>
                <c:pt idx="1017">
                  <c:v>41791.706250000003</c:v>
                </c:pt>
                <c:pt idx="1018">
                  <c:v>41791.706944444442</c:v>
                </c:pt>
                <c:pt idx="1019">
                  <c:v>41791.707638888889</c:v>
                </c:pt>
                <c:pt idx="1020">
                  <c:v>41791.708333333336</c:v>
                </c:pt>
                <c:pt idx="1021">
                  <c:v>41791.709027777775</c:v>
                </c:pt>
                <c:pt idx="1022">
                  <c:v>41791.709722222222</c:v>
                </c:pt>
                <c:pt idx="1023">
                  <c:v>41791.710416666669</c:v>
                </c:pt>
                <c:pt idx="1024">
                  <c:v>41791.711111111108</c:v>
                </c:pt>
                <c:pt idx="1025">
                  <c:v>41791.711805555555</c:v>
                </c:pt>
                <c:pt idx="1026">
                  <c:v>41791.712500000001</c:v>
                </c:pt>
                <c:pt idx="1027">
                  <c:v>41791.713194444441</c:v>
                </c:pt>
                <c:pt idx="1028">
                  <c:v>41791.713888888888</c:v>
                </c:pt>
                <c:pt idx="1029">
                  <c:v>41791.714583333334</c:v>
                </c:pt>
                <c:pt idx="1030">
                  <c:v>41791.715277777781</c:v>
                </c:pt>
                <c:pt idx="1031">
                  <c:v>41791.71597222222</c:v>
                </c:pt>
                <c:pt idx="1032">
                  <c:v>41791.716666666667</c:v>
                </c:pt>
                <c:pt idx="1033">
                  <c:v>41791.717361111114</c:v>
                </c:pt>
                <c:pt idx="1034">
                  <c:v>41791.718055555553</c:v>
                </c:pt>
                <c:pt idx="1035">
                  <c:v>41791.71875</c:v>
                </c:pt>
                <c:pt idx="1036">
                  <c:v>41791.719444444447</c:v>
                </c:pt>
                <c:pt idx="1037">
                  <c:v>41791.720138888886</c:v>
                </c:pt>
                <c:pt idx="1038">
                  <c:v>41791.720833333333</c:v>
                </c:pt>
                <c:pt idx="1039">
                  <c:v>41791.72152777778</c:v>
                </c:pt>
                <c:pt idx="1040">
                  <c:v>41791.722222222219</c:v>
                </c:pt>
                <c:pt idx="1041">
                  <c:v>41791.722916666666</c:v>
                </c:pt>
                <c:pt idx="1042">
                  <c:v>41791.723611111112</c:v>
                </c:pt>
                <c:pt idx="1043">
                  <c:v>41791.724305555559</c:v>
                </c:pt>
                <c:pt idx="1044">
                  <c:v>41791.724999999999</c:v>
                </c:pt>
                <c:pt idx="1045">
                  <c:v>41791.725694444445</c:v>
                </c:pt>
                <c:pt idx="1046">
                  <c:v>41791.726388888892</c:v>
                </c:pt>
                <c:pt idx="1047">
                  <c:v>41791.727083333331</c:v>
                </c:pt>
                <c:pt idx="1048">
                  <c:v>41791.727777777778</c:v>
                </c:pt>
                <c:pt idx="1049">
                  <c:v>41791.728472222225</c:v>
                </c:pt>
                <c:pt idx="1050">
                  <c:v>41791.729166666664</c:v>
                </c:pt>
                <c:pt idx="1051">
                  <c:v>41791.729861111111</c:v>
                </c:pt>
                <c:pt idx="1052">
                  <c:v>41791.730555555558</c:v>
                </c:pt>
                <c:pt idx="1053">
                  <c:v>41791.731249999997</c:v>
                </c:pt>
                <c:pt idx="1054">
                  <c:v>41791.731944444444</c:v>
                </c:pt>
                <c:pt idx="1055">
                  <c:v>41791.732638888891</c:v>
                </c:pt>
                <c:pt idx="1056">
                  <c:v>41791.73333333333</c:v>
                </c:pt>
                <c:pt idx="1057">
                  <c:v>41791.734027777777</c:v>
                </c:pt>
                <c:pt idx="1058">
                  <c:v>41791.734722222223</c:v>
                </c:pt>
                <c:pt idx="1059">
                  <c:v>41791.73541666667</c:v>
                </c:pt>
                <c:pt idx="1060">
                  <c:v>41791.736111111109</c:v>
                </c:pt>
                <c:pt idx="1061">
                  <c:v>41791.736805555556</c:v>
                </c:pt>
                <c:pt idx="1062">
                  <c:v>41791.737500000003</c:v>
                </c:pt>
                <c:pt idx="1063">
                  <c:v>41791.738194444442</c:v>
                </c:pt>
                <c:pt idx="1064">
                  <c:v>41791.738888888889</c:v>
                </c:pt>
                <c:pt idx="1065">
                  <c:v>41791.739583333336</c:v>
                </c:pt>
                <c:pt idx="1066">
                  <c:v>41791.740277777775</c:v>
                </c:pt>
                <c:pt idx="1067">
                  <c:v>41791.740972222222</c:v>
                </c:pt>
                <c:pt idx="1068">
                  <c:v>41791.741666666669</c:v>
                </c:pt>
                <c:pt idx="1069">
                  <c:v>41791.742361111108</c:v>
                </c:pt>
                <c:pt idx="1070">
                  <c:v>41791.743055555555</c:v>
                </c:pt>
                <c:pt idx="1071">
                  <c:v>41791.743750000001</c:v>
                </c:pt>
                <c:pt idx="1072">
                  <c:v>41791.744444444441</c:v>
                </c:pt>
                <c:pt idx="1073">
                  <c:v>41791.745138888888</c:v>
                </c:pt>
                <c:pt idx="1074">
                  <c:v>41791.745833333334</c:v>
                </c:pt>
                <c:pt idx="1075">
                  <c:v>41791.746527777781</c:v>
                </c:pt>
                <c:pt idx="1076">
                  <c:v>41791.74722222222</c:v>
                </c:pt>
                <c:pt idx="1077">
                  <c:v>41791.747916666667</c:v>
                </c:pt>
                <c:pt idx="1078">
                  <c:v>41791.748611111114</c:v>
                </c:pt>
                <c:pt idx="1079">
                  <c:v>41791.749305555553</c:v>
                </c:pt>
                <c:pt idx="1080">
                  <c:v>41791.75</c:v>
                </c:pt>
                <c:pt idx="1081">
                  <c:v>41791.750694444447</c:v>
                </c:pt>
                <c:pt idx="1082">
                  <c:v>41791.751388888886</c:v>
                </c:pt>
                <c:pt idx="1083">
                  <c:v>41791.752083333333</c:v>
                </c:pt>
                <c:pt idx="1084">
                  <c:v>41791.75277777778</c:v>
                </c:pt>
                <c:pt idx="1085">
                  <c:v>41791.753472222219</c:v>
                </c:pt>
                <c:pt idx="1086">
                  <c:v>41791.754166666666</c:v>
                </c:pt>
                <c:pt idx="1087">
                  <c:v>41791.754861111112</c:v>
                </c:pt>
                <c:pt idx="1088">
                  <c:v>41791.755555555559</c:v>
                </c:pt>
                <c:pt idx="1089">
                  <c:v>41791.756249999999</c:v>
                </c:pt>
                <c:pt idx="1090">
                  <c:v>41791.756944444445</c:v>
                </c:pt>
                <c:pt idx="1091">
                  <c:v>41791.757638888892</c:v>
                </c:pt>
                <c:pt idx="1092">
                  <c:v>41791.758333333331</c:v>
                </c:pt>
                <c:pt idx="1093">
                  <c:v>41791.759027777778</c:v>
                </c:pt>
                <c:pt idx="1094">
                  <c:v>41791.759722222225</c:v>
                </c:pt>
                <c:pt idx="1095">
                  <c:v>41791.760416666664</c:v>
                </c:pt>
                <c:pt idx="1096">
                  <c:v>41791.761111111111</c:v>
                </c:pt>
                <c:pt idx="1097">
                  <c:v>41791.761805555558</c:v>
                </c:pt>
                <c:pt idx="1098">
                  <c:v>41791.762499999997</c:v>
                </c:pt>
                <c:pt idx="1099">
                  <c:v>41791.763194444444</c:v>
                </c:pt>
                <c:pt idx="1100">
                  <c:v>41791.763888888891</c:v>
                </c:pt>
                <c:pt idx="1101">
                  <c:v>41791.76458333333</c:v>
                </c:pt>
                <c:pt idx="1102">
                  <c:v>41791.765277777777</c:v>
                </c:pt>
                <c:pt idx="1103">
                  <c:v>41791.765972222223</c:v>
                </c:pt>
                <c:pt idx="1104">
                  <c:v>41791.76666666667</c:v>
                </c:pt>
                <c:pt idx="1105">
                  <c:v>41791.767361111109</c:v>
                </c:pt>
                <c:pt idx="1106">
                  <c:v>41791.768055555556</c:v>
                </c:pt>
                <c:pt idx="1107">
                  <c:v>41791.768750000003</c:v>
                </c:pt>
                <c:pt idx="1108">
                  <c:v>41791.769444444442</c:v>
                </c:pt>
                <c:pt idx="1109">
                  <c:v>41791.770138888889</c:v>
                </c:pt>
                <c:pt idx="1110">
                  <c:v>41791.770833333336</c:v>
                </c:pt>
                <c:pt idx="1111">
                  <c:v>41791.771527777775</c:v>
                </c:pt>
                <c:pt idx="1112">
                  <c:v>41791.772222222222</c:v>
                </c:pt>
                <c:pt idx="1113">
                  <c:v>41791.772916666669</c:v>
                </c:pt>
                <c:pt idx="1114">
                  <c:v>41791.773611111108</c:v>
                </c:pt>
                <c:pt idx="1115">
                  <c:v>41791.774305555555</c:v>
                </c:pt>
                <c:pt idx="1116">
                  <c:v>41791.775000000001</c:v>
                </c:pt>
                <c:pt idx="1117">
                  <c:v>41791.775694444441</c:v>
                </c:pt>
                <c:pt idx="1118">
                  <c:v>41791.776388888888</c:v>
                </c:pt>
                <c:pt idx="1119">
                  <c:v>41791.777083333334</c:v>
                </c:pt>
                <c:pt idx="1120">
                  <c:v>41791.777777777781</c:v>
                </c:pt>
                <c:pt idx="1121">
                  <c:v>41791.77847222222</c:v>
                </c:pt>
                <c:pt idx="1122">
                  <c:v>41791.779166666667</c:v>
                </c:pt>
                <c:pt idx="1123">
                  <c:v>41791.779861111114</c:v>
                </c:pt>
                <c:pt idx="1124">
                  <c:v>41791.780555555553</c:v>
                </c:pt>
                <c:pt idx="1125">
                  <c:v>41791.78125</c:v>
                </c:pt>
                <c:pt idx="1126">
                  <c:v>41791.781944444447</c:v>
                </c:pt>
                <c:pt idx="1127">
                  <c:v>41791.782638888886</c:v>
                </c:pt>
                <c:pt idx="1128">
                  <c:v>41791.783333333333</c:v>
                </c:pt>
                <c:pt idx="1129">
                  <c:v>41791.78402777778</c:v>
                </c:pt>
                <c:pt idx="1130">
                  <c:v>41791.784722222219</c:v>
                </c:pt>
                <c:pt idx="1131">
                  <c:v>41791.785416666666</c:v>
                </c:pt>
                <c:pt idx="1132">
                  <c:v>41791.786111111112</c:v>
                </c:pt>
                <c:pt idx="1133">
                  <c:v>41791.786805555559</c:v>
                </c:pt>
                <c:pt idx="1134">
                  <c:v>41791.787499999999</c:v>
                </c:pt>
                <c:pt idx="1135">
                  <c:v>41791.788194444445</c:v>
                </c:pt>
                <c:pt idx="1136">
                  <c:v>41791.788888888892</c:v>
                </c:pt>
                <c:pt idx="1137">
                  <c:v>41791.789583333331</c:v>
                </c:pt>
                <c:pt idx="1138">
                  <c:v>41791.790277777778</c:v>
                </c:pt>
                <c:pt idx="1139">
                  <c:v>41791.790972222225</c:v>
                </c:pt>
                <c:pt idx="1140">
                  <c:v>41791.791666666664</c:v>
                </c:pt>
                <c:pt idx="1141">
                  <c:v>41791.792361111111</c:v>
                </c:pt>
                <c:pt idx="1142">
                  <c:v>41791.793055555558</c:v>
                </c:pt>
                <c:pt idx="1143">
                  <c:v>41791.793749999997</c:v>
                </c:pt>
                <c:pt idx="1144">
                  <c:v>41791.794444444444</c:v>
                </c:pt>
                <c:pt idx="1145">
                  <c:v>41791.795138888891</c:v>
                </c:pt>
                <c:pt idx="1146">
                  <c:v>41791.79583333333</c:v>
                </c:pt>
                <c:pt idx="1147">
                  <c:v>41791.796527777777</c:v>
                </c:pt>
                <c:pt idx="1148">
                  <c:v>41791.797222222223</c:v>
                </c:pt>
                <c:pt idx="1149">
                  <c:v>41791.79791666667</c:v>
                </c:pt>
                <c:pt idx="1150">
                  <c:v>41791.798611111109</c:v>
                </c:pt>
                <c:pt idx="1151">
                  <c:v>41791.799305555556</c:v>
                </c:pt>
                <c:pt idx="1152">
                  <c:v>41791.800000000003</c:v>
                </c:pt>
                <c:pt idx="1153">
                  <c:v>41791.800694444442</c:v>
                </c:pt>
                <c:pt idx="1154">
                  <c:v>41791.801388888889</c:v>
                </c:pt>
                <c:pt idx="1155">
                  <c:v>41791.802083333336</c:v>
                </c:pt>
                <c:pt idx="1156">
                  <c:v>41791.802777777775</c:v>
                </c:pt>
                <c:pt idx="1157">
                  <c:v>41791.803472222222</c:v>
                </c:pt>
                <c:pt idx="1158">
                  <c:v>41791.804166666669</c:v>
                </c:pt>
                <c:pt idx="1159">
                  <c:v>41791.804861111108</c:v>
                </c:pt>
                <c:pt idx="1160">
                  <c:v>41791.805555555555</c:v>
                </c:pt>
                <c:pt idx="1161">
                  <c:v>41791.806250000001</c:v>
                </c:pt>
                <c:pt idx="1162">
                  <c:v>41791.806944444441</c:v>
                </c:pt>
                <c:pt idx="1163">
                  <c:v>41791.807638888888</c:v>
                </c:pt>
                <c:pt idx="1164">
                  <c:v>41791.808333333334</c:v>
                </c:pt>
                <c:pt idx="1165">
                  <c:v>41791.809027777781</c:v>
                </c:pt>
                <c:pt idx="1166">
                  <c:v>41791.80972222222</c:v>
                </c:pt>
                <c:pt idx="1167">
                  <c:v>41791.810416666667</c:v>
                </c:pt>
                <c:pt idx="1168">
                  <c:v>41791.811111111114</c:v>
                </c:pt>
                <c:pt idx="1169">
                  <c:v>41791.811805555553</c:v>
                </c:pt>
                <c:pt idx="1170">
                  <c:v>41791.8125</c:v>
                </c:pt>
                <c:pt idx="1171">
                  <c:v>41791.813194444447</c:v>
                </c:pt>
                <c:pt idx="1172">
                  <c:v>41791.813888888886</c:v>
                </c:pt>
                <c:pt idx="1173">
                  <c:v>41791.814583333333</c:v>
                </c:pt>
                <c:pt idx="1174">
                  <c:v>41791.81527777778</c:v>
                </c:pt>
                <c:pt idx="1175">
                  <c:v>41791.815972222219</c:v>
                </c:pt>
                <c:pt idx="1176">
                  <c:v>41791.816666666666</c:v>
                </c:pt>
                <c:pt idx="1177">
                  <c:v>41791.817361111112</c:v>
                </c:pt>
                <c:pt idx="1178">
                  <c:v>41791.818055555559</c:v>
                </c:pt>
                <c:pt idx="1179">
                  <c:v>41791.818749999999</c:v>
                </c:pt>
                <c:pt idx="1180">
                  <c:v>41791.819444444445</c:v>
                </c:pt>
                <c:pt idx="1181">
                  <c:v>41791.820138888892</c:v>
                </c:pt>
                <c:pt idx="1182">
                  <c:v>41791.820833333331</c:v>
                </c:pt>
                <c:pt idx="1183">
                  <c:v>41791.821527777778</c:v>
                </c:pt>
                <c:pt idx="1184">
                  <c:v>41791.822222222225</c:v>
                </c:pt>
                <c:pt idx="1185">
                  <c:v>41791.822916666664</c:v>
                </c:pt>
                <c:pt idx="1186">
                  <c:v>41791.823611111111</c:v>
                </c:pt>
                <c:pt idx="1187">
                  <c:v>41791.824305555558</c:v>
                </c:pt>
                <c:pt idx="1188">
                  <c:v>41791.824999999997</c:v>
                </c:pt>
                <c:pt idx="1189">
                  <c:v>41791.825694444444</c:v>
                </c:pt>
                <c:pt idx="1190">
                  <c:v>41791.826388888891</c:v>
                </c:pt>
                <c:pt idx="1191">
                  <c:v>41791.82708333333</c:v>
                </c:pt>
                <c:pt idx="1192">
                  <c:v>41791.827777777777</c:v>
                </c:pt>
                <c:pt idx="1193">
                  <c:v>41791.828472222223</c:v>
                </c:pt>
                <c:pt idx="1194">
                  <c:v>41791.82916666667</c:v>
                </c:pt>
                <c:pt idx="1195">
                  <c:v>41791.829861111109</c:v>
                </c:pt>
                <c:pt idx="1196">
                  <c:v>41791.830555555556</c:v>
                </c:pt>
                <c:pt idx="1197">
                  <c:v>41791.831250000003</c:v>
                </c:pt>
                <c:pt idx="1198">
                  <c:v>41791.831944444442</c:v>
                </c:pt>
                <c:pt idx="1199">
                  <c:v>41791.832638888889</c:v>
                </c:pt>
                <c:pt idx="1200">
                  <c:v>41791.833333333336</c:v>
                </c:pt>
                <c:pt idx="1201">
                  <c:v>41791.834027777775</c:v>
                </c:pt>
                <c:pt idx="1202">
                  <c:v>41791.834722222222</c:v>
                </c:pt>
                <c:pt idx="1203">
                  <c:v>41791.835416666669</c:v>
                </c:pt>
                <c:pt idx="1204">
                  <c:v>41791.836111111108</c:v>
                </c:pt>
                <c:pt idx="1205">
                  <c:v>41791.836805555555</c:v>
                </c:pt>
                <c:pt idx="1206">
                  <c:v>41791.837500000001</c:v>
                </c:pt>
                <c:pt idx="1207">
                  <c:v>41791.838194444441</c:v>
                </c:pt>
                <c:pt idx="1208">
                  <c:v>41791.838888888888</c:v>
                </c:pt>
                <c:pt idx="1209">
                  <c:v>41791.839583333334</c:v>
                </c:pt>
                <c:pt idx="1210">
                  <c:v>41791.840277777781</c:v>
                </c:pt>
                <c:pt idx="1211">
                  <c:v>41791.84097222222</c:v>
                </c:pt>
                <c:pt idx="1212">
                  <c:v>41791.841666666667</c:v>
                </c:pt>
                <c:pt idx="1213">
                  <c:v>41791.842361111114</c:v>
                </c:pt>
                <c:pt idx="1214">
                  <c:v>41791.843055555553</c:v>
                </c:pt>
                <c:pt idx="1215">
                  <c:v>41791.84375</c:v>
                </c:pt>
                <c:pt idx="1216">
                  <c:v>41791.844444444447</c:v>
                </c:pt>
                <c:pt idx="1217">
                  <c:v>41791.845138888886</c:v>
                </c:pt>
                <c:pt idx="1218">
                  <c:v>41791.845833333333</c:v>
                </c:pt>
                <c:pt idx="1219">
                  <c:v>41791.84652777778</c:v>
                </c:pt>
                <c:pt idx="1220">
                  <c:v>41791.847222222219</c:v>
                </c:pt>
                <c:pt idx="1221">
                  <c:v>41791.847916666666</c:v>
                </c:pt>
                <c:pt idx="1222">
                  <c:v>41791.848611111112</c:v>
                </c:pt>
                <c:pt idx="1223">
                  <c:v>41791.849305555559</c:v>
                </c:pt>
                <c:pt idx="1224">
                  <c:v>41791.85</c:v>
                </c:pt>
                <c:pt idx="1225">
                  <c:v>41791.850694444445</c:v>
                </c:pt>
                <c:pt idx="1226">
                  <c:v>41791.851388888892</c:v>
                </c:pt>
                <c:pt idx="1227">
                  <c:v>41791.852083333331</c:v>
                </c:pt>
                <c:pt idx="1228">
                  <c:v>41791.852777777778</c:v>
                </c:pt>
                <c:pt idx="1229">
                  <c:v>41791.853472222225</c:v>
                </c:pt>
                <c:pt idx="1230">
                  <c:v>41791.854166666664</c:v>
                </c:pt>
                <c:pt idx="1231">
                  <c:v>41791.854861111111</c:v>
                </c:pt>
                <c:pt idx="1232">
                  <c:v>41791.855555555558</c:v>
                </c:pt>
                <c:pt idx="1233">
                  <c:v>41791.856249999997</c:v>
                </c:pt>
                <c:pt idx="1234">
                  <c:v>41791.856944444444</c:v>
                </c:pt>
                <c:pt idx="1235">
                  <c:v>41791.857638888891</c:v>
                </c:pt>
                <c:pt idx="1236">
                  <c:v>41791.85833333333</c:v>
                </c:pt>
                <c:pt idx="1237">
                  <c:v>41791.859027777777</c:v>
                </c:pt>
                <c:pt idx="1238">
                  <c:v>41791.859722222223</c:v>
                </c:pt>
                <c:pt idx="1239">
                  <c:v>41791.86041666667</c:v>
                </c:pt>
                <c:pt idx="1240">
                  <c:v>41791.861111111109</c:v>
                </c:pt>
                <c:pt idx="1241">
                  <c:v>41791.861805555556</c:v>
                </c:pt>
                <c:pt idx="1242">
                  <c:v>41791.862500000003</c:v>
                </c:pt>
                <c:pt idx="1243">
                  <c:v>41791.863194444442</c:v>
                </c:pt>
                <c:pt idx="1244">
                  <c:v>41791.863888888889</c:v>
                </c:pt>
                <c:pt idx="1245">
                  <c:v>41791.864583333336</c:v>
                </c:pt>
                <c:pt idx="1246">
                  <c:v>41791.865277777775</c:v>
                </c:pt>
                <c:pt idx="1247">
                  <c:v>41791.865972222222</c:v>
                </c:pt>
                <c:pt idx="1248">
                  <c:v>41791.866666666669</c:v>
                </c:pt>
                <c:pt idx="1249">
                  <c:v>41791.867361111108</c:v>
                </c:pt>
                <c:pt idx="1250">
                  <c:v>41791.868055555555</c:v>
                </c:pt>
                <c:pt idx="1251">
                  <c:v>41791.868750000001</c:v>
                </c:pt>
                <c:pt idx="1252">
                  <c:v>41791.869444444441</c:v>
                </c:pt>
                <c:pt idx="1253">
                  <c:v>41791.870138888888</c:v>
                </c:pt>
                <c:pt idx="1254">
                  <c:v>41791.870833333334</c:v>
                </c:pt>
                <c:pt idx="1255">
                  <c:v>41791.871527777781</c:v>
                </c:pt>
                <c:pt idx="1256">
                  <c:v>41791.87222222222</c:v>
                </c:pt>
                <c:pt idx="1257">
                  <c:v>41791.872916666667</c:v>
                </c:pt>
                <c:pt idx="1258">
                  <c:v>41791.873611111114</c:v>
                </c:pt>
                <c:pt idx="1259">
                  <c:v>41791.874305555553</c:v>
                </c:pt>
                <c:pt idx="1260">
                  <c:v>41791.875</c:v>
                </c:pt>
                <c:pt idx="1261">
                  <c:v>41791.875694444447</c:v>
                </c:pt>
                <c:pt idx="1262">
                  <c:v>41791.876388888886</c:v>
                </c:pt>
                <c:pt idx="1263">
                  <c:v>41791.877083333333</c:v>
                </c:pt>
                <c:pt idx="1264">
                  <c:v>41791.87777777778</c:v>
                </c:pt>
                <c:pt idx="1265">
                  <c:v>41791.878472222219</c:v>
                </c:pt>
                <c:pt idx="1266">
                  <c:v>41791.879166666666</c:v>
                </c:pt>
                <c:pt idx="1267">
                  <c:v>41791.879861111112</c:v>
                </c:pt>
                <c:pt idx="1268">
                  <c:v>41791.880555555559</c:v>
                </c:pt>
                <c:pt idx="1269">
                  <c:v>41791.881249999999</c:v>
                </c:pt>
                <c:pt idx="1270">
                  <c:v>41791.881944444445</c:v>
                </c:pt>
                <c:pt idx="1271">
                  <c:v>41791.882638888892</c:v>
                </c:pt>
                <c:pt idx="1272">
                  <c:v>41791.883333333331</c:v>
                </c:pt>
                <c:pt idx="1273">
                  <c:v>41791.884027777778</c:v>
                </c:pt>
                <c:pt idx="1274">
                  <c:v>41791.884722222225</c:v>
                </c:pt>
                <c:pt idx="1275">
                  <c:v>41791.885416666664</c:v>
                </c:pt>
                <c:pt idx="1276">
                  <c:v>41791.886111111111</c:v>
                </c:pt>
                <c:pt idx="1277">
                  <c:v>41791.886805555558</c:v>
                </c:pt>
                <c:pt idx="1278">
                  <c:v>41791.887499999997</c:v>
                </c:pt>
                <c:pt idx="1279">
                  <c:v>41791.888194444444</c:v>
                </c:pt>
                <c:pt idx="1280">
                  <c:v>41791.888888888891</c:v>
                </c:pt>
                <c:pt idx="1281">
                  <c:v>41791.88958333333</c:v>
                </c:pt>
                <c:pt idx="1282">
                  <c:v>41791.890277777777</c:v>
                </c:pt>
                <c:pt idx="1283">
                  <c:v>41791.890972222223</c:v>
                </c:pt>
                <c:pt idx="1284">
                  <c:v>41791.89166666667</c:v>
                </c:pt>
                <c:pt idx="1285">
                  <c:v>41791.892361111109</c:v>
                </c:pt>
                <c:pt idx="1286">
                  <c:v>41791.893055555556</c:v>
                </c:pt>
                <c:pt idx="1287">
                  <c:v>41791.893750000003</c:v>
                </c:pt>
                <c:pt idx="1288">
                  <c:v>41791.894444444442</c:v>
                </c:pt>
                <c:pt idx="1289">
                  <c:v>41791.895138888889</c:v>
                </c:pt>
                <c:pt idx="1290">
                  <c:v>41791.895833333336</c:v>
                </c:pt>
                <c:pt idx="1291">
                  <c:v>41791.896527777775</c:v>
                </c:pt>
                <c:pt idx="1292">
                  <c:v>41791.897222222222</c:v>
                </c:pt>
                <c:pt idx="1293">
                  <c:v>41791.897916666669</c:v>
                </c:pt>
                <c:pt idx="1294">
                  <c:v>41791.898611111108</c:v>
                </c:pt>
                <c:pt idx="1295">
                  <c:v>41791.899305555555</c:v>
                </c:pt>
                <c:pt idx="1296">
                  <c:v>41791.9</c:v>
                </c:pt>
                <c:pt idx="1297">
                  <c:v>41791.900694444441</c:v>
                </c:pt>
                <c:pt idx="1298">
                  <c:v>41791.901388888888</c:v>
                </c:pt>
                <c:pt idx="1299">
                  <c:v>41791.902083333334</c:v>
                </c:pt>
                <c:pt idx="1300">
                  <c:v>41791.902777777781</c:v>
                </c:pt>
                <c:pt idx="1301">
                  <c:v>41791.90347222222</c:v>
                </c:pt>
                <c:pt idx="1302">
                  <c:v>41791.904166666667</c:v>
                </c:pt>
                <c:pt idx="1303">
                  <c:v>41791.904861111114</c:v>
                </c:pt>
                <c:pt idx="1304">
                  <c:v>41791.905555555553</c:v>
                </c:pt>
                <c:pt idx="1305">
                  <c:v>41791.90625</c:v>
                </c:pt>
                <c:pt idx="1306">
                  <c:v>41791.906944444447</c:v>
                </c:pt>
                <c:pt idx="1307">
                  <c:v>41791.907638888886</c:v>
                </c:pt>
                <c:pt idx="1308">
                  <c:v>41791.908333333333</c:v>
                </c:pt>
                <c:pt idx="1309">
                  <c:v>41791.90902777778</c:v>
                </c:pt>
                <c:pt idx="1310">
                  <c:v>41791.909722222219</c:v>
                </c:pt>
                <c:pt idx="1311">
                  <c:v>41791.910416666666</c:v>
                </c:pt>
                <c:pt idx="1312">
                  <c:v>41791.911111111112</c:v>
                </c:pt>
                <c:pt idx="1313">
                  <c:v>41791.911805555559</c:v>
                </c:pt>
                <c:pt idx="1314">
                  <c:v>41791.912499999999</c:v>
                </c:pt>
                <c:pt idx="1315">
                  <c:v>41791.913194444445</c:v>
                </c:pt>
                <c:pt idx="1316">
                  <c:v>41791.913888888892</c:v>
                </c:pt>
                <c:pt idx="1317">
                  <c:v>41791.914583333331</c:v>
                </c:pt>
                <c:pt idx="1318">
                  <c:v>41791.915277777778</c:v>
                </c:pt>
                <c:pt idx="1319">
                  <c:v>41791.915972222225</c:v>
                </c:pt>
                <c:pt idx="1320">
                  <c:v>41791.916666666664</c:v>
                </c:pt>
                <c:pt idx="1321">
                  <c:v>41791.917361111111</c:v>
                </c:pt>
                <c:pt idx="1322">
                  <c:v>41791.918055555558</c:v>
                </c:pt>
                <c:pt idx="1323">
                  <c:v>41791.918749999997</c:v>
                </c:pt>
                <c:pt idx="1324">
                  <c:v>41791.919444444444</c:v>
                </c:pt>
                <c:pt idx="1325">
                  <c:v>41791.920138888891</c:v>
                </c:pt>
                <c:pt idx="1326">
                  <c:v>41791.92083333333</c:v>
                </c:pt>
                <c:pt idx="1327">
                  <c:v>41791.921527777777</c:v>
                </c:pt>
                <c:pt idx="1328">
                  <c:v>41791.922222222223</c:v>
                </c:pt>
                <c:pt idx="1329">
                  <c:v>41791.92291666667</c:v>
                </c:pt>
                <c:pt idx="1330">
                  <c:v>41791.923611111109</c:v>
                </c:pt>
                <c:pt idx="1331">
                  <c:v>41791.924305555556</c:v>
                </c:pt>
                <c:pt idx="1332">
                  <c:v>41791.925000000003</c:v>
                </c:pt>
                <c:pt idx="1333">
                  <c:v>41791.925694444442</c:v>
                </c:pt>
                <c:pt idx="1334">
                  <c:v>41791.926388888889</c:v>
                </c:pt>
                <c:pt idx="1335">
                  <c:v>41791.927083333336</c:v>
                </c:pt>
                <c:pt idx="1336">
                  <c:v>41791.927777777775</c:v>
                </c:pt>
                <c:pt idx="1337">
                  <c:v>41791.928472222222</c:v>
                </c:pt>
                <c:pt idx="1338">
                  <c:v>41791.929166666669</c:v>
                </c:pt>
                <c:pt idx="1339">
                  <c:v>41791.929861111108</c:v>
                </c:pt>
                <c:pt idx="1340">
                  <c:v>41791.930555555555</c:v>
                </c:pt>
                <c:pt idx="1341">
                  <c:v>41791.931250000001</c:v>
                </c:pt>
                <c:pt idx="1342">
                  <c:v>41791.931944444441</c:v>
                </c:pt>
                <c:pt idx="1343">
                  <c:v>41791.932638888888</c:v>
                </c:pt>
                <c:pt idx="1344">
                  <c:v>41791.933333333334</c:v>
                </c:pt>
                <c:pt idx="1345">
                  <c:v>41791.934027777781</c:v>
                </c:pt>
                <c:pt idx="1346">
                  <c:v>41791.93472222222</c:v>
                </c:pt>
                <c:pt idx="1347">
                  <c:v>41791.935416666667</c:v>
                </c:pt>
                <c:pt idx="1348">
                  <c:v>41791.936111111114</c:v>
                </c:pt>
                <c:pt idx="1349">
                  <c:v>41791.936805555553</c:v>
                </c:pt>
                <c:pt idx="1350">
                  <c:v>41791.9375</c:v>
                </c:pt>
                <c:pt idx="1351">
                  <c:v>41791.938194444447</c:v>
                </c:pt>
                <c:pt idx="1352">
                  <c:v>41791.938888888886</c:v>
                </c:pt>
                <c:pt idx="1353">
                  <c:v>41791.939583333333</c:v>
                </c:pt>
                <c:pt idx="1354">
                  <c:v>41791.94027777778</c:v>
                </c:pt>
                <c:pt idx="1355">
                  <c:v>41791.940972222219</c:v>
                </c:pt>
                <c:pt idx="1356">
                  <c:v>41791.941666666666</c:v>
                </c:pt>
                <c:pt idx="1357">
                  <c:v>41791.942361111112</c:v>
                </c:pt>
                <c:pt idx="1358">
                  <c:v>41791.943055555559</c:v>
                </c:pt>
                <c:pt idx="1359">
                  <c:v>41791.943749999999</c:v>
                </c:pt>
                <c:pt idx="1360">
                  <c:v>41791.944444444445</c:v>
                </c:pt>
                <c:pt idx="1361">
                  <c:v>41791.945138888892</c:v>
                </c:pt>
                <c:pt idx="1362">
                  <c:v>41791.945833333331</c:v>
                </c:pt>
                <c:pt idx="1363">
                  <c:v>41791.946527777778</c:v>
                </c:pt>
                <c:pt idx="1364">
                  <c:v>41791.947222222225</c:v>
                </c:pt>
                <c:pt idx="1365">
                  <c:v>41791.947916666664</c:v>
                </c:pt>
                <c:pt idx="1366">
                  <c:v>41791.948611111111</c:v>
                </c:pt>
                <c:pt idx="1367">
                  <c:v>41791.949305555558</c:v>
                </c:pt>
                <c:pt idx="1368">
                  <c:v>41791.949999999997</c:v>
                </c:pt>
                <c:pt idx="1369">
                  <c:v>41791.950694444444</c:v>
                </c:pt>
                <c:pt idx="1370">
                  <c:v>41791.951388888891</c:v>
                </c:pt>
                <c:pt idx="1371">
                  <c:v>41791.95208333333</c:v>
                </c:pt>
                <c:pt idx="1372">
                  <c:v>41791.952777777777</c:v>
                </c:pt>
                <c:pt idx="1373">
                  <c:v>41791.953472222223</c:v>
                </c:pt>
                <c:pt idx="1374">
                  <c:v>41791.95416666667</c:v>
                </c:pt>
                <c:pt idx="1375">
                  <c:v>41791.954861111109</c:v>
                </c:pt>
                <c:pt idx="1376">
                  <c:v>41791.955555555556</c:v>
                </c:pt>
                <c:pt idx="1377">
                  <c:v>41791.956250000003</c:v>
                </c:pt>
                <c:pt idx="1378">
                  <c:v>41791.956944444442</c:v>
                </c:pt>
                <c:pt idx="1379">
                  <c:v>41791.957638888889</c:v>
                </c:pt>
                <c:pt idx="1380">
                  <c:v>41791.958333333336</c:v>
                </c:pt>
                <c:pt idx="1381">
                  <c:v>41791.959027777775</c:v>
                </c:pt>
                <c:pt idx="1382">
                  <c:v>41791.959722222222</c:v>
                </c:pt>
                <c:pt idx="1383">
                  <c:v>41791.960416666669</c:v>
                </c:pt>
                <c:pt idx="1384">
                  <c:v>41791.961111111108</c:v>
                </c:pt>
                <c:pt idx="1385">
                  <c:v>41791.961805555555</c:v>
                </c:pt>
                <c:pt idx="1386">
                  <c:v>41791.962500000001</c:v>
                </c:pt>
                <c:pt idx="1387">
                  <c:v>41791.963194444441</c:v>
                </c:pt>
                <c:pt idx="1388">
                  <c:v>41791.963888888888</c:v>
                </c:pt>
                <c:pt idx="1389">
                  <c:v>41791.964583333334</c:v>
                </c:pt>
                <c:pt idx="1390">
                  <c:v>41791.965277777781</c:v>
                </c:pt>
                <c:pt idx="1391">
                  <c:v>41791.96597222222</c:v>
                </c:pt>
                <c:pt idx="1392">
                  <c:v>41791.966666666667</c:v>
                </c:pt>
                <c:pt idx="1393">
                  <c:v>41791.967361111114</c:v>
                </c:pt>
                <c:pt idx="1394">
                  <c:v>41791.968055555553</c:v>
                </c:pt>
                <c:pt idx="1395">
                  <c:v>41791.96875</c:v>
                </c:pt>
                <c:pt idx="1396">
                  <c:v>41791.969444444447</c:v>
                </c:pt>
                <c:pt idx="1397">
                  <c:v>41791.970138888886</c:v>
                </c:pt>
                <c:pt idx="1398">
                  <c:v>41791.970833333333</c:v>
                </c:pt>
                <c:pt idx="1399">
                  <c:v>41791.97152777778</c:v>
                </c:pt>
                <c:pt idx="1400">
                  <c:v>41791.972222222219</c:v>
                </c:pt>
                <c:pt idx="1401">
                  <c:v>41791.972916666666</c:v>
                </c:pt>
                <c:pt idx="1402">
                  <c:v>41791.973611111112</c:v>
                </c:pt>
                <c:pt idx="1403">
                  <c:v>41791.974305555559</c:v>
                </c:pt>
                <c:pt idx="1404">
                  <c:v>41791.974999999999</c:v>
                </c:pt>
                <c:pt idx="1405">
                  <c:v>41791.975694444445</c:v>
                </c:pt>
                <c:pt idx="1406">
                  <c:v>41791.976388888892</c:v>
                </c:pt>
                <c:pt idx="1407">
                  <c:v>41791.977083333331</c:v>
                </c:pt>
                <c:pt idx="1408">
                  <c:v>41791.977777777778</c:v>
                </c:pt>
                <c:pt idx="1409">
                  <c:v>41791.978472222225</c:v>
                </c:pt>
                <c:pt idx="1410">
                  <c:v>41791.979166666664</c:v>
                </c:pt>
                <c:pt idx="1411">
                  <c:v>41791.979861111111</c:v>
                </c:pt>
                <c:pt idx="1412">
                  <c:v>41791.980555555558</c:v>
                </c:pt>
                <c:pt idx="1413">
                  <c:v>41791.981249999997</c:v>
                </c:pt>
                <c:pt idx="1414">
                  <c:v>41791.981944444444</c:v>
                </c:pt>
                <c:pt idx="1415">
                  <c:v>41791.982638888891</c:v>
                </c:pt>
                <c:pt idx="1416">
                  <c:v>41791.98333333333</c:v>
                </c:pt>
                <c:pt idx="1417">
                  <c:v>41791.984027777777</c:v>
                </c:pt>
                <c:pt idx="1418">
                  <c:v>41791.984722222223</c:v>
                </c:pt>
                <c:pt idx="1419">
                  <c:v>41791.98541666667</c:v>
                </c:pt>
                <c:pt idx="1420">
                  <c:v>41791.986111111109</c:v>
                </c:pt>
                <c:pt idx="1421">
                  <c:v>41791.986805555556</c:v>
                </c:pt>
                <c:pt idx="1422">
                  <c:v>41791.987500000003</c:v>
                </c:pt>
                <c:pt idx="1423">
                  <c:v>41791.988194444442</c:v>
                </c:pt>
                <c:pt idx="1424">
                  <c:v>41791.988888888889</c:v>
                </c:pt>
                <c:pt idx="1425">
                  <c:v>41791.989583333336</c:v>
                </c:pt>
                <c:pt idx="1426">
                  <c:v>41791.990277777775</c:v>
                </c:pt>
                <c:pt idx="1427">
                  <c:v>41791.990972222222</c:v>
                </c:pt>
                <c:pt idx="1428">
                  <c:v>41791.991666666669</c:v>
                </c:pt>
                <c:pt idx="1429">
                  <c:v>41791.992361111108</c:v>
                </c:pt>
                <c:pt idx="1430">
                  <c:v>41791.993055555555</c:v>
                </c:pt>
                <c:pt idx="1431">
                  <c:v>41791.993750000001</c:v>
                </c:pt>
                <c:pt idx="1432">
                  <c:v>41791.994444444441</c:v>
                </c:pt>
                <c:pt idx="1433">
                  <c:v>41791.995138888888</c:v>
                </c:pt>
                <c:pt idx="1434">
                  <c:v>41791.995833333334</c:v>
                </c:pt>
                <c:pt idx="1435">
                  <c:v>41791.996527777781</c:v>
                </c:pt>
                <c:pt idx="1436">
                  <c:v>41791.99722222222</c:v>
                </c:pt>
                <c:pt idx="1437">
                  <c:v>41791.997916666667</c:v>
                </c:pt>
                <c:pt idx="1438">
                  <c:v>41791.998611111114</c:v>
                </c:pt>
                <c:pt idx="1439">
                  <c:v>41791.999305555553</c:v>
                </c:pt>
              </c:numCache>
            </c:numRef>
          </c:xVal>
          <c:yVal>
            <c:numRef>
              <c:f>Sheet1!$C$2:$C$1441</c:f>
              <c:numCache>
                <c:formatCode>General</c:formatCode>
                <c:ptCount val="1440"/>
                <c:pt idx="0">
                  <c:v>3.48</c:v>
                </c:pt>
                <c:pt idx="1">
                  <c:v>2.4900000000000002</c:v>
                </c:pt>
                <c:pt idx="2">
                  <c:v>2.16</c:v>
                </c:pt>
                <c:pt idx="3">
                  <c:v>1.84</c:v>
                </c:pt>
                <c:pt idx="4">
                  <c:v>2.4900000000000002</c:v>
                </c:pt>
                <c:pt idx="5">
                  <c:v>3.15</c:v>
                </c:pt>
                <c:pt idx="6">
                  <c:v>2.66</c:v>
                </c:pt>
                <c:pt idx="7">
                  <c:v>2.16</c:v>
                </c:pt>
                <c:pt idx="8">
                  <c:v>2.16</c:v>
                </c:pt>
                <c:pt idx="9">
                  <c:v>2.16</c:v>
                </c:pt>
                <c:pt idx="10">
                  <c:v>3.31</c:v>
                </c:pt>
                <c:pt idx="11">
                  <c:v>4.46</c:v>
                </c:pt>
                <c:pt idx="12">
                  <c:v>3.48</c:v>
                </c:pt>
                <c:pt idx="13">
                  <c:v>2.4900000000000002</c:v>
                </c:pt>
                <c:pt idx="14">
                  <c:v>2.4900000000000002</c:v>
                </c:pt>
                <c:pt idx="15">
                  <c:v>2.4900000000000002</c:v>
                </c:pt>
                <c:pt idx="16">
                  <c:v>2.4900000000000002</c:v>
                </c:pt>
                <c:pt idx="17">
                  <c:v>2.4900000000000002</c:v>
                </c:pt>
                <c:pt idx="18">
                  <c:v>2.33</c:v>
                </c:pt>
                <c:pt idx="19">
                  <c:v>2.16</c:v>
                </c:pt>
                <c:pt idx="20">
                  <c:v>2.66</c:v>
                </c:pt>
                <c:pt idx="21">
                  <c:v>3.15</c:v>
                </c:pt>
                <c:pt idx="22">
                  <c:v>2.98</c:v>
                </c:pt>
                <c:pt idx="23">
                  <c:v>2.82</c:v>
                </c:pt>
                <c:pt idx="24">
                  <c:v>2.4900000000000002</c:v>
                </c:pt>
                <c:pt idx="25">
                  <c:v>2.16</c:v>
                </c:pt>
                <c:pt idx="26">
                  <c:v>2.4900000000000002</c:v>
                </c:pt>
                <c:pt idx="27">
                  <c:v>2.82</c:v>
                </c:pt>
                <c:pt idx="28">
                  <c:v>2.66</c:v>
                </c:pt>
                <c:pt idx="29">
                  <c:v>2.4900000000000002</c:v>
                </c:pt>
                <c:pt idx="30">
                  <c:v>2.4900000000000002</c:v>
                </c:pt>
                <c:pt idx="31">
                  <c:v>2.4900000000000002</c:v>
                </c:pt>
                <c:pt idx="32">
                  <c:v>2.82</c:v>
                </c:pt>
                <c:pt idx="33">
                  <c:v>3.15</c:v>
                </c:pt>
                <c:pt idx="34">
                  <c:v>2.4900000000000002</c:v>
                </c:pt>
                <c:pt idx="35">
                  <c:v>1.84</c:v>
                </c:pt>
                <c:pt idx="36">
                  <c:v>2.4900000000000002</c:v>
                </c:pt>
                <c:pt idx="37">
                  <c:v>3.15</c:v>
                </c:pt>
                <c:pt idx="38">
                  <c:v>2.98</c:v>
                </c:pt>
                <c:pt idx="39">
                  <c:v>2.82</c:v>
                </c:pt>
                <c:pt idx="40">
                  <c:v>2.33</c:v>
                </c:pt>
                <c:pt idx="41">
                  <c:v>1.84</c:v>
                </c:pt>
                <c:pt idx="42">
                  <c:v>2.33</c:v>
                </c:pt>
                <c:pt idx="43">
                  <c:v>2.82</c:v>
                </c:pt>
                <c:pt idx="44">
                  <c:v>2.66</c:v>
                </c:pt>
                <c:pt idx="45">
                  <c:v>2.4900000000000002</c:v>
                </c:pt>
                <c:pt idx="46">
                  <c:v>2.4900000000000002</c:v>
                </c:pt>
                <c:pt idx="47">
                  <c:v>2.4900000000000002</c:v>
                </c:pt>
                <c:pt idx="48">
                  <c:v>2.66</c:v>
                </c:pt>
                <c:pt idx="49">
                  <c:v>2.82</c:v>
                </c:pt>
                <c:pt idx="50">
                  <c:v>2.98</c:v>
                </c:pt>
                <c:pt idx="51">
                  <c:v>3.15</c:v>
                </c:pt>
                <c:pt idx="52">
                  <c:v>2.82</c:v>
                </c:pt>
                <c:pt idx="53">
                  <c:v>2.4900000000000002</c:v>
                </c:pt>
                <c:pt idx="54">
                  <c:v>3.97</c:v>
                </c:pt>
                <c:pt idx="55">
                  <c:v>5.45</c:v>
                </c:pt>
                <c:pt idx="56">
                  <c:v>4.3</c:v>
                </c:pt>
                <c:pt idx="57">
                  <c:v>3.15</c:v>
                </c:pt>
                <c:pt idx="58">
                  <c:v>2.82</c:v>
                </c:pt>
                <c:pt idx="59">
                  <c:v>2.4900000000000002</c:v>
                </c:pt>
                <c:pt idx="60">
                  <c:v>2.82</c:v>
                </c:pt>
                <c:pt idx="61">
                  <c:v>3.15</c:v>
                </c:pt>
                <c:pt idx="62">
                  <c:v>3.15</c:v>
                </c:pt>
                <c:pt idx="63">
                  <c:v>3.15</c:v>
                </c:pt>
                <c:pt idx="64">
                  <c:v>3.97</c:v>
                </c:pt>
                <c:pt idx="65">
                  <c:v>4.79</c:v>
                </c:pt>
                <c:pt idx="66">
                  <c:v>3.81</c:v>
                </c:pt>
                <c:pt idx="67">
                  <c:v>2.82</c:v>
                </c:pt>
                <c:pt idx="68">
                  <c:v>2.4900000000000002</c:v>
                </c:pt>
                <c:pt idx="69">
                  <c:v>2.16</c:v>
                </c:pt>
                <c:pt idx="70">
                  <c:v>2.33</c:v>
                </c:pt>
                <c:pt idx="71">
                  <c:v>2.4900000000000002</c:v>
                </c:pt>
                <c:pt idx="72">
                  <c:v>2.33</c:v>
                </c:pt>
                <c:pt idx="73">
                  <c:v>2.16</c:v>
                </c:pt>
                <c:pt idx="74">
                  <c:v>2.4900000000000002</c:v>
                </c:pt>
                <c:pt idx="75">
                  <c:v>2.82</c:v>
                </c:pt>
                <c:pt idx="76">
                  <c:v>2.82</c:v>
                </c:pt>
                <c:pt idx="77">
                  <c:v>2.82</c:v>
                </c:pt>
                <c:pt idx="78">
                  <c:v>2.66</c:v>
                </c:pt>
                <c:pt idx="79">
                  <c:v>2.4900000000000002</c:v>
                </c:pt>
                <c:pt idx="80">
                  <c:v>2.66</c:v>
                </c:pt>
                <c:pt idx="81">
                  <c:v>2.82</c:v>
                </c:pt>
                <c:pt idx="82">
                  <c:v>2.66</c:v>
                </c:pt>
                <c:pt idx="83">
                  <c:v>2.4900000000000002</c:v>
                </c:pt>
                <c:pt idx="84">
                  <c:v>4.13</c:v>
                </c:pt>
                <c:pt idx="85">
                  <c:v>5.78</c:v>
                </c:pt>
                <c:pt idx="86">
                  <c:v>4.46</c:v>
                </c:pt>
                <c:pt idx="87">
                  <c:v>3.15</c:v>
                </c:pt>
                <c:pt idx="88">
                  <c:v>2.66</c:v>
                </c:pt>
                <c:pt idx="89">
                  <c:v>2.16</c:v>
                </c:pt>
                <c:pt idx="90">
                  <c:v>2.33</c:v>
                </c:pt>
                <c:pt idx="91">
                  <c:v>2.4900000000000002</c:v>
                </c:pt>
                <c:pt idx="92">
                  <c:v>2.16</c:v>
                </c:pt>
                <c:pt idx="93">
                  <c:v>1.84</c:v>
                </c:pt>
                <c:pt idx="94">
                  <c:v>2.66</c:v>
                </c:pt>
                <c:pt idx="95">
                  <c:v>3.48</c:v>
                </c:pt>
                <c:pt idx="96">
                  <c:v>2.82</c:v>
                </c:pt>
                <c:pt idx="97">
                  <c:v>2.16</c:v>
                </c:pt>
                <c:pt idx="98">
                  <c:v>2.82</c:v>
                </c:pt>
                <c:pt idx="99">
                  <c:v>3.48</c:v>
                </c:pt>
                <c:pt idx="100">
                  <c:v>2.4900000000000002</c:v>
                </c:pt>
                <c:pt idx="101">
                  <c:v>1.51</c:v>
                </c:pt>
                <c:pt idx="102">
                  <c:v>3.15</c:v>
                </c:pt>
                <c:pt idx="103">
                  <c:v>4.79</c:v>
                </c:pt>
                <c:pt idx="104">
                  <c:v>3.97</c:v>
                </c:pt>
                <c:pt idx="105">
                  <c:v>3.15</c:v>
                </c:pt>
                <c:pt idx="106">
                  <c:v>2.66</c:v>
                </c:pt>
                <c:pt idx="107">
                  <c:v>2.16</c:v>
                </c:pt>
                <c:pt idx="108">
                  <c:v>2.16</c:v>
                </c:pt>
                <c:pt idx="109">
                  <c:v>2.16</c:v>
                </c:pt>
                <c:pt idx="110">
                  <c:v>2.4900000000000002</c:v>
                </c:pt>
                <c:pt idx="111">
                  <c:v>2.82</c:v>
                </c:pt>
                <c:pt idx="112">
                  <c:v>2.66</c:v>
                </c:pt>
                <c:pt idx="113">
                  <c:v>2.4900000000000002</c:v>
                </c:pt>
                <c:pt idx="114">
                  <c:v>3.15</c:v>
                </c:pt>
                <c:pt idx="115">
                  <c:v>3.81</c:v>
                </c:pt>
                <c:pt idx="116">
                  <c:v>3.15</c:v>
                </c:pt>
                <c:pt idx="117">
                  <c:v>2.4900000000000002</c:v>
                </c:pt>
                <c:pt idx="118">
                  <c:v>2.4900000000000002</c:v>
                </c:pt>
                <c:pt idx="119">
                  <c:v>2.4900000000000002</c:v>
                </c:pt>
                <c:pt idx="120">
                  <c:v>2.33</c:v>
                </c:pt>
                <c:pt idx="121">
                  <c:v>2.16</c:v>
                </c:pt>
                <c:pt idx="122">
                  <c:v>2.4900000000000002</c:v>
                </c:pt>
                <c:pt idx="123">
                  <c:v>2.82</c:v>
                </c:pt>
                <c:pt idx="124">
                  <c:v>2.66</c:v>
                </c:pt>
                <c:pt idx="125">
                  <c:v>2.4900000000000002</c:v>
                </c:pt>
                <c:pt idx="126">
                  <c:v>2.33</c:v>
                </c:pt>
                <c:pt idx="127">
                  <c:v>2.16</c:v>
                </c:pt>
                <c:pt idx="128">
                  <c:v>2</c:v>
                </c:pt>
                <c:pt idx="129">
                  <c:v>1.84</c:v>
                </c:pt>
                <c:pt idx="130">
                  <c:v>1.67</c:v>
                </c:pt>
                <c:pt idx="131">
                  <c:v>1.51</c:v>
                </c:pt>
                <c:pt idx="132">
                  <c:v>1.67</c:v>
                </c:pt>
                <c:pt idx="133">
                  <c:v>1.84</c:v>
                </c:pt>
                <c:pt idx="134">
                  <c:v>2.16</c:v>
                </c:pt>
                <c:pt idx="135">
                  <c:v>2.4900000000000002</c:v>
                </c:pt>
                <c:pt idx="136">
                  <c:v>2.4900000000000002</c:v>
                </c:pt>
                <c:pt idx="137">
                  <c:v>2.4900000000000002</c:v>
                </c:pt>
                <c:pt idx="138">
                  <c:v>2.16</c:v>
                </c:pt>
                <c:pt idx="139">
                  <c:v>1.84</c:v>
                </c:pt>
                <c:pt idx="140">
                  <c:v>2.4900000000000002</c:v>
                </c:pt>
                <c:pt idx="141">
                  <c:v>3.15</c:v>
                </c:pt>
                <c:pt idx="142">
                  <c:v>2.82</c:v>
                </c:pt>
                <c:pt idx="143">
                  <c:v>2.4900000000000002</c:v>
                </c:pt>
                <c:pt idx="144">
                  <c:v>2.4900000000000002</c:v>
                </c:pt>
                <c:pt idx="145">
                  <c:v>2.4900000000000002</c:v>
                </c:pt>
                <c:pt idx="146">
                  <c:v>2.82</c:v>
                </c:pt>
                <c:pt idx="147">
                  <c:v>3.15</c:v>
                </c:pt>
                <c:pt idx="148">
                  <c:v>2.33</c:v>
                </c:pt>
                <c:pt idx="149">
                  <c:v>1.51</c:v>
                </c:pt>
                <c:pt idx="150">
                  <c:v>2</c:v>
                </c:pt>
                <c:pt idx="151">
                  <c:v>2.4900000000000002</c:v>
                </c:pt>
                <c:pt idx="152">
                  <c:v>2.4900000000000002</c:v>
                </c:pt>
                <c:pt idx="153">
                  <c:v>2.4900000000000002</c:v>
                </c:pt>
                <c:pt idx="154">
                  <c:v>2.4900000000000002</c:v>
                </c:pt>
                <c:pt idx="155">
                  <c:v>2.4900000000000002</c:v>
                </c:pt>
                <c:pt idx="156">
                  <c:v>2.66</c:v>
                </c:pt>
                <c:pt idx="157">
                  <c:v>2.82</c:v>
                </c:pt>
                <c:pt idx="158">
                  <c:v>2.82</c:v>
                </c:pt>
                <c:pt idx="159">
                  <c:v>2.82</c:v>
                </c:pt>
                <c:pt idx="160">
                  <c:v>3.97</c:v>
                </c:pt>
                <c:pt idx="161">
                  <c:v>5.12</c:v>
                </c:pt>
                <c:pt idx="162">
                  <c:v>3.81</c:v>
                </c:pt>
                <c:pt idx="163">
                  <c:v>2.4900000000000002</c:v>
                </c:pt>
                <c:pt idx="164">
                  <c:v>2.16</c:v>
                </c:pt>
                <c:pt idx="165">
                  <c:v>1.84</c:v>
                </c:pt>
                <c:pt idx="166">
                  <c:v>2.4900000000000002</c:v>
                </c:pt>
                <c:pt idx="167">
                  <c:v>3.15</c:v>
                </c:pt>
                <c:pt idx="168">
                  <c:v>2.82</c:v>
                </c:pt>
                <c:pt idx="169">
                  <c:v>2.4900000000000002</c:v>
                </c:pt>
                <c:pt idx="170">
                  <c:v>2.66</c:v>
                </c:pt>
                <c:pt idx="171">
                  <c:v>2.82</c:v>
                </c:pt>
                <c:pt idx="172">
                  <c:v>2.33</c:v>
                </c:pt>
                <c:pt idx="173">
                  <c:v>1.84</c:v>
                </c:pt>
                <c:pt idx="174">
                  <c:v>2.16</c:v>
                </c:pt>
                <c:pt idx="175">
                  <c:v>2.4900000000000002</c:v>
                </c:pt>
                <c:pt idx="176">
                  <c:v>2.4900000000000002</c:v>
                </c:pt>
                <c:pt idx="177">
                  <c:v>2.4900000000000002</c:v>
                </c:pt>
                <c:pt idx="178">
                  <c:v>3.48</c:v>
                </c:pt>
                <c:pt idx="179">
                  <c:v>4.46</c:v>
                </c:pt>
                <c:pt idx="180">
                  <c:v>3.64</c:v>
                </c:pt>
                <c:pt idx="181">
                  <c:v>2.82</c:v>
                </c:pt>
                <c:pt idx="182">
                  <c:v>2.98</c:v>
                </c:pt>
                <c:pt idx="183">
                  <c:v>3.15</c:v>
                </c:pt>
                <c:pt idx="184">
                  <c:v>2.98</c:v>
                </c:pt>
                <c:pt idx="185">
                  <c:v>2.82</c:v>
                </c:pt>
                <c:pt idx="186">
                  <c:v>2.33</c:v>
                </c:pt>
                <c:pt idx="187">
                  <c:v>1.84</c:v>
                </c:pt>
                <c:pt idx="188">
                  <c:v>2.4900000000000002</c:v>
                </c:pt>
                <c:pt idx="189">
                  <c:v>3.15</c:v>
                </c:pt>
                <c:pt idx="190">
                  <c:v>3.81</c:v>
                </c:pt>
                <c:pt idx="191">
                  <c:v>4.46</c:v>
                </c:pt>
                <c:pt idx="192">
                  <c:v>3.64</c:v>
                </c:pt>
                <c:pt idx="193">
                  <c:v>2.82</c:v>
                </c:pt>
                <c:pt idx="194">
                  <c:v>2.66</c:v>
                </c:pt>
                <c:pt idx="195">
                  <c:v>2.4900000000000002</c:v>
                </c:pt>
                <c:pt idx="196">
                  <c:v>2.33</c:v>
                </c:pt>
                <c:pt idx="197">
                  <c:v>2.16</c:v>
                </c:pt>
                <c:pt idx="198">
                  <c:v>2.33</c:v>
                </c:pt>
                <c:pt idx="199">
                  <c:v>2.4900000000000002</c:v>
                </c:pt>
                <c:pt idx="200">
                  <c:v>2.4900000000000002</c:v>
                </c:pt>
                <c:pt idx="201">
                  <c:v>2.4900000000000002</c:v>
                </c:pt>
                <c:pt idx="202">
                  <c:v>2.82</c:v>
                </c:pt>
                <c:pt idx="203">
                  <c:v>3.15</c:v>
                </c:pt>
                <c:pt idx="204">
                  <c:v>2.82</c:v>
                </c:pt>
                <c:pt idx="205">
                  <c:v>2.4900000000000002</c:v>
                </c:pt>
                <c:pt idx="206">
                  <c:v>2.4900000000000002</c:v>
                </c:pt>
                <c:pt idx="207">
                  <c:v>2.4900000000000002</c:v>
                </c:pt>
                <c:pt idx="208">
                  <c:v>2.4900000000000002</c:v>
                </c:pt>
                <c:pt idx="209">
                  <c:v>2.4900000000000002</c:v>
                </c:pt>
                <c:pt idx="210">
                  <c:v>2.98</c:v>
                </c:pt>
                <c:pt idx="211">
                  <c:v>3.48</c:v>
                </c:pt>
                <c:pt idx="212">
                  <c:v>2.98</c:v>
                </c:pt>
                <c:pt idx="213">
                  <c:v>2.4900000000000002</c:v>
                </c:pt>
                <c:pt idx="214">
                  <c:v>2.82</c:v>
                </c:pt>
                <c:pt idx="215">
                  <c:v>3.15</c:v>
                </c:pt>
                <c:pt idx="216">
                  <c:v>3.97</c:v>
                </c:pt>
                <c:pt idx="217">
                  <c:v>4.79</c:v>
                </c:pt>
                <c:pt idx="218">
                  <c:v>5.94</c:v>
                </c:pt>
                <c:pt idx="219">
                  <c:v>7.09</c:v>
                </c:pt>
                <c:pt idx="220">
                  <c:v>6.92</c:v>
                </c:pt>
                <c:pt idx="221">
                  <c:v>6.76</c:v>
                </c:pt>
                <c:pt idx="222">
                  <c:v>5.78</c:v>
                </c:pt>
                <c:pt idx="223">
                  <c:v>4.79</c:v>
                </c:pt>
                <c:pt idx="224">
                  <c:v>4.13</c:v>
                </c:pt>
                <c:pt idx="225">
                  <c:v>3.48</c:v>
                </c:pt>
                <c:pt idx="226">
                  <c:v>3.64</c:v>
                </c:pt>
                <c:pt idx="227">
                  <c:v>3.81</c:v>
                </c:pt>
                <c:pt idx="228">
                  <c:v>5.94</c:v>
                </c:pt>
                <c:pt idx="229">
                  <c:v>8.07</c:v>
                </c:pt>
                <c:pt idx="230">
                  <c:v>6.1</c:v>
                </c:pt>
                <c:pt idx="231">
                  <c:v>4.13</c:v>
                </c:pt>
                <c:pt idx="232">
                  <c:v>6.6</c:v>
                </c:pt>
                <c:pt idx="233">
                  <c:v>9.06</c:v>
                </c:pt>
                <c:pt idx="234">
                  <c:v>9.2200000000000006</c:v>
                </c:pt>
                <c:pt idx="235">
                  <c:v>9.39</c:v>
                </c:pt>
                <c:pt idx="236">
                  <c:v>10.37</c:v>
                </c:pt>
                <c:pt idx="237">
                  <c:v>11.36</c:v>
                </c:pt>
                <c:pt idx="238">
                  <c:v>11.36</c:v>
                </c:pt>
                <c:pt idx="239">
                  <c:v>11.36</c:v>
                </c:pt>
                <c:pt idx="240">
                  <c:v>12.18</c:v>
                </c:pt>
                <c:pt idx="241">
                  <c:v>13</c:v>
                </c:pt>
                <c:pt idx="242">
                  <c:v>11.68</c:v>
                </c:pt>
                <c:pt idx="243">
                  <c:v>10.37</c:v>
                </c:pt>
                <c:pt idx="244">
                  <c:v>9.7100000000000009</c:v>
                </c:pt>
                <c:pt idx="245">
                  <c:v>9.06</c:v>
                </c:pt>
                <c:pt idx="246">
                  <c:v>9.8800000000000008</c:v>
                </c:pt>
                <c:pt idx="247">
                  <c:v>10.7</c:v>
                </c:pt>
                <c:pt idx="248">
                  <c:v>11.85</c:v>
                </c:pt>
                <c:pt idx="249">
                  <c:v>13</c:v>
                </c:pt>
                <c:pt idx="250">
                  <c:v>13.82</c:v>
                </c:pt>
                <c:pt idx="251">
                  <c:v>14.64</c:v>
                </c:pt>
                <c:pt idx="252">
                  <c:v>16.12</c:v>
                </c:pt>
                <c:pt idx="253">
                  <c:v>17.59</c:v>
                </c:pt>
                <c:pt idx="254">
                  <c:v>17.43</c:v>
                </c:pt>
                <c:pt idx="255">
                  <c:v>17.260000000000002</c:v>
                </c:pt>
                <c:pt idx="256">
                  <c:v>17.760000000000002</c:v>
                </c:pt>
                <c:pt idx="257">
                  <c:v>18.25</c:v>
                </c:pt>
                <c:pt idx="258">
                  <c:v>20.05</c:v>
                </c:pt>
                <c:pt idx="259">
                  <c:v>21.86</c:v>
                </c:pt>
                <c:pt idx="260">
                  <c:v>22.68</c:v>
                </c:pt>
                <c:pt idx="261">
                  <c:v>23.5</c:v>
                </c:pt>
                <c:pt idx="262">
                  <c:v>24.16</c:v>
                </c:pt>
                <c:pt idx="263">
                  <c:v>24.81</c:v>
                </c:pt>
                <c:pt idx="264">
                  <c:v>24.98</c:v>
                </c:pt>
                <c:pt idx="265">
                  <c:v>25.14</c:v>
                </c:pt>
                <c:pt idx="266">
                  <c:v>26.29</c:v>
                </c:pt>
                <c:pt idx="267">
                  <c:v>27.44</c:v>
                </c:pt>
                <c:pt idx="268">
                  <c:v>27.11</c:v>
                </c:pt>
                <c:pt idx="269">
                  <c:v>26.78</c:v>
                </c:pt>
                <c:pt idx="270">
                  <c:v>28.1</c:v>
                </c:pt>
                <c:pt idx="271">
                  <c:v>29.41</c:v>
                </c:pt>
                <c:pt idx="272">
                  <c:v>31.71</c:v>
                </c:pt>
                <c:pt idx="273">
                  <c:v>34.01</c:v>
                </c:pt>
                <c:pt idx="274">
                  <c:v>34.5</c:v>
                </c:pt>
                <c:pt idx="275">
                  <c:v>34.99</c:v>
                </c:pt>
                <c:pt idx="276">
                  <c:v>36.799999999999997</c:v>
                </c:pt>
                <c:pt idx="277">
                  <c:v>38.6</c:v>
                </c:pt>
                <c:pt idx="278">
                  <c:v>39.26</c:v>
                </c:pt>
                <c:pt idx="279">
                  <c:v>39.92</c:v>
                </c:pt>
                <c:pt idx="280">
                  <c:v>39.090000000000003</c:v>
                </c:pt>
                <c:pt idx="281">
                  <c:v>38.270000000000003</c:v>
                </c:pt>
                <c:pt idx="282">
                  <c:v>37.619999999999997</c:v>
                </c:pt>
                <c:pt idx="283">
                  <c:v>36.96</c:v>
                </c:pt>
                <c:pt idx="284">
                  <c:v>38.11</c:v>
                </c:pt>
                <c:pt idx="285">
                  <c:v>39.26</c:v>
                </c:pt>
                <c:pt idx="286">
                  <c:v>39.590000000000003</c:v>
                </c:pt>
                <c:pt idx="287">
                  <c:v>39.92</c:v>
                </c:pt>
                <c:pt idx="288">
                  <c:v>40.409999999999997</c:v>
                </c:pt>
                <c:pt idx="289">
                  <c:v>40.9</c:v>
                </c:pt>
                <c:pt idx="290">
                  <c:v>41.39</c:v>
                </c:pt>
                <c:pt idx="291">
                  <c:v>41.89</c:v>
                </c:pt>
                <c:pt idx="292">
                  <c:v>41.72</c:v>
                </c:pt>
                <c:pt idx="293">
                  <c:v>41.56</c:v>
                </c:pt>
                <c:pt idx="294">
                  <c:v>40.74</c:v>
                </c:pt>
                <c:pt idx="295">
                  <c:v>39.92</c:v>
                </c:pt>
                <c:pt idx="296">
                  <c:v>42.05</c:v>
                </c:pt>
                <c:pt idx="297">
                  <c:v>44.18</c:v>
                </c:pt>
                <c:pt idx="298">
                  <c:v>45.82</c:v>
                </c:pt>
                <c:pt idx="299">
                  <c:v>47.47</c:v>
                </c:pt>
                <c:pt idx="300">
                  <c:v>47.79</c:v>
                </c:pt>
                <c:pt idx="301">
                  <c:v>48.12</c:v>
                </c:pt>
                <c:pt idx="302">
                  <c:v>50.58</c:v>
                </c:pt>
                <c:pt idx="303">
                  <c:v>53.05</c:v>
                </c:pt>
                <c:pt idx="304">
                  <c:v>53.05</c:v>
                </c:pt>
                <c:pt idx="305">
                  <c:v>53.05</c:v>
                </c:pt>
                <c:pt idx="306">
                  <c:v>53.05</c:v>
                </c:pt>
                <c:pt idx="307">
                  <c:v>53.05</c:v>
                </c:pt>
                <c:pt idx="308">
                  <c:v>56.33</c:v>
                </c:pt>
                <c:pt idx="309">
                  <c:v>59.61</c:v>
                </c:pt>
                <c:pt idx="310">
                  <c:v>63.06</c:v>
                </c:pt>
                <c:pt idx="311">
                  <c:v>66.510000000000005</c:v>
                </c:pt>
                <c:pt idx="312">
                  <c:v>68.31</c:v>
                </c:pt>
                <c:pt idx="313">
                  <c:v>70.12</c:v>
                </c:pt>
                <c:pt idx="314">
                  <c:v>69.459999999999994</c:v>
                </c:pt>
                <c:pt idx="315">
                  <c:v>68.8</c:v>
                </c:pt>
                <c:pt idx="316">
                  <c:v>69.790000000000006</c:v>
                </c:pt>
                <c:pt idx="317">
                  <c:v>70.77</c:v>
                </c:pt>
                <c:pt idx="318">
                  <c:v>71.430000000000007</c:v>
                </c:pt>
                <c:pt idx="319">
                  <c:v>72.09</c:v>
                </c:pt>
                <c:pt idx="320">
                  <c:v>73.73</c:v>
                </c:pt>
                <c:pt idx="321">
                  <c:v>75.37</c:v>
                </c:pt>
                <c:pt idx="322">
                  <c:v>75.37</c:v>
                </c:pt>
                <c:pt idx="323">
                  <c:v>75.37</c:v>
                </c:pt>
                <c:pt idx="324">
                  <c:v>75.7</c:v>
                </c:pt>
                <c:pt idx="325">
                  <c:v>76.03</c:v>
                </c:pt>
                <c:pt idx="326">
                  <c:v>75.53</c:v>
                </c:pt>
                <c:pt idx="327">
                  <c:v>75.040000000000006</c:v>
                </c:pt>
                <c:pt idx="328">
                  <c:v>76.03</c:v>
                </c:pt>
                <c:pt idx="329">
                  <c:v>77.010000000000005</c:v>
                </c:pt>
                <c:pt idx="330">
                  <c:v>78</c:v>
                </c:pt>
                <c:pt idx="331">
                  <c:v>78.98</c:v>
                </c:pt>
                <c:pt idx="332">
                  <c:v>80.790000000000006</c:v>
                </c:pt>
                <c:pt idx="333">
                  <c:v>82.59</c:v>
                </c:pt>
                <c:pt idx="334">
                  <c:v>85.22</c:v>
                </c:pt>
                <c:pt idx="335">
                  <c:v>87.84</c:v>
                </c:pt>
                <c:pt idx="336">
                  <c:v>88.01</c:v>
                </c:pt>
                <c:pt idx="337">
                  <c:v>88.17</c:v>
                </c:pt>
                <c:pt idx="338">
                  <c:v>88.17</c:v>
                </c:pt>
                <c:pt idx="339">
                  <c:v>88.17</c:v>
                </c:pt>
                <c:pt idx="340">
                  <c:v>88.66</c:v>
                </c:pt>
                <c:pt idx="341">
                  <c:v>89.16</c:v>
                </c:pt>
                <c:pt idx="342">
                  <c:v>88.17</c:v>
                </c:pt>
                <c:pt idx="343">
                  <c:v>87.19</c:v>
                </c:pt>
                <c:pt idx="344">
                  <c:v>86.04</c:v>
                </c:pt>
                <c:pt idx="345">
                  <c:v>84.89</c:v>
                </c:pt>
                <c:pt idx="346">
                  <c:v>83.9</c:v>
                </c:pt>
                <c:pt idx="347">
                  <c:v>82.92</c:v>
                </c:pt>
                <c:pt idx="348">
                  <c:v>79.64</c:v>
                </c:pt>
                <c:pt idx="349">
                  <c:v>76.349999999999994</c:v>
                </c:pt>
                <c:pt idx="350">
                  <c:v>73.239999999999995</c:v>
                </c:pt>
                <c:pt idx="351">
                  <c:v>70.12</c:v>
                </c:pt>
                <c:pt idx="352">
                  <c:v>67</c:v>
                </c:pt>
                <c:pt idx="353">
                  <c:v>63.88</c:v>
                </c:pt>
                <c:pt idx="354">
                  <c:v>66.010000000000005</c:v>
                </c:pt>
                <c:pt idx="355">
                  <c:v>68.150000000000006</c:v>
                </c:pt>
                <c:pt idx="356">
                  <c:v>69.62</c:v>
                </c:pt>
                <c:pt idx="357">
                  <c:v>71.099999999999994</c:v>
                </c:pt>
                <c:pt idx="358">
                  <c:v>70.28</c:v>
                </c:pt>
                <c:pt idx="359">
                  <c:v>69.459999999999994</c:v>
                </c:pt>
                <c:pt idx="360">
                  <c:v>68.97</c:v>
                </c:pt>
                <c:pt idx="361">
                  <c:v>68.48</c:v>
                </c:pt>
                <c:pt idx="362">
                  <c:v>66.010000000000005</c:v>
                </c:pt>
                <c:pt idx="363">
                  <c:v>63.55</c:v>
                </c:pt>
                <c:pt idx="364">
                  <c:v>65.19</c:v>
                </c:pt>
                <c:pt idx="365">
                  <c:v>66.83</c:v>
                </c:pt>
                <c:pt idx="366">
                  <c:v>67.489999999999995</c:v>
                </c:pt>
                <c:pt idx="367">
                  <c:v>68.150000000000006</c:v>
                </c:pt>
                <c:pt idx="368">
                  <c:v>69.459999999999994</c:v>
                </c:pt>
                <c:pt idx="369">
                  <c:v>70.77</c:v>
                </c:pt>
                <c:pt idx="370">
                  <c:v>71.92</c:v>
                </c:pt>
                <c:pt idx="371">
                  <c:v>73.069999999999993</c:v>
                </c:pt>
                <c:pt idx="372">
                  <c:v>73.069999999999993</c:v>
                </c:pt>
                <c:pt idx="373">
                  <c:v>73.069999999999993</c:v>
                </c:pt>
                <c:pt idx="374">
                  <c:v>73.069999999999993</c:v>
                </c:pt>
                <c:pt idx="375">
                  <c:v>73.069999999999993</c:v>
                </c:pt>
                <c:pt idx="376">
                  <c:v>73.239999999999995</c:v>
                </c:pt>
                <c:pt idx="377">
                  <c:v>73.400000000000006</c:v>
                </c:pt>
                <c:pt idx="378">
                  <c:v>74.38</c:v>
                </c:pt>
                <c:pt idx="379">
                  <c:v>75.37</c:v>
                </c:pt>
                <c:pt idx="380">
                  <c:v>76.849999999999994</c:v>
                </c:pt>
                <c:pt idx="381">
                  <c:v>78.319999999999993</c:v>
                </c:pt>
                <c:pt idx="382">
                  <c:v>79.959999999999994</c:v>
                </c:pt>
                <c:pt idx="383">
                  <c:v>81.61</c:v>
                </c:pt>
                <c:pt idx="384">
                  <c:v>83.41</c:v>
                </c:pt>
                <c:pt idx="385">
                  <c:v>85.22</c:v>
                </c:pt>
                <c:pt idx="386">
                  <c:v>86.2</c:v>
                </c:pt>
                <c:pt idx="387">
                  <c:v>87.19</c:v>
                </c:pt>
                <c:pt idx="388">
                  <c:v>87.51</c:v>
                </c:pt>
                <c:pt idx="389">
                  <c:v>87.84</c:v>
                </c:pt>
                <c:pt idx="390">
                  <c:v>88.66</c:v>
                </c:pt>
                <c:pt idx="391">
                  <c:v>89.48</c:v>
                </c:pt>
                <c:pt idx="392">
                  <c:v>89.32</c:v>
                </c:pt>
                <c:pt idx="393">
                  <c:v>89.16</c:v>
                </c:pt>
                <c:pt idx="394">
                  <c:v>91.45</c:v>
                </c:pt>
                <c:pt idx="395">
                  <c:v>93.75</c:v>
                </c:pt>
                <c:pt idx="396">
                  <c:v>94.24</c:v>
                </c:pt>
                <c:pt idx="397">
                  <c:v>94.74</c:v>
                </c:pt>
                <c:pt idx="398">
                  <c:v>95.89</c:v>
                </c:pt>
                <c:pt idx="399">
                  <c:v>97.03</c:v>
                </c:pt>
                <c:pt idx="400">
                  <c:v>97.36</c:v>
                </c:pt>
                <c:pt idx="401">
                  <c:v>97.69</c:v>
                </c:pt>
                <c:pt idx="402">
                  <c:v>98.51</c:v>
                </c:pt>
                <c:pt idx="403">
                  <c:v>99.33</c:v>
                </c:pt>
                <c:pt idx="404">
                  <c:v>99.99</c:v>
                </c:pt>
                <c:pt idx="405">
                  <c:v>100.65</c:v>
                </c:pt>
                <c:pt idx="406">
                  <c:v>102.78</c:v>
                </c:pt>
                <c:pt idx="407">
                  <c:v>104.91</c:v>
                </c:pt>
                <c:pt idx="408">
                  <c:v>105.57</c:v>
                </c:pt>
                <c:pt idx="409">
                  <c:v>106.23</c:v>
                </c:pt>
                <c:pt idx="410">
                  <c:v>107.87</c:v>
                </c:pt>
                <c:pt idx="411">
                  <c:v>109.51</c:v>
                </c:pt>
                <c:pt idx="412">
                  <c:v>109.67</c:v>
                </c:pt>
                <c:pt idx="413">
                  <c:v>109.84</c:v>
                </c:pt>
                <c:pt idx="414">
                  <c:v>109.67</c:v>
                </c:pt>
                <c:pt idx="415">
                  <c:v>109.51</c:v>
                </c:pt>
                <c:pt idx="416">
                  <c:v>110.66</c:v>
                </c:pt>
                <c:pt idx="417">
                  <c:v>111.81</c:v>
                </c:pt>
                <c:pt idx="418">
                  <c:v>113.61</c:v>
                </c:pt>
                <c:pt idx="419">
                  <c:v>115.42</c:v>
                </c:pt>
                <c:pt idx="420">
                  <c:v>117.22</c:v>
                </c:pt>
                <c:pt idx="421">
                  <c:v>119.03</c:v>
                </c:pt>
                <c:pt idx="422">
                  <c:v>119.52</c:v>
                </c:pt>
                <c:pt idx="423">
                  <c:v>120.01</c:v>
                </c:pt>
                <c:pt idx="424">
                  <c:v>120.51</c:v>
                </c:pt>
                <c:pt idx="425">
                  <c:v>121</c:v>
                </c:pt>
                <c:pt idx="426">
                  <c:v>121.49</c:v>
                </c:pt>
                <c:pt idx="427">
                  <c:v>121.98</c:v>
                </c:pt>
                <c:pt idx="428">
                  <c:v>123.95</c:v>
                </c:pt>
                <c:pt idx="429">
                  <c:v>125.92</c:v>
                </c:pt>
                <c:pt idx="430">
                  <c:v>126.74</c:v>
                </c:pt>
                <c:pt idx="431">
                  <c:v>127.56</c:v>
                </c:pt>
                <c:pt idx="432">
                  <c:v>127.73</c:v>
                </c:pt>
                <c:pt idx="433">
                  <c:v>127.89</c:v>
                </c:pt>
                <c:pt idx="434">
                  <c:v>128.71</c:v>
                </c:pt>
                <c:pt idx="435">
                  <c:v>129.53</c:v>
                </c:pt>
                <c:pt idx="436">
                  <c:v>131.5</c:v>
                </c:pt>
                <c:pt idx="437">
                  <c:v>133.47</c:v>
                </c:pt>
                <c:pt idx="438">
                  <c:v>133.31</c:v>
                </c:pt>
                <c:pt idx="439">
                  <c:v>133.13999999999999</c:v>
                </c:pt>
                <c:pt idx="440">
                  <c:v>134.29</c:v>
                </c:pt>
                <c:pt idx="441">
                  <c:v>135.44</c:v>
                </c:pt>
                <c:pt idx="442">
                  <c:v>136.43</c:v>
                </c:pt>
                <c:pt idx="443">
                  <c:v>137.41</c:v>
                </c:pt>
                <c:pt idx="444">
                  <c:v>140.37</c:v>
                </c:pt>
                <c:pt idx="445">
                  <c:v>143.32</c:v>
                </c:pt>
                <c:pt idx="446">
                  <c:v>143.97999999999999</c:v>
                </c:pt>
                <c:pt idx="447">
                  <c:v>144.63</c:v>
                </c:pt>
                <c:pt idx="448">
                  <c:v>144.63</c:v>
                </c:pt>
                <c:pt idx="449">
                  <c:v>144.63</c:v>
                </c:pt>
                <c:pt idx="450">
                  <c:v>143.81</c:v>
                </c:pt>
                <c:pt idx="451">
                  <c:v>142.99</c:v>
                </c:pt>
                <c:pt idx="452">
                  <c:v>142.34</c:v>
                </c:pt>
                <c:pt idx="453">
                  <c:v>141.68</c:v>
                </c:pt>
                <c:pt idx="454">
                  <c:v>140.69999999999999</c:v>
                </c:pt>
                <c:pt idx="455">
                  <c:v>139.71</c:v>
                </c:pt>
                <c:pt idx="456">
                  <c:v>139.87</c:v>
                </c:pt>
                <c:pt idx="457">
                  <c:v>140.04</c:v>
                </c:pt>
                <c:pt idx="458">
                  <c:v>137.9</c:v>
                </c:pt>
                <c:pt idx="459">
                  <c:v>135.77000000000001</c:v>
                </c:pt>
                <c:pt idx="460">
                  <c:v>134.62</c:v>
                </c:pt>
                <c:pt idx="461">
                  <c:v>133.47</c:v>
                </c:pt>
                <c:pt idx="462">
                  <c:v>134.46</c:v>
                </c:pt>
                <c:pt idx="463">
                  <c:v>135.44</c:v>
                </c:pt>
                <c:pt idx="464">
                  <c:v>133.47</c:v>
                </c:pt>
                <c:pt idx="465">
                  <c:v>131.5</c:v>
                </c:pt>
                <c:pt idx="466">
                  <c:v>128.55000000000001</c:v>
                </c:pt>
                <c:pt idx="467">
                  <c:v>125.59</c:v>
                </c:pt>
                <c:pt idx="468">
                  <c:v>124.77</c:v>
                </c:pt>
                <c:pt idx="469">
                  <c:v>123.95</c:v>
                </c:pt>
                <c:pt idx="470">
                  <c:v>123.46</c:v>
                </c:pt>
                <c:pt idx="471">
                  <c:v>122.97</c:v>
                </c:pt>
                <c:pt idx="472">
                  <c:v>122.15</c:v>
                </c:pt>
                <c:pt idx="473">
                  <c:v>121.33</c:v>
                </c:pt>
                <c:pt idx="474">
                  <c:v>120.34</c:v>
                </c:pt>
                <c:pt idx="475">
                  <c:v>119.36</c:v>
                </c:pt>
                <c:pt idx="476">
                  <c:v>117.88</c:v>
                </c:pt>
                <c:pt idx="477">
                  <c:v>116.4</c:v>
                </c:pt>
                <c:pt idx="478">
                  <c:v>116.9</c:v>
                </c:pt>
                <c:pt idx="479">
                  <c:v>117.39</c:v>
                </c:pt>
                <c:pt idx="480">
                  <c:v>117.72</c:v>
                </c:pt>
                <c:pt idx="481">
                  <c:v>118.04</c:v>
                </c:pt>
                <c:pt idx="482">
                  <c:v>116.9</c:v>
                </c:pt>
                <c:pt idx="483">
                  <c:v>115.75</c:v>
                </c:pt>
                <c:pt idx="484">
                  <c:v>115.42</c:v>
                </c:pt>
                <c:pt idx="485">
                  <c:v>115.09</c:v>
                </c:pt>
                <c:pt idx="486">
                  <c:v>114.93</c:v>
                </c:pt>
                <c:pt idx="487">
                  <c:v>114.76</c:v>
                </c:pt>
                <c:pt idx="488">
                  <c:v>114.11</c:v>
                </c:pt>
                <c:pt idx="489">
                  <c:v>113.45</c:v>
                </c:pt>
                <c:pt idx="490">
                  <c:v>113.45</c:v>
                </c:pt>
                <c:pt idx="491">
                  <c:v>113.45</c:v>
                </c:pt>
                <c:pt idx="492">
                  <c:v>113.61</c:v>
                </c:pt>
                <c:pt idx="493">
                  <c:v>113.78</c:v>
                </c:pt>
                <c:pt idx="494">
                  <c:v>112.3</c:v>
                </c:pt>
                <c:pt idx="495">
                  <c:v>110.82</c:v>
                </c:pt>
                <c:pt idx="496">
                  <c:v>112.14</c:v>
                </c:pt>
                <c:pt idx="497">
                  <c:v>113.45</c:v>
                </c:pt>
                <c:pt idx="498">
                  <c:v>115.58</c:v>
                </c:pt>
                <c:pt idx="499">
                  <c:v>117.72</c:v>
                </c:pt>
                <c:pt idx="500">
                  <c:v>115.58</c:v>
                </c:pt>
                <c:pt idx="501">
                  <c:v>113.45</c:v>
                </c:pt>
                <c:pt idx="502">
                  <c:v>115.42</c:v>
                </c:pt>
                <c:pt idx="503">
                  <c:v>117.39</c:v>
                </c:pt>
                <c:pt idx="504">
                  <c:v>116.73</c:v>
                </c:pt>
                <c:pt idx="505">
                  <c:v>116.07</c:v>
                </c:pt>
                <c:pt idx="506">
                  <c:v>117.22</c:v>
                </c:pt>
                <c:pt idx="507">
                  <c:v>118.37</c:v>
                </c:pt>
                <c:pt idx="508">
                  <c:v>118.54</c:v>
                </c:pt>
                <c:pt idx="509">
                  <c:v>118.7</c:v>
                </c:pt>
                <c:pt idx="510">
                  <c:v>118.21</c:v>
                </c:pt>
                <c:pt idx="511">
                  <c:v>117.72</c:v>
                </c:pt>
                <c:pt idx="512">
                  <c:v>117.06</c:v>
                </c:pt>
                <c:pt idx="513">
                  <c:v>116.4</c:v>
                </c:pt>
                <c:pt idx="514">
                  <c:v>118.7</c:v>
                </c:pt>
                <c:pt idx="515">
                  <c:v>121</c:v>
                </c:pt>
                <c:pt idx="516">
                  <c:v>123.79</c:v>
                </c:pt>
                <c:pt idx="517">
                  <c:v>126.58</c:v>
                </c:pt>
                <c:pt idx="518">
                  <c:v>127.07</c:v>
                </c:pt>
                <c:pt idx="519">
                  <c:v>127.56</c:v>
                </c:pt>
                <c:pt idx="520">
                  <c:v>128.06</c:v>
                </c:pt>
                <c:pt idx="521">
                  <c:v>128.55000000000001</c:v>
                </c:pt>
                <c:pt idx="522">
                  <c:v>129.04</c:v>
                </c:pt>
                <c:pt idx="523">
                  <c:v>129.53</c:v>
                </c:pt>
                <c:pt idx="524">
                  <c:v>130.03</c:v>
                </c:pt>
                <c:pt idx="525">
                  <c:v>130.52000000000001</c:v>
                </c:pt>
                <c:pt idx="526">
                  <c:v>130.85</c:v>
                </c:pt>
                <c:pt idx="527">
                  <c:v>131.18</c:v>
                </c:pt>
                <c:pt idx="528">
                  <c:v>133.97</c:v>
                </c:pt>
                <c:pt idx="529">
                  <c:v>136.76</c:v>
                </c:pt>
                <c:pt idx="530">
                  <c:v>139.71</c:v>
                </c:pt>
                <c:pt idx="531">
                  <c:v>142.66</c:v>
                </c:pt>
                <c:pt idx="532">
                  <c:v>143.81</c:v>
                </c:pt>
                <c:pt idx="533">
                  <c:v>144.96</c:v>
                </c:pt>
                <c:pt idx="534">
                  <c:v>144.13999999999999</c:v>
                </c:pt>
                <c:pt idx="535">
                  <c:v>143.32</c:v>
                </c:pt>
                <c:pt idx="536">
                  <c:v>149.56</c:v>
                </c:pt>
                <c:pt idx="537">
                  <c:v>155.80000000000001</c:v>
                </c:pt>
                <c:pt idx="538">
                  <c:v>160.72</c:v>
                </c:pt>
                <c:pt idx="539">
                  <c:v>165.64</c:v>
                </c:pt>
                <c:pt idx="540">
                  <c:v>166.3</c:v>
                </c:pt>
                <c:pt idx="541">
                  <c:v>166.96</c:v>
                </c:pt>
                <c:pt idx="542">
                  <c:v>166.79</c:v>
                </c:pt>
                <c:pt idx="543">
                  <c:v>166.63</c:v>
                </c:pt>
                <c:pt idx="544">
                  <c:v>170.73</c:v>
                </c:pt>
                <c:pt idx="545">
                  <c:v>174.84</c:v>
                </c:pt>
                <c:pt idx="546">
                  <c:v>178.28</c:v>
                </c:pt>
                <c:pt idx="547">
                  <c:v>181.73</c:v>
                </c:pt>
                <c:pt idx="548">
                  <c:v>189.44</c:v>
                </c:pt>
                <c:pt idx="549">
                  <c:v>197.16</c:v>
                </c:pt>
                <c:pt idx="550">
                  <c:v>204.87</c:v>
                </c:pt>
                <c:pt idx="551">
                  <c:v>212.59</c:v>
                </c:pt>
                <c:pt idx="552">
                  <c:v>220.96</c:v>
                </c:pt>
                <c:pt idx="553">
                  <c:v>229.33</c:v>
                </c:pt>
                <c:pt idx="554">
                  <c:v>240.98</c:v>
                </c:pt>
                <c:pt idx="555">
                  <c:v>252.64</c:v>
                </c:pt>
                <c:pt idx="556">
                  <c:v>262.48</c:v>
                </c:pt>
                <c:pt idx="557">
                  <c:v>272.33</c:v>
                </c:pt>
                <c:pt idx="558">
                  <c:v>276.27</c:v>
                </c:pt>
                <c:pt idx="559">
                  <c:v>280.20999999999998</c:v>
                </c:pt>
                <c:pt idx="560">
                  <c:v>281.2</c:v>
                </c:pt>
                <c:pt idx="561">
                  <c:v>282.18</c:v>
                </c:pt>
                <c:pt idx="562">
                  <c:v>275.45</c:v>
                </c:pt>
                <c:pt idx="563">
                  <c:v>268.72000000000003</c:v>
                </c:pt>
                <c:pt idx="564">
                  <c:v>270.36</c:v>
                </c:pt>
                <c:pt idx="565">
                  <c:v>272</c:v>
                </c:pt>
                <c:pt idx="566">
                  <c:v>275.12</c:v>
                </c:pt>
                <c:pt idx="567">
                  <c:v>278.24</c:v>
                </c:pt>
                <c:pt idx="568">
                  <c:v>277.42</c:v>
                </c:pt>
                <c:pt idx="569">
                  <c:v>276.60000000000002</c:v>
                </c:pt>
                <c:pt idx="570">
                  <c:v>281.52</c:v>
                </c:pt>
                <c:pt idx="571">
                  <c:v>286.45</c:v>
                </c:pt>
                <c:pt idx="572">
                  <c:v>291.04000000000002</c:v>
                </c:pt>
                <c:pt idx="573">
                  <c:v>295.64</c:v>
                </c:pt>
                <c:pt idx="574">
                  <c:v>291.7</c:v>
                </c:pt>
                <c:pt idx="575">
                  <c:v>287.76</c:v>
                </c:pt>
                <c:pt idx="576">
                  <c:v>280.20999999999998</c:v>
                </c:pt>
                <c:pt idx="577">
                  <c:v>272.66000000000003</c:v>
                </c:pt>
                <c:pt idx="578">
                  <c:v>269.70999999999998</c:v>
                </c:pt>
                <c:pt idx="579">
                  <c:v>266.75</c:v>
                </c:pt>
                <c:pt idx="580">
                  <c:v>256.41000000000003</c:v>
                </c:pt>
                <c:pt idx="581">
                  <c:v>246.07</c:v>
                </c:pt>
                <c:pt idx="582">
                  <c:v>249.85</c:v>
                </c:pt>
                <c:pt idx="583">
                  <c:v>253.62</c:v>
                </c:pt>
                <c:pt idx="584">
                  <c:v>258.87</c:v>
                </c:pt>
                <c:pt idx="585">
                  <c:v>264.13</c:v>
                </c:pt>
                <c:pt idx="586">
                  <c:v>278.08</c:v>
                </c:pt>
                <c:pt idx="587">
                  <c:v>292.02999999999997</c:v>
                </c:pt>
                <c:pt idx="588">
                  <c:v>295.97000000000003</c:v>
                </c:pt>
                <c:pt idx="589">
                  <c:v>299.91000000000003</c:v>
                </c:pt>
                <c:pt idx="590">
                  <c:v>301.70999999999998</c:v>
                </c:pt>
                <c:pt idx="591">
                  <c:v>303.52</c:v>
                </c:pt>
                <c:pt idx="592">
                  <c:v>309.43</c:v>
                </c:pt>
                <c:pt idx="593">
                  <c:v>315.33999999999997</c:v>
                </c:pt>
                <c:pt idx="594">
                  <c:v>316.49</c:v>
                </c:pt>
                <c:pt idx="595">
                  <c:v>317.63</c:v>
                </c:pt>
                <c:pt idx="596">
                  <c:v>314.35000000000002</c:v>
                </c:pt>
                <c:pt idx="597">
                  <c:v>311.07</c:v>
                </c:pt>
                <c:pt idx="598">
                  <c:v>315.01</c:v>
                </c:pt>
                <c:pt idx="599">
                  <c:v>318.95</c:v>
                </c:pt>
                <c:pt idx="600">
                  <c:v>312.55</c:v>
                </c:pt>
                <c:pt idx="601">
                  <c:v>306.14</c:v>
                </c:pt>
                <c:pt idx="602">
                  <c:v>306.8</c:v>
                </c:pt>
                <c:pt idx="603">
                  <c:v>307.45999999999998</c:v>
                </c:pt>
                <c:pt idx="604">
                  <c:v>291.86</c:v>
                </c:pt>
                <c:pt idx="605">
                  <c:v>276.27</c:v>
                </c:pt>
                <c:pt idx="606">
                  <c:v>270.52999999999997</c:v>
                </c:pt>
                <c:pt idx="607">
                  <c:v>264.77999999999997</c:v>
                </c:pt>
                <c:pt idx="608">
                  <c:v>259.37</c:v>
                </c:pt>
                <c:pt idx="609">
                  <c:v>253.95</c:v>
                </c:pt>
                <c:pt idx="610">
                  <c:v>255.1</c:v>
                </c:pt>
                <c:pt idx="611">
                  <c:v>256.25</c:v>
                </c:pt>
                <c:pt idx="612">
                  <c:v>262.98</c:v>
                </c:pt>
                <c:pt idx="613">
                  <c:v>269.70999999999998</c:v>
                </c:pt>
                <c:pt idx="614">
                  <c:v>255.26</c:v>
                </c:pt>
                <c:pt idx="615">
                  <c:v>240.82</c:v>
                </c:pt>
                <c:pt idx="616">
                  <c:v>232.45</c:v>
                </c:pt>
                <c:pt idx="617">
                  <c:v>224.08</c:v>
                </c:pt>
                <c:pt idx="618">
                  <c:v>209.3</c:v>
                </c:pt>
                <c:pt idx="619">
                  <c:v>194.53</c:v>
                </c:pt>
                <c:pt idx="620">
                  <c:v>198.8</c:v>
                </c:pt>
                <c:pt idx="621">
                  <c:v>203.07</c:v>
                </c:pt>
                <c:pt idx="622">
                  <c:v>206.02</c:v>
                </c:pt>
                <c:pt idx="623">
                  <c:v>208.98</c:v>
                </c:pt>
                <c:pt idx="624">
                  <c:v>209.8</c:v>
                </c:pt>
                <c:pt idx="625">
                  <c:v>210.62</c:v>
                </c:pt>
                <c:pt idx="626">
                  <c:v>215.54</c:v>
                </c:pt>
                <c:pt idx="627">
                  <c:v>220.47</c:v>
                </c:pt>
                <c:pt idx="628">
                  <c:v>221.12</c:v>
                </c:pt>
                <c:pt idx="629">
                  <c:v>221.78</c:v>
                </c:pt>
                <c:pt idx="630">
                  <c:v>226.05</c:v>
                </c:pt>
                <c:pt idx="631">
                  <c:v>230.31</c:v>
                </c:pt>
                <c:pt idx="632">
                  <c:v>235.57</c:v>
                </c:pt>
                <c:pt idx="633">
                  <c:v>240.82</c:v>
                </c:pt>
                <c:pt idx="634">
                  <c:v>239.51</c:v>
                </c:pt>
                <c:pt idx="635">
                  <c:v>238.19</c:v>
                </c:pt>
                <c:pt idx="636">
                  <c:v>240.49</c:v>
                </c:pt>
                <c:pt idx="637">
                  <c:v>242.79</c:v>
                </c:pt>
                <c:pt idx="638">
                  <c:v>267.89999999999998</c:v>
                </c:pt>
                <c:pt idx="639">
                  <c:v>293.01</c:v>
                </c:pt>
                <c:pt idx="640">
                  <c:v>297.12</c:v>
                </c:pt>
                <c:pt idx="641">
                  <c:v>301.22000000000003</c:v>
                </c:pt>
                <c:pt idx="642">
                  <c:v>313.04000000000002</c:v>
                </c:pt>
                <c:pt idx="643">
                  <c:v>324.86</c:v>
                </c:pt>
                <c:pt idx="644">
                  <c:v>322.39</c:v>
                </c:pt>
                <c:pt idx="645">
                  <c:v>319.93</c:v>
                </c:pt>
                <c:pt idx="646">
                  <c:v>315.17</c:v>
                </c:pt>
                <c:pt idx="647">
                  <c:v>310.41000000000003</c:v>
                </c:pt>
                <c:pt idx="648">
                  <c:v>315.01</c:v>
                </c:pt>
                <c:pt idx="649">
                  <c:v>319.60000000000002</c:v>
                </c:pt>
                <c:pt idx="650">
                  <c:v>323.20999999999998</c:v>
                </c:pt>
                <c:pt idx="651">
                  <c:v>326.83</c:v>
                </c:pt>
                <c:pt idx="652">
                  <c:v>341.27</c:v>
                </c:pt>
                <c:pt idx="653">
                  <c:v>355.71</c:v>
                </c:pt>
                <c:pt idx="654">
                  <c:v>354.24</c:v>
                </c:pt>
                <c:pt idx="655">
                  <c:v>352.76</c:v>
                </c:pt>
                <c:pt idx="656">
                  <c:v>355.88</c:v>
                </c:pt>
                <c:pt idx="657">
                  <c:v>359</c:v>
                </c:pt>
                <c:pt idx="658">
                  <c:v>360.8</c:v>
                </c:pt>
                <c:pt idx="659">
                  <c:v>362.61</c:v>
                </c:pt>
                <c:pt idx="660">
                  <c:v>366.88</c:v>
                </c:pt>
                <c:pt idx="661">
                  <c:v>371.14</c:v>
                </c:pt>
                <c:pt idx="662">
                  <c:v>372.46</c:v>
                </c:pt>
                <c:pt idx="663">
                  <c:v>373.77</c:v>
                </c:pt>
                <c:pt idx="664">
                  <c:v>392.15</c:v>
                </c:pt>
                <c:pt idx="665">
                  <c:v>410.54</c:v>
                </c:pt>
                <c:pt idx="666">
                  <c:v>422.68</c:v>
                </c:pt>
                <c:pt idx="667">
                  <c:v>434.83</c:v>
                </c:pt>
                <c:pt idx="668">
                  <c:v>450.42</c:v>
                </c:pt>
                <c:pt idx="669">
                  <c:v>466.01</c:v>
                </c:pt>
                <c:pt idx="670">
                  <c:v>464.86</c:v>
                </c:pt>
                <c:pt idx="671">
                  <c:v>463.72</c:v>
                </c:pt>
                <c:pt idx="672">
                  <c:v>470.45</c:v>
                </c:pt>
                <c:pt idx="673">
                  <c:v>477.17</c:v>
                </c:pt>
                <c:pt idx="674">
                  <c:v>478.32</c:v>
                </c:pt>
                <c:pt idx="675">
                  <c:v>479.47</c:v>
                </c:pt>
                <c:pt idx="676">
                  <c:v>485.87</c:v>
                </c:pt>
                <c:pt idx="677">
                  <c:v>492.28</c:v>
                </c:pt>
                <c:pt idx="678">
                  <c:v>492.44</c:v>
                </c:pt>
                <c:pt idx="679">
                  <c:v>492.6</c:v>
                </c:pt>
                <c:pt idx="680">
                  <c:v>478</c:v>
                </c:pt>
                <c:pt idx="681">
                  <c:v>463.39</c:v>
                </c:pt>
                <c:pt idx="682">
                  <c:v>469.46</c:v>
                </c:pt>
                <c:pt idx="683">
                  <c:v>475.53</c:v>
                </c:pt>
                <c:pt idx="684">
                  <c:v>475.86</c:v>
                </c:pt>
                <c:pt idx="685">
                  <c:v>476.19</c:v>
                </c:pt>
                <c:pt idx="686">
                  <c:v>467</c:v>
                </c:pt>
                <c:pt idx="687">
                  <c:v>457.81</c:v>
                </c:pt>
                <c:pt idx="688">
                  <c:v>459.12</c:v>
                </c:pt>
                <c:pt idx="689">
                  <c:v>460.43</c:v>
                </c:pt>
                <c:pt idx="690">
                  <c:v>474.06</c:v>
                </c:pt>
                <c:pt idx="691">
                  <c:v>487.68</c:v>
                </c:pt>
                <c:pt idx="692">
                  <c:v>481.28</c:v>
                </c:pt>
                <c:pt idx="693">
                  <c:v>474.88</c:v>
                </c:pt>
                <c:pt idx="694">
                  <c:v>462.24</c:v>
                </c:pt>
                <c:pt idx="695">
                  <c:v>449.6</c:v>
                </c:pt>
                <c:pt idx="696">
                  <c:v>451.24</c:v>
                </c:pt>
                <c:pt idx="697">
                  <c:v>452.88</c:v>
                </c:pt>
                <c:pt idx="698">
                  <c:v>442.05</c:v>
                </c:pt>
                <c:pt idx="699">
                  <c:v>431.22</c:v>
                </c:pt>
                <c:pt idx="700">
                  <c:v>418.91</c:v>
                </c:pt>
                <c:pt idx="701">
                  <c:v>406.6</c:v>
                </c:pt>
                <c:pt idx="702">
                  <c:v>388.21</c:v>
                </c:pt>
                <c:pt idx="703">
                  <c:v>369.83</c:v>
                </c:pt>
                <c:pt idx="704">
                  <c:v>369.83</c:v>
                </c:pt>
                <c:pt idx="705">
                  <c:v>369.83</c:v>
                </c:pt>
                <c:pt idx="706">
                  <c:v>374.75</c:v>
                </c:pt>
                <c:pt idx="707">
                  <c:v>379.68</c:v>
                </c:pt>
                <c:pt idx="708">
                  <c:v>374.1</c:v>
                </c:pt>
                <c:pt idx="709">
                  <c:v>368.52</c:v>
                </c:pt>
                <c:pt idx="710">
                  <c:v>365.23</c:v>
                </c:pt>
                <c:pt idx="711">
                  <c:v>361.95</c:v>
                </c:pt>
                <c:pt idx="712">
                  <c:v>357.19</c:v>
                </c:pt>
                <c:pt idx="713">
                  <c:v>352.43</c:v>
                </c:pt>
                <c:pt idx="714">
                  <c:v>355.71</c:v>
                </c:pt>
                <c:pt idx="715">
                  <c:v>359</c:v>
                </c:pt>
                <c:pt idx="716">
                  <c:v>354.24</c:v>
                </c:pt>
                <c:pt idx="717">
                  <c:v>349.48</c:v>
                </c:pt>
                <c:pt idx="718">
                  <c:v>342.42</c:v>
                </c:pt>
                <c:pt idx="719">
                  <c:v>335.36</c:v>
                </c:pt>
                <c:pt idx="720">
                  <c:v>332.73</c:v>
                </c:pt>
                <c:pt idx="721">
                  <c:v>330.11</c:v>
                </c:pt>
                <c:pt idx="722">
                  <c:v>337.33</c:v>
                </c:pt>
                <c:pt idx="723">
                  <c:v>344.55</c:v>
                </c:pt>
                <c:pt idx="724">
                  <c:v>353.25</c:v>
                </c:pt>
                <c:pt idx="725">
                  <c:v>361.95</c:v>
                </c:pt>
                <c:pt idx="726">
                  <c:v>355.39</c:v>
                </c:pt>
                <c:pt idx="727">
                  <c:v>348.82</c:v>
                </c:pt>
                <c:pt idx="728">
                  <c:v>335.69</c:v>
                </c:pt>
                <c:pt idx="729">
                  <c:v>322.56</c:v>
                </c:pt>
                <c:pt idx="730">
                  <c:v>320.58999999999997</c:v>
                </c:pt>
                <c:pt idx="731">
                  <c:v>318.62</c:v>
                </c:pt>
                <c:pt idx="732">
                  <c:v>321.57</c:v>
                </c:pt>
                <c:pt idx="733">
                  <c:v>324.52999999999997</c:v>
                </c:pt>
                <c:pt idx="734">
                  <c:v>308.27999999999997</c:v>
                </c:pt>
                <c:pt idx="735">
                  <c:v>292.02999999999997</c:v>
                </c:pt>
                <c:pt idx="736">
                  <c:v>285.3</c:v>
                </c:pt>
                <c:pt idx="737">
                  <c:v>278.57</c:v>
                </c:pt>
                <c:pt idx="738">
                  <c:v>285.45999999999998</c:v>
                </c:pt>
                <c:pt idx="739">
                  <c:v>292.36</c:v>
                </c:pt>
                <c:pt idx="740">
                  <c:v>292.52</c:v>
                </c:pt>
                <c:pt idx="741">
                  <c:v>292.69</c:v>
                </c:pt>
                <c:pt idx="742">
                  <c:v>291.37</c:v>
                </c:pt>
                <c:pt idx="743">
                  <c:v>290.06</c:v>
                </c:pt>
                <c:pt idx="744">
                  <c:v>294.49</c:v>
                </c:pt>
                <c:pt idx="745">
                  <c:v>298.92</c:v>
                </c:pt>
                <c:pt idx="746">
                  <c:v>289.39999999999998</c:v>
                </c:pt>
                <c:pt idx="747">
                  <c:v>279.88</c:v>
                </c:pt>
                <c:pt idx="748">
                  <c:v>281.85000000000002</c:v>
                </c:pt>
                <c:pt idx="749">
                  <c:v>283.82</c:v>
                </c:pt>
                <c:pt idx="750">
                  <c:v>297.61</c:v>
                </c:pt>
                <c:pt idx="751">
                  <c:v>311.39999999999998</c:v>
                </c:pt>
                <c:pt idx="752">
                  <c:v>307.95</c:v>
                </c:pt>
                <c:pt idx="753">
                  <c:v>304.5</c:v>
                </c:pt>
                <c:pt idx="754">
                  <c:v>298.43</c:v>
                </c:pt>
                <c:pt idx="755">
                  <c:v>292.36</c:v>
                </c:pt>
                <c:pt idx="756">
                  <c:v>291.20999999999998</c:v>
                </c:pt>
                <c:pt idx="757">
                  <c:v>290.06</c:v>
                </c:pt>
                <c:pt idx="758">
                  <c:v>284.14999999999998</c:v>
                </c:pt>
                <c:pt idx="759">
                  <c:v>278.24</c:v>
                </c:pt>
                <c:pt idx="760">
                  <c:v>279.06</c:v>
                </c:pt>
                <c:pt idx="761">
                  <c:v>279.88</c:v>
                </c:pt>
                <c:pt idx="762">
                  <c:v>280.38</c:v>
                </c:pt>
                <c:pt idx="763">
                  <c:v>280.87</c:v>
                </c:pt>
                <c:pt idx="764">
                  <c:v>282.33999999999997</c:v>
                </c:pt>
                <c:pt idx="765">
                  <c:v>283.82</c:v>
                </c:pt>
                <c:pt idx="766">
                  <c:v>291.86</c:v>
                </c:pt>
                <c:pt idx="767">
                  <c:v>299.91000000000003</c:v>
                </c:pt>
                <c:pt idx="768">
                  <c:v>311.39999999999998</c:v>
                </c:pt>
                <c:pt idx="769">
                  <c:v>322.89</c:v>
                </c:pt>
                <c:pt idx="770">
                  <c:v>325.18</c:v>
                </c:pt>
                <c:pt idx="771">
                  <c:v>327.48</c:v>
                </c:pt>
                <c:pt idx="772">
                  <c:v>324.52999999999997</c:v>
                </c:pt>
                <c:pt idx="773">
                  <c:v>321.57</c:v>
                </c:pt>
                <c:pt idx="774">
                  <c:v>325.83999999999997</c:v>
                </c:pt>
                <c:pt idx="775">
                  <c:v>330.11</c:v>
                </c:pt>
                <c:pt idx="776">
                  <c:v>321.57</c:v>
                </c:pt>
                <c:pt idx="777">
                  <c:v>313.04000000000002</c:v>
                </c:pt>
                <c:pt idx="778">
                  <c:v>310.58</c:v>
                </c:pt>
                <c:pt idx="779">
                  <c:v>308.11</c:v>
                </c:pt>
                <c:pt idx="780">
                  <c:v>316.64999999999998</c:v>
                </c:pt>
                <c:pt idx="781">
                  <c:v>325.18</c:v>
                </c:pt>
                <c:pt idx="782">
                  <c:v>336.67</c:v>
                </c:pt>
                <c:pt idx="783">
                  <c:v>348.16</c:v>
                </c:pt>
                <c:pt idx="784">
                  <c:v>362.77</c:v>
                </c:pt>
                <c:pt idx="785">
                  <c:v>377.38</c:v>
                </c:pt>
                <c:pt idx="786">
                  <c:v>371.14</c:v>
                </c:pt>
                <c:pt idx="787">
                  <c:v>364.91</c:v>
                </c:pt>
                <c:pt idx="788">
                  <c:v>368.68</c:v>
                </c:pt>
                <c:pt idx="789">
                  <c:v>372.46</c:v>
                </c:pt>
                <c:pt idx="790">
                  <c:v>383.62</c:v>
                </c:pt>
                <c:pt idx="791">
                  <c:v>394.78</c:v>
                </c:pt>
                <c:pt idx="792">
                  <c:v>367.86</c:v>
                </c:pt>
                <c:pt idx="793">
                  <c:v>340.94</c:v>
                </c:pt>
                <c:pt idx="794">
                  <c:v>340.45</c:v>
                </c:pt>
                <c:pt idx="795">
                  <c:v>339.96</c:v>
                </c:pt>
                <c:pt idx="796">
                  <c:v>332.41</c:v>
                </c:pt>
                <c:pt idx="797">
                  <c:v>324.86</c:v>
                </c:pt>
                <c:pt idx="798">
                  <c:v>315.5</c:v>
                </c:pt>
                <c:pt idx="799">
                  <c:v>306.14</c:v>
                </c:pt>
                <c:pt idx="800">
                  <c:v>310.58</c:v>
                </c:pt>
                <c:pt idx="801">
                  <c:v>315.01</c:v>
                </c:pt>
                <c:pt idx="802">
                  <c:v>313.86</c:v>
                </c:pt>
                <c:pt idx="803">
                  <c:v>312.70999999999998</c:v>
                </c:pt>
                <c:pt idx="804">
                  <c:v>315.17</c:v>
                </c:pt>
                <c:pt idx="805">
                  <c:v>317.63</c:v>
                </c:pt>
                <c:pt idx="806">
                  <c:v>304.5</c:v>
                </c:pt>
                <c:pt idx="807">
                  <c:v>291.37</c:v>
                </c:pt>
                <c:pt idx="808">
                  <c:v>292.02999999999997</c:v>
                </c:pt>
                <c:pt idx="809">
                  <c:v>292.69</c:v>
                </c:pt>
                <c:pt idx="810">
                  <c:v>293.18</c:v>
                </c:pt>
                <c:pt idx="811">
                  <c:v>293.67</c:v>
                </c:pt>
                <c:pt idx="812">
                  <c:v>288.91000000000003</c:v>
                </c:pt>
                <c:pt idx="813">
                  <c:v>284.14999999999998</c:v>
                </c:pt>
                <c:pt idx="814">
                  <c:v>280.54000000000002</c:v>
                </c:pt>
                <c:pt idx="815">
                  <c:v>276.93</c:v>
                </c:pt>
                <c:pt idx="816">
                  <c:v>276.93</c:v>
                </c:pt>
                <c:pt idx="817">
                  <c:v>276.93</c:v>
                </c:pt>
                <c:pt idx="818">
                  <c:v>277.58</c:v>
                </c:pt>
                <c:pt idx="819">
                  <c:v>278.24</c:v>
                </c:pt>
                <c:pt idx="820">
                  <c:v>280.54000000000002</c:v>
                </c:pt>
                <c:pt idx="821">
                  <c:v>282.83999999999997</c:v>
                </c:pt>
                <c:pt idx="822">
                  <c:v>285.14</c:v>
                </c:pt>
                <c:pt idx="823">
                  <c:v>287.43</c:v>
                </c:pt>
                <c:pt idx="824">
                  <c:v>288.91000000000003</c:v>
                </c:pt>
                <c:pt idx="825">
                  <c:v>290.39</c:v>
                </c:pt>
                <c:pt idx="826">
                  <c:v>294</c:v>
                </c:pt>
                <c:pt idx="827">
                  <c:v>297.61</c:v>
                </c:pt>
                <c:pt idx="828">
                  <c:v>305.98</c:v>
                </c:pt>
                <c:pt idx="829">
                  <c:v>314.35000000000002</c:v>
                </c:pt>
                <c:pt idx="830">
                  <c:v>319.60000000000002</c:v>
                </c:pt>
                <c:pt idx="831">
                  <c:v>324.86</c:v>
                </c:pt>
                <c:pt idx="832">
                  <c:v>325.18</c:v>
                </c:pt>
                <c:pt idx="833">
                  <c:v>325.51</c:v>
                </c:pt>
                <c:pt idx="834">
                  <c:v>324.52999999999997</c:v>
                </c:pt>
                <c:pt idx="835">
                  <c:v>323.54000000000002</c:v>
                </c:pt>
                <c:pt idx="836">
                  <c:v>313.86</c:v>
                </c:pt>
                <c:pt idx="837">
                  <c:v>304.17</c:v>
                </c:pt>
                <c:pt idx="838">
                  <c:v>304.17</c:v>
                </c:pt>
                <c:pt idx="839">
                  <c:v>304.17</c:v>
                </c:pt>
                <c:pt idx="840">
                  <c:v>307.62</c:v>
                </c:pt>
                <c:pt idx="841">
                  <c:v>311.07</c:v>
                </c:pt>
                <c:pt idx="842">
                  <c:v>311.89</c:v>
                </c:pt>
                <c:pt idx="843">
                  <c:v>312.70999999999998</c:v>
                </c:pt>
                <c:pt idx="844">
                  <c:v>308.93</c:v>
                </c:pt>
                <c:pt idx="845">
                  <c:v>305.16000000000003</c:v>
                </c:pt>
                <c:pt idx="846">
                  <c:v>317.47000000000003</c:v>
                </c:pt>
                <c:pt idx="847">
                  <c:v>329.78</c:v>
                </c:pt>
                <c:pt idx="848">
                  <c:v>333.88</c:v>
                </c:pt>
                <c:pt idx="849">
                  <c:v>337.99</c:v>
                </c:pt>
                <c:pt idx="850">
                  <c:v>347.51</c:v>
                </c:pt>
                <c:pt idx="851">
                  <c:v>357.03</c:v>
                </c:pt>
                <c:pt idx="852">
                  <c:v>369.34</c:v>
                </c:pt>
                <c:pt idx="853">
                  <c:v>381.65</c:v>
                </c:pt>
                <c:pt idx="854">
                  <c:v>390.84</c:v>
                </c:pt>
                <c:pt idx="855">
                  <c:v>400.03</c:v>
                </c:pt>
                <c:pt idx="856">
                  <c:v>411.36</c:v>
                </c:pt>
                <c:pt idx="857">
                  <c:v>422.68</c:v>
                </c:pt>
                <c:pt idx="858">
                  <c:v>416.77</c:v>
                </c:pt>
                <c:pt idx="859">
                  <c:v>410.86</c:v>
                </c:pt>
                <c:pt idx="860">
                  <c:v>411.19</c:v>
                </c:pt>
                <c:pt idx="861">
                  <c:v>411.52</c:v>
                </c:pt>
                <c:pt idx="862">
                  <c:v>403.97</c:v>
                </c:pt>
                <c:pt idx="863">
                  <c:v>396.42</c:v>
                </c:pt>
                <c:pt idx="864">
                  <c:v>385.09</c:v>
                </c:pt>
                <c:pt idx="865">
                  <c:v>373.77</c:v>
                </c:pt>
                <c:pt idx="866">
                  <c:v>358.18</c:v>
                </c:pt>
                <c:pt idx="867">
                  <c:v>342.58</c:v>
                </c:pt>
                <c:pt idx="868">
                  <c:v>337.99</c:v>
                </c:pt>
                <c:pt idx="869">
                  <c:v>333.39</c:v>
                </c:pt>
                <c:pt idx="870">
                  <c:v>340.12</c:v>
                </c:pt>
                <c:pt idx="871">
                  <c:v>346.85</c:v>
                </c:pt>
                <c:pt idx="872">
                  <c:v>343.08</c:v>
                </c:pt>
                <c:pt idx="873">
                  <c:v>339.3</c:v>
                </c:pt>
                <c:pt idx="874">
                  <c:v>334.7</c:v>
                </c:pt>
                <c:pt idx="875">
                  <c:v>330.11</c:v>
                </c:pt>
                <c:pt idx="876">
                  <c:v>333.88</c:v>
                </c:pt>
                <c:pt idx="877">
                  <c:v>337.66</c:v>
                </c:pt>
                <c:pt idx="878">
                  <c:v>340.78</c:v>
                </c:pt>
                <c:pt idx="879">
                  <c:v>343.9</c:v>
                </c:pt>
                <c:pt idx="880">
                  <c:v>348</c:v>
                </c:pt>
                <c:pt idx="881">
                  <c:v>352.1</c:v>
                </c:pt>
                <c:pt idx="882">
                  <c:v>349.97</c:v>
                </c:pt>
                <c:pt idx="883">
                  <c:v>347.84</c:v>
                </c:pt>
                <c:pt idx="884">
                  <c:v>349.15</c:v>
                </c:pt>
                <c:pt idx="885">
                  <c:v>350.46</c:v>
                </c:pt>
                <c:pt idx="886">
                  <c:v>357.52</c:v>
                </c:pt>
                <c:pt idx="887">
                  <c:v>364.58</c:v>
                </c:pt>
                <c:pt idx="888">
                  <c:v>363.92</c:v>
                </c:pt>
                <c:pt idx="889">
                  <c:v>363.26</c:v>
                </c:pt>
                <c:pt idx="890">
                  <c:v>367.2</c:v>
                </c:pt>
                <c:pt idx="891">
                  <c:v>371.14</c:v>
                </c:pt>
                <c:pt idx="892">
                  <c:v>367.37</c:v>
                </c:pt>
                <c:pt idx="893">
                  <c:v>363.59</c:v>
                </c:pt>
                <c:pt idx="894">
                  <c:v>355.71</c:v>
                </c:pt>
                <c:pt idx="895">
                  <c:v>347.84</c:v>
                </c:pt>
                <c:pt idx="896">
                  <c:v>342.58</c:v>
                </c:pt>
                <c:pt idx="897">
                  <c:v>337.33</c:v>
                </c:pt>
                <c:pt idx="898">
                  <c:v>336.84</c:v>
                </c:pt>
                <c:pt idx="899">
                  <c:v>336.35</c:v>
                </c:pt>
                <c:pt idx="900">
                  <c:v>342.09</c:v>
                </c:pt>
                <c:pt idx="901">
                  <c:v>347.84</c:v>
                </c:pt>
                <c:pt idx="902">
                  <c:v>336.84</c:v>
                </c:pt>
                <c:pt idx="903">
                  <c:v>325.83999999999997</c:v>
                </c:pt>
                <c:pt idx="904">
                  <c:v>308.11</c:v>
                </c:pt>
                <c:pt idx="905">
                  <c:v>290.39</c:v>
                </c:pt>
                <c:pt idx="906">
                  <c:v>292.52</c:v>
                </c:pt>
                <c:pt idx="907">
                  <c:v>294.66000000000003</c:v>
                </c:pt>
                <c:pt idx="908">
                  <c:v>296.45999999999998</c:v>
                </c:pt>
                <c:pt idx="909">
                  <c:v>298.27</c:v>
                </c:pt>
                <c:pt idx="910">
                  <c:v>303.52</c:v>
                </c:pt>
                <c:pt idx="911">
                  <c:v>308.77</c:v>
                </c:pt>
                <c:pt idx="912">
                  <c:v>311.89</c:v>
                </c:pt>
                <c:pt idx="913">
                  <c:v>315.01</c:v>
                </c:pt>
                <c:pt idx="914">
                  <c:v>303.68</c:v>
                </c:pt>
                <c:pt idx="915">
                  <c:v>292.36</c:v>
                </c:pt>
                <c:pt idx="916">
                  <c:v>298.76</c:v>
                </c:pt>
                <c:pt idx="917">
                  <c:v>305.16000000000003</c:v>
                </c:pt>
                <c:pt idx="918">
                  <c:v>306.31</c:v>
                </c:pt>
                <c:pt idx="919">
                  <c:v>307.45999999999998</c:v>
                </c:pt>
                <c:pt idx="920">
                  <c:v>299.25</c:v>
                </c:pt>
                <c:pt idx="921">
                  <c:v>291.04000000000002</c:v>
                </c:pt>
                <c:pt idx="922">
                  <c:v>291.54000000000002</c:v>
                </c:pt>
                <c:pt idx="923">
                  <c:v>292.02999999999997</c:v>
                </c:pt>
                <c:pt idx="924">
                  <c:v>291.37</c:v>
                </c:pt>
                <c:pt idx="925">
                  <c:v>290.72000000000003</c:v>
                </c:pt>
                <c:pt idx="926">
                  <c:v>292.69</c:v>
                </c:pt>
                <c:pt idx="927">
                  <c:v>294.66000000000003</c:v>
                </c:pt>
                <c:pt idx="928">
                  <c:v>285.63</c:v>
                </c:pt>
                <c:pt idx="929">
                  <c:v>276.60000000000002</c:v>
                </c:pt>
                <c:pt idx="930">
                  <c:v>273.81</c:v>
                </c:pt>
                <c:pt idx="931">
                  <c:v>271.02</c:v>
                </c:pt>
                <c:pt idx="932">
                  <c:v>278.24</c:v>
                </c:pt>
                <c:pt idx="933">
                  <c:v>285.45999999999998</c:v>
                </c:pt>
                <c:pt idx="934">
                  <c:v>289.73</c:v>
                </c:pt>
                <c:pt idx="935">
                  <c:v>294</c:v>
                </c:pt>
                <c:pt idx="936">
                  <c:v>284.48</c:v>
                </c:pt>
                <c:pt idx="937">
                  <c:v>274.95999999999998</c:v>
                </c:pt>
                <c:pt idx="938">
                  <c:v>271.51</c:v>
                </c:pt>
                <c:pt idx="939">
                  <c:v>268.06</c:v>
                </c:pt>
                <c:pt idx="940">
                  <c:v>263.95999999999998</c:v>
                </c:pt>
                <c:pt idx="941">
                  <c:v>259.86</c:v>
                </c:pt>
                <c:pt idx="942">
                  <c:v>256.89999999999998</c:v>
                </c:pt>
                <c:pt idx="943">
                  <c:v>253.95</c:v>
                </c:pt>
                <c:pt idx="944">
                  <c:v>250.67</c:v>
                </c:pt>
                <c:pt idx="945">
                  <c:v>247.38</c:v>
                </c:pt>
                <c:pt idx="946">
                  <c:v>250.83</c:v>
                </c:pt>
                <c:pt idx="947">
                  <c:v>254.28</c:v>
                </c:pt>
                <c:pt idx="948">
                  <c:v>250.67</c:v>
                </c:pt>
                <c:pt idx="949">
                  <c:v>247.06</c:v>
                </c:pt>
                <c:pt idx="950">
                  <c:v>247.22</c:v>
                </c:pt>
                <c:pt idx="951">
                  <c:v>247.38</c:v>
                </c:pt>
                <c:pt idx="952">
                  <c:v>239.83</c:v>
                </c:pt>
                <c:pt idx="953">
                  <c:v>232.28</c:v>
                </c:pt>
                <c:pt idx="954">
                  <c:v>223.26</c:v>
                </c:pt>
                <c:pt idx="955">
                  <c:v>214.23</c:v>
                </c:pt>
                <c:pt idx="956">
                  <c:v>208.98</c:v>
                </c:pt>
                <c:pt idx="957">
                  <c:v>203.72</c:v>
                </c:pt>
                <c:pt idx="958">
                  <c:v>200.11</c:v>
                </c:pt>
                <c:pt idx="959">
                  <c:v>196.5</c:v>
                </c:pt>
                <c:pt idx="960">
                  <c:v>191.41</c:v>
                </c:pt>
                <c:pt idx="961">
                  <c:v>186.33</c:v>
                </c:pt>
                <c:pt idx="962">
                  <c:v>184.68</c:v>
                </c:pt>
                <c:pt idx="963">
                  <c:v>183.04</c:v>
                </c:pt>
                <c:pt idx="964">
                  <c:v>184.52</c:v>
                </c:pt>
                <c:pt idx="965">
                  <c:v>186</c:v>
                </c:pt>
                <c:pt idx="966">
                  <c:v>186.65</c:v>
                </c:pt>
                <c:pt idx="967">
                  <c:v>187.31</c:v>
                </c:pt>
                <c:pt idx="968">
                  <c:v>188.79</c:v>
                </c:pt>
                <c:pt idx="969">
                  <c:v>190.26</c:v>
                </c:pt>
                <c:pt idx="970">
                  <c:v>196.01</c:v>
                </c:pt>
                <c:pt idx="971">
                  <c:v>201.75</c:v>
                </c:pt>
                <c:pt idx="972">
                  <c:v>202.74</c:v>
                </c:pt>
                <c:pt idx="973">
                  <c:v>203.72</c:v>
                </c:pt>
                <c:pt idx="974">
                  <c:v>201.75</c:v>
                </c:pt>
                <c:pt idx="975">
                  <c:v>199.78</c:v>
                </c:pt>
                <c:pt idx="976">
                  <c:v>199.13</c:v>
                </c:pt>
                <c:pt idx="977">
                  <c:v>198.47</c:v>
                </c:pt>
                <c:pt idx="978">
                  <c:v>200.28</c:v>
                </c:pt>
                <c:pt idx="979">
                  <c:v>202.08</c:v>
                </c:pt>
                <c:pt idx="980">
                  <c:v>200.93</c:v>
                </c:pt>
                <c:pt idx="981">
                  <c:v>199.78</c:v>
                </c:pt>
                <c:pt idx="982">
                  <c:v>193.05</c:v>
                </c:pt>
                <c:pt idx="983">
                  <c:v>186.33</c:v>
                </c:pt>
                <c:pt idx="984">
                  <c:v>184.36</c:v>
                </c:pt>
                <c:pt idx="985">
                  <c:v>182.39</c:v>
                </c:pt>
                <c:pt idx="986">
                  <c:v>177.46</c:v>
                </c:pt>
                <c:pt idx="987">
                  <c:v>172.54</c:v>
                </c:pt>
                <c:pt idx="988">
                  <c:v>166.3</c:v>
                </c:pt>
                <c:pt idx="989">
                  <c:v>160.06</c:v>
                </c:pt>
                <c:pt idx="990">
                  <c:v>158.09</c:v>
                </c:pt>
                <c:pt idx="991">
                  <c:v>156.12</c:v>
                </c:pt>
                <c:pt idx="992">
                  <c:v>157.77000000000001</c:v>
                </c:pt>
                <c:pt idx="993">
                  <c:v>159.41</c:v>
                </c:pt>
                <c:pt idx="994">
                  <c:v>156.29</c:v>
                </c:pt>
                <c:pt idx="995">
                  <c:v>153.16999999999999</c:v>
                </c:pt>
                <c:pt idx="996">
                  <c:v>150.87</c:v>
                </c:pt>
                <c:pt idx="997">
                  <c:v>148.57</c:v>
                </c:pt>
                <c:pt idx="998">
                  <c:v>149.56</c:v>
                </c:pt>
                <c:pt idx="999">
                  <c:v>150.54</c:v>
                </c:pt>
                <c:pt idx="1000">
                  <c:v>150.87</c:v>
                </c:pt>
                <c:pt idx="1001">
                  <c:v>151.19999999999999</c:v>
                </c:pt>
                <c:pt idx="1002">
                  <c:v>153.66</c:v>
                </c:pt>
                <c:pt idx="1003">
                  <c:v>156.12</c:v>
                </c:pt>
                <c:pt idx="1004">
                  <c:v>157.93</c:v>
                </c:pt>
                <c:pt idx="1005">
                  <c:v>159.72999999999999</c:v>
                </c:pt>
                <c:pt idx="1006">
                  <c:v>161.05000000000001</c:v>
                </c:pt>
                <c:pt idx="1007">
                  <c:v>162.36000000000001</c:v>
                </c:pt>
                <c:pt idx="1008">
                  <c:v>161.54</c:v>
                </c:pt>
                <c:pt idx="1009">
                  <c:v>160.72</c:v>
                </c:pt>
                <c:pt idx="1010">
                  <c:v>152.18</c:v>
                </c:pt>
                <c:pt idx="1011">
                  <c:v>143.65</c:v>
                </c:pt>
                <c:pt idx="1012">
                  <c:v>138.72999999999999</c:v>
                </c:pt>
                <c:pt idx="1013">
                  <c:v>133.80000000000001</c:v>
                </c:pt>
                <c:pt idx="1014">
                  <c:v>132</c:v>
                </c:pt>
                <c:pt idx="1015">
                  <c:v>130.19</c:v>
                </c:pt>
                <c:pt idx="1016">
                  <c:v>128.71</c:v>
                </c:pt>
                <c:pt idx="1017">
                  <c:v>127.24</c:v>
                </c:pt>
                <c:pt idx="1018">
                  <c:v>131.18</c:v>
                </c:pt>
                <c:pt idx="1019">
                  <c:v>135.11000000000001</c:v>
                </c:pt>
                <c:pt idx="1020">
                  <c:v>140.53</c:v>
                </c:pt>
                <c:pt idx="1021">
                  <c:v>145.94999999999999</c:v>
                </c:pt>
                <c:pt idx="1022">
                  <c:v>150.54</c:v>
                </c:pt>
                <c:pt idx="1023">
                  <c:v>155.13999999999999</c:v>
                </c:pt>
                <c:pt idx="1024">
                  <c:v>153.33000000000001</c:v>
                </c:pt>
                <c:pt idx="1025">
                  <c:v>151.53</c:v>
                </c:pt>
                <c:pt idx="1026">
                  <c:v>149.22999999999999</c:v>
                </c:pt>
                <c:pt idx="1027">
                  <c:v>146.93</c:v>
                </c:pt>
                <c:pt idx="1028">
                  <c:v>145.94999999999999</c:v>
                </c:pt>
                <c:pt idx="1029">
                  <c:v>144.96</c:v>
                </c:pt>
                <c:pt idx="1030">
                  <c:v>143.65</c:v>
                </c:pt>
                <c:pt idx="1031">
                  <c:v>142.34</c:v>
                </c:pt>
                <c:pt idx="1032">
                  <c:v>140.53</c:v>
                </c:pt>
                <c:pt idx="1033">
                  <c:v>138.72999999999999</c:v>
                </c:pt>
                <c:pt idx="1034">
                  <c:v>142.34</c:v>
                </c:pt>
                <c:pt idx="1035">
                  <c:v>145.94999999999999</c:v>
                </c:pt>
                <c:pt idx="1036">
                  <c:v>151.36000000000001</c:v>
                </c:pt>
                <c:pt idx="1037">
                  <c:v>156.78</c:v>
                </c:pt>
                <c:pt idx="1038">
                  <c:v>156.44999999999999</c:v>
                </c:pt>
                <c:pt idx="1039">
                  <c:v>156.12</c:v>
                </c:pt>
                <c:pt idx="1040">
                  <c:v>158.75</c:v>
                </c:pt>
                <c:pt idx="1041">
                  <c:v>161.38</c:v>
                </c:pt>
                <c:pt idx="1042">
                  <c:v>158.41999999999999</c:v>
                </c:pt>
                <c:pt idx="1043">
                  <c:v>155.47</c:v>
                </c:pt>
                <c:pt idx="1044">
                  <c:v>152.02000000000001</c:v>
                </c:pt>
                <c:pt idx="1045">
                  <c:v>148.57</c:v>
                </c:pt>
                <c:pt idx="1046">
                  <c:v>147.41999999999999</c:v>
                </c:pt>
                <c:pt idx="1047">
                  <c:v>146.28</c:v>
                </c:pt>
                <c:pt idx="1048">
                  <c:v>147.59</c:v>
                </c:pt>
                <c:pt idx="1049">
                  <c:v>148.9</c:v>
                </c:pt>
                <c:pt idx="1050">
                  <c:v>151.86000000000001</c:v>
                </c:pt>
                <c:pt idx="1051">
                  <c:v>154.81</c:v>
                </c:pt>
                <c:pt idx="1052">
                  <c:v>152.84</c:v>
                </c:pt>
                <c:pt idx="1053">
                  <c:v>150.87</c:v>
                </c:pt>
                <c:pt idx="1054">
                  <c:v>149.22999999999999</c:v>
                </c:pt>
                <c:pt idx="1055">
                  <c:v>147.59</c:v>
                </c:pt>
                <c:pt idx="1056">
                  <c:v>150.22</c:v>
                </c:pt>
                <c:pt idx="1057">
                  <c:v>152.84</c:v>
                </c:pt>
                <c:pt idx="1058">
                  <c:v>153.83000000000001</c:v>
                </c:pt>
                <c:pt idx="1059">
                  <c:v>154.81</c:v>
                </c:pt>
                <c:pt idx="1060">
                  <c:v>154.81</c:v>
                </c:pt>
                <c:pt idx="1061">
                  <c:v>154.81</c:v>
                </c:pt>
                <c:pt idx="1062">
                  <c:v>154.65</c:v>
                </c:pt>
                <c:pt idx="1063">
                  <c:v>154.47999999999999</c:v>
                </c:pt>
                <c:pt idx="1064">
                  <c:v>151.36000000000001</c:v>
                </c:pt>
                <c:pt idx="1065">
                  <c:v>148.25</c:v>
                </c:pt>
                <c:pt idx="1066">
                  <c:v>149.07</c:v>
                </c:pt>
                <c:pt idx="1067">
                  <c:v>149.88999999999999</c:v>
                </c:pt>
                <c:pt idx="1068">
                  <c:v>149.38999999999999</c:v>
                </c:pt>
                <c:pt idx="1069">
                  <c:v>148.9</c:v>
                </c:pt>
                <c:pt idx="1070">
                  <c:v>149.56</c:v>
                </c:pt>
                <c:pt idx="1071">
                  <c:v>150.22</c:v>
                </c:pt>
                <c:pt idx="1072">
                  <c:v>148.25</c:v>
                </c:pt>
                <c:pt idx="1073">
                  <c:v>146.28</c:v>
                </c:pt>
                <c:pt idx="1074">
                  <c:v>140.53</c:v>
                </c:pt>
                <c:pt idx="1075">
                  <c:v>134.79</c:v>
                </c:pt>
                <c:pt idx="1076">
                  <c:v>131.66999999999999</c:v>
                </c:pt>
                <c:pt idx="1077">
                  <c:v>128.55000000000001</c:v>
                </c:pt>
                <c:pt idx="1078">
                  <c:v>125.76</c:v>
                </c:pt>
                <c:pt idx="1079">
                  <c:v>122.97</c:v>
                </c:pt>
                <c:pt idx="1080">
                  <c:v>118.54</c:v>
                </c:pt>
                <c:pt idx="1081">
                  <c:v>114.11</c:v>
                </c:pt>
                <c:pt idx="1082">
                  <c:v>112.14</c:v>
                </c:pt>
                <c:pt idx="1083">
                  <c:v>110.17</c:v>
                </c:pt>
                <c:pt idx="1084">
                  <c:v>107.05</c:v>
                </c:pt>
                <c:pt idx="1085">
                  <c:v>103.93</c:v>
                </c:pt>
                <c:pt idx="1086">
                  <c:v>102.12</c:v>
                </c:pt>
                <c:pt idx="1087">
                  <c:v>100.32</c:v>
                </c:pt>
                <c:pt idx="1088">
                  <c:v>97.86</c:v>
                </c:pt>
                <c:pt idx="1089">
                  <c:v>95.39</c:v>
                </c:pt>
                <c:pt idx="1090">
                  <c:v>93.75</c:v>
                </c:pt>
                <c:pt idx="1091">
                  <c:v>92.11</c:v>
                </c:pt>
                <c:pt idx="1092">
                  <c:v>90.96</c:v>
                </c:pt>
                <c:pt idx="1093">
                  <c:v>89.81</c:v>
                </c:pt>
                <c:pt idx="1094">
                  <c:v>88.5</c:v>
                </c:pt>
                <c:pt idx="1095">
                  <c:v>87.19</c:v>
                </c:pt>
                <c:pt idx="1096">
                  <c:v>86.53</c:v>
                </c:pt>
                <c:pt idx="1097">
                  <c:v>85.87</c:v>
                </c:pt>
                <c:pt idx="1098">
                  <c:v>83.9</c:v>
                </c:pt>
                <c:pt idx="1099">
                  <c:v>81.93</c:v>
                </c:pt>
                <c:pt idx="1100">
                  <c:v>84.07</c:v>
                </c:pt>
                <c:pt idx="1101">
                  <c:v>86.2</c:v>
                </c:pt>
                <c:pt idx="1102">
                  <c:v>87.84</c:v>
                </c:pt>
                <c:pt idx="1103">
                  <c:v>89.48</c:v>
                </c:pt>
                <c:pt idx="1104">
                  <c:v>89.98</c:v>
                </c:pt>
                <c:pt idx="1105">
                  <c:v>90.47</c:v>
                </c:pt>
                <c:pt idx="1106">
                  <c:v>91.29</c:v>
                </c:pt>
                <c:pt idx="1107">
                  <c:v>92.11</c:v>
                </c:pt>
                <c:pt idx="1108">
                  <c:v>90.63</c:v>
                </c:pt>
                <c:pt idx="1109">
                  <c:v>89.16</c:v>
                </c:pt>
                <c:pt idx="1110">
                  <c:v>88.01</c:v>
                </c:pt>
                <c:pt idx="1111">
                  <c:v>86.86</c:v>
                </c:pt>
                <c:pt idx="1112">
                  <c:v>86.86</c:v>
                </c:pt>
                <c:pt idx="1113">
                  <c:v>86.86</c:v>
                </c:pt>
                <c:pt idx="1114">
                  <c:v>86.53</c:v>
                </c:pt>
                <c:pt idx="1115">
                  <c:v>86.2</c:v>
                </c:pt>
                <c:pt idx="1116">
                  <c:v>86.04</c:v>
                </c:pt>
                <c:pt idx="1117">
                  <c:v>85.87</c:v>
                </c:pt>
                <c:pt idx="1118">
                  <c:v>84.56</c:v>
                </c:pt>
                <c:pt idx="1119">
                  <c:v>83.25</c:v>
                </c:pt>
                <c:pt idx="1120">
                  <c:v>85.87</c:v>
                </c:pt>
                <c:pt idx="1121">
                  <c:v>88.5</c:v>
                </c:pt>
                <c:pt idx="1122">
                  <c:v>89.16</c:v>
                </c:pt>
                <c:pt idx="1123">
                  <c:v>89.81</c:v>
                </c:pt>
                <c:pt idx="1124">
                  <c:v>89.48</c:v>
                </c:pt>
                <c:pt idx="1125">
                  <c:v>89.16</c:v>
                </c:pt>
                <c:pt idx="1126">
                  <c:v>89.16</c:v>
                </c:pt>
                <c:pt idx="1127">
                  <c:v>89.16</c:v>
                </c:pt>
                <c:pt idx="1128">
                  <c:v>88.66</c:v>
                </c:pt>
                <c:pt idx="1129">
                  <c:v>88.17</c:v>
                </c:pt>
                <c:pt idx="1130">
                  <c:v>86.86</c:v>
                </c:pt>
                <c:pt idx="1131">
                  <c:v>85.55</c:v>
                </c:pt>
                <c:pt idx="1132">
                  <c:v>86.86</c:v>
                </c:pt>
                <c:pt idx="1133">
                  <c:v>88.17</c:v>
                </c:pt>
                <c:pt idx="1134">
                  <c:v>87.02</c:v>
                </c:pt>
                <c:pt idx="1135">
                  <c:v>85.87</c:v>
                </c:pt>
                <c:pt idx="1136">
                  <c:v>84.07</c:v>
                </c:pt>
                <c:pt idx="1137">
                  <c:v>82.26</c:v>
                </c:pt>
                <c:pt idx="1138">
                  <c:v>80.13</c:v>
                </c:pt>
                <c:pt idx="1139">
                  <c:v>78</c:v>
                </c:pt>
                <c:pt idx="1140">
                  <c:v>76.349999999999994</c:v>
                </c:pt>
                <c:pt idx="1141">
                  <c:v>74.709999999999994</c:v>
                </c:pt>
                <c:pt idx="1142">
                  <c:v>73.400000000000006</c:v>
                </c:pt>
                <c:pt idx="1143">
                  <c:v>72.09</c:v>
                </c:pt>
                <c:pt idx="1144">
                  <c:v>69.459999999999994</c:v>
                </c:pt>
                <c:pt idx="1145">
                  <c:v>66.83</c:v>
                </c:pt>
                <c:pt idx="1146">
                  <c:v>65.52</c:v>
                </c:pt>
                <c:pt idx="1147">
                  <c:v>64.209999999999994</c:v>
                </c:pt>
                <c:pt idx="1148">
                  <c:v>60.92</c:v>
                </c:pt>
                <c:pt idx="1149">
                  <c:v>57.64</c:v>
                </c:pt>
                <c:pt idx="1150">
                  <c:v>56.49</c:v>
                </c:pt>
                <c:pt idx="1151">
                  <c:v>55.34</c:v>
                </c:pt>
                <c:pt idx="1152">
                  <c:v>52.88</c:v>
                </c:pt>
                <c:pt idx="1153">
                  <c:v>50.42</c:v>
                </c:pt>
                <c:pt idx="1154">
                  <c:v>49.93</c:v>
                </c:pt>
                <c:pt idx="1155">
                  <c:v>49.44</c:v>
                </c:pt>
                <c:pt idx="1156">
                  <c:v>49.11</c:v>
                </c:pt>
                <c:pt idx="1157">
                  <c:v>48.78</c:v>
                </c:pt>
                <c:pt idx="1158">
                  <c:v>47.14</c:v>
                </c:pt>
                <c:pt idx="1159">
                  <c:v>45.5</c:v>
                </c:pt>
                <c:pt idx="1160">
                  <c:v>45.17</c:v>
                </c:pt>
                <c:pt idx="1161">
                  <c:v>44.84</c:v>
                </c:pt>
                <c:pt idx="1162">
                  <c:v>44.51</c:v>
                </c:pt>
                <c:pt idx="1163">
                  <c:v>44.18</c:v>
                </c:pt>
                <c:pt idx="1164">
                  <c:v>44.68</c:v>
                </c:pt>
                <c:pt idx="1165">
                  <c:v>45.17</c:v>
                </c:pt>
                <c:pt idx="1166">
                  <c:v>43.85</c:v>
                </c:pt>
                <c:pt idx="1167">
                  <c:v>42.54</c:v>
                </c:pt>
                <c:pt idx="1168">
                  <c:v>42.54</c:v>
                </c:pt>
                <c:pt idx="1169">
                  <c:v>42.54</c:v>
                </c:pt>
                <c:pt idx="1170">
                  <c:v>40.74</c:v>
                </c:pt>
                <c:pt idx="1171">
                  <c:v>38.93</c:v>
                </c:pt>
                <c:pt idx="1172">
                  <c:v>37.619999999999997</c:v>
                </c:pt>
                <c:pt idx="1173">
                  <c:v>36.299999999999997</c:v>
                </c:pt>
                <c:pt idx="1174">
                  <c:v>33.840000000000003</c:v>
                </c:pt>
                <c:pt idx="1175">
                  <c:v>31.38</c:v>
                </c:pt>
                <c:pt idx="1176">
                  <c:v>29.41</c:v>
                </c:pt>
                <c:pt idx="1177">
                  <c:v>27.44</c:v>
                </c:pt>
                <c:pt idx="1178">
                  <c:v>27.11</c:v>
                </c:pt>
                <c:pt idx="1179">
                  <c:v>26.78</c:v>
                </c:pt>
                <c:pt idx="1180">
                  <c:v>25.8</c:v>
                </c:pt>
                <c:pt idx="1181">
                  <c:v>24.81</c:v>
                </c:pt>
                <c:pt idx="1182">
                  <c:v>24.49</c:v>
                </c:pt>
                <c:pt idx="1183">
                  <c:v>24.16</c:v>
                </c:pt>
                <c:pt idx="1184">
                  <c:v>23.5</c:v>
                </c:pt>
                <c:pt idx="1185">
                  <c:v>22.85</c:v>
                </c:pt>
                <c:pt idx="1186">
                  <c:v>22.52</c:v>
                </c:pt>
                <c:pt idx="1187">
                  <c:v>22.19</c:v>
                </c:pt>
                <c:pt idx="1188">
                  <c:v>20.38</c:v>
                </c:pt>
                <c:pt idx="1189">
                  <c:v>18.579999999999998</c:v>
                </c:pt>
                <c:pt idx="1190">
                  <c:v>16.61</c:v>
                </c:pt>
                <c:pt idx="1191">
                  <c:v>14.64</c:v>
                </c:pt>
                <c:pt idx="1192">
                  <c:v>14.31</c:v>
                </c:pt>
                <c:pt idx="1193">
                  <c:v>13.98</c:v>
                </c:pt>
                <c:pt idx="1194">
                  <c:v>13.82</c:v>
                </c:pt>
                <c:pt idx="1195">
                  <c:v>13.65</c:v>
                </c:pt>
                <c:pt idx="1196">
                  <c:v>12.01</c:v>
                </c:pt>
                <c:pt idx="1197">
                  <c:v>10.37</c:v>
                </c:pt>
                <c:pt idx="1198">
                  <c:v>10.7</c:v>
                </c:pt>
                <c:pt idx="1199">
                  <c:v>11.03</c:v>
                </c:pt>
                <c:pt idx="1200">
                  <c:v>9.7100000000000009</c:v>
                </c:pt>
                <c:pt idx="1201">
                  <c:v>8.4</c:v>
                </c:pt>
                <c:pt idx="1202">
                  <c:v>8.57</c:v>
                </c:pt>
                <c:pt idx="1203">
                  <c:v>8.73</c:v>
                </c:pt>
                <c:pt idx="1204">
                  <c:v>9.8800000000000008</c:v>
                </c:pt>
                <c:pt idx="1205">
                  <c:v>11.03</c:v>
                </c:pt>
                <c:pt idx="1206">
                  <c:v>9.06</c:v>
                </c:pt>
                <c:pt idx="1207">
                  <c:v>7.09</c:v>
                </c:pt>
                <c:pt idx="1208">
                  <c:v>7.25</c:v>
                </c:pt>
                <c:pt idx="1209">
                  <c:v>7.42</c:v>
                </c:pt>
                <c:pt idx="1210">
                  <c:v>8.4</c:v>
                </c:pt>
                <c:pt idx="1211">
                  <c:v>9.39</c:v>
                </c:pt>
                <c:pt idx="1212">
                  <c:v>6.6</c:v>
                </c:pt>
                <c:pt idx="1213">
                  <c:v>3.81</c:v>
                </c:pt>
                <c:pt idx="1214">
                  <c:v>6.6</c:v>
                </c:pt>
                <c:pt idx="1215">
                  <c:v>9.39</c:v>
                </c:pt>
                <c:pt idx="1216">
                  <c:v>7.58</c:v>
                </c:pt>
                <c:pt idx="1217">
                  <c:v>5.78</c:v>
                </c:pt>
                <c:pt idx="1218">
                  <c:v>7.25</c:v>
                </c:pt>
                <c:pt idx="1219">
                  <c:v>8.73</c:v>
                </c:pt>
                <c:pt idx="1220">
                  <c:v>7.42</c:v>
                </c:pt>
                <c:pt idx="1221">
                  <c:v>6.1</c:v>
                </c:pt>
                <c:pt idx="1222">
                  <c:v>6.1</c:v>
                </c:pt>
                <c:pt idx="1223">
                  <c:v>6.1</c:v>
                </c:pt>
                <c:pt idx="1224">
                  <c:v>5.78</c:v>
                </c:pt>
                <c:pt idx="1225">
                  <c:v>5.45</c:v>
                </c:pt>
                <c:pt idx="1226">
                  <c:v>4.46</c:v>
                </c:pt>
                <c:pt idx="1227">
                  <c:v>3.48</c:v>
                </c:pt>
                <c:pt idx="1228">
                  <c:v>3.64</c:v>
                </c:pt>
                <c:pt idx="1229">
                  <c:v>3.81</c:v>
                </c:pt>
                <c:pt idx="1230">
                  <c:v>3.81</c:v>
                </c:pt>
                <c:pt idx="1231">
                  <c:v>3.81</c:v>
                </c:pt>
                <c:pt idx="1232">
                  <c:v>3.97</c:v>
                </c:pt>
                <c:pt idx="1233">
                  <c:v>4.13</c:v>
                </c:pt>
                <c:pt idx="1234">
                  <c:v>3.48</c:v>
                </c:pt>
                <c:pt idx="1235">
                  <c:v>2.82</c:v>
                </c:pt>
                <c:pt idx="1236">
                  <c:v>4.13</c:v>
                </c:pt>
                <c:pt idx="1237">
                  <c:v>5.45</c:v>
                </c:pt>
                <c:pt idx="1238">
                  <c:v>4.13</c:v>
                </c:pt>
                <c:pt idx="1239">
                  <c:v>2.82</c:v>
                </c:pt>
                <c:pt idx="1240">
                  <c:v>2.98</c:v>
                </c:pt>
                <c:pt idx="1241">
                  <c:v>3.15</c:v>
                </c:pt>
                <c:pt idx="1242">
                  <c:v>2.82</c:v>
                </c:pt>
                <c:pt idx="1243">
                  <c:v>2.4900000000000002</c:v>
                </c:pt>
                <c:pt idx="1244">
                  <c:v>2.4900000000000002</c:v>
                </c:pt>
                <c:pt idx="1245">
                  <c:v>2.4900000000000002</c:v>
                </c:pt>
                <c:pt idx="1246">
                  <c:v>2.82</c:v>
                </c:pt>
                <c:pt idx="1247">
                  <c:v>3.15</c:v>
                </c:pt>
                <c:pt idx="1248">
                  <c:v>2.66</c:v>
                </c:pt>
                <c:pt idx="1249">
                  <c:v>2.16</c:v>
                </c:pt>
                <c:pt idx="1250">
                  <c:v>2.16</c:v>
                </c:pt>
                <c:pt idx="1251">
                  <c:v>2.16</c:v>
                </c:pt>
                <c:pt idx="1252">
                  <c:v>2.4900000000000002</c:v>
                </c:pt>
                <c:pt idx="1253">
                  <c:v>2.82</c:v>
                </c:pt>
                <c:pt idx="1254">
                  <c:v>3.48</c:v>
                </c:pt>
                <c:pt idx="1255">
                  <c:v>4.13</c:v>
                </c:pt>
                <c:pt idx="1256">
                  <c:v>3.64</c:v>
                </c:pt>
                <c:pt idx="1257">
                  <c:v>3.15</c:v>
                </c:pt>
                <c:pt idx="1258">
                  <c:v>3.15</c:v>
                </c:pt>
                <c:pt idx="1259">
                  <c:v>3.15</c:v>
                </c:pt>
                <c:pt idx="1260">
                  <c:v>2.66</c:v>
                </c:pt>
                <c:pt idx="1261">
                  <c:v>2.16</c:v>
                </c:pt>
                <c:pt idx="1262">
                  <c:v>2.16</c:v>
                </c:pt>
                <c:pt idx="1263">
                  <c:v>2.16</c:v>
                </c:pt>
                <c:pt idx="1264">
                  <c:v>2.33</c:v>
                </c:pt>
                <c:pt idx="1265">
                  <c:v>2.4900000000000002</c:v>
                </c:pt>
                <c:pt idx="1266">
                  <c:v>2.16</c:v>
                </c:pt>
                <c:pt idx="1267">
                  <c:v>1.84</c:v>
                </c:pt>
                <c:pt idx="1268">
                  <c:v>2.33</c:v>
                </c:pt>
                <c:pt idx="1269">
                  <c:v>2.82</c:v>
                </c:pt>
                <c:pt idx="1270">
                  <c:v>4.13</c:v>
                </c:pt>
                <c:pt idx="1271">
                  <c:v>5.45</c:v>
                </c:pt>
                <c:pt idx="1272">
                  <c:v>3.97</c:v>
                </c:pt>
                <c:pt idx="1273">
                  <c:v>2.4900000000000002</c:v>
                </c:pt>
                <c:pt idx="1274">
                  <c:v>2.66</c:v>
                </c:pt>
                <c:pt idx="1275">
                  <c:v>2.82</c:v>
                </c:pt>
                <c:pt idx="1276">
                  <c:v>2.98</c:v>
                </c:pt>
                <c:pt idx="1277">
                  <c:v>3.15</c:v>
                </c:pt>
                <c:pt idx="1278">
                  <c:v>2.98</c:v>
                </c:pt>
                <c:pt idx="1279">
                  <c:v>2.82</c:v>
                </c:pt>
                <c:pt idx="1280">
                  <c:v>2.66</c:v>
                </c:pt>
                <c:pt idx="1281">
                  <c:v>2.4900000000000002</c:v>
                </c:pt>
                <c:pt idx="1282">
                  <c:v>2.66</c:v>
                </c:pt>
                <c:pt idx="1283">
                  <c:v>2.82</c:v>
                </c:pt>
                <c:pt idx="1284">
                  <c:v>2.98</c:v>
                </c:pt>
                <c:pt idx="1285">
                  <c:v>3.15</c:v>
                </c:pt>
                <c:pt idx="1286">
                  <c:v>2.82</c:v>
                </c:pt>
                <c:pt idx="1287">
                  <c:v>2.4900000000000002</c:v>
                </c:pt>
                <c:pt idx="1288">
                  <c:v>2.66</c:v>
                </c:pt>
                <c:pt idx="1289">
                  <c:v>2.82</c:v>
                </c:pt>
                <c:pt idx="1290">
                  <c:v>2.98</c:v>
                </c:pt>
                <c:pt idx="1291">
                  <c:v>3.15</c:v>
                </c:pt>
                <c:pt idx="1292">
                  <c:v>2.98</c:v>
                </c:pt>
                <c:pt idx="1293">
                  <c:v>2.82</c:v>
                </c:pt>
                <c:pt idx="1294">
                  <c:v>2.33</c:v>
                </c:pt>
                <c:pt idx="1295">
                  <c:v>1.84</c:v>
                </c:pt>
                <c:pt idx="1296">
                  <c:v>2.4900000000000002</c:v>
                </c:pt>
                <c:pt idx="1297">
                  <c:v>3.15</c:v>
                </c:pt>
                <c:pt idx="1298">
                  <c:v>2.98</c:v>
                </c:pt>
                <c:pt idx="1299">
                  <c:v>2.82</c:v>
                </c:pt>
                <c:pt idx="1300">
                  <c:v>2.82</c:v>
                </c:pt>
                <c:pt idx="1301">
                  <c:v>2.82</c:v>
                </c:pt>
                <c:pt idx="1302">
                  <c:v>2.98</c:v>
                </c:pt>
                <c:pt idx="1303">
                  <c:v>3.15</c:v>
                </c:pt>
                <c:pt idx="1304">
                  <c:v>2.98</c:v>
                </c:pt>
                <c:pt idx="1305">
                  <c:v>2.82</c:v>
                </c:pt>
                <c:pt idx="1306">
                  <c:v>2.4900000000000002</c:v>
                </c:pt>
                <c:pt idx="1307">
                  <c:v>2.16</c:v>
                </c:pt>
                <c:pt idx="1308">
                  <c:v>2.33</c:v>
                </c:pt>
                <c:pt idx="1309">
                  <c:v>2.4900000000000002</c:v>
                </c:pt>
                <c:pt idx="1310">
                  <c:v>2.98</c:v>
                </c:pt>
                <c:pt idx="1311">
                  <c:v>3.48</c:v>
                </c:pt>
                <c:pt idx="1312">
                  <c:v>4.46</c:v>
                </c:pt>
                <c:pt idx="1313">
                  <c:v>5.45</c:v>
                </c:pt>
                <c:pt idx="1314">
                  <c:v>4.46</c:v>
                </c:pt>
                <c:pt idx="1315">
                  <c:v>3.48</c:v>
                </c:pt>
                <c:pt idx="1316">
                  <c:v>2.82</c:v>
                </c:pt>
                <c:pt idx="1317">
                  <c:v>2.16</c:v>
                </c:pt>
                <c:pt idx="1318">
                  <c:v>2.33</c:v>
                </c:pt>
                <c:pt idx="1319">
                  <c:v>2.4900000000000002</c:v>
                </c:pt>
                <c:pt idx="1320">
                  <c:v>2.16</c:v>
                </c:pt>
                <c:pt idx="1321">
                  <c:v>1.84</c:v>
                </c:pt>
                <c:pt idx="1322">
                  <c:v>1.67</c:v>
                </c:pt>
                <c:pt idx="1323">
                  <c:v>1.51</c:v>
                </c:pt>
                <c:pt idx="1324">
                  <c:v>2.4900000000000002</c:v>
                </c:pt>
                <c:pt idx="1325">
                  <c:v>3.48</c:v>
                </c:pt>
                <c:pt idx="1326">
                  <c:v>3.31</c:v>
                </c:pt>
                <c:pt idx="1327">
                  <c:v>3.15</c:v>
                </c:pt>
                <c:pt idx="1328">
                  <c:v>2.98</c:v>
                </c:pt>
                <c:pt idx="1329">
                  <c:v>2.82</c:v>
                </c:pt>
                <c:pt idx="1330">
                  <c:v>2.82</c:v>
                </c:pt>
                <c:pt idx="1331">
                  <c:v>2.82</c:v>
                </c:pt>
                <c:pt idx="1332">
                  <c:v>2.4900000000000002</c:v>
                </c:pt>
                <c:pt idx="1333">
                  <c:v>2.16</c:v>
                </c:pt>
                <c:pt idx="1334">
                  <c:v>2.16</c:v>
                </c:pt>
                <c:pt idx="1335">
                  <c:v>2.16</c:v>
                </c:pt>
                <c:pt idx="1336">
                  <c:v>2.33</c:v>
                </c:pt>
                <c:pt idx="1337">
                  <c:v>2.4900000000000002</c:v>
                </c:pt>
                <c:pt idx="1338">
                  <c:v>2.16</c:v>
                </c:pt>
                <c:pt idx="1339">
                  <c:v>1.84</c:v>
                </c:pt>
                <c:pt idx="1340">
                  <c:v>2.33</c:v>
                </c:pt>
                <c:pt idx="1341">
                  <c:v>2.82</c:v>
                </c:pt>
                <c:pt idx="1342">
                  <c:v>2.33</c:v>
                </c:pt>
                <c:pt idx="1343">
                  <c:v>1.84</c:v>
                </c:pt>
                <c:pt idx="1344">
                  <c:v>2</c:v>
                </c:pt>
                <c:pt idx="1345">
                  <c:v>2.16</c:v>
                </c:pt>
                <c:pt idx="1346">
                  <c:v>2.82</c:v>
                </c:pt>
                <c:pt idx="1347">
                  <c:v>3.48</c:v>
                </c:pt>
                <c:pt idx="1348">
                  <c:v>2.82</c:v>
                </c:pt>
                <c:pt idx="1349">
                  <c:v>2.16</c:v>
                </c:pt>
                <c:pt idx="1350">
                  <c:v>2</c:v>
                </c:pt>
                <c:pt idx="1351">
                  <c:v>1.84</c:v>
                </c:pt>
                <c:pt idx="1352">
                  <c:v>1.84</c:v>
                </c:pt>
                <c:pt idx="1353">
                  <c:v>1.84</c:v>
                </c:pt>
                <c:pt idx="1354">
                  <c:v>2.16</c:v>
                </c:pt>
                <c:pt idx="1355">
                  <c:v>2.4900000000000002</c:v>
                </c:pt>
                <c:pt idx="1356">
                  <c:v>2.16</c:v>
                </c:pt>
                <c:pt idx="1357">
                  <c:v>1.84</c:v>
                </c:pt>
                <c:pt idx="1358">
                  <c:v>1.84</c:v>
                </c:pt>
                <c:pt idx="1359">
                  <c:v>1.84</c:v>
                </c:pt>
                <c:pt idx="1360">
                  <c:v>2.82</c:v>
                </c:pt>
                <c:pt idx="1361">
                  <c:v>3.81</c:v>
                </c:pt>
                <c:pt idx="1362">
                  <c:v>2.82</c:v>
                </c:pt>
                <c:pt idx="1363">
                  <c:v>1.84</c:v>
                </c:pt>
                <c:pt idx="1364">
                  <c:v>2.16</c:v>
                </c:pt>
                <c:pt idx="1365">
                  <c:v>2.4900000000000002</c:v>
                </c:pt>
                <c:pt idx="1366">
                  <c:v>2.66</c:v>
                </c:pt>
                <c:pt idx="1367">
                  <c:v>2.82</c:v>
                </c:pt>
                <c:pt idx="1368">
                  <c:v>2.66</c:v>
                </c:pt>
                <c:pt idx="1369">
                  <c:v>2.4900000000000002</c:v>
                </c:pt>
                <c:pt idx="1370">
                  <c:v>2.33</c:v>
                </c:pt>
                <c:pt idx="1371">
                  <c:v>2.16</c:v>
                </c:pt>
                <c:pt idx="1372">
                  <c:v>2.16</c:v>
                </c:pt>
                <c:pt idx="1373">
                  <c:v>2.16</c:v>
                </c:pt>
                <c:pt idx="1374">
                  <c:v>2.16</c:v>
                </c:pt>
                <c:pt idx="1375">
                  <c:v>2.16</c:v>
                </c:pt>
                <c:pt idx="1376">
                  <c:v>2.16</c:v>
                </c:pt>
                <c:pt idx="1377">
                  <c:v>2.16</c:v>
                </c:pt>
                <c:pt idx="1378">
                  <c:v>2.66</c:v>
                </c:pt>
                <c:pt idx="1379">
                  <c:v>3.15</c:v>
                </c:pt>
                <c:pt idx="1380">
                  <c:v>2.82</c:v>
                </c:pt>
                <c:pt idx="1381">
                  <c:v>2.4900000000000002</c:v>
                </c:pt>
                <c:pt idx="1382">
                  <c:v>2.4900000000000002</c:v>
                </c:pt>
                <c:pt idx="1383">
                  <c:v>2.4900000000000002</c:v>
                </c:pt>
                <c:pt idx="1384">
                  <c:v>2.66</c:v>
                </c:pt>
                <c:pt idx="1385">
                  <c:v>2.82</c:v>
                </c:pt>
                <c:pt idx="1386">
                  <c:v>2.82</c:v>
                </c:pt>
                <c:pt idx="1387">
                  <c:v>2.82</c:v>
                </c:pt>
                <c:pt idx="1388">
                  <c:v>2.98</c:v>
                </c:pt>
                <c:pt idx="1389">
                  <c:v>3.15</c:v>
                </c:pt>
                <c:pt idx="1390">
                  <c:v>2.82</c:v>
                </c:pt>
                <c:pt idx="1391">
                  <c:v>2.4900000000000002</c:v>
                </c:pt>
                <c:pt idx="1392">
                  <c:v>2.66</c:v>
                </c:pt>
                <c:pt idx="1393">
                  <c:v>2.82</c:v>
                </c:pt>
                <c:pt idx="1394">
                  <c:v>2.33</c:v>
                </c:pt>
                <c:pt idx="1395">
                  <c:v>1.84</c:v>
                </c:pt>
                <c:pt idx="1396">
                  <c:v>2.33</c:v>
                </c:pt>
                <c:pt idx="1397">
                  <c:v>2.82</c:v>
                </c:pt>
                <c:pt idx="1398">
                  <c:v>2.82</c:v>
                </c:pt>
                <c:pt idx="1399">
                  <c:v>2.82</c:v>
                </c:pt>
                <c:pt idx="1400">
                  <c:v>2.82</c:v>
                </c:pt>
                <c:pt idx="1401">
                  <c:v>2.82</c:v>
                </c:pt>
                <c:pt idx="1402">
                  <c:v>2.98</c:v>
                </c:pt>
                <c:pt idx="1403">
                  <c:v>3.15</c:v>
                </c:pt>
                <c:pt idx="1404">
                  <c:v>2.82</c:v>
                </c:pt>
                <c:pt idx="1405">
                  <c:v>2.4900000000000002</c:v>
                </c:pt>
                <c:pt idx="1406">
                  <c:v>2.66</c:v>
                </c:pt>
                <c:pt idx="1407">
                  <c:v>2.82</c:v>
                </c:pt>
                <c:pt idx="1408">
                  <c:v>2.82</c:v>
                </c:pt>
                <c:pt idx="1409">
                  <c:v>2.82</c:v>
                </c:pt>
                <c:pt idx="1410">
                  <c:v>2.66</c:v>
                </c:pt>
                <c:pt idx="1411">
                  <c:v>2.4900000000000002</c:v>
                </c:pt>
                <c:pt idx="1412">
                  <c:v>2.66</c:v>
                </c:pt>
                <c:pt idx="1413">
                  <c:v>2.82</c:v>
                </c:pt>
                <c:pt idx="1414">
                  <c:v>2.82</c:v>
                </c:pt>
                <c:pt idx="1415">
                  <c:v>2.82</c:v>
                </c:pt>
                <c:pt idx="1416">
                  <c:v>2.66</c:v>
                </c:pt>
                <c:pt idx="1417">
                  <c:v>2.4900000000000002</c:v>
                </c:pt>
                <c:pt idx="1418">
                  <c:v>2.66</c:v>
                </c:pt>
                <c:pt idx="1419">
                  <c:v>2.82</c:v>
                </c:pt>
                <c:pt idx="1420">
                  <c:v>2.98</c:v>
                </c:pt>
                <c:pt idx="1421">
                  <c:v>3.15</c:v>
                </c:pt>
                <c:pt idx="1422">
                  <c:v>3.31</c:v>
                </c:pt>
                <c:pt idx="1423">
                  <c:v>3.48</c:v>
                </c:pt>
                <c:pt idx="1424">
                  <c:v>2.66</c:v>
                </c:pt>
                <c:pt idx="1425">
                  <c:v>1.84</c:v>
                </c:pt>
                <c:pt idx="1426">
                  <c:v>2.4900000000000002</c:v>
                </c:pt>
                <c:pt idx="1427">
                  <c:v>3.15</c:v>
                </c:pt>
                <c:pt idx="1428">
                  <c:v>2.66</c:v>
                </c:pt>
                <c:pt idx="1429">
                  <c:v>2.16</c:v>
                </c:pt>
                <c:pt idx="1430">
                  <c:v>2</c:v>
                </c:pt>
                <c:pt idx="1431">
                  <c:v>1.84</c:v>
                </c:pt>
                <c:pt idx="1432">
                  <c:v>2.4900000000000002</c:v>
                </c:pt>
                <c:pt idx="1433">
                  <c:v>3.15</c:v>
                </c:pt>
                <c:pt idx="1434">
                  <c:v>2.66</c:v>
                </c:pt>
                <c:pt idx="1435">
                  <c:v>2.16</c:v>
                </c:pt>
                <c:pt idx="1436">
                  <c:v>2.33</c:v>
                </c:pt>
                <c:pt idx="1437">
                  <c:v>2.4900000000000002</c:v>
                </c:pt>
                <c:pt idx="1438">
                  <c:v>2.33</c:v>
                </c:pt>
                <c:pt idx="1439">
                  <c:v>2.16</c:v>
                </c:pt>
              </c:numCache>
            </c:numRef>
          </c:yVal>
          <c:smooth val="1"/>
          <c:extLst>
            <c:ext xmlns:c16="http://schemas.microsoft.com/office/drawing/2014/chart" uri="{C3380CC4-5D6E-409C-BE32-E72D297353CC}">
              <c16:uniqueId val="{00000001-584C-406B-B65E-630915D08F38}"/>
            </c:ext>
          </c:extLst>
        </c:ser>
        <c:ser>
          <c:idx val="2"/>
          <c:order val="2"/>
          <c:tx>
            <c:strRef>
              <c:f>Sheet1!$D$1</c:f>
              <c:strCache>
                <c:ptCount val="1"/>
                <c:pt idx="0">
                  <c:v>Total Irradiance (W/m^2) </c:v>
                </c:pt>
              </c:strCache>
            </c:strRef>
          </c:tx>
          <c:spPr>
            <a:ln w="12700" cap="rnd">
              <a:solidFill>
                <a:srgbClr val="FF0000"/>
              </a:solidFill>
              <a:round/>
            </a:ln>
            <a:effectLst/>
          </c:spPr>
          <c:marker>
            <c:symbol val="none"/>
          </c:marker>
          <c:xVal>
            <c:numRef>
              <c:f>Sheet1!$A$2:$A$1441</c:f>
              <c:numCache>
                <c:formatCode>h:mm</c:formatCode>
                <c:ptCount val="1440"/>
                <c:pt idx="0">
                  <c:v>41791</c:v>
                </c:pt>
                <c:pt idx="1">
                  <c:v>41791.000694444447</c:v>
                </c:pt>
                <c:pt idx="2">
                  <c:v>41791.001388888886</c:v>
                </c:pt>
                <c:pt idx="3">
                  <c:v>41791.002083333333</c:v>
                </c:pt>
                <c:pt idx="4">
                  <c:v>41791.00277777778</c:v>
                </c:pt>
                <c:pt idx="5">
                  <c:v>41791.003472222219</c:v>
                </c:pt>
                <c:pt idx="6">
                  <c:v>41791.004166666666</c:v>
                </c:pt>
                <c:pt idx="7">
                  <c:v>41791.004861111112</c:v>
                </c:pt>
                <c:pt idx="8">
                  <c:v>41791.005555555559</c:v>
                </c:pt>
                <c:pt idx="9">
                  <c:v>41791.006249999999</c:v>
                </c:pt>
                <c:pt idx="10">
                  <c:v>41791.006944444445</c:v>
                </c:pt>
                <c:pt idx="11">
                  <c:v>41791.007638888892</c:v>
                </c:pt>
                <c:pt idx="12">
                  <c:v>41791.008333333331</c:v>
                </c:pt>
                <c:pt idx="13">
                  <c:v>41791.009027777778</c:v>
                </c:pt>
                <c:pt idx="14">
                  <c:v>41791.009722222225</c:v>
                </c:pt>
                <c:pt idx="15">
                  <c:v>41791.010416666664</c:v>
                </c:pt>
                <c:pt idx="16">
                  <c:v>41791.011111111111</c:v>
                </c:pt>
                <c:pt idx="17">
                  <c:v>41791.011805555558</c:v>
                </c:pt>
                <c:pt idx="18">
                  <c:v>41791.012499999997</c:v>
                </c:pt>
                <c:pt idx="19">
                  <c:v>41791.013194444444</c:v>
                </c:pt>
                <c:pt idx="20">
                  <c:v>41791.013888888891</c:v>
                </c:pt>
                <c:pt idx="21">
                  <c:v>41791.01458333333</c:v>
                </c:pt>
                <c:pt idx="22">
                  <c:v>41791.015277777777</c:v>
                </c:pt>
                <c:pt idx="23">
                  <c:v>41791.015972222223</c:v>
                </c:pt>
                <c:pt idx="24">
                  <c:v>41791.01666666667</c:v>
                </c:pt>
                <c:pt idx="25">
                  <c:v>41791.017361111109</c:v>
                </c:pt>
                <c:pt idx="26">
                  <c:v>41791.018055555556</c:v>
                </c:pt>
                <c:pt idx="27">
                  <c:v>41791.018750000003</c:v>
                </c:pt>
                <c:pt idx="28">
                  <c:v>41791.019444444442</c:v>
                </c:pt>
                <c:pt idx="29">
                  <c:v>41791.020138888889</c:v>
                </c:pt>
                <c:pt idx="30">
                  <c:v>41791.020833333336</c:v>
                </c:pt>
                <c:pt idx="31">
                  <c:v>41791.021527777775</c:v>
                </c:pt>
                <c:pt idx="32">
                  <c:v>41791.022222222222</c:v>
                </c:pt>
                <c:pt idx="33">
                  <c:v>41791.022916666669</c:v>
                </c:pt>
                <c:pt idx="34">
                  <c:v>41791.023611111108</c:v>
                </c:pt>
                <c:pt idx="35">
                  <c:v>41791.024305555555</c:v>
                </c:pt>
                <c:pt idx="36">
                  <c:v>41791.025000000001</c:v>
                </c:pt>
                <c:pt idx="37">
                  <c:v>41791.025694444441</c:v>
                </c:pt>
                <c:pt idx="38">
                  <c:v>41791.026388888888</c:v>
                </c:pt>
                <c:pt idx="39">
                  <c:v>41791.027083333334</c:v>
                </c:pt>
                <c:pt idx="40">
                  <c:v>41791.027777777781</c:v>
                </c:pt>
                <c:pt idx="41">
                  <c:v>41791.02847222222</c:v>
                </c:pt>
                <c:pt idx="42">
                  <c:v>41791.029166666667</c:v>
                </c:pt>
                <c:pt idx="43">
                  <c:v>41791.029861111114</c:v>
                </c:pt>
                <c:pt idx="44">
                  <c:v>41791.030555555553</c:v>
                </c:pt>
                <c:pt idx="45">
                  <c:v>41791.03125</c:v>
                </c:pt>
                <c:pt idx="46">
                  <c:v>41791.031944444447</c:v>
                </c:pt>
                <c:pt idx="47">
                  <c:v>41791.032638888886</c:v>
                </c:pt>
                <c:pt idx="48">
                  <c:v>41791.033333333333</c:v>
                </c:pt>
                <c:pt idx="49">
                  <c:v>41791.03402777778</c:v>
                </c:pt>
                <c:pt idx="50">
                  <c:v>41791.034722222219</c:v>
                </c:pt>
                <c:pt idx="51">
                  <c:v>41791.035416666666</c:v>
                </c:pt>
                <c:pt idx="52">
                  <c:v>41791.036111111112</c:v>
                </c:pt>
                <c:pt idx="53">
                  <c:v>41791.036805555559</c:v>
                </c:pt>
                <c:pt idx="54">
                  <c:v>41791.037499999999</c:v>
                </c:pt>
                <c:pt idx="55">
                  <c:v>41791.038194444445</c:v>
                </c:pt>
                <c:pt idx="56">
                  <c:v>41791.038888888892</c:v>
                </c:pt>
                <c:pt idx="57">
                  <c:v>41791.039583333331</c:v>
                </c:pt>
                <c:pt idx="58">
                  <c:v>41791.040277777778</c:v>
                </c:pt>
                <c:pt idx="59">
                  <c:v>41791.040972222225</c:v>
                </c:pt>
                <c:pt idx="60">
                  <c:v>41791.041666666664</c:v>
                </c:pt>
                <c:pt idx="61">
                  <c:v>41791.042361111111</c:v>
                </c:pt>
                <c:pt idx="62">
                  <c:v>41791.043055555558</c:v>
                </c:pt>
                <c:pt idx="63">
                  <c:v>41791.043749999997</c:v>
                </c:pt>
                <c:pt idx="64">
                  <c:v>41791.044444444444</c:v>
                </c:pt>
                <c:pt idx="65">
                  <c:v>41791.045138888891</c:v>
                </c:pt>
                <c:pt idx="66">
                  <c:v>41791.04583333333</c:v>
                </c:pt>
                <c:pt idx="67">
                  <c:v>41791.046527777777</c:v>
                </c:pt>
                <c:pt idx="68">
                  <c:v>41791.047222222223</c:v>
                </c:pt>
                <c:pt idx="69">
                  <c:v>41791.04791666667</c:v>
                </c:pt>
                <c:pt idx="70">
                  <c:v>41791.048611111109</c:v>
                </c:pt>
                <c:pt idx="71">
                  <c:v>41791.049305555556</c:v>
                </c:pt>
                <c:pt idx="72">
                  <c:v>41791.050000000003</c:v>
                </c:pt>
                <c:pt idx="73">
                  <c:v>41791.050694444442</c:v>
                </c:pt>
                <c:pt idx="74">
                  <c:v>41791.051388888889</c:v>
                </c:pt>
                <c:pt idx="75">
                  <c:v>41791.052083333336</c:v>
                </c:pt>
                <c:pt idx="76">
                  <c:v>41791.052777777775</c:v>
                </c:pt>
                <c:pt idx="77">
                  <c:v>41791.053472222222</c:v>
                </c:pt>
                <c:pt idx="78">
                  <c:v>41791.054166666669</c:v>
                </c:pt>
                <c:pt idx="79">
                  <c:v>41791.054861111108</c:v>
                </c:pt>
                <c:pt idx="80">
                  <c:v>41791.055555555555</c:v>
                </c:pt>
                <c:pt idx="81">
                  <c:v>41791.056250000001</c:v>
                </c:pt>
                <c:pt idx="82">
                  <c:v>41791.056944444441</c:v>
                </c:pt>
                <c:pt idx="83">
                  <c:v>41791.057638888888</c:v>
                </c:pt>
                <c:pt idx="84">
                  <c:v>41791.058333333334</c:v>
                </c:pt>
                <c:pt idx="85">
                  <c:v>41791.059027777781</c:v>
                </c:pt>
                <c:pt idx="86">
                  <c:v>41791.05972222222</c:v>
                </c:pt>
                <c:pt idx="87">
                  <c:v>41791.060416666667</c:v>
                </c:pt>
                <c:pt idx="88">
                  <c:v>41791.061111111114</c:v>
                </c:pt>
                <c:pt idx="89">
                  <c:v>41791.061805555553</c:v>
                </c:pt>
                <c:pt idx="90">
                  <c:v>41791.0625</c:v>
                </c:pt>
                <c:pt idx="91">
                  <c:v>41791.063194444447</c:v>
                </c:pt>
                <c:pt idx="92">
                  <c:v>41791.063888888886</c:v>
                </c:pt>
                <c:pt idx="93">
                  <c:v>41791.064583333333</c:v>
                </c:pt>
                <c:pt idx="94">
                  <c:v>41791.06527777778</c:v>
                </c:pt>
                <c:pt idx="95">
                  <c:v>41791.065972222219</c:v>
                </c:pt>
                <c:pt idx="96">
                  <c:v>41791.066666666666</c:v>
                </c:pt>
                <c:pt idx="97">
                  <c:v>41791.067361111112</c:v>
                </c:pt>
                <c:pt idx="98">
                  <c:v>41791.068055555559</c:v>
                </c:pt>
                <c:pt idx="99">
                  <c:v>41791.068749999999</c:v>
                </c:pt>
                <c:pt idx="100">
                  <c:v>41791.069444444445</c:v>
                </c:pt>
                <c:pt idx="101">
                  <c:v>41791.070138888892</c:v>
                </c:pt>
                <c:pt idx="102">
                  <c:v>41791.070833333331</c:v>
                </c:pt>
                <c:pt idx="103">
                  <c:v>41791.071527777778</c:v>
                </c:pt>
                <c:pt idx="104">
                  <c:v>41791.072222222225</c:v>
                </c:pt>
                <c:pt idx="105">
                  <c:v>41791.072916666664</c:v>
                </c:pt>
                <c:pt idx="106">
                  <c:v>41791.073611111111</c:v>
                </c:pt>
                <c:pt idx="107">
                  <c:v>41791.074305555558</c:v>
                </c:pt>
                <c:pt idx="108">
                  <c:v>41791.074999999997</c:v>
                </c:pt>
                <c:pt idx="109">
                  <c:v>41791.075694444444</c:v>
                </c:pt>
                <c:pt idx="110">
                  <c:v>41791.076388888891</c:v>
                </c:pt>
                <c:pt idx="111">
                  <c:v>41791.07708333333</c:v>
                </c:pt>
                <c:pt idx="112">
                  <c:v>41791.077777777777</c:v>
                </c:pt>
                <c:pt idx="113">
                  <c:v>41791.078472222223</c:v>
                </c:pt>
                <c:pt idx="114">
                  <c:v>41791.07916666667</c:v>
                </c:pt>
                <c:pt idx="115">
                  <c:v>41791.079861111109</c:v>
                </c:pt>
                <c:pt idx="116">
                  <c:v>41791.080555555556</c:v>
                </c:pt>
                <c:pt idx="117">
                  <c:v>41791.081250000003</c:v>
                </c:pt>
                <c:pt idx="118">
                  <c:v>41791.081944444442</c:v>
                </c:pt>
                <c:pt idx="119">
                  <c:v>41791.082638888889</c:v>
                </c:pt>
                <c:pt idx="120">
                  <c:v>41791.083333333336</c:v>
                </c:pt>
                <c:pt idx="121">
                  <c:v>41791.084027777775</c:v>
                </c:pt>
                <c:pt idx="122">
                  <c:v>41791.084722222222</c:v>
                </c:pt>
                <c:pt idx="123">
                  <c:v>41791.085416666669</c:v>
                </c:pt>
                <c:pt idx="124">
                  <c:v>41791.086111111108</c:v>
                </c:pt>
                <c:pt idx="125">
                  <c:v>41791.086805555555</c:v>
                </c:pt>
                <c:pt idx="126">
                  <c:v>41791.087500000001</c:v>
                </c:pt>
                <c:pt idx="127">
                  <c:v>41791.088194444441</c:v>
                </c:pt>
                <c:pt idx="128">
                  <c:v>41791.088888888888</c:v>
                </c:pt>
                <c:pt idx="129">
                  <c:v>41791.089583333334</c:v>
                </c:pt>
                <c:pt idx="130">
                  <c:v>41791.090277777781</c:v>
                </c:pt>
                <c:pt idx="131">
                  <c:v>41791.09097222222</c:v>
                </c:pt>
                <c:pt idx="132">
                  <c:v>41791.091666666667</c:v>
                </c:pt>
                <c:pt idx="133">
                  <c:v>41791.092361111114</c:v>
                </c:pt>
                <c:pt idx="134">
                  <c:v>41791.093055555553</c:v>
                </c:pt>
                <c:pt idx="135">
                  <c:v>41791.09375</c:v>
                </c:pt>
                <c:pt idx="136">
                  <c:v>41791.094444444447</c:v>
                </c:pt>
                <c:pt idx="137">
                  <c:v>41791.095138888886</c:v>
                </c:pt>
                <c:pt idx="138">
                  <c:v>41791.095833333333</c:v>
                </c:pt>
                <c:pt idx="139">
                  <c:v>41791.09652777778</c:v>
                </c:pt>
                <c:pt idx="140">
                  <c:v>41791.097222222219</c:v>
                </c:pt>
                <c:pt idx="141">
                  <c:v>41791.097916666666</c:v>
                </c:pt>
                <c:pt idx="142">
                  <c:v>41791.098611111112</c:v>
                </c:pt>
                <c:pt idx="143">
                  <c:v>41791.099305555559</c:v>
                </c:pt>
                <c:pt idx="144">
                  <c:v>41791.1</c:v>
                </c:pt>
                <c:pt idx="145">
                  <c:v>41791.100694444445</c:v>
                </c:pt>
                <c:pt idx="146">
                  <c:v>41791.101388888892</c:v>
                </c:pt>
                <c:pt idx="147">
                  <c:v>41791.102083333331</c:v>
                </c:pt>
                <c:pt idx="148">
                  <c:v>41791.102777777778</c:v>
                </c:pt>
                <c:pt idx="149">
                  <c:v>41791.103472222225</c:v>
                </c:pt>
                <c:pt idx="150">
                  <c:v>41791.104166666664</c:v>
                </c:pt>
                <c:pt idx="151">
                  <c:v>41791.104861111111</c:v>
                </c:pt>
                <c:pt idx="152">
                  <c:v>41791.105555555558</c:v>
                </c:pt>
                <c:pt idx="153">
                  <c:v>41791.106249999997</c:v>
                </c:pt>
                <c:pt idx="154">
                  <c:v>41791.106944444444</c:v>
                </c:pt>
                <c:pt idx="155">
                  <c:v>41791.107638888891</c:v>
                </c:pt>
                <c:pt idx="156">
                  <c:v>41791.10833333333</c:v>
                </c:pt>
                <c:pt idx="157">
                  <c:v>41791.109027777777</c:v>
                </c:pt>
                <c:pt idx="158">
                  <c:v>41791.109722222223</c:v>
                </c:pt>
                <c:pt idx="159">
                  <c:v>41791.11041666667</c:v>
                </c:pt>
                <c:pt idx="160">
                  <c:v>41791.111111111109</c:v>
                </c:pt>
                <c:pt idx="161">
                  <c:v>41791.111805555556</c:v>
                </c:pt>
                <c:pt idx="162">
                  <c:v>41791.112500000003</c:v>
                </c:pt>
                <c:pt idx="163">
                  <c:v>41791.113194444442</c:v>
                </c:pt>
                <c:pt idx="164">
                  <c:v>41791.113888888889</c:v>
                </c:pt>
                <c:pt idx="165">
                  <c:v>41791.114583333336</c:v>
                </c:pt>
                <c:pt idx="166">
                  <c:v>41791.115277777775</c:v>
                </c:pt>
                <c:pt idx="167">
                  <c:v>41791.115972222222</c:v>
                </c:pt>
                <c:pt idx="168">
                  <c:v>41791.116666666669</c:v>
                </c:pt>
                <c:pt idx="169">
                  <c:v>41791.117361111108</c:v>
                </c:pt>
                <c:pt idx="170">
                  <c:v>41791.118055555555</c:v>
                </c:pt>
                <c:pt idx="171">
                  <c:v>41791.118750000001</c:v>
                </c:pt>
                <c:pt idx="172">
                  <c:v>41791.119444444441</c:v>
                </c:pt>
                <c:pt idx="173">
                  <c:v>41791.120138888888</c:v>
                </c:pt>
                <c:pt idx="174">
                  <c:v>41791.120833333334</c:v>
                </c:pt>
                <c:pt idx="175">
                  <c:v>41791.121527777781</c:v>
                </c:pt>
                <c:pt idx="176">
                  <c:v>41791.12222222222</c:v>
                </c:pt>
                <c:pt idx="177">
                  <c:v>41791.122916666667</c:v>
                </c:pt>
                <c:pt idx="178">
                  <c:v>41791.123611111114</c:v>
                </c:pt>
                <c:pt idx="179">
                  <c:v>41791.124305555553</c:v>
                </c:pt>
                <c:pt idx="180">
                  <c:v>41791.125</c:v>
                </c:pt>
                <c:pt idx="181">
                  <c:v>41791.125694444447</c:v>
                </c:pt>
                <c:pt idx="182">
                  <c:v>41791.126388888886</c:v>
                </c:pt>
                <c:pt idx="183">
                  <c:v>41791.127083333333</c:v>
                </c:pt>
                <c:pt idx="184">
                  <c:v>41791.12777777778</c:v>
                </c:pt>
                <c:pt idx="185">
                  <c:v>41791.128472222219</c:v>
                </c:pt>
                <c:pt idx="186">
                  <c:v>41791.129166666666</c:v>
                </c:pt>
                <c:pt idx="187">
                  <c:v>41791.129861111112</c:v>
                </c:pt>
                <c:pt idx="188">
                  <c:v>41791.130555555559</c:v>
                </c:pt>
                <c:pt idx="189">
                  <c:v>41791.131249999999</c:v>
                </c:pt>
                <c:pt idx="190">
                  <c:v>41791.131944444445</c:v>
                </c:pt>
                <c:pt idx="191">
                  <c:v>41791.132638888892</c:v>
                </c:pt>
                <c:pt idx="192">
                  <c:v>41791.133333333331</c:v>
                </c:pt>
                <c:pt idx="193">
                  <c:v>41791.134027777778</c:v>
                </c:pt>
                <c:pt idx="194">
                  <c:v>41791.134722222225</c:v>
                </c:pt>
                <c:pt idx="195">
                  <c:v>41791.135416666664</c:v>
                </c:pt>
                <c:pt idx="196">
                  <c:v>41791.136111111111</c:v>
                </c:pt>
                <c:pt idx="197">
                  <c:v>41791.136805555558</c:v>
                </c:pt>
                <c:pt idx="198">
                  <c:v>41791.137499999997</c:v>
                </c:pt>
                <c:pt idx="199">
                  <c:v>41791.138194444444</c:v>
                </c:pt>
                <c:pt idx="200">
                  <c:v>41791.138888888891</c:v>
                </c:pt>
                <c:pt idx="201">
                  <c:v>41791.13958333333</c:v>
                </c:pt>
                <c:pt idx="202">
                  <c:v>41791.140277777777</c:v>
                </c:pt>
                <c:pt idx="203">
                  <c:v>41791.140972222223</c:v>
                </c:pt>
                <c:pt idx="204">
                  <c:v>41791.14166666667</c:v>
                </c:pt>
                <c:pt idx="205">
                  <c:v>41791.142361111109</c:v>
                </c:pt>
                <c:pt idx="206">
                  <c:v>41791.143055555556</c:v>
                </c:pt>
                <c:pt idx="207">
                  <c:v>41791.143750000003</c:v>
                </c:pt>
                <c:pt idx="208">
                  <c:v>41791.144444444442</c:v>
                </c:pt>
                <c:pt idx="209">
                  <c:v>41791.145138888889</c:v>
                </c:pt>
                <c:pt idx="210">
                  <c:v>41791.145833333336</c:v>
                </c:pt>
                <c:pt idx="211">
                  <c:v>41791.146527777775</c:v>
                </c:pt>
                <c:pt idx="212">
                  <c:v>41791.147222222222</c:v>
                </c:pt>
                <c:pt idx="213">
                  <c:v>41791.147916666669</c:v>
                </c:pt>
                <c:pt idx="214">
                  <c:v>41791.148611111108</c:v>
                </c:pt>
                <c:pt idx="215">
                  <c:v>41791.149305555555</c:v>
                </c:pt>
                <c:pt idx="216">
                  <c:v>41791.15</c:v>
                </c:pt>
                <c:pt idx="217">
                  <c:v>41791.150694444441</c:v>
                </c:pt>
                <c:pt idx="218">
                  <c:v>41791.151388888888</c:v>
                </c:pt>
                <c:pt idx="219">
                  <c:v>41791.152083333334</c:v>
                </c:pt>
                <c:pt idx="220">
                  <c:v>41791.152777777781</c:v>
                </c:pt>
                <c:pt idx="221">
                  <c:v>41791.15347222222</c:v>
                </c:pt>
                <c:pt idx="222">
                  <c:v>41791.154166666667</c:v>
                </c:pt>
                <c:pt idx="223">
                  <c:v>41791.154861111114</c:v>
                </c:pt>
                <c:pt idx="224">
                  <c:v>41791.155555555553</c:v>
                </c:pt>
                <c:pt idx="225">
                  <c:v>41791.15625</c:v>
                </c:pt>
                <c:pt idx="226">
                  <c:v>41791.156944444447</c:v>
                </c:pt>
                <c:pt idx="227">
                  <c:v>41791.157638888886</c:v>
                </c:pt>
                <c:pt idx="228">
                  <c:v>41791.158333333333</c:v>
                </c:pt>
                <c:pt idx="229">
                  <c:v>41791.15902777778</c:v>
                </c:pt>
                <c:pt idx="230">
                  <c:v>41791.159722222219</c:v>
                </c:pt>
                <c:pt idx="231">
                  <c:v>41791.160416666666</c:v>
                </c:pt>
                <c:pt idx="232">
                  <c:v>41791.161111111112</c:v>
                </c:pt>
                <c:pt idx="233">
                  <c:v>41791.161805555559</c:v>
                </c:pt>
                <c:pt idx="234">
                  <c:v>41791.162499999999</c:v>
                </c:pt>
                <c:pt idx="235">
                  <c:v>41791.163194444445</c:v>
                </c:pt>
                <c:pt idx="236">
                  <c:v>41791.163888888892</c:v>
                </c:pt>
                <c:pt idx="237">
                  <c:v>41791.164583333331</c:v>
                </c:pt>
                <c:pt idx="238">
                  <c:v>41791.165277777778</c:v>
                </c:pt>
                <c:pt idx="239">
                  <c:v>41791.165972222225</c:v>
                </c:pt>
                <c:pt idx="240">
                  <c:v>41791.166666666664</c:v>
                </c:pt>
                <c:pt idx="241">
                  <c:v>41791.167361111111</c:v>
                </c:pt>
                <c:pt idx="242">
                  <c:v>41791.168055555558</c:v>
                </c:pt>
                <c:pt idx="243">
                  <c:v>41791.168749999997</c:v>
                </c:pt>
                <c:pt idx="244">
                  <c:v>41791.169444444444</c:v>
                </c:pt>
                <c:pt idx="245">
                  <c:v>41791.170138888891</c:v>
                </c:pt>
                <c:pt idx="246">
                  <c:v>41791.17083333333</c:v>
                </c:pt>
                <c:pt idx="247">
                  <c:v>41791.171527777777</c:v>
                </c:pt>
                <c:pt idx="248">
                  <c:v>41791.172222222223</c:v>
                </c:pt>
                <c:pt idx="249">
                  <c:v>41791.17291666667</c:v>
                </c:pt>
                <c:pt idx="250">
                  <c:v>41791.173611111109</c:v>
                </c:pt>
                <c:pt idx="251">
                  <c:v>41791.174305555556</c:v>
                </c:pt>
                <c:pt idx="252">
                  <c:v>41791.175000000003</c:v>
                </c:pt>
                <c:pt idx="253">
                  <c:v>41791.175694444442</c:v>
                </c:pt>
                <c:pt idx="254">
                  <c:v>41791.176388888889</c:v>
                </c:pt>
                <c:pt idx="255">
                  <c:v>41791.177083333336</c:v>
                </c:pt>
                <c:pt idx="256">
                  <c:v>41791.177777777775</c:v>
                </c:pt>
                <c:pt idx="257">
                  <c:v>41791.178472222222</c:v>
                </c:pt>
                <c:pt idx="258">
                  <c:v>41791.179166666669</c:v>
                </c:pt>
                <c:pt idx="259">
                  <c:v>41791.179861111108</c:v>
                </c:pt>
                <c:pt idx="260">
                  <c:v>41791.180555555555</c:v>
                </c:pt>
                <c:pt idx="261">
                  <c:v>41791.181250000001</c:v>
                </c:pt>
                <c:pt idx="262">
                  <c:v>41791.181944444441</c:v>
                </c:pt>
                <c:pt idx="263">
                  <c:v>41791.182638888888</c:v>
                </c:pt>
                <c:pt idx="264">
                  <c:v>41791.183333333334</c:v>
                </c:pt>
                <c:pt idx="265">
                  <c:v>41791.184027777781</c:v>
                </c:pt>
                <c:pt idx="266">
                  <c:v>41791.18472222222</c:v>
                </c:pt>
                <c:pt idx="267">
                  <c:v>41791.185416666667</c:v>
                </c:pt>
                <c:pt idx="268">
                  <c:v>41791.186111111114</c:v>
                </c:pt>
                <c:pt idx="269">
                  <c:v>41791.186805555553</c:v>
                </c:pt>
                <c:pt idx="270">
                  <c:v>41791.1875</c:v>
                </c:pt>
                <c:pt idx="271">
                  <c:v>41791.188194444447</c:v>
                </c:pt>
                <c:pt idx="272">
                  <c:v>41791.188888888886</c:v>
                </c:pt>
                <c:pt idx="273">
                  <c:v>41791.189583333333</c:v>
                </c:pt>
                <c:pt idx="274">
                  <c:v>41791.19027777778</c:v>
                </c:pt>
                <c:pt idx="275">
                  <c:v>41791.190972222219</c:v>
                </c:pt>
                <c:pt idx="276">
                  <c:v>41791.191666666666</c:v>
                </c:pt>
                <c:pt idx="277">
                  <c:v>41791.192361111112</c:v>
                </c:pt>
                <c:pt idx="278">
                  <c:v>41791.193055555559</c:v>
                </c:pt>
                <c:pt idx="279">
                  <c:v>41791.193749999999</c:v>
                </c:pt>
                <c:pt idx="280">
                  <c:v>41791.194444444445</c:v>
                </c:pt>
                <c:pt idx="281">
                  <c:v>41791.195138888892</c:v>
                </c:pt>
                <c:pt idx="282">
                  <c:v>41791.195833333331</c:v>
                </c:pt>
                <c:pt idx="283">
                  <c:v>41791.196527777778</c:v>
                </c:pt>
                <c:pt idx="284">
                  <c:v>41791.197222222225</c:v>
                </c:pt>
                <c:pt idx="285">
                  <c:v>41791.197916666664</c:v>
                </c:pt>
                <c:pt idx="286">
                  <c:v>41791.198611111111</c:v>
                </c:pt>
                <c:pt idx="287">
                  <c:v>41791.199305555558</c:v>
                </c:pt>
                <c:pt idx="288">
                  <c:v>41791.199999999997</c:v>
                </c:pt>
                <c:pt idx="289">
                  <c:v>41791.200694444444</c:v>
                </c:pt>
                <c:pt idx="290">
                  <c:v>41791.201388888891</c:v>
                </c:pt>
                <c:pt idx="291">
                  <c:v>41791.20208333333</c:v>
                </c:pt>
                <c:pt idx="292">
                  <c:v>41791.202777777777</c:v>
                </c:pt>
                <c:pt idx="293">
                  <c:v>41791.203472222223</c:v>
                </c:pt>
                <c:pt idx="294">
                  <c:v>41791.20416666667</c:v>
                </c:pt>
                <c:pt idx="295">
                  <c:v>41791.204861111109</c:v>
                </c:pt>
                <c:pt idx="296">
                  <c:v>41791.205555555556</c:v>
                </c:pt>
                <c:pt idx="297">
                  <c:v>41791.206250000003</c:v>
                </c:pt>
                <c:pt idx="298">
                  <c:v>41791.206944444442</c:v>
                </c:pt>
                <c:pt idx="299">
                  <c:v>41791.207638888889</c:v>
                </c:pt>
                <c:pt idx="300">
                  <c:v>41791.208333333336</c:v>
                </c:pt>
                <c:pt idx="301">
                  <c:v>41791.209027777775</c:v>
                </c:pt>
                <c:pt idx="302">
                  <c:v>41791.209722222222</c:v>
                </c:pt>
                <c:pt idx="303">
                  <c:v>41791.210416666669</c:v>
                </c:pt>
                <c:pt idx="304">
                  <c:v>41791.211111111108</c:v>
                </c:pt>
                <c:pt idx="305">
                  <c:v>41791.211805555555</c:v>
                </c:pt>
                <c:pt idx="306">
                  <c:v>41791.212500000001</c:v>
                </c:pt>
                <c:pt idx="307">
                  <c:v>41791.213194444441</c:v>
                </c:pt>
                <c:pt idx="308">
                  <c:v>41791.213888888888</c:v>
                </c:pt>
                <c:pt idx="309">
                  <c:v>41791.214583333334</c:v>
                </c:pt>
                <c:pt idx="310">
                  <c:v>41791.215277777781</c:v>
                </c:pt>
                <c:pt idx="311">
                  <c:v>41791.21597222222</c:v>
                </c:pt>
                <c:pt idx="312">
                  <c:v>41791.216666666667</c:v>
                </c:pt>
                <c:pt idx="313">
                  <c:v>41791.217361111114</c:v>
                </c:pt>
                <c:pt idx="314">
                  <c:v>41791.218055555553</c:v>
                </c:pt>
                <c:pt idx="315">
                  <c:v>41791.21875</c:v>
                </c:pt>
                <c:pt idx="316">
                  <c:v>41791.219444444447</c:v>
                </c:pt>
                <c:pt idx="317">
                  <c:v>41791.220138888886</c:v>
                </c:pt>
                <c:pt idx="318">
                  <c:v>41791.220833333333</c:v>
                </c:pt>
                <c:pt idx="319">
                  <c:v>41791.22152777778</c:v>
                </c:pt>
                <c:pt idx="320">
                  <c:v>41791.222222222219</c:v>
                </c:pt>
                <c:pt idx="321">
                  <c:v>41791.222916666666</c:v>
                </c:pt>
                <c:pt idx="322">
                  <c:v>41791.223611111112</c:v>
                </c:pt>
                <c:pt idx="323">
                  <c:v>41791.224305555559</c:v>
                </c:pt>
                <c:pt idx="324">
                  <c:v>41791.224999999999</c:v>
                </c:pt>
                <c:pt idx="325">
                  <c:v>41791.225694444445</c:v>
                </c:pt>
                <c:pt idx="326">
                  <c:v>41791.226388888892</c:v>
                </c:pt>
                <c:pt idx="327">
                  <c:v>41791.227083333331</c:v>
                </c:pt>
                <c:pt idx="328">
                  <c:v>41791.227777777778</c:v>
                </c:pt>
                <c:pt idx="329">
                  <c:v>41791.228472222225</c:v>
                </c:pt>
                <c:pt idx="330">
                  <c:v>41791.229166666664</c:v>
                </c:pt>
                <c:pt idx="331">
                  <c:v>41791.229861111111</c:v>
                </c:pt>
                <c:pt idx="332">
                  <c:v>41791.230555555558</c:v>
                </c:pt>
                <c:pt idx="333">
                  <c:v>41791.231249999997</c:v>
                </c:pt>
                <c:pt idx="334">
                  <c:v>41791.231944444444</c:v>
                </c:pt>
                <c:pt idx="335">
                  <c:v>41791.232638888891</c:v>
                </c:pt>
                <c:pt idx="336">
                  <c:v>41791.23333333333</c:v>
                </c:pt>
                <c:pt idx="337">
                  <c:v>41791.234027777777</c:v>
                </c:pt>
                <c:pt idx="338">
                  <c:v>41791.234722222223</c:v>
                </c:pt>
                <c:pt idx="339">
                  <c:v>41791.23541666667</c:v>
                </c:pt>
                <c:pt idx="340">
                  <c:v>41791.236111111109</c:v>
                </c:pt>
                <c:pt idx="341">
                  <c:v>41791.236805555556</c:v>
                </c:pt>
                <c:pt idx="342">
                  <c:v>41791.237500000003</c:v>
                </c:pt>
                <c:pt idx="343">
                  <c:v>41791.238194444442</c:v>
                </c:pt>
                <c:pt idx="344">
                  <c:v>41791.238888888889</c:v>
                </c:pt>
                <c:pt idx="345">
                  <c:v>41791.239583333336</c:v>
                </c:pt>
                <c:pt idx="346">
                  <c:v>41791.240277777775</c:v>
                </c:pt>
                <c:pt idx="347">
                  <c:v>41791.240972222222</c:v>
                </c:pt>
                <c:pt idx="348">
                  <c:v>41791.241666666669</c:v>
                </c:pt>
                <c:pt idx="349">
                  <c:v>41791.242361111108</c:v>
                </c:pt>
                <c:pt idx="350">
                  <c:v>41791.243055555555</c:v>
                </c:pt>
                <c:pt idx="351">
                  <c:v>41791.243750000001</c:v>
                </c:pt>
                <c:pt idx="352">
                  <c:v>41791.244444444441</c:v>
                </c:pt>
                <c:pt idx="353">
                  <c:v>41791.245138888888</c:v>
                </c:pt>
                <c:pt idx="354">
                  <c:v>41791.245833333334</c:v>
                </c:pt>
                <c:pt idx="355">
                  <c:v>41791.246527777781</c:v>
                </c:pt>
                <c:pt idx="356">
                  <c:v>41791.24722222222</c:v>
                </c:pt>
                <c:pt idx="357">
                  <c:v>41791.247916666667</c:v>
                </c:pt>
                <c:pt idx="358">
                  <c:v>41791.248611111114</c:v>
                </c:pt>
                <c:pt idx="359">
                  <c:v>41791.249305555553</c:v>
                </c:pt>
                <c:pt idx="360">
                  <c:v>41791.25</c:v>
                </c:pt>
                <c:pt idx="361">
                  <c:v>41791.250694444447</c:v>
                </c:pt>
                <c:pt idx="362">
                  <c:v>41791.251388888886</c:v>
                </c:pt>
                <c:pt idx="363">
                  <c:v>41791.252083333333</c:v>
                </c:pt>
                <c:pt idx="364">
                  <c:v>41791.25277777778</c:v>
                </c:pt>
                <c:pt idx="365">
                  <c:v>41791.253472222219</c:v>
                </c:pt>
                <c:pt idx="366">
                  <c:v>41791.254166666666</c:v>
                </c:pt>
                <c:pt idx="367">
                  <c:v>41791.254861111112</c:v>
                </c:pt>
                <c:pt idx="368">
                  <c:v>41791.255555555559</c:v>
                </c:pt>
                <c:pt idx="369">
                  <c:v>41791.256249999999</c:v>
                </c:pt>
                <c:pt idx="370">
                  <c:v>41791.256944444445</c:v>
                </c:pt>
                <c:pt idx="371">
                  <c:v>41791.257638888892</c:v>
                </c:pt>
                <c:pt idx="372">
                  <c:v>41791.258333333331</c:v>
                </c:pt>
                <c:pt idx="373">
                  <c:v>41791.259027777778</c:v>
                </c:pt>
                <c:pt idx="374">
                  <c:v>41791.259722222225</c:v>
                </c:pt>
                <c:pt idx="375">
                  <c:v>41791.260416666664</c:v>
                </c:pt>
                <c:pt idx="376">
                  <c:v>41791.261111111111</c:v>
                </c:pt>
                <c:pt idx="377">
                  <c:v>41791.261805555558</c:v>
                </c:pt>
                <c:pt idx="378">
                  <c:v>41791.262499999997</c:v>
                </c:pt>
                <c:pt idx="379">
                  <c:v>41791.263194444444</c:v>
                </c:pt>
                <c:pt idx="380">
                  <c:v>41791.263888888891</c:v>
                </c:pt>
                <c:pt idx="381">
                  <c:v>41791.26458333333</c:v>
                </c:pt>
                <c:pt idx="382">
                  <c:v>41791.265277777777</c:v>
                </c:pt>
                <c:pt idx="383">
                  <c:v>41791.265972222223</c:v>
                </c:pt>
                <c:pt idx="384">
                  <c:v>41791.26666666667</c:v>
                </c:pt>
                <c:pt idx="385">
                  <c:v>41791.267361111109</c:v>
                </c:pt>
                <c:pt idx="386">
                  <c:v>41791.268055555556</c:v>
                </c:pt>
                <c:pt idx="387">
                  <c:v>41791.268750000003</c:v>
                </c:pt>
                <c:pt idx="388">
                  <c:v>41791.269444444442</c:v>
                </c:pt>
                <c:pt idx="389">
                  <c:v>41791.270138888889</c:v>
                </c:pt>
                <c:pt idx="390">
                  <c:v>41791.270833333336</c:v>
                </c:pt>
                <c:pt idx="391">
                  <c:v>41791.271527777775</c:v>
                </c:pt>
                <c:pt idx="392">
                  <c:v>41791.272222222222</c:v>
                </c:pt>
                <c:pt idx="393">
                  <c:v>41791.272916666669</c:v>
                </c:pt>
                <c:pt idx="394">
                  <c:v>41791.273611111108</c:v>
                </c:pt>
                <c:pt idx="395">
                  <c:v>41791.274305555555</c:v>
                </c:pt>
                <c:pt idx="396">
                  <c:v>41791.275000000001</c:v>
                </c:pt>
                <c:pt idx="397">
                  <c:v>41791.275694444441</c:v>
                </c:pt>
                <c:pt idx="398">
                  <c:v>41791.276388888888</c:v>
                </c:pt>
                <c:pt idx="399">
                  <c:v>41791.277083333334</c:v>
                </c:pt>
                <c:pt idx="400">
                  <c:v>41791.277777777781</c:v>
                </c:pt>
                <c:pt idx="401">
                  <c:v>41791.27847222222</c:v>
                </c:pt>
                <c:pt idx="402">
                  <c:v>41791.279166666667</c:v>
                </c:pt>
                <c:pt idx="403">
                  <c:v>41791.279861111114</c:v>
                </c:pt>
                <c:pt idx="404">
                  <c:v>41791.280555555553</c:v>
                </c:pt>
                <c:pt idx="405">
                  <c:v>41791.28125</c:v>
                </c:pt>
                <c:pt idx="406">
                  <c:v>41791.281944444447</c:v>
                </c:pt>
                <c:pt idx="407">
                  <c:v>41791.282638888886</c:v>
                </c:pt>
                <c:pt idx="408">
                  <c:v>41791.283333333333</c:v>
                </c:pt>
                <c:pt idx="409">
                  <c:v>41791.28402777778</c:v>
                </c:pt>
                <c:pt idx="410">
                  <c:v>41791.284722222219</c:v>
                </c:pt>
                <c:pt idx="411">
                  <c:v>41791.285416666666</c:v>
                </c:pt>
                <c:pt idx="412">
                  <c:v>41791.286111111112</c:v>
                </c:pt>
                <c:pt idx="413">
                  <c:v>41791.286805555559</c:v>
                </c:pt>
                <c:pt idx="414">
                  <c:v>41791.287499999999</c:v>
                </c:pt>
                <c:pt idx="415">
                  <c:v>41791.288194444445</c:v>
                </c:pt>
                <c:pt idx="416">
                  <c:v>41791.288888888892</c:v>
                </c:pt>
                <c:pt idx="417">
                  <c:v>41791.289583333331</c:v>
                </c:pt>
                <c:pt idx="418">
                  <c:v>41791.290277777778</c:v>
                </c:pt>
                <c:pt idx="419">
                  <c:v>41791.290972222225</c:v>
                </c:pt>
                <c:pt idx="420">
                  <c:v>41791.291666666664</c:v>
                </c:pt>
                <c:pt idx="421">
                  <c:v>41791.292361111111</c:v>
                </c:pt>
                <c:pt idx="422">
                  <c:v>41791.293055555558</c:v>
                </c:pt>
                <c:pt idx="423">
                  <c:v>41791.293749999997</c:v>
                </c:pt>
                <c:pt idx="424">
                  <c:v>41791.294444444444</c:v>
                </c:pt>
                <c:pt idx="425">
                  <c:v>41791.295138888891</c:v>
                </c:pt>
                <c:pt idx="426">
                  <c:v>41791.29583333333</c:v>
                </c:pt>
                <c:pt idx="427">
                  <c:v>41791.296527777777</c:v>
                </c:pt>
                <c:pt idx="428">
                  <c:v>41791.297222222223</c:v>
                </c:pt>
                <c:pt idx="429">
                  <c:v>41791.29791666667</c:v>
                </c:pt>
                <c:pt idx="430">
                  <c:v>41791.298611111109</c:v>
                </c:pt>
                <c:pt idx="431">
                  <c:v>41791.299305555556</c:v>
                </c:pt>
                <c:pt idx="432">
                  <c:v>41791.300000000003</c:v>
                </c:pt>
                <c:pt idx="433">
                  <c:v>41791.300694444442</c:v>
                </c:pt>
                <c:pt idx="434">
                  <c:v>41791.301388888889</c:v>
                </c:pt>
                <c:pt idx="435">
                  <c:v>41791.302083333336</c:v>
                </c:pt>
                <c:pt idx="436">
                  <c:v>41791.302777777775</c:v>
                </c:pt>
                <c:pt idx="437">
                  <c:v>41791.303472222222</c:v>
                </c:pt>
                <c:pt idx="438">
                  <c:v>41791.304166666669</c:v>
                </c:pt>
                <c:pt idx="439">
                  <c:v>41791.304861111108</c:v>
                </c:pt>
                <c:pt idx="440">
                  <c:v>41791.305555555555</c:v>
                </c:pt>
                <c:pt idx="441">
                  <c:v>41791.306250000001</c:v>
                </c:pt>
                <c:pt idx="442">
                  <c:v>41791.306944444441</c:v>
                </c:pt>
                <c:pt idx="443">
                  <c:v>41791.307638888888</c:v>
                </c:pt>
                <c:pt idx="444">
                  <c:v>41791.308333333334</c:v>
                </c:pt>
                <c:pt idx="445">
                  <c:v>41791.309027777781</c:v>
                </c:pt>
                <c:pt idx="446">
                  <c:v>41791.30972222222</c:v>
                </c:pt>
                <c:pt idx="447">
                  <c:v>41791.310416666667</c:v>
                </c:pt>
                <c:pt idx="448">
                  <c:v>41791.311111111114</c:v>
                </c:pt>
                <c:pt idx="449">
                  <c:v>41791.311805555553</c:v>
                </c:pt>
                <c:pt idx="450">
                  <c:v>41791.3125</c:v>
                </c:pt>
                <c:pt idx="451">
                  <c:v>41791.313194444447</c:v>
                </c:pt>
                <c:pt idx="452">
                  <c:v>41791.313888888886</c:v>
                </c:pt>
                <c:pt idx="453">
                  <c:v>41791.314583333333</c:v>
                </c:pt>
                <c:pt idx="454">
                  <c:v>41791.31527777778</c:v>
                </c:pt>
                <c:pt idx="455">
                  <c:v>41791.315972222219</c:v>
                </c:pt>
                <c:pt idx="456">
                  <c:v>41791.316666666666</c:v>
                </c:pt>
                <c:pt idx="457">
                  <c:v>41791.317361111112</c:v>
                </c:pt>
                <c:pt idx="458">
                  <c:v>41791.318055555559</c:v>
                </c:pt>
                <c:pt idx="459">
                  <c:v>41791.318749999999</c:v>
                </c:pt>
                <c:pt idx="460">
                  <c:v>41791.319444444445</c:v>
                </c:pt>
                <c:pt idx="461">
                  <c:v>41791.320138888892</c:v>
                </c:pt>
                <c:pt idx="462">
                  <c:v>41791.320833333331</c:v>
                </c:pt>
                <c:pt idx="463">
                  <c:v>41791.321527777778</c:v>
                </c:pt>
                <c:pt idx="464">
                  <c:v>41791.322222222225</c:v>
                </c:pt>
                <c:pt idx="465">
                  <c:v>41791.322916666664</c:v>
                </c:pt>
                <c:pt idx="466">
                  <c:v>41791.323611111111</c:v>
                </c:pt>
                <c:pt idx="467">
                  <c:v>41791.324305555558</c:v>
                </c:pt>
                <c:pt idx="468">
                  <c:v>41791.324999999997</c:v>
                </c:pt>
                <c:pt idx="469">
                  <c:v>41791.325694444444</c:v>
                </c:pt>
                <c:pt idx="470">
                  <c:v>41791.326388888891</c:v>
                </c:pt>
                <c:pt idx="471">
                  <c:v>41791.32708333333</c:v>
                </c:pt>
                <c:pt idx="472">
                  <c:v>41791.327777777777</c:v>
                </c:pt>
                <c:pt idx="473">
                  <c:v>41791.328472222223</c:v>
                </c:pt>
                <c:pt idx="474">
                  <c:v>41791.32916666667</c:v>
                </c:pt>
                <c:pt idx="475">
                  <c:v>41791.329861111109</c:v>
                </c:pt>
                <c:pt idx="476">
                  <c:v>41791.330555555556</c:v>
                </c:pt>
                <c:pt idx="477">
                  <c:v>41791.331250000003</c:v>
                </c:pt>
                <c:pt idx="478">
                  <c:v>41791.331944444442</c:v>
                </c:pt>
                <c:pt idx="479">
                  <c:v>41791.332638888889</c:v>
                </c:pt>
                <c:pt idx="480">
                  <c:v>41791.333333333336</c:v>
                </c:pt>
                <c:pt idx="481">
                  <c:v>41791.334027777775</c:v>
                </c:pt>
                <c:pt idx="482">
                  <c:v>41791.334722222222</c:v>
                </c:pt>
                <c:pt idx="483">
                  <c:v>41791.335416666669</c:v>
                </c:pt>
                <c:pt idx="484">
                  <c:v>41791.336111111108</c:v>
                </c:pt>
                <c:pt idx="485">
                  <c:v>41791.336805555555</c:v>
                </c:pt>
                <c:pt idx="486">
                  <c:v>41791.337500000001</c:v>
                </c:pt>
                <c:pt idx="487">
                  <c:v>41791.338194444441</c:v>
                </c:pt>
                <c:pt idx="488">
                  <c:v>41791.338888888888</c:v>
                </c:pt>
                <c:pt idx="489">
                  <c:v>41791.339583333334</c:v>
                </c:pt>
                <c:pt idx="490">
                  <c:v>41791.340277777781</c:v>
                </c:pt>
                <c:pt idx="491">
                  <c:v>41791.34097222222</c:v>
                </c:pt>
                <c:pt idx="492">
                  <c:v>41791.341666666667</c:v>
                </c:pt>
                <c:pt idx="493">
                  <c:v>41791.342361111114</c:v>
                </c:pt>
                <c:pt idx="494">
                  <c:v>41791.343055555553</c:v>
                </c:pt>
                <c:pt idx="495">
                  <c:v>41791.34375</c:v>
                </c:pt>
                <c:pt idx="496">
                  <c:v>41791.344444444447</c:v>
                </c:pt>
                <c:pt idx="497">
                  <c:v>41791.345138888886</c:v>
                </c:pt>
                <c:pt idx="498">
                  <c:v>41791.345833333333</c:v>
                </c:pt>
                <c:pt idx="499">
                  <c:v>41791.34652777778</c:v>
                </c:pt>
                <c:pt idx="500">
                  <c:v>41791.347222222219</c:v>
                </c:pt>
                <c:pt idx="501">
                  <c:v>41791.347916666666</c:v>
                </c:pt>
                <c:pt idx="502">
                  <c:v>41791.348611111112</c:v>
                </c:pt>
                <c:pt idx="503">
                  <c:v>41791.349305555559</c:v>
                </c:pt>
                <c:pt idx="504">
                  <c:v>41791.35</c:v>
                </c:pt>
                <c:pt idx="505">
                  <c:v>41791.350694444445</c:v>
                </c:pt>
                <c:pt idx="506">
                  <c:v>41791.351388888892</c:v>
                </c:pt>
                <c:pt idx="507">
                  <c:v>41791.352083333331</c:v>
                </c:pt>
                <c:pt idx="508">
                  <c:v>41791.352777777778</c:v>
                </c:pt>
                <c:pt idx="509">
                  <c:v>41791.353472222225</c:v>
                </c:pt>
                <c:pt idx="510">
                  <c:v>41791.354166666664</c:v>
                </c:pt>
                <c:pt idx="511">
                  <c:v>41791.354861111111</c:v>
                </c:pt>
                <c:pt idx="512">
                  <c:v>41791.355555555558</c:v>
                </c:pt>
                <c:pt idx="513">
                  <c:v>41791.356249999997</c:v>
                </c:pt>
                <c:pt idx="514">
                  <c:v>41791.356944444444</c:v>
                </c:pt>
                <c:pt idx="515">
                  <c:v>41791.357638888891</c:v>
                </c:pt>
                <c:pt idx="516">
                  <c:v>41791.35833333333</c:v>
                </c:pt>
                <c:pt idx="517">
                  <c:v>41791.359027777777</c:v>
                </c:pt>
                <c:pt idx="518">
                  <c:v>41791.359722222223</c:v>
                </c:pt>
                <c:pt idx="519">
                  <c:v>41791.36041666667</c:v>
                </c:pt>
                <c:pt idx="520">
                  <c:v>41791.361111111109</c:v>
                </c:pt>
                <c:pt idx="521">
                  <c:v>41791.361805555556</c:v>
                </c:pt>
                <c:pt idx="522">
                  <c:v>41791.362500000003</c:v>
                </c:pt>
                <c:pt idx="523">
                  <c:v>41791.363194444442</c:v>
                </c:pt>
                <c:pt idx="524">
                  <c:v>41791.363888888889</c:v>
                </c:pt>
                <c:pt idx="525">
                  <c:v>41791.364583333336</c:v>
                </c:pt>
                <c:pt idx="526">
                  <c:v>41791.365277777775</c:v>
                </c:pt>
                <c:pt idx="527">
                  <c:v>41791.365972222222</c:v>
                </c:pt>
                <c:pt idx="528">
                  <c:v>41791.366666666669</c:v>
                </c:pt>
                <c:pt idx="529">
                  <c:v>41791.367361111108</c:v>
                </c:pt>
                <c:pt idx="530">
                  <c:v>41791.368055555555</c:v>
                </c:pt>
                <c:pt idx="531">
                  <c:v>41791.368750000001</c:v>
                </c:pt>
                <c:pt idx="532">
                  <c:v>41791.369444444441</c:v>
                </c:pt>
                <c:pt idx="533">
                  <c:v>41791.370138888888</c:v>
                </c:pt>
                <c:pt idx="534">
                  <c:v>41791.370833333334</c:v>
                </c:pt>
                <c:pt idx="535">
                  <c:v>41791.371527777781</c:v>
                </c:pt>
                <c:pt idx="536">
                  <c:v>41791.37222222222</c:v>
                </c:pt>
                <c:pt idx="537">
                  <c:v>41791.372916666667</c:v>
                </c:pt>
                <c:pt idx="538">
                  <c:v>41791.373611111114</c:v>
                </c:pt>
                <c:pt idx="539">
                  <c:v>41791.374305555553</c:v>
                </c:pt>
                <c:pt idx="540">
                  <c:v>41791.375</c:v>
                </c:pt>
                <c:pt idx="541">
                  <c:v>41791.375694444447</c:v>
                </c:pt>
                <c:pt idx="542">
                  <c:v>41791.376388888886</c:v>
                </c:pt>
                <c:pt idx="543">
                  <c:v>41791.377083333333</c:v>
                </c:pt>
                <c:pt idx="544">
                  <c:v>41791.37777777778</c:v>
                </c:pt>
                <c:pt idx="545">
                  <c:v>41791.378472222219</c:v>
                </c:pt>
                <c:pt idx="546">
                  <c:v>41791.379166666666</c:v>
                </c:pt>
                <c:pt idx="547">
                  <c:v>41791.379861111112</c:v>
                </c:pt>
                <c:pt idx="548">
                  <c:v>41791.380555555559</c:v>
                </c:pt>
                <c:pt idx="549">
                  <c:v>41791.381249999999</c:v>
                </c:pt>
                <c:pt idx="550">
                  <c:v>41791.381944444445</c:v>
                </c:pt>
                <c:pt idx="551">
                  <c:v>41791.382638888892</c:v>
                </c:pt>
                <c:pt idx="552">
                  <c:v>41791.383333333331</c:v>
                </c:pt>
                <c:pt idx="553">
                  <c:v>41791.384027777778</c:v>
                </c:pt>
                <c:pt idx="554">
                  <c:v>41791.384722222225</c:v>
                </c:pt>
                <c:pt idx="555">
                  <c:v>41791.385416666664</c:v>
                </c:pt>
                <c:pt idx="556">
                  <c:v>41791.386111111111</c:v>
                </c:pt>
                <c:pt idx="557">
                  <c:v>41791.386805555558</c:v>
                </c:pt>
                <c:pt idx="558">
                  <c:v>41791.387499999997</c:v>
                </c:pt>
                <c:pt idx="559">
                  <c:v>41791.388194444444</c:v>
                </c:pt>
                <c:pt idx="560">
                  <c:v>41791.388888888891</c:v>
                </c:pt>
                <c:pt idx="561">
                  <c:v>41791.38958333333</c:v>
                </c:pt>
                <c:pt idx="562">
                  <c:v>41791.390277777777</c:v>
                </c:pt>
                <c:pt idx="563">
                  <c:v>41791.390972222223</c:v>
                </c:pt>
                <c:pt idx="564">
                  <c:v>41791.39166666667</c:v>
                </c:pt>
                <c:pt idx="565">
                  <c:v>41791.392361111109</c:v>
                </c:pt>
                <c:pt idx="566">
                  <c:v>41791.393055555556</c:v>
                </c:pt>
                <c:pt idx="567">
                  <c:v>41791.393750000003</c:v>
                </c:pt>
                <c:pt idx="568">
                  <c:v>41791.394444444442</c:v>
                </c:pt>
                <c:pt idx="569">
                  <c:v>41791.395138888889</c:v>
                </c:pt>
                <c:pt idx="570">
                  <c:v>41791.395833333336</c:v>
                </c:pt>
                <c:pt idx="571">
                  <c:v>41791.396527777775</c:v>
                </c:pt>
                <c:pt idx="572">
                  <c:v>41791.397222222222</c:v>
                </c:pt>
                <c:pt idx="573">
                  <c:v>41791.397916666669</c:v>
                </c:pt>
                <c:pt idx="574">
                  <c:v>41791.398611111108</c:v>
                </c:pt>
                <c:pt idx="575">
                  <c:v>41791.399305555555</c:v>
                </c:pt>
                <c:pt idx="576">
                  <c:v>41791.4</c:v>
                </c:pt>
                <c:pt idx="577">
                  <c:v>41791.400694444441</c:v>
                </c:pt>
                <c:pt idx="578">
                  <c:v>41791.401388888888</c:v>
                </c:pt>
                <c:pt idx="579">
                  <c:v>41791.402083333334</c:v>
                </c:pt>
                <c:pt idx="580">
                  <c:v>41791.402777777781</c:v>
                </c:pt>
                <c:pt idx="581">
                  <c:v>41791.40347222222</c:v>
                </c:pt>
                <c:pt idx="582">
                  <c:v>41791.404166666667</c:v>
                </c:pt>
                <c:pt idx="583">
                  <c:v>41791.404861111114</c:v>
                </c:pt>
                <c:pt idx="584">
                  <c:v>41791.405555555553</c:v>
                </c:pt>
                <c:pt idx="585">
                  <c:v>41791.40625</c:v>
                </c:pt>
                <c:pt idx="586">
                  <c:v>41791.406944444447</c:v>
                </c:pt>
                <c:pt idx="587">
                  <c:v>41791.407638888886</c:v>
                </c:pt>
                <c:pt idx="588">
                  <c:v>41791.408333333333</c:v>
                </c:pt>
                <c:pt idx="589">
                  <c:v>41791.40902777778</c:v>
                </c:pt>
                <c:pt idx="590">
                  <c:v>41791.409722222219</c:v>
                </c:pt>
                <c:pt idx="591">
                  <c:v>41791.410416666666</c:v>
                </c:pt>
                <c:pt idx="592">
                  <c:v>41791.411111111112</c:v>
                </c:pt>
                <c:pt idx="593">
                  <c:v>41791.411805555559</c:v>
                </c:pt>
                <c:pt idx="594">
                  <c:v>41791.412499999999</c:v>
                </c:pt>
                <c:pt idx="595">
                  <c:v>41791.413194444445</c:v>
                </c:pt>
                <c:pt idx="596">
                  <c:v>41791.413888888892</c:v>
                </c:pt>
                <c:pt idx="597">
                  <c:v>41791.414583333331</c:v>
                </c:pt>
                <c:pt idx="598">
                  <c:v>41791.415277777778</c:v>
                </c:pt>
                <c:pt idx="599">
                  <c:v>41791.415972222225</c:v>
                </c:pt>
                <c:pt idx="600">
                  <c:v>41791.416666666664</c:v>
                </c:pt>
                <c:pt idx="601">
                  <c:v>41791.417361111111</c:v>
                </c:pt>
                <c:pt idx="602">
                  <c:v>41791.418055555558</c:v>
                </c:pt>
                <c:pt idx="603">
                  <c:v>41791.418749999997</c:v>
                </c:pt>
                <c:pt idx="604">
                  <c:v>41791.419444444444</c:v>
                </c:pt>
                <c:pt idx="605">
                  <c:v>41791.420138888891</c:v>
                </c:pt>
                <c:pt idx="606">
                  <c:v>41791.42083333333</c:v>
                </c:pt>
                <c:pt idx="607">
                  <c:v>41791.421527777777</c:v>
                </c:pt>
                <c:pt idx="608">
                  <c:v>41791.422222222223</c:v>
                </c:pt>
                <c:pt idx="609">
                  <c:v>41791.42291666667</c:v>
                </c:pt>
                <c:pt idx="610">
                  <c:v>41791.423611111109</c:v>
                </c:pt>
                <c:pt idx="611">
                  <c:v>41791.424305555556</c:v>
                </c:pt>
                <c:pt idx="612">
                  <c:v>41791.425000000003</c:v>
                </c:pt>
                <c:pt idx="613">
                  <c:v>41791.425694444442</c:v>
                </c:pt>
                <c:pt idx="614">
                  <c:v>41791.426388888889</c:v>
                </c:pt>
                <c:pt idx="615">
                  <c:v>41791.427083333336</c:v>
                </c:pt>
                <c:pt idx="616">
                  <c:v>41791.427777777775</c:v>
                </c:pt>
                <c:pt idx="617">
                  <c:v>41791.428472222222</c:v>
                </c:pt>
                <c:pt idx="618">
                  <c:v>41791.429166666669</c:v>
                </c:pt>
                <c:pt idx="619">
                  <c:v>41791.429861111108</c:v>
                </c:pt>
                <c:pt idx="620">
                  <c:v>41791.430555555555</c:v>
                </c:pt>
                <c:pt idx="621">
                  <c:v>41791.431250000001</c:v>
                </c:pt>
                <c:pt idx="622">
                  <c:v>41791.431944444441</c:v>
                </c:pt>
                <c:pt idx="623">
                  <c:v>41791.432638888888</c:v>
                </c:pt>
                <c:pt idx="624">
                  <c:v>41791.433333333334</c:v>
                </c:pt>
                <c:pt idx="625">
                  <c:v>41791.434027777781</c:v>
                </c:pt>
                <c:pt idx="626">
                  <c:v>41791.43472222222</c:v>
                </c:pt>
                <c:pt idx="627">
                  <c:v>41791.435416666667</c:v>
                </c:pt>
                <c:pt idx="628">
                  <c:v>41791.436111111114</c:v>
                </c:pt>
                <c:pt idx="629">
                  <c:v>41791.436805555553</c:v>
                </c:pt>
                <c:pt idx="630">
                  <c:v>41791.4375</c:v>
                </c:pt>
                <c:pt idx="631">
                  <c:v>41791.438194444447</c:v>
                </c:pt>
                <c:pt idx="632">
                  <c:v>41791.438888888886</c:v>
                </c:pt>
                <c:pt idx="633">
                  <c:v>41791.439583333333</c:v>
                </c:pt>
                <c:pt idx="634">
                  <c:v>41791.44027777778</c:v>
                </c:pt>
                <c:pt idx="635">
                  <c:v>41791.440972222219</c:v>
                </c:pt>
                <c:pt idx="636">
                  <c:v>41791.441666666666</c:v>
                </c:pt>
                <c:pt idx="637">
                  <c:v>41791.442361111112</c:v>
                </c:pt>
                <c:pt idx="638">
                  <c:v>41791.443055555559</c:v>
                </c:pt>
                <c:pt idx="639">
                  <c:v>41791.443749999999</c:v>
                </c:pt>
                <c:pt idx="640">
                  <c:v>41791.444444444445</c:v>
                </c:pt>
                <c:pt idx="641">
                  <c:v>41791.445138888892</c:v>
                </c:pt>
                <c:pt idx="642">
                  <c:v>41791.445833333331</c:v>
                </c:pt>
                <c:pt idx="643">
                  <c:v>41791.446527777778</c:v>
                </c:pt>
                <c:pt idx="644">
                  <c:v>41791.447222222225</c:v>
                </c:pt>
                <c:pt idx="645">
                  <c:v>41791.447916666664</c:v>
                </c:pt>
                <c:pt idx="646">
                  <c:v>41791.448611111111</c:v>
                </c:pt>
                <c:pt idx="647">
                  <c:v>41791.449305555558</c:v>
                </c:pt>
                <c:pt idx="648">
                  <c:v>41791.449999999997</c:v>
                </c:pt>
                <c:pt idx="649">
                  <c:v>41791.450694444444</c:v>
                </c:pt>
                <c:pt idx="650">
                  <c:v>41791.451388888891</c:v>
                </c:pt>
                <c:pt idx="651">
                  <c:v>41791.45208333333</c:v>
                </c:pt>
                <c:pt idx="652">
                  <c:v>41791.452777777777</c:v>
                </c:pt>
                <c:pt idx="653">
                  <c:v>41791.453472222223</c:v>
                </c:pt>
                <c:pt idx="654">
                  <c:v>41791.45416666667</c:v>
                </c:pt>
                <c:pt idx="655">
                  <c:v>41791.454861111109</c:v>
                </c:pt>
                <c:pt idx="656">
                  <c:v>41791.455555555556</c:v>
                </c:pt>
                <c:pt idx="657">
                  <c:v>41791.456250000003</c:v>
                </c:pt>
                <c:pt idx="658">
                  <c:v>41791.456944444442</c:v>
                </c:pt>
                <c:pt idx="659">
                  <c:v>41791.457638888889</c:v>
                </c:pt>
                <c:pt idx="660">
                  <c:v>41791.458333333336</c:v>
                </c:pt>
                <c:pt idx="661">
                  <c:v>41791.459027777775</c:v>
                </c:pt>
                <c:pt idx="662">
                  <c:v>41791.459722222222</c:v>
                </c:pt>
                <c:pt idx="663">
                  <c:v>41791.460416666669</c:v>
                </c:pt>
                <c:pt idx="664">
                  <c:v>41791.461111111108</c:v>
                </c:pt>
                <c:pt idx="665">
                  <c:v>41791.461805555555</c:v>
                </c:pt>
                <c:pt idx="666">
                  <c:v>41791.462500000001</c:v>
                </c:pt>
                <c:pt idx="667">
                  <c:v>41791.463194444441</c:v>
                </c:pt>
                <c:pt idx="668">
                  <c:v>41791.463888888888</c:v>
                </c:pt>
                <c:pt idx="669">
                  <c:v>41791.464583333334</c:v>
                </c:pt>
                <c:pt idx="670">
                  <c:v>41791.465277777781</c:v>
                </c:pt>
                <c:pt idx="671">
                  <c:v>41791.46597222222</c:v>
                </c:pt>
                <c:pt idx="672">
                  <c:v>41791.466666666667</c:v>
                </c:pt>
                <c:pt idx="673">
                  <c:v>41791.467361111114</c:v>
                </c:pt>
                <c:pt idx="674">
                  <c:v>41791.468055555553</c:v>
                </c:pt>
                <c:pt idx="675">
                  <c:v>41791.46875</c:v>
                </c:pt>
                <c:pt idx="676">
                  <c:v>41791.469444444447</c:v>
                </c:pt>
                <c:pt idx="677">
                  <c:v>41791.470138888886</c:v>
                </c:pt>
                <c:pt idx="678">
                  <c:v>41791.470833333333</c:v>
                </c:pt>
                <c:pt idx="679">
                  <c:v>41791.47152777778</c:v>
                </c:pt>
                <c:pt idx="680">
                  <c:v>41791.472222222219</c:v>
                </c:pt>
                <c:pt idx="681">
                  <c:v>41791.472916666666</c:v>
                </c:pt>
                <c:pt idx="682">
                  <c:v>41791.473611111112</c:v>
                </c:pt>
                <c:pt idx="683">
                  <c:v>41791.474305555559</c:v>
                </c:pt>
                <c:pt idx="684">
                  <c:v>41791.474999999999</c:v>
                </c:pt>
                <c:pt idx="685">
                  <c:v>41791.475694444445</c:v>
                </c:pt>
                <c:pt idx="686">
                  <c:v>41791.476388888892</c:v>
                </c:pt>
                <c:pt idx="687">
                  <c:v>41791.477083333331</c:v>
                </c:pt>
                <c:pt idx="688">
                  <c:v>41791.477777777778</c:v>
                </c:pt>
                <c:pt idx="689">
                  <c:v>41791.478472222225</c:v>
                </c:pt>
                <c:pt idx="690">
                  <c:v>41791.479166666664</c:v>
                </c:pt>
                <c:pt idx="691">
                  <c:v>41791.479861111111</c:v>
                </c:pt>
                <c:pt idx="692">
                  <c:v>41791.480555555558</c:v>
                </c:pt>
                <c:pt idx="693">
                  <c:v>41791.481249999997</c:v>
                </c:pt>
                <c:pt idx="694">
                  <c:v>41791.481944444444</c:v>
                </c:pt>
                <c:pt idx="695">
                  <c:v>41791.482638888891</c:v>
                </c:pt>
                <c:pt idx="696">
                  <c:v>41791.48333333333</c:v>
                </c:pt>
                <c:pt idx="697">
                  <c:v>41791.484027777777</c:v>
                </c:pt>
                <c:pt idx="698">
                  <c:v>41791.484722222223</c:v>
                </c:pt>
                <c:pt idx="699">
                  <c:v>41791.48541666667</c:v>
                </c:pt>
                <c:pt idx="700">
                  <c:v>41791.486111111109</c:v>
                </c:pt>
                <c:pt idx="701">
                  <c:v>41791.486805555556</c:v>
                </c:pt>
                <c:pt idx="702">
                  <c:v>41791.487500000003</c:v>
                </c:pt>
                <c:pt idx="703">
                  <c:v>41791.488194444442</c:v>
                </c:pt>
                <c:pt idx="704">
                  <c:v>41791.488888888889</c:v>
                </c:pt>
                <c:pt idx="705">
                  <c:v>41791.489583333336</c:v>
                </c:pt>
                <c:pt idx="706">
                  <c:v>41791.490277777775</c:v>
                </c:pt>
                <c:pt idx="707">
                  <c:v>41791.490972222222</c:v>
                </c:pt>
                <c:pt idx="708">
                  <c:v>41791.491666666669</c:v>
                </c:pt>
                <c:pt idx="709">
                  <c:v>41791.492361111108</c:v>
                </c:pt>
                <c:pt idx="710">
                  <c:v>41791.493055555555</c:v>
                </c:pt>
                <c:pt idx="711">
                  <c:v>41791.493750000001</c:v>
                </c:pt>
                <c:pt idx="712">
                  <c:v>41791.494444444441</c:v>
                </c:pt>
                <c:pt idx="713">
                  <c:v>41791.495138888888</c:v>
                </c:pt>
                <c:pt idx="714">
                  <c:v>41791.495833333334</c:v>
                </c:pt>
                <c:pt idx="715">
                  <c:v>41791.496527777781</c:v>
                </c:pt>
                <c:pt idx="716">
                  <c:v>41791.49722222222</c:v>
                </c:pt>
                <c:pt idx="717">
                  <c:v>41791.497916666667</c:v>
                </c:pt>
                <c:pt idx="718">
                  <c:v>41791.498611111114</c:v>
                </c:pt>
                <c:pt idx="719">
                  <c:v>41791.499305555553</c:v>
                </c:pt>
                <c:pt idx="720">
                  <c:v>41791.5</c:v>
                </c:pt>
                <c:pt idx="721">
                  <c:v>41791.500694444447</c:v>
                </c:pt>
                <c:pt idx="722">
                  <c:v>41791.501388888886</c:v>
                </c:pt>
                <c:pt idx="723">
                  <c:v>41791.502083333333</c:v>
                </c:pt>
                <c:pt idx="724">
                  <c:v>41791.50277777778</c:v>
                </c:pt>
                <c:pt idx="725">
                  <c:v>41791.503472222219</c:v>
                </c:pt>
                <c:pt idx="726">
                  <c:v>41791.504166666666</c:v>
                </c:pt>
                <c:pt idx="727">
                  <c:v>41791.504861111112</c:v>
                </c:pt>
                <c:pt idx="728">
                  <c:v>41791.505555555559</c:v>
                </c:pt>
                <c:pt idx="729">
                  <c:v>41791.506249999999</c:v>
                </c:pt>
                <c:pt idx="730">
                  <c:v>41791.506944444445</c:v>
                </c:pt>
                <c:pt idx="731">
                  <c:v>41791.507638888892</c:v>
                </c:pt>
                <c:pt idx="732">
                  <c:v>41791.508333333331</c:v>
                </c:pt>
                <c:pt idx="733">
                  <c:v>41791.509027777778</c:v>
                </c:pt>
                <c:pt idx="734">
                  <c:v>41791.509722222225</c:v>
                </c:pt>
                <c:pt idx="735">
                  <c:v>41791.510416666664</c:v>
                </c:pt>
                <c:pt idx="736">
                  <c:v>41791.511111111111</c:v>
                </c:pt>
                <c:pt idx="737">
                  <c:v>41791.511805555558</c:v>
                </c:pt>
                <c:pt idx="738">
                  <c:v>41791.512499999997</c:v>
                </c:pt>
                <c:pt idx="739">
                  <c:v>41791.513194444444</c:v>
                </c:pt>
                <c:pt idx="740">
                  <c:v>41791.513888888891</c:v>
                </c:pt>
                <c:pt idx="741">
                  <c:v>41791.51458333333</c:v>
                </c:pt>
                <c:pt idx="742">
                  <c:v>41791.515277777777</c:v>
                </c:pt>
                <c:pt idx="743">
                  <c:v>41791.515972222223</c:v>
                </c:pt>
                <c:pt idx="744">
                  <c:v>41791.51666666667</c:v>
                </c:pt>
                <c:pt idx="745">
                  <c:v>41791.517361111109</c:v>
                </c:pt>
                <c:pt idx="746">
                  <c:v>41791.518055555556</c:v>
                </c:pt>
                <c:pt idx="747">
                  <c:v>41791.518750000003</c:v>
                </c:pt>
                <c:pt idx="748">
                  <c:v>41791.519444444442</c:v>
                </c:pt>
                <c:pt idx="749">
                  <c:v>41791.520138888889</c:v>
                </c:pt>
                <c:pt idx="750">
                  <c:v>41791.520833333336</c:v>
                </c:pt>
                <c:pt idx="751">
                  <c:v>41791.521527777775</c:v>
                </c:pt>
                <c:pt idx="752">
                  <c:v>41791.522222222222</c:v>
                </c:pt>
                <c:pt idx="753">
                  <c:v>41791.522916666669</c:v>
                </c:pt>
                <c:pt idx="754">
                  <c:v>41791.523611111108</c:v>
                </c:pt>
                <c:pt idx="755">
                  <c:v>41791.524305555555</c:v>
                </c:pt>
                <c:pt idx="756">
                  <c:v>41791.525000000001</c:v>
                </c:pt>
                <c:pt idx="757">
                  <c:v>41791.525694444441</c:v>
                </c:pt>
                <c:pt idx="758">
                  <c:v>41791.526388888888</c:v>
                </c:pt>
                <c:pt idx="759">
                  <c:v>41791.527083333334</c:v>
                </c:pt>
                <c:pt idx="760">
                  <c:v>41791.527777777781</c:v>
                </c:pt>
                <c:pt idx="761">
                  <c:v>41791.52847222222</c:v>
                </c:pt>
                <c:pt idx="762">
                  <c:v>41791.529166666667</c:v>
                </c:pt>
                <c:pt idx="763">
                  <c:v>41791.529861111114</c:v>
                </c:pt>
                <c:pt idx="764">
                  <c:v>41791.530555555553</c:v>
                </c:pt>
                <c:pt idx="765">
                  <c:v>41791.53125</c:v>
                </c:pt>
                <c:pt idx="766">
                  <c:v>41791.531944444447</c:v>
                </c:pt>
                <c:pt idx="767">
                  <c:v>41791.532638888886</c:v>
                </c:pt>
                <c:pt idx="768">
                  <c:v>41791.533333333333</c:v>
                </c:pt>
                <c:pt idx="769">
                  <c:v>41791.53402777778</c:v>
                </c:pt>
                <c:pt idx="770">
                  <c:v>41791.534722222219</c:v>
                </c:pt>
                <c:pt idx="771">
                  <c:v>41791.535416666666</c:v>
                </c:pt>
                <c:pt idx="772">
                  <c:v>41791.536111111112</c:v>
                </c:pt>
                <c:pt idx="773">
                  <c:v>41791.536805555559</c:v>
                </c:pt>
                <c:pt idx="774">
                  <c:v>41791.537499999999</c:v>
                </c:pt>
                <c:pt idx="775">
                  <c:v>41791.538194444445</c:v>
                </c:pt>
                <c:pt idx="776">
                  <c:v>41791.538888888892</c:v>
                </c:pt>
                <c:pt idx="777">
                  <c:v>41791.539583333331</c:v>
                </c:pt>
                <c:pt idx="778">
                  <c:v>41791.540277777778</c:v>
                </c:pt>
                <c:pt idx="779">
                  <c:v>41791.540972222225</c:v>
                </c:pt>
                <c:pt idx="780">
                  <c:v>41791.541666666664</c:v>
                </c:pt>
                <c:pt idx="781">
                  <c:v>41791.542361111111</c:v>
                </c:pt>
                <c:pt idx="782">
                  <c:v>41791.543055555558</c:v>
                </c:pt>
                <c:pt idx="783">
                  <c:v>41791.543749999997</c:v>
                </c:pt>
                <c:pt idx="784">
                  <c:v>41791.544444444444</c:v>
                </c:pt>
                <c:pt idx="785">
                  <c:v>41791.545138888891</c:v>
                </c:pt>
                <c:pt idx="786">
                  <c:v>41791.54583333333</c:v>
                </c:pt>
                <c:pt idx="787">
                  <c:v>41791.546527777777</c:v>
                </c:pt>
                <c:pt idx="788">
                  <c:v>41791.547222222223</c:v>
                </c:pt>
                <c:pt idx="789">
                  <c:v>41791.54791666667</c:v>
                </c:pt>
                <c:pt idx="790">
                  <c:v>41791.548611111109</c:v>
                </c:pt>
                <c:pt idx="791">
                  <c:v>41791.549305555556</c:v>
                </c:pt>
                <c:pt idx="792">
                  <c:v>41791.550000000003</c:v>
                </c:pt>
                <c:pt idx="793">
                  <c:v>41791.550694444442</c:v>
                </c:pt>
                <c:pt idx="794">
                  <c:v>41791.551388888889</c:v>
                </c:pt>
                <c:pt idx="795">
                  <c:v>41791.552083333336</c:v>
                </c:pt>
                <c:pt idx="796">
                  <c:v>41791.552777777775</c:v>
                </c:pt>
                <c:pt idx="797">
                  <c:v>41791.553472222222</c:v>
                </c:pt>
                <c:pt idx="798">
                  <c:v>41791.554166666669</c:v>
                </c:pt>
                <c:pt idx="799">
                  <c:v>41791.554861111108</c:v>
                </c:pt>
                <c:pt idx="800">
                  <c:v>41791.555555555555</c:v>
                </c:pt>
                <c:pt idx="801">
                  <c:v>41791.556250000001</c:v>
                </c:pt>
                <c:pt idx="802">
                  <c:v>41791.556944444441</c:v>
                </c:pt>
                <c:pt idx="803">
                  <c:v>41791.557638888888</c:v>
                </c:pt>
                <c:pt idx="804">
                  <c:v>41791.558333333334</c:v>
                </c:pt>
                <c:pt idx="805">
                  <c:v>41791.559027777781</c:v>
                </c:pt>
                <c:pt idx="806">
                  <c:v>41791.55972222222</c:v>
                </c:pt>
                <c:pt idx="807">
                  <c:v>41791.560416666667</c:v>
                </c:pt>
                <c:pt idx="808">
                  <c:v>41791.561111111114</c:v>
                </c:pt>
                <c:pt idx="809">
                  <c:v>41791.561805555553</c:v>
                </c:pt>
                <c:pt idx="810">
                  <c:v>41791.5625</c:v>
                </c:pt>
                <c:pt idx="811">
                  <c:v>41791.563194444447</c:v>
                </c:pt>
                <c:pt idx="812">
                  <c:v>41791.563888888886</c:v>
                </c:pt>
                <c:pt idx="813">
                  <c:v>41791.564583333333</c:v>
                </c:pt>
                <c:pt idx="814">
                  <c:v>41791.56527777778</c:v>
                </c:pt>
                <c:pt idx="815">
                  <c:v>41791.565972222219</c:v>
                </c:pt>
                <c:pt idx="816">
                  <c:v>41791.566666666666</c:v>
                </c:pt>
                <c:pt idx="817">
                  <c:v>41791.567361111112</c:v>
                </c:pt>
                <c:pt idx="818">
                  <c:v>41791.568055555559</c:v>
                </c:pt>
                <c:pt idx="819">
                  <c:v>41791.568749999999</c:v>
                </c:pt>
                <c:pt idx="820">
                  <c:v>41791.569444444445</c:v>
                </c:pt>
                <c:pt idx="821">
                  <c:v>41791.570138888892</c:v>
                </c:pt>
                <c:pt idx="822">
                  <c:v>41791.570833333331</c:v>
                </c:pt>
                <c:pt idx="823">
                  <c:v>41791.571527777778</c:v>
                </c:pt>
                <c:pt idx="824">
                  <c:v>41791.572222222225</c:v>
                </c:pt>
                <c:pt idx="825">
                  <c:v>41791.572916666664</c:v>
                </c:pt>
                <c:pt idx="826">
                  <c:v>41791.573611111111</c:v>
                </c:pt>
                <c:pt idx="827">
                  <c:v>41791.574305555558</c:v>
                </c:pt>
                <c:pt idx="828">
                  <c:v>41791.574999999997</c:v>
                </c:pt>
                <c:pt idx="829">
                  <c:v>41791.575694444444</c:v>
                </c:pt>
                <c:pt idx="830">
                  <c:v>41791.576388888891</c:v>
                </c:pt>
                <c:pt idx="831">
                  <c:v>41791.57708333333</c:v>
                </c:pt>
                <c:pt idx="832">
                  <c:v>41791.577777777777</c:v>
                </c:pt>
                <c:pt idx="833">
                  <c:v>41791.578472222223</c:v>
                </c:pt>
                <c:pt idx="834">
                  <c:v>41791.57916666667</c:v>
                </c:pt>
                <c:pt idx="835">
                  <c:v>41791.579861111109</c:v>
                </c:pt>
                <c:pt idx="836">
                  <c:v>41791.580555555556</c:v>
                </c:pt>
                <c:pt idx="837">
                  <c:v>41791.581250000003</c:v>
                </c:pt>
                <c:pt idx="838">
                  <c:v>41791.581944444442</c:v>
                </c:pt>
                <c:pt idx="839">
                  <c:v>41791.582638888889</c:v>
                </c:pt>
                <c:pt idx="840">
                  <c:v>41791.583333333336</c:v>
                </c:pt>
                <c:pt idx="841">
                  <c:v>41791.584027777775</c:v>
                </c:pt>
                <c:pt idx="842">
                  <c:v>41791.584722222222</c:v>
                </c:pt>
                <c:pt idx="843">
                  <c:v>41791.585416666669</c:v>
                </c:pt>
                <c:pt idx="844">
                  <c:v>41791.586111111108</c:v>
                </c:pt>
                <c:pt idx="845">
                  <c:v>41791.586805555555</c:v>
                </c:pt>
                <c:pt idx="846">
                  <c:v>41791.587500000001</c:v>
                </c:pt>
                <c:pt idx="847">
                  <c:v>41791.588194444441</c:v>
                </c:pt>
                <c:pt idx="848">
                  <c:v>41791.588888888888</c:v>
                </c:pt>
                <c:pt idx="849">
                  <c:v>41791.589583333334</c:v>
                </c:pt>
                <c:pt idx="850">
                  <c:v>41791.590277777781</c:v>
                </c:pt>
                <c:pt idx="851">
                  <c:v>41791.59097222222</c:v>
                </c:pt>
                <c:pt idx="852">
                  <c:v>41791.591666666667</c:v>
                </c:pt>
                <c:pt idx="853">
                  <c:v>41791.592361111114</c:v>
                </c:pt>
                <c:pt idx="854">
                  <c:v>41791.593055555553</c:v>
                </c:pt>
                <c:pt idx="855">
                  <c:v>41791.59375</c:v>
                </c:pt>
                <c:pt idx="856">
                  <c:v>41791.594444444447</c:v>
                </c:pt>
                <c:pt idx="857">
                  <c:v>41791.595138888886</c:v>
                </c:pt>
                <c:pt idx="858">
                  <c:v>41791.595833333333</c:v>
                </c:pt>
                <c:pt idx="859">
                  <c:v>41791.59652777778</c:v>
                </c:pt>
                <c:pt idx="860">
                  <c:v>41791.597222222219</c:v>
                </c:pt>
                <c:pt idx="861">
                  <c:v>41791.597916666666</c:v>
                </c:pt>
                <c:pt idx="862">
                  <c:v>41791.598611111112</c:v>
                </c:pt>
                <c:pt idx="863">
                  <c:v>41791.599305555559</c:v>
                </c:pt>
                <c:pt idx="864">
                  <c:v>41791.599999999999</c:v>
                </c:pt>
                <c:pt idx="865">
                  <c:v>41791.600694444445</c:v>
                </c:pt>
                <c:pt idx="866">
                  <c:v>41791.601388888892</c:v>
                </c:pt>
                <c:pt idx="867">
                  <c:v>41791.602083333331</c:v>
                </c:pt>
                <c:pt idx="868">
                  <c:v>41791.602777777778</c:v>
                </c:pt>
                <c:pt idx="869">
                  <c:v>41791.603472222225</c:v>
                </c:pt>
                <c:pt idx="870">
                  <c:v>41791.604166666664</c:v>
                </c:pt>
                <c:pt idx="871">
                  <c:v>41791.604861111111</c:v>
                </c:pt>
                <c:pt idx="872">
                  <c:v>41791.605555555558</c:v>
                </c:pt>
                <c:pt idx="873">
                  <c:v>41791.606249999997</c:v>
                </c:pt>
                <c:pt idx="874">
                  <c:v>41791.606944444444</c:v>
                </c:pt>
                <c:pt idx="875">
                  <c:v>41791.607638888891</c:v>
                </c:pt>
                <c:pt idx="876">
                  <c:v>41791.60833333333</c:v>
                </c:pt>
                <c:pt idx="877">
                  <c:v>41791.609027777777</c:v>
                </c:pt>
                <c:pt idx="878">
                  <c:v>41791.609722222223</c:v>
                </c:pt>
                <c:pt idx="879">
                  <c:v>41791.61041666667</c:v>
                </c:pt>
                <c:pt idx="880">
                  <c:v>41791.611111111109</c:v>
                </c:pt>
                <c:pt idx="881">
                  <c:v>41791.611805555556</c:v>
                </c:pt>
                <c:pt idx="882">
                  <c:v>41791.612500000003</c:v>
                </c:pt>
                <c:pt idx="883">
                  <c:v>41791.613194444442</c:v>
                </c:pt>
                <c:pt idx="884">
                  <c:v>41791.613888888889</c:v>
                </c:pt>
                <c:pt idx="885">
                  <c:v>41791.614583333336</c:v>
                </c:pt>
                <c:pt idx="886">
                  <c:v>41791.615277777775</c:v>
                </c:pt>
                <c:pt idx="887">
                  <c:v>41791.615972222222</c:v>
                </c:pt>
                <c:pt idx="888">
                  <c:v>41791.616666666669</c:v>
                </c:pt>
                <c:pt idx="889">
                  <c:v>41791.617361111108</c:v>
                </c:pt>
                <c:pt idx="890">
                  <c:v>41791.618055555555</c:v>
                </c:pt>
                <c:pt idx="891">
                  <c:v>41791.618750000001</c:v>
                </c:pt>
                <c:pt idx="892">
                  <c:v>41791.619444444441</c:v>
                </c:pt>
                <c:pt idx="893">
                  <c:v>41791.620138888888</c:v>
                </c:pt>
                <c:pt idx="894">
                  <c:v>41791.620833333334</c:v>
                </c:pt>
                <c:pt idx="895">
                  <c:v>41791.621527777781</c:v>
                </c:pt>
                <c:pt idx="896">
                  <c:v>41791.62222222222</c:v>
                </c:pt>
                <c:pt idx="897">
                  <c:v>41791.622916666667</c:v>
                </c:pt>
                <c:pt idx="898">
                  <c:v>41791.623611111114</c:v>
                </c:pt>
                <c:pt idx="899">
                  <c:v>41791.624305555553</c:v>
                </c:pt>
                <c:pt idx="900">
                  <c:v>41791.625</c:v>
                </c:pt>
                <c:pt idx="901">
                  <c:v>41791.625694444447</c:v>
                </c:pt>
                <c:pt idx="902">
                  <c:v>41791.626388888886</c:v>
                </c:pt>
                <c:pt idx="903">
                  <c:v>41791.627083333333</c:v>
                </c:pt>
                <c:pt idx="904">
                  <c:v>41791.62777777778</c:v>
                </c:pt>
                <c:pt idx="905">
                  <c:v>41791.628472222219</c:v>
                </c:pt>
                <c:pt idx="906">
                  <c:v>41791.629166666666</c:v>
                </c:pt>
                <c:pt idx="907">
                  <c:v>41791.629861111112</c:v>
                </c:pt>
                <c:pt idx="908">
                  <c:v>41791.630555555559</c:v>
                </c:pt>
                <c:pt idx="909">
                  <c:v>41791.631249999999</c:v>
                </c:pt>
                <c:pt idx="910">
                  <c:v>41791.631944444445</c:v>
                </c:pt>
                <c:pt idx="911">
                  <c:v>41791.632638888892</c:v>
                </c:pt>
                <c:pt idx="912">
                  <c:v>41791.633333333331</c:v>
                </c:pt>
                <c:pt idx="913">
                  <c:v>41791.634027777778</c:v>
                </c:pt>
                <c:pt idx="914">
                  <c:v>41791.634722222225</c:v>
                </c:pt>
                <c:pt idx="915">
                  <c:v>41791.635416666664</c:v>
                </c:pt>
                <c:pt idx="916">
                  <c:v>41791.636111111111</c:v>
                </c:pt>
                <c:pt idx="917">
                  <c:v>41791.636805555558</c:v>
                </c:pt>
                <c:pt idx="918">
                  <c:v>41791.637499999997</c:v>
                </c:pt>
                <c:pt idx="919">
                  <c:v>41791.638194444444</c:v>
                </c:pt>
                <c:pt idx="920">
                  <c:v>41791.638888888891</c:v>
                </c:pt>
                <c:pt idx="921">
                  <c:v>41791.63958333333</c:v>
                </c:pt>
                <c:pt idx="922">
                  <c:v>41791.640277777777</c:v>
                </c:pt>
                <c:pt idx="923">
                  <c:v>41791.640972222223</c:v>
                </c:pt>
                <c:pt idx="924">
                  <c:v>41791.64166666667</c:v>
                </c:pt>
                <c:pt idx="925">
                  <c:v>41791.642361111109</c:v>
                </c:pt>
                <c:pt idx="926">
                  <c:v>41791.643055555556</c:v>
                </c:pt>
                <c:pt idx="927">
                  <c:v>41791.643750000003</c:v>
                </c:pt>
                <c:pt idx="928">
                  <c:v>41791.644444444442</c:v>
                </c:pt>
                <c:pt idx="929">
                  <c:v>41791.645138888889</c:v>
                </c:pt>
                <c:pt idx="930">
                  <c:v>41791.645833333336</c:v>
                </c:pt>
                <c:pt idx="931">
                  <c:v>41791.646527777775</c:v>
                </c:pt>
                <c:pt idx="932">
                  <c:v>41791.647222222222</c:v>
                </c:pt>
                <c:pt idx="933">
                  <c:v>41791.647916666669</c:v>
                </c:pt>
                <c:pt idx="934">
                  <c:v>41791.648611111108</c:v>
                </c:pt>
                <c:pt idx="935">
                  <c:v>41791.649305555555</c:v>
                </c:pt>
                <c:pt idx="936">
                  <c:v>41791.65</c:v>
                </c:pt>
                <c:pt idx="937">
                  <c:v>41791.650694444441</c:v>
                </c:pt>
                <c:pt idx="938">
                  <c:v>41791.651388888888</c:v>
                </c:pt>
                <c:pt idx="939">
                  <c:v>41791.652083333334</c:v>
                </c:pt>
                <c:pt idx="940">
                  <c:v>41791.652777777781</c:v>
                </c:pt>
                <c:pt idx="941">
                  <c:v>41791.65347222222</c:v>
                </c:pt>
                <c:pt idx="942">
                  <c:v>41791.654166666667</c:v>
                </c:pt>
                <c:pt idx="943">
                  <c:v>41791.654861111114</c:v>
                </c:pt>
                <c:pt idx="944">
                  <c:v>41791.655555555553</c:v>
                </c:pt>
                <c:pt idx="945">
                  <c:v>41791.65625</c:v>
                </c:pt>
                <c:pt idx="946">
                  <c:v>41791.656944444447</c:v>
                </c:pt>
                <c:pt idx="947">
                  <c:v>41791.657638888886</c:v>
                </c:pt>
                <c:pt idx="948">
                  <c:v>41791.658333333333</c:v>
                </c:pt>
                <c:pt idx="949">
                  <c:v>41791.65902777778</c:v>
                </c:pt>
                <c:pt idx="950">
                  <c:v>41791.659722222219</c:v>
                </c:pt>
                <c:pt idx="951">
                  <c:v>41791.660416666666</c:v>
                </c:pt>
                <c:pt idx="952">
                  <c:v>41791.661111111112</c:v>
                </c:pt>
                <c:pt idx="953">
                  <c:v>41791.661805555559</c:v>
                </c:pt>
                <c:pt idx="954">
                  <c:v>41791.662499999999</c:v>
                </c:pt>
                <c:pt idx="955">
                  <c:v>41791.663194444445</c:v>
                </c:pt>
                <c:pt idx="956">
                  <c:v>41791.663888888892</c:v>
                </c:pt>
                <c:pt idx="957">
                  <c:v>41791.664583333331</c:v>
                </c:pt>
                <c:pt idx="958">
                  <c:v>41791.665277777778</c:v>
                </c:pt>
                <c:pt idx="959">
                  <c:v>41791.665972222225</c:v>
                </c:pt>
                <c:pt idx="960">
                  <c:v>41791.666666666664</c:v>
                </c:pt>
                <c:pt idx="961">
                  <c:v>41791.667361111111</c:v>
                </c:pt>
                <c:pt idx="962">
                  <c:v>41791.668055555558</c:v>
                </c:pt>
                <c:pt idx="963">
                  <c:v>41791.668749999997</c:v>
                </c:pt>
                <c:pt idx="964">
                  <c:v>41791.669444444444</c:v>
                </c:pt>
                <c:pt idx="965">
                  <c:v>41791.670138888891</c:v>
                </c:pt>
                <c:pt idx="966">
                  <c:v>41791.67083333333</c:v>
                </c:pt>
                <c:pt idx="967">
                  <c:v>41791.671527777777</c:v>
                </c:pt>
                <c:pt idx="968">
                  <c:v>41791.672222222223</c:v>
                </c:pt>
                <c:pt idx="969">
                  <c:v>41791.67291666667</c:v>
                </c:pt>
                <c:pt idx="970">
                  <c:v>41791.673611111109</c:v>
                </c:pt>
                <c:pt idx="971">
                  <c:v>41791.674305555556</c:v>
                </c:pt>
                <c:pt idx="972">
                  <c:v>41791.675000000003</c:v>
                </c:pt>
                <c:pt idx="973">
                  <c:v>41791.675694444442</c:v>
                </c:pt>
                <c:pt idx="974">
                  <c:v>41791.676388888889</c:v>
                </c:pt>
                <c:pt idx="975">
                  <c:v>41791.677083333336</c:v>
                </c:pt>
                <c:pt idx="976">
                  <c:v>41791.677777777775</c:v>
                </c:pt>
                <c:pt idx="977">
                  <c:v>41791.678472222222</c:v>
                </c:pt>
                <c:pt idx="978">
                  <c:v>41791.679166666669</c:v>
                </c:pt>
                <c:pt idx="979">
                  <c:v>41791.679861111108</c:v>
                </c:pt>
                <c:pt idx="980">
                  <c:v>41791.680555555555</c:v>
                </c:pt>
                <c:pt idx="981">
                  <c:v>41791.681250000001</c:v>
                </c:pt>
                <c:pt idx="982">
                  <c:v>41791.681944444441</c:v>
                </c:pt>
                <c:pt idx="983">
                  <c:v>41791.682638888888</c:v>
                </c:pt>
                <c:pt idx="984">
                  <c:v>41791.683333333334</c:v>
                </c:pt>
                <c:pt idx="985">
                  <c:v>41791.684027777781</c:v>
                </c:pt>
                <c:pt idx="986">
                  <c:v>41791.68472222222</c:v>
                </c:pt>
                <c:pt idx="987">
                  <c:v>41791.685416666667</c:v>
                </c:pt>
                <c:pt idx="988">
                  <c:v>41791.686111111114</c:v>
                </c:pt>
                <c:pt idx="989">
                  <c:v>41791.686805555553</c:v>
                </c:pt>
                <c:pt idx="990">
                  <c:v>41791.6875</c:v>
                </c:pt>
                <c:pt idx="991">
                  <c:v>41791.688194444447</c:v>
                </c:pt>
                <c:pt idx="992">
                  <c:v>41791.688888888886</c:v>
                </c:pt>
                <c:pt idx="993">
                  <c:v>41791.689583333333</c:v>
                </c:pt>
                <c:pt idx="994">
                  <c:v>41791.69027777778</c:v>
                </c:pt>
                <c:pt idx="995">
                  <c:v>41791.690972222219</c:v>
                </c:pt>
                <c:pt idx="996">
                  <c:v>41791.691666666666</c:v>
                </c:pt>
                <c:pt idx="997">
                  <c:v>41791.692361111112</c:v>
                </c:pt>
                <c:pt idx="998">
                  <c:v>41791.693055555559</c:v>
                </c:pt>
                <c:pt idx="999">
                  <c:v>41791.693749999999</c:v>
                </c:pt>
                <c:pt idx="1000">
                  <c:v>41791.694444444445</c:v>
                </c:pt>
                <c:pt idx="1001">
                  <c:v>41791.695138888892</c:v>
                </c:pt>
                <c:pt idx="1002">
                  <c:v>41791.695833333331</c:v>
                </c:pt>
                <c:pt idx="1003">
                  <c:v>41791.696527777778</c:v>
                </c:pt>
                <c:pt idx="1004">
                  <c:v>41791.697222222225</c:v>
                </c:pt>
                <c:pt idx="1005">
                  <c:v>41791.697916666664</c:v>
                </c:pt>
                <c:pt idx="1006">
                  <c:v>41791.698611111111</c:v>
                </c:pt>
                <c:pt idx="1007">
                  <c:v>41791.699305555558</c:v>
                </c:pt>
                <c:pt idx="1008">
                  <c:v>41791.699999999997</c:v>
                </c:pt>
                <c:pt idx="1009">
                  <c:v>41791.700694444444</c:v>
                </c:pt>
                <c:pt idx="1010">
                  <c:v>41791.701388888891</c:v>
                </c:pt>
                <c:pt idx="1011">
                  <c:v>41791.70208333333</c:v>
                </c:pt>
                <c:pt idx="1012">
                  <c:v>41791.702777777777</c:v>
                </c:pt>
                <c:pt idx="1013">
                  <c:v>41791.703472222223</c:v>
                </c:pt>
                <c:pt idx="1014">
                  <c:v>41791.70416666667</c:v>
                </c:pt>
                <c:pt idx="1015">
                  <c:v>41791.704861111109</c:v>
                </c:pt>
                <c:pt idx="1016">
                  <c:v>41791.705555555556</c:v>
                </c:pt>
                <c:pt idx="1017">
                  <c:v>41791.706250000003</c:v>
                </c:pt>
                <c:pt idx="1018">
                  <c:v>41791.706944444442</c:v>
                </c:pt>
                <c:pt idx="1019">
                  <c:v>41791.707638888889</c:v>
                </c:pt>
                <c:pt idx="1020">
                  <c:v>41791.708333333336</c:v>
                </c:pt>
                <c:pt idx="1021">
                  <c:v>41791.709027777775</c:v>
                </c:pt>
                <c:pt idx="1022">
                  <c:v>41791.709722222222</c:v>
                </c:pt>
                <c:pt idx="1023">
                  <c:v>41791.710416666669</c:v>
                </c:pt>
                <c:pt idx="1024">
                  <c:v>41791.711111111108</c:v>
                </c:pt>
                <c:pt idx="1025">
                  <c:v>41791.711805555555</c:v>
                </c:pt>
                <c:pt idx="1026">
                  <c:v>41791.712500000001</c:v>
                </c:pt>
                <c:pt idx="1027">
                  <c:v>41791.713194444441</c:v>
                </c:pt>
                <c:pt idx="1028">
                  <c:v>41791.713888888888</c:v>
                </c:pt>
                <c:pt idx="1029">
                  <c:v>41791.714583333334</c:v>
                </c:pt>
                <c:pt idx="1030">
                  <c:v>41791.715277777781</c:v>
                </c:pt>
                <c:pt idx="1031">
                  <c:v>41791.71597222222</c:v>
                </c:pt>
                <c:pt idx="1032">
                  <c:v>41791.716666666667</c:v>
                </c:pt>
                <c:pt idx="1033">
                  <c:v>41791.717361111114</c:v>
                </c:pt>
                <c:pt idx="1034">
                  <c:v>41791.718055555553</c:v>
                </c:pt>
                <c:pt idx="1035">
                  <c:v>41791.71875</c:v>
                </c:pt>
                <c:pt idx="1036">
                  <c:v>41791.719444444447</c:v>
                </c:pt>
                <c:pt idx="1037">
                  <c:v>41791.720138888886</c:v>
                </c:pt>
                <c:pt idx="1038">
                  <c:v>41791.720833333333</c:v>
                </c:pt>
                <c:pt idx="1039">
                  <c:v>41791.72152777778</c:v>
                </c:pt>
                <c:pt idx="1040">
                  <c:v>41791.722222222219</c:v>
                </c:pt>
                <c:pt idx="1041">
                  <c:v>41791.722916666666</c:v>
                </c:pt>
                <c:pt idx="1042">
                  <c:v>41791.723611111112</c:v>
                </c:pt>
                <c:pt idx="1043">
                  <c:v>41791.724305555559</c:v>
                </c:pt>
                <c:pt idx="1044">
                  <c:v>41791.724999999999</c:v>
                </c:pt>
                <c:pt idx="1045">
                  <c:v>41791.725694444445</c:v>
                </c:pt>
                <c:pt idx="1046">
                  <c:v>41791.726388888892</c:v>
                </c:pt>
                <c:pt idx="1047">
                  <c:v>41791.727083333331</c:v>
                </c:pt>
                <c:pt idx="1048">
                  <c:v>41791.727777777778</c:v>
                </c:pt>
                <c:pt idx="1049">
                  <c:v>41791.728472222225</c:v>
                </c:pt>
                <c:pt idx="1050">
                  <c:v>41791.729166666664</c:v>
                </c:pt>
                <c:pt idx="1051">
                  <c:v>41791.729861111111</c:v>
                </c:pt>
                <c:pt idx="1052">
                  <c:v>41791.730555555558</c:v>
                </c:pt>
                <c:pt idx="1053">
                  <c:v>41791.731249999997</c:v>
                </c:pt>
                <c:pt idx="1054">
                  <c:v>41791.731944444444</c:v>
                </c:pt>
                <c:pt idx="1055">
                  <c:v>41791.732638888891</c:v>
                </c:pt>
                <c:pt idx="1056">
                  <c:v>41791.73333333333</c:v>
                </c:pt>
                <c:pt idx="1057">
                  <c:v>41791.734027777777</c:v>
                </c:pt>
                <c:pt idx="1058">
                  <c:v>41791.734722222223</c:v>
                </c:pt>
                <c:pt idx="1059">
                  <c:v>41791.73541666667</c:v>
                </c:pt>
                <c:pt idx="1060">
                  <c:v>41791.736111111109</c:v>
                </c:pt>
                <c:pt idx="1061">
                  <c:v>41791.736805555556</c:v>
                </c:pt>
                <c:pt idx="1062">
                  <c:v>41791.737500000003</c:v>
                </c:pt>
                <c:pt idx="1063">
                  <c:v>41791.738194444442</c:v>
                </c:pt>
                <c:pt idx="1064">
                  <c:v>41791.738888888889</c:v>
                </c:pt>
                <c:pt idx="1065">
                  <c:v>41791.739583333336</c:v>
                </c:pt>
                <c:pt idx="1066">
                  <c:v>41791.740277777775</c:v>
                </c:pt>
                <c:pt idx="1067">
                  <c:v>41791.740972222222</c:v>
                </c:pt>
                <c:pt idx="1068">
                  <c:v>41791.741666666669</c:v>
                </c:pt>
                <c:pt idx="1069">
                  <c:v>41791.742361111108</c:v>
                </c:pt>
                <c:pt idx="1070">
                  <c:v>41791.743055555555</c:v>
                </c:pt>
                <c:pt idx="1071">
                  <c:v>41791.743750000001</c:v>
                </c:pt>
                <c:pt idx="1072">
                  <c:v>41791.744444444441</c:v>
                </c:pt>
                <c:pt idx="1073">
                  <c:v>41791.745138888888</c:v>
                </c:pt>
                <c:pt idx="1074">
                  <c:v>41791.745833333334</c:v>
                </c:pt>
                <c:pt idx="1075">
                  <c:v>41791.746527777781</c:v>
                </c:pt>
                <c:pt idx="1076">
                  <c:v>41791.74722222222</c:v>
                </c:pt>
                <c:pt idx="1077">
                  <c:v>41791.747916666667</c:v>
                </c:pt>
                <c:pt idx="1078">
                  <c:v>41791.748611111114</c:v>
                </c:pt>
                <c:pt idx="1079">
                  <c:v>41791.749305555553</c:v>
                </c:pt>
                <c:pt idx="1080">
                  <c:v>41791.75</c:v>
                </c:pt>
                <c:pt idx="1081">
                  <c:v>41791.750694444447</c:v>
                </c:pt>
                <c:pt idx="1082">
                  <c:v>41791.751388888886</c:v>
                </c:pt>
                <c:pt idx="1083">
                  <c:v>41791.752083333333</c:v>
                </c:pt>
                <c:pt idx="1084">
                  <c:v>41791.75277777778</c:v>
                </c:pt>
                <c:pt idx="1085">
                  <c:v>41791.753472222219</c:v>
                </c:pt>
                <c:pt idx="1086">
                  <c:v>41791.754166666666</c:v>
                </c:pt>
                <c:pt idx="1087">
                  <c:v>41791.754861111112</c:v>
                </c:pt>
                <c:pt idx="1088">
                  <c:v>41791.755555555559</c:v>
                </c:pt>
                <c:pt idx="1089">
                  <c:v>41791.756249999999</c:v>
                </c:pt>
                <c:pt idx="1090">
                  <c:v>41791.756944444445</c:v>
                </c:pt>
                <c:pt idx="1091">
                  <c:v>41791.757638888892</c:v>
                </c:pt>
                <c:pt idx="1092">
                  <c:v>41791.758333333331</c:v>
                </c:pt>
                <c:pt idx="1093">
                  <c:v>41791.759027777778</c:v>
                </c:pt>
                <c:pt idx="1094">
                  <c:v>41791.759722222225</c:v>
                </c:pt>
                <c:pt idx="1095">
                  <c:v>41791.760416666664</c:v>
                </c:pt>
                <c:pt idx="1096">
                  <c:v>41791.761111111111</c:v>
                </c:pt>
                <c:pt idx="1097">
                  <c:v>41791.761805555558</c:v>
                </c:pt>
                <c:pt idx="1098">
                  <c:v>41791.762499999997</c:v>
                </c:pt>
                <c:pt idx="1099">
                  <c:v>41791.763194444444</c:v>
                </c:pt>
                <c:pt idx="1100">
                  <c:v>41791.763888888891</c:v>
                </c:pt>
                <c:pt idx="1101">
                  <c:v>41791.76458333333</c:v>
                </c:pt>
                <c:pt idx="1102">
                  <c:v>41791.765277777777</c:v>
                </c:pt>
                <c:pt idx="1103">
                  <c:v>41791.765972222223</c:v>
                </c:pt>
                <c:pt idx="1104">
                  <c:v>41791.76666666667</c:v>
                </c:pt>
                <c:pt idx="1105">
                  <c:v>41791.767361111109</c:v>
                </c:pt>
                <c:pt idx="1106">
                  <c:v>41791.768055555556</c:v>
                </c:pt>
                <c:pt idx="1107">
                  <c:v>41791.768750000003</c:v>
                </c:pt>
                <c:pt idx="1108">
                  <c:v>41791.769444444442</c:v>
                </c:pt>
                <c:pt idx="1109">
                  <c:v>41791.770138888889</c:v>
                </c:pt>
                <c:pt idx="1110">
                  <c:v>41791.770833333336</c:v>
                </c:pt>
                <c:pt idx="1111">
                  <c:v>41791.771527777775</c:v>
                </c:pt>
                <c:pt idx="1112">
                  <c:v>41791.772222222222</c:v>
                </c:pt>
                <c:pt idx="1113">
                  <c:v>41791.772916666669</c:v>
                </c:pt>
                <c:pt idx="1114">
                  <c:v>41791.773611111108</c:v>
                </c:pt>
                <c:pt idx="1115">
                  <c:v>41791.774305555555</c:v>
                </c:pt>
                <c:pt idx="1116">
                  <c:v>41791.775000000001</c:v>
                </c:pt>
                <c:pt idx="1117">
                  <c:v>41791.775694444441</c:v>
                </c:pt>
                <c:pt idx="1118">
                  <c:v>41791.776388888888</c:v>
                </c:pt>
                <c:pt idx="1119">
                  <c:v>41791.777083333334</c:v>
                </c:pt>
                <c:pt idx="1120">
                  <c:v>41791.777777777781</c:v>
                </c:pt>
                <c:pt idx="1121">
                  <c:v>41791.77847222222</c:v>
                </c:pt>
                <c:pt idx="1122">
                  <c:v>41791.779166666667</c:v>
                </c:pt>
                <c:pt idx="1123">
                  <c:v>41791.779861111114</c:v>
                </c:pt>
                <c:pt idx="1124">
                  <c:v>41791.780555555553</c:v>
                </c:pt>
                <c:pt idx="1125">
                  <c:v>41791.78125</c:v>
                </c:pt>
                <c:pt idx="1126">
                  <c:v>41791.781944444447</c:v>
                </c:pt>
                <c:pt idx="1127">
                  <c:v>41791.782638888886</c:v>
                </c:pt>
                <c:pt idx="1128">
                  <c:v>41791.783333333333</c:v>
                </c:pt>
                <c:pt idx="1129">
                  <c:v>41791.78402777778</c:v>
                </c:pt>
                <c:pt idx="1130">
                  <c:v>41791.784722222219</c:v>
                </c:pt>
                <c:pt idx="1131">
                  <c:v>41791.785416666666</c:v>
                </c:pt>
                <c:pt idx="1132">
                  <c:v>41791.786111111112</c:v>
                </c:pt>
                <c:pt idx="1133">
                  <c:v>41791.786805555559</c:v>
                </c:pt>
                <c:pt idx="1134">
                  <c:v>41791.787499999999</c:v>
                </c:pt>
                <c:pt idx="1135">
                  <c:v>41791.788194444445</c:v>
                </c:pt>
                <c:pt idx="1136">
                  <c:v>41791.788888888892</c:v>
                </c:pt>
                <c:pt idx="1137">
                  <c:v>41791.789583333331</c:v>
                </c:pt>
                <c:pt idx="1138">
                  <c:v>41791.790277777778</c:v>
                </c:pt>
                <c:pt idx="1139">
                  <c:v>41791.790972222225</c:v>
                </c:pt>
                <c:pt idx="1140">
                  <c:v>41791.791666666664</c:v>
                </c:pt>
                <c:pt idx="1141">
                  <c:v>41791.792361111111</c:v>
                </c:pt>
                <c:pt idx="1142">
                  <c:v>41791.793055555558</c:v>
                </c:pt>
                <c:pt idx="1143">
                  <c:v>41791.793749999997</c:v>
                </c:pt>
                <c:pt idx="1144">
                  <c:v>41791.794444444444</c:v>
                </c:pt>
                <c:pt idx="1145">
                  <c:v>41791.795138888891</c:v>
                </c:pt>
                <c:pt idx="1146">
                  <c:v>41791.79583333333</c:v>
                </c:pt>
                <c:pt idx="1147">
                  <c:v>41791.796527777777</c:v>
                </c:pt>
                <c:pt idx="1148">
                  <c:v>41791.797222222223</c:v>
                </c:pt>
                <c:pt idx="1149">
                  <c:v>41791.79791666667</c:v>
                </c:pt>
                <c:pt idx="1150">
                  <c:v>41791.798611111109</c:v>
                </c:pt>
                <c:pt idx="1151">
                  <c:v>41791.799305555556</c:v>
                </c:pt>
                <c:pt idx="1152">
                  <c:v>41791.800000000003</c:v>
                </c:pt>
                <c:pt idx="1153">
                  <c:v>41791.800694444442</c:v>
                </c:pt>
                <c:pt idx="1154">
                  <c:v>41791.801388888889</c:v>
                </c:pt>
                <c:pt idx="1155">
                  <c:v>41791.802083333336</c:v>
                </c:pt>
                <c:pt idx="1156">
                  <c:v>41791.802777777775</c:v>
                </c:pt>
                <c:pt idx="1157">
                  <c:v>41791.803472222222</c:v>
                </c:pt>
                <c:pt idx="1158">
                  <c:v>41791.804166666669</c:v>
                </c:pt>
                <c:pt idx="1159">
                  <c:v>41791.804861111108</c:v>
                </c:pt>
                <c:pt idx="1160">
                  <c:v>41791.805555555555</c:v>
                </c:pt>
                <c:pt idx="1161">
                  <c:v>41791.806250000001</c:v>
                </c:pt>
                <c:pt idx="1162">
                  <c:v>41791.806944444441</c:v>
                </c:pt>
                <c:pt idx="1163">
                  <c:v>41791.807638888888</c:v>
                </c:pt>
                <c:pt idx="1164">
                  <c:v>41791.808333333334</c:v>
                </c:pt>
                <c:pt idx="1165">
                  <c:v>41791.809027777781</c:v>
                </c:pt>
                <c:pt idx="1166">
                  <c:v>41791.80972222222</c:v>
                </c:pt>
                <c:pt idx="1167">
                  <c:v>41791.810416666667</c:v>
                </c:pt>
                <c:pt idx="1168">
                  <c:v>41791.811111111114</c:v>
                </c:pt>
                <c:pt idx="1169">
                  <c:v>41791.811805555553</c:v>
                </c:pt>
                <c:pt idx="1170">
                  <c:v>41791.8125</c:v>
                </c:pt>
                <c:pt idx="1171">
                  <c:v>41791.813194444447</c:v>
                </c:pt>
                <c:pt idx="1172">
                  <c:v>41791.813888888886</c:v>
                </c:pt>
                <c:pt idx="1173">
                  <c:v>41791.814583333333</c:v>
                </c:pt>
                <c:pt idx="1174">
                  <c:v>41791.81527777778</c:v>
                </c:pt>
                <c:pt idx="1175">
                  <c:v>41791.815972222219</c:v>
                </c:pt>
                <c:pt idx="1176">
                  <c:v>41791.816666666666</c:v>
                </c:pt>
                <c:pt idx="1177">
                  <c:v>41791.817361111112</c:v>
                </c:pt>
                <c:pt idx="1178">
                  <c:v>41791.818055555559</c:v>
                </c:pt>
                <c:pt idx="1179">
                  <c:v>41791.818749999999</c:v>
                </c:pt>
                <c:pt idx="1180">
                  <c:v>41791.819444444445</c:v>
                </c:pt>
                <c:pt idx="1181">
                  <c:v>41791.820138888892</c:v>
                </c:pt>
                <c:pt idx="1182">
                  <c:v>41791.820833333331</c:v>
                </c:pt>
                <c:pt idx="1183">
                  <c:v>41791.821527777778</c:v>
                </c:pt>
                <c:pt idx="1184">
                  <c:v>41791.822222222225</c:v>
                </c:pt>
                <c:pt idx="1185">
                  <c:v>41791.822916666664</c:v>
                </c:pt>
                <c:pt idx="1186">
                  <c:v>41791.823611111111</c:v>
                </c:pt>
                <c:pt idx="1187">
                  <c:v>41791.824305555558</c:v>
                </c:pt>
                <c:pt idx="1188">
                  <c:v>41791.824999999997</c:v>
                </c:pt>
                <c:pt idx="1189">
                  <c:v>41791.825694444444</c:v>
                </c:pt>
                <c:pt idx="1190">
                  <c:v>41791.826388888891</c:v>
                </c:pt>
                <c:pt idx="1191">
                  <c:v>41791.82708333333</c:v>
                </c:pt>
                <c:pt idx="1192">
                  <c:v>41791.827777777777</c:v>
                </c:pt>
                <c:pt idx="1193">
                  <c:v>41791.828472222223</c:v>
                </c:pt>
                <c:pt idx="1194">
                  <c:v>41791.82916666667</c:v>
                </c:pt>
                <c:pt idx="1195">
                  <c:v>41791.829861111109</c:v>
                </c:pt>
                <c:pt idx="1196">
                  <c:v>41791.830555555556</c:v>
                </c:pt>
                <c:pt idx="1197">
                  <c:v>41791.831250000003</c:v>
                </c:pt>
                <c:pt idx="1198">
                  <c:v>41791.831944444442</c:v>
                </c:pt>
                <c:pt idx="1199">
                  <c:v>41791.832638888889</c:v>
                </c:pt>
                <c:pt idx="1200">
                  <c:v>41791.833333333336</c:v>
                </c:pt>
                <c:pt idx="1201">
                  <c:v>41791.834027777775</c:v>
                </c:pt>
                <c:pt idx="1202">
                  <c:v>41791.834722222222</c:v>
                </c:pt>
                <c:pt idx="1203">
                  <c:v>41791.835416666669</c:v>
                </c:pt>
                <c:pt idx="1204">
                  <c:v>41791.836111111108</c:v>
                </c:pt>
                <c:pt idx="1205">
                  <c:v>41791.836805555555</c:v>
                </c:pt>
                <c:pt idx="1206">
                  <c:v>41791.837500000001</c:v>
                </c:pt>
                <c:pt idx="1207">
                  <c:v>41791.838194444441</c:v>
                </c:pt>
                <c:pt idx="1208">
                  <c:v>41791.838888888888</c:v>
                </c:pt>
                <c:pt idx="1209">
                  <c:v>41791.839583333334</c:v>
                </c:pt>
                <c:pt idx="1210">
                  <c:v>41791.840277777781</c:v>
                </c:pt>
                <c:pt idx="1211">
                  <c:v>41791.84097222222</c:v>
                </c:pt>
                <c:pt idx="1212">
                  <c:v>41791.841666666667</c:v>
                </c:pt>
                <c:pt idx="1213">
                  <c:v>41791.842361111114</c:v>
                </c:pt>
                <c:pt idx="1214">
                  <c:v>41791.843055555553</c:v>
                </c:pt>
                <c:pt idx="1215">
                  <c:v>41791.84375</c:v>
                </c:pt>
                <c:pt idx="1216">
                  <c:v>41791.844444444447</c:v>
                </c:pt>
                <c:pt idx="1217">
                  <c:v>41791.845138888886</c:v>
                </c:pt>
                <c:pt idx="1218">
                  <c:v>41791.845833333333</c:v>
                </c:pt>
                <c:pt idx="1219">
                  <c:v>41791.84652777778</c:v>
                </c:pt>
                <c:pt idx="1220">
                  <c:v>41791.847222222219</c:v>
                </c:pt>
                <c:pt idx="1221">
                  <c:v>41791.847916666666</c:v>
                </c:pt>
                <c:pt idx="1222">
                  <c:v>41791.848611111112</c:v>
                </c:pt>
                <c:pt idx="1223">
                  <c:v>41791.849305555559</c:v>
                </c:pt>
                <c:pt idx="1224">
                  <c:v>41791.85</c:v>
                </c:pt>
                <c:pt idx="1225">
                  <c:v>41791.850694444445</c:v>
                </c:pt>
                <c:pt idx="1226">
                  <c:v>41791.851388888892</c:v>
                </c:pt>
                <c:pt idx="1227">
                  <c:v>41791.852083333331</c:v>
                </c:pt>
                <c:pt idx="1228">
                  <c:v>41791.852777777778</c:v>
                </c:pt>
                <c:pt idx="1229">
                  <c:v>41791.853472222225</c:v>
                </c:pt>
                <c:pt idx="1230">
                  <c:v>41791.854166666664</c:v>
                </c:pt>
                <c:pt idx="1231">
                  <c:v>41791.854861111111</c:v>
                </c:pt>
                <c:pt idx="1232">
                  <c:v>41791.855555555558</c:v>
                </c:pt>
                <c:pt idx="1233">
                  <c:v>41791.856249999997</c:v>
                </c:pt>
                <c:pt idx="1234">
                  <c:v>41791.856944444444</c:v>
                </c:pt>
                <c:pt idx="1235">
                  <c:v>41791.857638888891</c:v>
                </c:pt>
                <c:pt idx="1236">
                  <c:v>41791.85833333333</c:v>
                </c:pt>
                <c:pt idx="1237">
                  <c:v>41791.859027777777</c:v>
                </c:pt>
                <c:pt idx="1238">
                  <c:v>41791.859722222223</c:v>
                </c:pt>
                <c:pt idx="1239">
                  <c:v>41791.86041666667</c:v>
                </c:pt>
                <c:pt idx="1240">
                  <c:v>41791.861111111109</c:v>
                </c:pt>
                <c:pt idx="1241">
                  <c:v>41791.861805555556</c:v>
                </c:pt>
                <c:pt idx="1242">
                  <c:v>41791.862500000003</c:v>
                </c:pt>
                <c:pt idx="1243">
                  <c:v>41791.863194444442</c:v>
                </c:pt>
                <c:pt idx="1244">
                  <c:v>41791.863888888889</c:v>
                </c:pt>
                <c:pt idx="1245">
                  <c:v>41791.864583333336</c:v>
                </c:pt>
                <c:pt idx="1246">
                  <c:v>41791.865277777775</c:v>
                </c:pt>
                <c:pt idx="1247">
                  <c:v>41791.865972222222</c:v>
                </c:pt>
                <c:pt idx="1248">
                  <c:v>41791.866666666669</c:v>
                </c:pt>
                <c:pt idx="1249">
                  <c:v>41791.867361111108</c:v>
                </c:pt>
                <c:pt idx="1250">
                  <c:v>41791.868055555555</c:v>
                </c:pt>
                <c:pt idx="1251">
                  <c:v>41791.868750000001</c:v>
                </c:pt>
                <c:pt idx="1252">
                  <c:v>41791.869444444441</c:v>
                </c:pt>
                <c:pt idx="1253">
                  <c:v>41791.870138888888</c:v>
                </c:pt>
                <c:pt idx="1254">
                  <c:v>41791.870833333334</c:v>
                </c:pt>
                <c:pt idx="1255">
                  <c:v>41791.871527777781</c:v>
                </c:pt>
                <c:pt idx="1256">
                  <c:v>41791.87222222222</c:v>
                </c:pt>
                <c:pt idx="1257">
                  <c:v>41791.872916666667</c:v>
                </c:pt>
                <c:pt idx="1258">
                  <c:v>41791.873611111114</c:v>
                </c:pt>
                <c:pt idx="1259">
                  <c:v>41791.874305555553</c:v>
                </c:pt>
                <c:pt idx="1260">
                  <c:v>41791.875</c:v>
                </c:pt>
                <c:pt idx="1261">
                  <c:v>41791.875694444447</c:v>
                </c:pt>
                <c:pt idx="1262">
                  <c:v>41791.876388888886</c:v>
                </c:pt>
                <c:pt idx="1263">
                  <c:v>41791.877083333333</c:v>
                </c:pt>
                <c:pt idx="1264">
                  <c:v>41791.87777777778</c:v>
                </c:pt>
                <c:pt idx="1265">
                  <c:v>41791.878472222219</c:v>
                </c:pt>
                <c:pt idx="1266">
                  <c:v>41791.879166666666</c:v>
                </c:pt>
                <c:pt idx="1267">
                  <c:v>41791.879861111112</c:v>
                </c:pt>
                <c:pt idx="1268">
                  <c:v>41791.880555555559</c:v>
                </c:pt>
                <c:pt idx="1269">
                  <c:v>41791.881249999999</c:v>
                </c:pt>
                <c:pt idx="1270">
                  <c:v>41791.881944444445</c:v>
                </c:pt>
                <c:pt idx="1271">
                  <c:v>41791.882638888892</c:v>
                </c:pt>
                <c:pt idx="1272">
                  <c:v>41791.883333333331</c:v>
                </c:pt>
                <c:pt idx="1273">
                  <c:v>41791.884027777778</c:v>
                </c:pt>
                <c:pt idx="1274">
                  <c:v>41791.884722222225</c:v>
                </c:pt>
                <c:pt idx="1275">
                  <c:v>41791.885416666664</c:v>
                </c:pt>
                <c:pt idx="1276">
                  <c:v>41791.886111111111</c:v>
                </c:pt>
                <c:pt idx="1277">
                  <c:v>41791.886805555558</c:v>
                </c:pt>
                <c:pt idx="1278">
                  <c:v>41791.887499999997</c:v>
                </c:pt>
                <c:pt idx="1279">
                  <c:v>41791.888194444444</c:v>
                </c:pt>
                <c:pt idx="1280">
                  <c:v>41791.888888888891</c:v>
                </c:pt>
                <c:pt idx="1281">
                  <c:v>41791.88958333333</c:v>
                </c:pt>
                <c:pt idx="1282">
                  <c:v>41791.890277777777</c:v>
                </c:pt>
                <c:pt idx="1283">
                  <c:v>41791.890972222223</c:v>
                </c:pt>
                <c:pt idx="1284">
                  <c:v>41791.89166666667</c:v>
                </c:pt>
                <c:pt idx="1285">
                  <c:v>41791.892361111109</c:v>
                </c:pt>
                <c:pt idx="1286">
                  <c:v>41791.893055555556</c:v>
                </c:pt>
                <c:pt idx="1287">
                  <c:v>41791.893750000003</c:v>
                </c:pt>
                <c:pt idx="1288">
                  <c:v>41791.894444444442</c:v>
                </c:pt>
                <c:pt idx="1289">
                  <c:v>41791.895138888889</c:v>
                </c:pt>
                <c:pt idx="1290">
                  <c:v>41791.895833333336</c:v>
                </c:pt>
                <c:pt idx="1291">
                  <c:v>41791.896527777775</c:v>
                </c:pt>
                <c:pt idx="1292">
                  <c:v>41791.897222222222</c:v>
                </c:pt>
                <c:pt idx="1293">
                  <c:v>41791.897916666669</c:v>
                </c:pt>
                <c:pt idx="1294">
                  <c:v>41791.898611111108</c:v>
                </c:pt>
                <c:pt idx="1295">
                  <c:v>41791.899305555555</c:v>
                </c:pt>
                <c:pt idx="1296">
                  <c:v>41791.9</c:v>
                </c:pt>
                <c:pt idx="1297">
                  <c:v>41791.900694444441</c:v>
                </c:pt>
                <c:pt idx="1298">
                  <c:v>41791.901388888888</c:v>
                </c:pt>
                <c:pt idx="1299">
                  <c:v>41791.902083333334</c:v>
                </c:pt>
                <c:pt idx="1300">
                  <c:v>41791.902777777781</c:v>
                </c:pt>
                <c:pt idx="1301">
                  <c:v>41791.90347222222</c:v>
                </c:pt>
                <c:pt idx="1302">
                  <c:v>41791.904166666667</c:v>
                </c:pt>
                <c:pt idx="1303">
                  <c:v>41791.904861111114</c:v>
                </c:pt>
                <c:pt idx="1304">
                  <c:v>41791.905555555553</c:v>
                </c:pt>
                <c:pt idx="1305">
                  <c:v>41791.90625</c:v>
                </c:pt>
                <c:pt idx="1306">
                  <c:v>41791.906944444447</c:v>
                </c:pt>
                <c:pt idx="1307">
                  <c:v>41791.907638888886</c:v>
                </c:pt>
                <c:pt idx="1308">
                  <c:v>41791.908333333333</c:v>
                </c:pt>
                <c:pt idx="1309">
                  <c:v>41791.90902777778</c:v>
                </c:pt>
                <c:pt idx="1310">
                  <c:v>41791.909722222219</c:v>
                </c:pt>
                <c:pt idx="1311">
                  <c:v>41791.910416666666</c:v>
                </c:pt>
                <c:pt idx="1312">
                  <c:v>41791.911111111112</c:v>
                </c:pt>
                <c:pt idx="1313">
                  <c:v>41791.911805555559</c:v>
                </c:pt>
                <c:pt idx="1314">
                  <c:v>41791.912499999999</c:v>
                </c:pt>
                <c:pt idx="1315">
                  <c:v>41791.913194444445</c:v>
                </c:pt>
                <c:pt idx="1316">
                  <c:v>41791.913888888892</c:v>
                </c:pt>
                <c:pt idx="1317">
                  <c:v>41791.914583333331</c:v>
                </c:pt>
                <c:pt idx="1318">
                  <c:v>41791.915277777778</c:v>
                </c:pt>
                <c:pt idx="1319">
                  <c:v>41791.915972222225</c:v>
                </c:pt>
                <c:pt idx="1320">
                  <c:v>41791.916666666664</c:v>
                </c:pt>
                <c:pt idx="1321">
                  <c:v>41791.917361111111</c:v>
                </c:pt>
                <c:pt idx="1322">
                  <c:v>41791.918055555558</c:v>
                </c:pt>
                <c:pt idx="1323">
                  <c:v>41791.918749999997</c:v>
                </c:pt>
                <c:pt idx="1324">
                  <c:v>41791.919444444444</c:v>
                </c:pt>
                <c:pt idx="1325">
                  <c:v>41791.920138888891</c:v>
                </c:pt>
                <c:pt idx="1326">
                  <c:v>41791.92083333333</c:v>
                </c:pt>
                <c:pt idx="1327">
                  <c:v>41791.921527777777</c:v>
                </c:pt>
                <c:pt idx="1328">
                  <c:v>41791.922222222223</c:v>
                </c:pt>
                <c:pt idx="1329">
                  <c:v>41791.92291666667</c:v>
                </c:pt>
                <c:pt idx="1330">
                  <c:v>41791.923611111109</c:v>
                </c:pt>
                <c:pt idx="1331">
                  <c:v>41791.924305555556</c:v>
                </c:pt>
                <c:pt idx="1332">
                  <c:v>41791.925000000003</c:v>
                </c:pt>
                <c:pt idx="1333">
                  <c:v>41791.925694444442</c:v>
                </c:pt>
                <c:pt idx="1334">
                  <c:v>41791.926388888889</c:v>
                </c:pt>
                <c:pt idx="1335">
                  <c:v>41791.927083333336</c:v>
                </c:pt>
                <c:pt idx="1336">
                  <c:v>41791.927777777775</c:v>
                </c:pt>
                <c:pt idx="1337">
                  <c:v>41791.928472222222</c:v>
                </c:pt>
                <c:pt idx="1338">
                  <c:v>41791.929166666669</c:v>
                </c:pt>
                <c:pt idx="1339">
                  <c:v>41791.929861111108</c:v>
                </c:pt>
                <c:pt idx="1340">
                  <c:v>41791.930555555555</c:v>
                </c:pt>
                <c:pt idx="1341">
                  <c:v>41791.931250000001</c:v>
                </c:pt>
                <c:pt idx="1342">
                  <c:v>41791.931944444441</c:v>
                </c:pt>
                <c:pt idx="1343">
                  <c:v>41791.932638888888</c:v>
                </c:pt>
                <c:pt idx="1344">
                  <c:v>41791.933333333334</c:v>
                </c:pt>
                <c:pt idx="1345">
                  <c:v>41791.934027777781</c:v>
                </c:pt>
                <c:pt idx="1346">
                  <c:v>41791.93472222222</c:v>
                </c:pt>
                <c:pt idx="1347">
                  <c:v>41791.935416666667</c:v>
                </c:pt>
                <c:pt idx="1348">
                  <c:v>41791.936111111114</c:v>
                </c:pt>
                <c:pt idx="1349">
                  <c:v>41791.936805555553</c:v>
                </c:pt>
                <c:pt idx="1350">
                  <c:v>41791.9375</c:v>
                </c:pt>
                <c:pt idx="1351">
                  <c:v>41791.938194444447</c:v>
                </c:pt>
                <c:pt idx="1352">
                  <c:v>41791.938888888886</c:v>
                </c:pt>
                <c:pt idx="1353">
                  <c:v>41791.939583333333</c:v>
                </c:pt>
                <c:pt idx="1354">
                  <c:v>41791.94027777778</c:v>
                </c:pt>
                <c:pt idx="1355">
                  <c:v>41791.940972222219</c:v>
                </c:pt>
                <c:pt idx="1356">
                  <c:v>41791.941666666666</c:v>
                </c:pt>
                <c:pt idx="1357">
                  <c:v>41791.942361111112</c:v>
                </c:pt>
                <c:pt idx="1358">
                  <c:v>41791.943055555559</c:v>
                </c:pt>
                <c:pt idx="1359">
                  <c:v>41791.943749999999</c:v>
                </c:pt>
                <c:pt idx="1360">
                  <c:v>41791.944444444445</c:v>
                </c:pt>
                <c:pt idx="1361">
                  <c:v>41791.945138888892</c:v>
                </c:pt>
                <c:pt idx="1362">
                  <c:v>41791.945833333331</c:v>
                </c:pt>
                <c:pt idx="1363">
                  <c:v>41791.946527777778</c:v>
                </c:pt>
                <c:pt idx="1364">
                  <c:v>41791.947222222225</c:v>
                </c:pt>
                <c:pt idx="1365">
                  <c:v>41791.947916666664</c:v>
                </c:pt>
                <c:pt idx="1366">
                  <c:v>41791.948611111111</c:v>
                </c:pt>
                <c:pt idx="1367">
                  <c:v>41791.949305555558</c:v>
                </c:pt>
                <c:pt idx="1368">
                  <c:v>41791.949999999997</c:v>
                </c:pt>
                <c:pt idx="1369">
                  <c:v>41791.950694444444</c:v>
                </c:pt>
                <c:pt idx="1370">
                  <c:v>41791.951388888891</c:v>
                </c:pt>
                <c:pt idx="1371">
                  <c:v>41791.95208333333</c:v>
                </c:pt>
                <c:pt idx="1372">
                  <c:v>41791.952777777777</c:v>
                </c:pt>
                <c:pt idx="1373">
                  <c:v>41791.953472222223</c:v>
                </c:pt>
                <c:pt idx="1374">
                  <c:v>41791.95416666667</c:v>
                </c:pt>
                <c:pt idx="1375">
                  <c:v>41791.954861111109</c:v>
                </c:pt>
                <c:pt idx="1376">
                  <c:v>41791.955555555556</c:v>
                </c:pt>
                <c:pt idx="1377">
                  <c:v>41791.956250000003</c:v>
                </c:pt>
                <c:pt idx="1378">
                  <c:v>41791.956944444442</c:v>
                </c:pt>
                <c:pt idx="1379">
                  <c:v>41791.957638888889</c:v>
                </c:pt>
                <c:pt idx="1380">
                  <c:v>41791.958333333336</c:v>
                </c:pt>
                <c:pt idx="1381">
                  <c:v>41791.959027777775</c:v>
                </c:pt>
                <c:pt idx="1382">
                  <c:v>41791.959722222222</c:v>
                </c:pt>
                <c:pt idx="1383">
                  <c:v>41791.960416666669</c:v>
                </c:pt>
                <c:pt idx="1384">
                  <c:v>41791.961111111108</c:v>
                </c:pt>
                <c:pt idx="1385">
                  <c:v>41791.961805555555</c:v>
                </c:pt>
                <c:pt idx="1386">
                  <c:v>41791.962500000001</c:v>
                </c:pt>
                <c:pt idx="1387">
                  <c:v>41791.963194444441</c:v>
                </c:pt>
                <c:pt idx="1388">
                  <c:v>41791.963888888888</c:v>
                </c:pt>
                <c:pt idx="1389">
                  <c:v>41791.964583333334</c:v>
                </c:pt>
                <c:pt idx="1390">
                  <c:v>41791.965277777781</c:v>
                </c:pt>
                <c:pt idx="1391">
                  <c:v>41791.96597222222</c:v>
                </c:pt>
                <c:pt idx="1392">
                  <c:v>41791.966666666667</c:v>
                </c:pt>
                <c:pt idx="1393">
                  <c:v>41791.967361111114</c:v>
                </c:pt>
                <c:pt idx="1394">
                  <c:v>41791.968055555553</c:v>
                </c:pt>
                <c:pt idx="1395">
                  <c:v>41791.96875</c:v>
                </c:pt>
                <c:pt idx="1396">
                  <c:v>41791.969444444447</c:v>
                </c:pt>
                <c:pt idx="1397">
                  <c:v>41791.970138888886</c:v>
                </c:pt>
                <c:pt idx="1398">
                  <c:v>41791.970833333333</c:v>
                </c:pt>
                <c:pt idx="1399">
                  <c:v>41791.97152777778</c:v>
                </c:pt>
                <c:pt idx="1400">
                  <c:v>41791.972222222219</c:v>
                </c:pt>
                <c:pt idx="1401">
                  <c:v>41791.972916666666</c:v>
                </c:pt>
                <c:pt idx="1402">
                  <c:v>41791.973611111112</c:v>
                </c:pt>
                <c:pt idx="1403">
                  <c:v>41791.974305555559</c:v>
                </c:pt>
                <c:pt idx="1404">
                  <c:v>41791.974999999999</c:v>
                </c:pt>
                <c:pt idx="1405">
                  <c:v>41791.975694444445</c:v>
                </c:pt>
                <c:pt idx="1406">
                  <c:v>41791.976388888892</c:v>
                </c:pt>
                <c:pt idx="1407">
                  <c:v>41791.977083333331</c:v>
                </c:pt>
                <c:pt idx="1408">
                  <c:v>41791.977777777778</c:v>
                </c:pt>
                <c:pt idx="1409">
                  <c:v>41791.978472222225</c:v>
                </c:pt>
                <c:pt idx="1410">
                  <c:v>41791.979166666664</c:v>
                </c:pt>
                <c:pt idx="1411">
                  <c:v>41791.979861111111</c:v>
                </c:pt>
                <c:pt idx="1412">
                  <c:v>41791.980555555558</c:v>
                </c:pt>
                <c:pt idx="1413">
                  <c:v>41791.981249999997</c:v>
                </c:pt>
                <c:pt idx="1414">
                  <c:v>41791.981944444444</c:v>
                </c:pt>
                <c:pt idx="1415">
                  <c:v>41791.982638888891</c:v>
                </c:pt>
                <c:pt idx="1416">
                  <c:v>41791.98333333333</c:v>
                </c:pt>
                <c:pt idx="1417">
                  <c:v>41791.984027777777</c:v>
                </c:pt>
                <c:pt idx="1418">
                  <c:v>41791.984722222223</c:v>
                </c:pt>
                <c:pt idx="1419">
                  <c:v>41791.98541666667</c:v>
                </c:pt>
                <c:pt idx="1420">
                  <c:v>41791.986111111109</c:v>
                </c:pt>
                <c:pt idx="1421">
                  <c:v>41791.986805555556</c:v>
                </c:pt>
                <c:pt idx="1422">
                  <c:v>41791.987500000003</c:v>
                </c:pt>
                <c:pt idx="1423">
                  <c:v>41791.988194444442</c:v>
                </c:pt>
                <c:pt idx="1424">
                  <c:v>41791.988888888889</c:v>
                </c:pt>
                <c:pt idx="1425">
                  <c:v>41791.989583333336</c:v>
                </c:pt>
                <c:pt idx="1426">
                  <c:v>41791.990277777775</c:v>
                </c:pt>
                <c:pt idx="1427">
                  <c:v>41791.990972222222</c:v>
                </c:pt>
                <c:pt idx="1428">
                  <c:v>41791.991666666669</c:v>
                </c:pt>
                <c:pt idx="1429">
                  <c:v>41791.992361111108</c:v>
                </c:pt>
                <c:pt idx="1430">
                  <c:v>41791.993055555555</c:v>
                </c:pt>
                <c:pt idx="1431">
                  <c:v>41791.993750000001</c:v>
                </c:pt>
                <c:pt idx="1432">
                  <c:v>41791.994444444441</c:v>
                </c:pt>
                <c:pt idx="1433">
                  <c:v>41791.995138888888</c:v>
                </c:pt>
                <c:pt idx="1434">
                  <c:v>41791.995833333334</c:v>
                </c:pt>
                <c:pt idx="1435">
                  <c:v>41791.996527777781</c:v>
                </c:pt>
                <c:pt idx="1436">
                  <c:v>41791.99722222222</c:v>
                </c:pt>
                <c:pt idx="1437">
                  <c:v>41791.997916666667</c:v>
                </c:pt>
                <c:pt idx="1438">
                  <c:v>41791.998611111114</c:v>
                </c:pt>
                <c:pt idx="1439">
                  <c:v>41791.999305555553</c:v>
                </c:pt>
              </c:numCache>
            </c:numRef>
          </c:xVal>
          <c:yVal>
            <c:numRef>
              <c:f>Sheet1!$D$2:$D$1441</c:f>
              <c:numCache>
                <c:formatCode>General</c:formatCode>
                <c:ptCount val="1440"/>
                <c:pt idx="0">
                  <c:v>3.81</c:v>
                </c:pt>
                <c:pt idx="1">
                  <c:v>3.15</c:v>
                </c:pt>
                <c:pt idx="2">
                  <c:v>3.81</c:v>
                </c:pt>
                <c:pt idx="3">
                  <c:v>4.46</c:v>
                </c:pt>
                <c:pt idx="4">
                  <c:v>4.79</c:v>
                </c:pt>
                <c:pt idx="5">
                  <c:v>5.12</c:v>
                </c:pt>
                <c:pt idx="6">
                  <c:v>3.64</c:v>
                </c:pt>
                <c:pt idx="7">
                  <c:v>2.16</c:v>
                </c:pt>
                <c:pt idx="8">
                  <c:v>2.4900000000000002</c:v>
                </c:pt>
                <c:pt idx="9">
                  <c:v>2.82</c:v>
                </c:pt>
                <c:pt idx="10">
                  <c:v>3.64</c:v>
                </c:pt>
                <c:pt idx="11">
                  <c:v>4.46</c:v>
                </c:pt>
                <c:pt idx="12">
                  <c:v>3.97</c:v>
                </c:pt>
                <c:pt idx="13">
                  <c:v>3.48</c:v>
                </c:pt>
                <c:pt idx="14">
                  <c:v>3.64</c:v>
                </c:pt>
                <c:pt idx="15">
                  <c:v>3.81</c:v>
                </c:pt>
                <c:pt idx="16">
                  <c:v>3.48</c:v>
                </c:pt>
                <c:pt idx="17">
                  <c:v>3.15</c:v>
                </c:pt>
                <c:pt idx="18">
                  <c:v>2.82</c:v>
                </c:pt>
                <c:pt idx="19">
                  <c:v>2.4900000000000002</c:v>
                </c:pt>
                <c:pt idx="20">
                  <c:v>3.48</c:v>
                </c:pt>
                <c:pt idx="21">
                  <c:v>4.46</c:v>
                </c:pt>
                <c:pt idx="22">
                  <c:v>4.95</c:v>
                </c:pt>
                <c:pt idx="23">
                  <c:v>5.45</c:v>
                </c:pt>
                <c:pt idx="24">
                  <c:v>4.13</c:v>
                </c:pt>
                <c:pt idx="25">
                  <c:v>2.82</c:v>
                </c:pt>
                <c:pt idx="26">
                  <c:v>2.98</c:v>
                </c:pt>
                <c:pt idx="27">
                  <c:v>3.15</c:v>
                </c:pt>
                <c:pt idx="28">
                  <c:v>3.48</c:v>
                </c:pt>
                <c:pt idx="29">
                  <c:v>3.81</c:v>
                </c:pt>
                <c:pt idx="30">
                  <c:v>3.64</c:v>
                </c:pt>
                <c:pt idx="31">
                  <c:v>3.48</c:v>
                </c:pt>
                <c:pt idx="32">
                  <c:v>3.31</c:v>
                </c:pt>
                <c:pt idx="33">
                  <c:v>3.15</c:v>
                </c:pt>
                <c:pt idx="34">
                  <c:v>2.98</c:v>
                </c:pt>
                <c:pt idx="35">
                  <c:v>2.82</c:v>
                </c:pt>
                <c:pt idx="36">
                  <c:v>2.98</c:v>
                </c:pt>
                <c:pt idx="37">
                  <c:v>3.15</c:v>
                </c:pt>
                <c:pt idx="38">
                  <c:v>2.98</c:v>
                </c:pt>
                <c:pt idx="39">
                  <c:v>2.82</c:v>
                </c:pt>
                <c:pt idx="40">
                  <c:v>3.15</c:v>
                </c:pt>
                <c:pt idx="41">
                  <c:v>3.48</c:v>
                </c:pt>
                <c:pt idx="42">
                  <c:v>3.81</c:v>
                </c:pt>
                <c:pt idx="43">
                  <c:v>4.13</c:v>
                </c:pt>
                <c:pt idx="44">
                  <c:v>3.31</c:v>
                </c:pt>
                <c:pt idx="45">
                  <c:v>2.4900000000000002</c:v>
                </c:pt>
                <c:pt idx="46">
                  <c:v>4.46</c:v>
                </c:pt>
                <c:pt idx="47">
                  <c:v>6.43</c:v>
                </c:pt>
                <c:pt idx="48">
                  <c:v>4.79</c:v>
                </c:pt>
                <c:pt idx="49">
                  <c:v>3.15</c:v>
                </c:pt>
                <c:pt idx="50">
                  <c:v>4.13</c:v>
                </c:pt>
                <c:pt idx="51">
                  <c:v>5.12</c:v>
                </c:pt>
                <c:pt idx="52">
                  <c:v>4.95</c:v>
                </c:pt>
                <c:pt idx="53">
                  <c:v>4.79</c:v>
                </c:pt>
                <c:pt idx="54">
                  <c:v>5.12</c:v>
                </c:pt>
                <c:pt idx="55">
                  <c:v>5.45</c:v>
                </c:pt>
                <c:pt idx="56">
                  <c:v>4.63</c:v>
                </c:pt>
                <c:pt idx="57">
                  <c:v>3.81</c:v>
                </c:pt>
                <c:pt idx="58">
                  <c:v>5.12</c:v>
                </c:pt>
                <c:pt idx="59">
                  <c:v>6.43</c:v>
                </c:pt>
                <c:pt idx="60">
                  <c:v>5.28</c:v>
                </c:pt>
                <c:pt idx="61">
                  <c:v>4.13</c:v>
                </c:pt>
                <c:pt idx="62">
                  <c:v>3.64</c:v>
                </c:pt>
                <c:pt idx="63">
                  <c:v>3.15</c:v>
                </c:pt>
                <c:pt idx="64">
                  <c:v>3.97</c:v>
                </c:pt>
                <c:pt idx="65">
                  <c:v>4.79</c:v>
                </c:pt>
                <c:pt idx="66">
                  <c:v>4.46</c:v>
                </c:pt>
                <c:pt idx="67">
                  <c:v>4.13</c:v>
                </c:pt>
                <c:pt idx="68">
                  <c:v>3.48</c:v>
                </c:pt>
                <c:pt idx="69">
                  <c:v>2.82</c:v>
                </c:pt>
                <c:pt idx="70">
                  <c:v>4.3</c:v>
                </c:pt>
                <c:pt idx="71">
                  <c:v>5.78</c:v>
                </c:pt>
                <c:pt idx="72">
                  <c:v>4.63</c:v>
                </c:pt>
                <c:pt idx="73">
                  <c:v>3.48</c:v>
                </c:pt>
                <c:pt idx="74">
                  <c:v>4.63</c:v>
                </c:pt>
                <c:pt idx="75">
                  <c:v>5.78</c:v>
                </c:pt>
                <c:pt idx="76">
                  <c:v>4.46</c:v>
                </c:pt>
                <c:pt idx="77">
                  <c:v>3.15</c:v>
                </c:pt>
                <c:pt idx="78">
                  <c:v>2.98</c:v>
                </c:pt>
                <c:pt idx="79">
                  <c:v>2.82</c:v>
                </c:pt>
                <c:pt idx="80">
                  <c:v>3.15</c:v>
                </c:pt>
                <c:pt idx="81">
                  <c:v>3.48</c:v>
                </c:pt>
                <c:pt idx="82">
                  <c:v>3.81</c:v>
                </c:pt>
                <c:pt idx="83">
                  <c:v>4.13</c:v>
                </c:pt>
                <c:pt idx="84">
                  <c:v>4.95</c:v>
                </c:pt>
                <c:pt idx="85">
                  <c:v>5.78</c:v>
                </c:pt>
                <c:pt idx="86">
                  <c:v>4.95</c:v>
                </c:pt>
                <c:pt idx="87">
                  <c:v>4.13</c:v>
                </c:pt>
                <c:pt idx="88">
                  <c:v>3.48</c:v>
                </c:pt>
                <c:pt idx="89">
                  <c:v>2.82</c:v>
                </c:pt>
                <c:pt idx="90">
                  <c:v>4.13</c:v>
                </c:pt>
                <c:pt idx="91">
                  <c:v>5.45</c:v>
                </c:pt>
                <c:pt idx="92">
                  <c:v>4.46</c:v>
                </c:pt>
                <c:pt idx="93">
                  <c:v>3.48</c:v>
                </c:pt>
                <c:pt idx="94">
                  <c:v>3.64</c:v>
                </c:pt>
                <c:pt idx="95">
                  <c:v>3.81</c:v>
                </c:pt>
                <c:pt idx="96">
                  <c:v>4.79</c:v>
                </c:pt>
                <c:pt idx="97">
                  <c:v>5.78</c:v>
                </c:pt>
                <c:pt idx="98">
                  <c:v>4.95</c:v>
                </c:pt>
                <c:pt idx="99">
                  <c:v>4.13</c:v>
                </c:pt>
                <c:pt idx="100">
                  <c:v>3.48</c:v>
                </c:pt>
                <c:pt idx="101">
                  <c:v>2.82</c:v>
                </c:pt>
                <c:pt idx="102">
                  <c:v>4.46</c:v>
                </c:pt>
                <c:pt idx="103">
                  <c:v>6.1</c:v>
                </c:pt>
                <c:pt idx="104">
                  <c:v>5.45</c:v>
                </c:pt>
                <c:pt idx="105">
                  <c:v>4.79</c:v>
                </c:pt>
                <c:pt idx="106">
                  <c:v>5.94</c:v>
                </c:pt>
                <c:pt idx="107">
                  <c:v>7.09</c:v>
                </c:pt>
                <c:pt idx="108">
                  <c:v>5.28</c:v>
                </c:pt>
                <c:pt idx="109">
                  <c:v>3.48</c:v>
                </c:pt>
                <c:pt idx="110">
                  <c:v>3.15</c:v>
                </c:pt>
                <c:pt idx="111">
                  <c:v>2.82</c:v>
                </c:pt>
                <c:pt idx="112">
                  <c:v>3.31</c:v>
                </c:pt>
                <c:pt idx="113">
                  <c:v>3.81</c:v>
                </c:pt>
                <c:pt idx="114">
                  <c:v>4.13</c:v>
                </c:pt>
                <c:pt idx="115">
                  <c:v>4.46</c:v>
                </c:pt>
                <c:pt idx="116">
                  <c:v>4.13</c:v>
                </c:pt>
                <c:pt idx="117">
                  <c:v>3.81</c:v>
                </c:pt>
                <c:pt idx="118">
                  <c:v>3.48</c:v>
                </c:pt>
                <c:pt idx="119">
                  <c:v>3.15</c:v>
                </c:pt>
                <c:pt idx="120">
                  <c:v>2.82</c:v>
                </c:pt>
                <c:pt idx="121">
                  <c:v>2.4900000000000002</c:v>
                </c:pt>
                <c:pt idx="122">
                  <c:v>2.66</c:v>
                </c:pt>
                <c:pt idx="123">
                  <c:v>2.82</c:v>
                </c:pt>
                <c:pt idx="124">
                  <c:v>2.98</c:v>
                </c:pt>
                <c:pt idx="125">
                  <c:v>3.15</c:v>
                </c:pt>
                <c:pt idx="126">
                  <c:v>3.15</c:v>
                </c:pt>
                <c:pt idx="127">
                  <c:v>3.15</c:v>
                </c:pt>
                <c:pt idx="128">
                  <c:v>3.15</c:v>
                </c:pt>
                <c:pt idx="129">
                  <c:v>3.15</c:v>
                </c:pt>
                <c:pt idx="130">
                  <c:v>4.3</c:v>
                </c:pt>
                <c:pt idx="131">
                  <c:v>5.45</c:v>
                </c:pt>
                <c:pt idx="132">
                  <c:v>3.81</c:v>
                </c:pt>
                <c:pt idx="133">
                  <c:v>2.16</c:v>
                </c:pt>
                <c:pt idx="134">
                  <c:v>3.15</c:v>
                </c:pt>
                <c:pt idx="135">
                  <c:v>4.13</c:v>
                </c:pt>
                <c:pt idx="136">
                  <c:v>4.95</c:v>
                </c:pt>
                <c:pt idx="137">
                  <c:v>5.78</c:v>
                </c:pt>
                <c:pt idx="138">
                  <c:v>4.13</c:v>
                </c:pt>
                <c:pt idx="139">
                  <c:v>2.4900000000000002</c:v>
                </c:pt>
                <c:pt idx="140">
                  <c:v>3.48</c:v>
                </c:pt>
                <c:pt idx="141">
                  <c:v>4.46</c:v>
                </c:pt>
                <c:pt idx="142">
                  <c:v>3.81</c:v>
                </c:pt>
                <c:pt idx="143">
                  <c:v>3.15</c:v>
                </c:pt>
                <c:pt idx="144">
                  <c:v>3.64</c:v>
                </c:pt>
                <c:pt idx="145">
                  <c:v>4.13</c:v>
                </c:pt>
                <c:pt idx="146">
                  <c:v>3.64</c:v>
                </c:pt>
                <c:pt idx="147">
                  <c:v>3.15</c:v>
                </c:pt>
                <c:pt idx="148">
                  <c:v>2.82</c:v>
                </c:pt>
                <c:pt idx="149">
                  <c:v>2.4900000000000002</c:v>
                </c:pt>
                <c:pt idx="150">
                  <c:v>4.46</c:v>
                </c:pt>
                <c:pt idx="151">
                  <c:v>6.43</c:v>
                </c:pt>
                <c:pt idx="152">
                  <c:v>5.94</c:v>
                </c:pt>
                <c:pt idx="153">
                  <c:v>5.45</c:v>
                </c:pt>
                <c:pt idx="154">
                  <c:v>5.12</c:v>
                </c:pt>
                <c:pt idx="155">
                  <c:v>4.79</c:v>
                </c:pt>
                <c:pt idx="156">
                  <c:v>4.63</c:v>
                </c:pt>
                <c:pt idx="157">
                  <c:v>4.46</c:v>
                </c:pt>
                <c:pt idx="158">
                  <c:v>4.13</c:v>
                </c:pt>
                <c:pt idx="159">
                  <c:v>3.81</c:v>
                </c:pt>
                <c:pt idx="160">
                  <c:v>4.46</c:v>
                </c:pt>
                <c:pt idx="161">
                  <c:v>5.12</c:v>
                </c:pt>
                <c:pt idx="162">
                  <c:v>3.97</c:v>
                </c:pt>
                <c:pt idx="163">
                  <c:v>2.82</c:v>
                </c:pt>
                <c:pt idx="164">
                  <c:v>2.82</c:v>
                </c:pt>
                <c:pt idx="165">
                  <c:v>2.82</c:v>
                </c:pt>
                <c:pt idx="166">
                  <c:v>3.15</c:v>
                </c:pt>
                <c:pt idx="167">
                  <c:v>3.48</c:v>
                </c:pt>
                <c:pt idx="168">
                  <c:v>4.63</c:v>
                </c:pt>
                <c:pt idx="169">
                  <c:v>5.78</c:v>
                </c:pt>
                <c:pt idx="170">
                  <c:v>4.3</c:v>
                </c:pt>
                <c:pt idx="171">
                  <c:v>2.82</c:v>
                </c:pt>
                <c:pt idx="172">
                  <c:v>2.66</c:v>
                </c:pt>
                <c:pt idx="173">
                  <c:v>2.4900000000000002</c:v>
                </c:pt>
                <c:pt idx="174">
                  <c:v>3.64</c:v>
                </c:pt>
                <c:pt idx="175">
                  <c:v>4.79</c:v>
                </c:pt>
                <c:pt idx="176">
                  <c:v>3.97</c:v>
                </c:pt>
                <c:pt idx="177">
                  <c:v>3.15</c:v>
                </c:pt>
                <c:pt idx="178">
                  <c:v>4.3</c:v>
                </c:pt>
                <c:pt idx="179">
                  <c:v>5.45</c:v>
                </c:pt>
                <c:pt idx="180">
                  <c:v>5.28</c:v>
                </c:pt>
                <c:pt idx="181">
                  <c:v>5.12</c:v>
                </c:pt>
                <c:pt idx="182">
                  <c:v>4.13</c:v>
                </c:pt>
                <c:pt idx="183">
                  <c:v>3.15</c:v>
                </c:pt>
                <c:pt idx="184">
                  <c:v>2.98</c:v>
                </c:pt>
                <c:pt idx="185">
                  <c:v>2.82</c:v>
                </c:pt>
                <c:pt idx="186">
                  <c:v>3.64</c:v>
                </c:pt>
                <c:pt idx="187">
                  <c:v>4.46</c:v>
                </c:pt>
                <c:pt idx="188">
                  <c:v>4.13</c:v>
                </c:pt>
                <c:pt idx="189">
                  <c:v>3.81</c:v>
                </c:pt>
                <c:pt idx="190">
                  <c:v>4.13</c:v>
                </c:pt>
                <c:pt idx="191">
                  <c:v>4.46</c:v>
                </c:pt>
                <c:pt idx="192">
                  <c:v>3.64</c:v>
                </c:pt>
                <c:pt idx="193">
                  <c:v>2.82</c:v>
                </c:pt>
                <c:pt idx="194">
                  <c:v>3.64</c:v>
                </c:pt>
                <c:pt idx="195">
                  <c:v>4.46</c:v>
                </c:pt>
                <c:pt idx="196">
                  <c:v>4.3</c:v>
                </c:pt>
                <c:pt idx="197">
                  <c:v>4.13</c:v>
                </c:pt>
                <c:pt idx="198">
                  <c:v>3.64</c:v>
                </c:pt>
                <c:pt idx="199">
                  <c:v>3.15</c:v>
                </c:pt>
                <c:pt idx="200">
                  <c:v>2.98</c:v>
                </c:pt>
                <c:pt idx="201">
                  <c:v>2.82</c:v>
                </c:pt>
                <c:pt idx="202">
                  <c:v>3.48</c:v>
                </c:pt>
                <c:pt idx="203">
                  <c:v>4.13</c:v>
                </c:pt>
                <c:pt idx="204">
                  <c:v>3.64</c:v>
                </c:pt>
                <c:pt idx="205">
                  <c:v>3.15</c:v>
                </c:pt>
                <c:pt idx="206">
                  <c:v>3.15</c:v>
                </c:pt>
                <c:pt idx="207">
                  <c:v>3.15</c:v>
                </c:pt>
                <c:pt idx="208">
                  <c:v>3.15</c:v>
                </c:pt>
                <c:pt idx="209">
                  <c:v>3.15</c:v>
                </c:pt>
                <c:pt idx="210">
                  <c:v>3.48</c:v>
                </c:pt>
                <c:pt idx="211">
                  <c:v>3.81</c:v>
                </c:pt>
                <c:pt idx="212">
                  <c:v>5.45</c:v>
                </c:pt>
                <c:pt idx="213">
                  <c:v>7.09</c:v>
                </c:pt>
                <c:pt idx="214">
                  <c:v>5.28</c:v>
                </c:pt>
                <c:pt idx="215">
                  <c:v>3.48</c:v>
                </c:pt>
                <c:pt idx="216">
                  <c:v>5.61</c:v>
                </c:pt>
                <c:pt idx="217">
                  <c:v>7.74</c:v>
                </c:pt>
                <c:pt idx="218">
                  <c:v>7.42</c:v>
                </c:pt>
                <c:pt idx="219">
                  <c:v>7.09</c:v>
                </c:pt>
                <c:pt idx="220">
                  <c:v>6.92</c:v>
                </c:pt>
                <c:pt idx="221">
                  <c:v>6.76</c:v>
                </c:pt>
                <c:pt idx="222">
                  <c:v>7.42</c:v>
                </c:pt>
                <c:pt idx="223">
                  <c:v>8.07</c:v>
                </c:pt>
                <c:pt idx="224">
                  <c:v>8.73</c:v>
                </c:pt>
                <c:pt idx="225">
                  <c:v>9.39</c:v>
                </c:pt>
                <c:pt idx="226">
                  <c:v>9.5500000000000007</c:v>
                </c:pt>
                <c:pt idx="227">
                  <c:v>9.7100000000000009</c:v>
                </c:pt>
                <c:pt idx="228">
                  <c:v>9.5500000000000007</c:v>
                </c:pt>
                <c:pt idx="229">
                  <c:v>9.39</c:v>
                </c:pt>
                <c:pt idx="230">
                  <c:v>9.2200000000000006</c:v>
                </c:pt>
                <c:pt idx="231">
                  <c:v>9.06</c:v>
                </c:pt>
                <c:pt idx="232">
                  <c:v>9.2200000000000006</c:v>
                </c:pt>
                <c:pt idx="233">
                  <c:v>9.39</c:v>
                </c:pt>
                <c:pt idx="234">
                  <c:v>9.39</c:v>
                </c:pt>
                <c:pt idx="235">
                  <c:v>9.39</c:v>
                </c:pt>
                <c:pt idx="236">
                  <c:v>10.86</c:v>
                </c:pt>
                <c:pt idx="237">
                  <c:v>12.34</c:v>
                </c:pt>
                <c:pt idx="238">
                  <c:v>11.85</c:v>
                </c:pt>
                <c:pt idx="239">
                  <c:v>11.36</c:v>
                </c:pt>
                <c:pt idx="240">
                  <c:v>12.18</c:v>
                </c:pt>
                <c:pt idx="241">
                  <c:v>13</c:v>
                </c:pt>
                <c:pt idx="242">
                  <c:v>13.16</c:v>
                </c:pt>
                <c:pt idx="243">
                  <c:v>13.33</c:v>
                </c:pt>
                <c:pt idx="244">
                  <c:v>12.67</c:v>
                </c:pt>
                <c:pt idx="245">
                  <c:v>12.01</c:v>
                </c:pt>
                <c:pt idx="246">
                  <c:v>11.36</c:v>
                </c:pt>
                <c:pt idx="247">
                  <c:v>10.7</c:v>
                </c:pt>
                <c:pt idx="248">
                  <c:v>12.01</c:v>
                </c:pt>
                <c:pt idx="249">
                  <c:v>13.33</c:v>
                </c:pt>
                <c:pt idx="250">
                  <c:v>14.64</c:v>
                </c:pt>
                <c:pt idx="251">
                  <c:v>15.95</c:v>
                </c:pt>
                <c:pt idx="252">
                  <c:v>16.77</c:v>
                </c:pt>
                <c:pt idx="253">
                  <c:v>17.59</c:v>
                </c:pt>
                <c:pt idx="254">
                  <c:v>18.41</c:v>
                </c:pt>
                <c:pt idx="255">
                  <c:v>19.23</c:v>
                </c:pt>
                <c:pt idx="256">
                  <c:v>20.22</c:v>
                </c:pt>
                <c:pt idx="257">
                  <c:v>21.2</c:v>
                </c:pt>
                <c:pt idx="258">
                  <c:v>23.01</c:v>
                </c:pt>
                <c:pt idx="259">
                  <c:v>24.81</c:v>
                </c:pt>
                <c:pt idx="260">
                  <c:v>25.8</c:v>
                </c:pt>
                <c:pt idx="261">
                  <c:v>26.78</c:v>
                </c:pt>
                <c:pt idx="262">
                  <c:v>27.93</c:v>
                </c:pt>
                <c:pt idx="263">
                  <c:v>29.08</c:v>
                </c:pt>
                <c:pt idx="264">
                  <c:v>29.57</c:v>
                </c:pt>
                <c:pt idx="265">
                  <c:v>30.07</c:v>
                </c:pt>
                <c:pt idx="266">
                  <c:v>31.22</c:v>
                </c:pt>
                <c:pt idx="267">
                  <c:v>32.369999999999997</c:v>
                </c:pt>
                <c:pt idx="268">
                  <c:v>31.71</c:v>
                </c:pt>
                <c:pt idx="269">
                  <c:v>31.05</c:v>
                </c:pt>
                <c:pt idx="270">
                  <c:v>31.71</c:v>
                </c:pt>
                <c:pt idx="271">
                  <c:v>32.369999999999997</c:v>
                </c:pt>
                <c:pt idx="272">
                  <c:v>33.840000000000003</c:v>
                </c:pt>
                <c:pt idx="273">
                  <c:v>35.32</c:v>
                </c:pt>
                <c:pt idx="274">
                  <c:v>36.47</c:v>
                </c:pt>
                <c:pt idx="275">
                  <c:v>37.619999999999997</c:v>
                </c:pt>
                <c:pt idx="276">
                  <c:v>38.93</c:v>
                </c:pt>
                <c:pt idx="277">
                  <c:v>40.24</c:v>
                </c:pt>
                <c:pt idx="278">
                  <c:v>40.57</c:v>
                </c:pt>
                <c:pt idx="279">
                  <c:v>40.9</c:v>
                </c:pt>
                <c:pt idx="280">
                  <c:v>41.06</c:v>
                </c:pt>
                <c:pt idx="281">
                  <c:v>41.23</c:v>
                </c:pt>
                <c:pt idx="282">
                  <c:v>41.39</c:v>
                </c:pt>
                <c:pt idx="283">
                  <c:v>41.56</c:v>
                </c:pt>
                <c:pt idx="284">
                  <c:v>41.72</c:v>
                </c:pt>
                <c:pt idx="285">
                  <c:v>41.89</c:v>
                </c:pt>
                <c:pt idx="286">
                  <c:v>41.56</c:v>
                </c:pt>
                <c:pt idx="287">
                  <c:v>41.23</c:v>
                </c:pt>
                <c:pt idx="288">
                  <c:v>42.54</c:v>
                </c:pt>
                <c:pt idx="289">
                  <c:v>43.85</c:v>
                </c:pt>
                <c:pt idx="290">
                  <c:v>44.18</c:v>
                </c:pt>
                <c:pt idx="291">
                  <c:v>44.51</c:v>
                </c:pt>
                <c:pt idx="292">
                  <c:v>45.66</c:v>
                </c:pt>
                <c:pt idx="293">
                  <c:v>46.81</c:v>
                </c:pt>
                <c:pt idx="294">
                  <c:v>45.82</c:v>
                </c:pt>
                <c:pt idx="295">
                  <c:v>44.84</c:v>
                </c:pt>
                <c:pt idx="296">
                  <c:v>46.81</c:v>
                </c:pt>
                <c:pt idx="297">
                  <c:v>48.78</c:v>
                </c:pt>
                <c:pt idx="298">
                  <c:v>49.76</c:v>
                </c:pt>
                <c:pt idx="299">
                  <c:v>50.75</c:v>
                </c:pt>
                <c:pt idx="300">
                  <c:v>51.4</c:v>
                </c:pt>
                <c:pt idx="301">
                  <c:v>52.06</c:v>
                </c:pt>
                <c:pt idx="302">
                  <c:v>54.03</c:v>
                </c:pt>
                <c:pt idx="303">
                  <c:v>56</c:v>
                </c:pt>
                <c:pt idx="304">
                  <c:v>57.15</c:v>
                </c:pt>
                <c:pt idx="305">
                  <c:v>58.3</c:v>
                </c:pt>
                <c:pt idx="306">
                  <c:v>59.45</c:v>
                </c:pt>
                <c:pt idx="307">
                  <c:v>60.6</c:v>
                </c:pt>
                <c:pt idx="308">
                  <c:v>62.89</c:v>
                </c:pt>
                <c:pt idx="309">
                  <c:v>65.19</c:v>
                </c:pt>
                <c:pt idx="310">
                  <c:v>68.48</c:v>
                </c:pt>
                <c:pt idx="311">
                  <c:v>71.760000000000005</c:v>
                </c:pt>
                <c:pt idx="312">
                  <c:v>72.91</c:v>
                </c:pt>
                <c:pt idx="313">
                  <c:v>74.06</c:v>
                </c:pt>
                <c:pt idx="314">
                  <c:v>75.040000000000006</c:v>
                </c:pt>
                <c:pt idx="315">
                  <c:v>76.03</c:v>
                </c:pt>
                <c:pt idx="316">
                  <c:v>77.17</c:v>
                </c:pt>
                <c:pt idx="317">
                  <c:v>78.319999999999993</c:v>
                </c:pt>
                <c:pt idx="318">
                  <c:v>78.16</c:v>
                </c:pt>
                <c:pt idx="319">
                  <c:v>78</c:v>
                </c:pt>
                <c:pt idx="320">
                  <c:v>79.14</c:v>
                </c:pt>
                <c:pt idx="321">
                  <c:v>80.290000000000006</c:v>
                </c:pt>
                <c:pt idx="322">
                  <c:v>80.62</c:v>
                </c:pt>
                <c:pt idx="323">
                  <c:v>80.95</c:v>
                </c:pt>
                <c:pt idx="324">
                  <c:v>80.95</c:v>
                </c:pt>
                <c:pt idx="325">
                  <c:v>80.95</c:v>
                </c:pt>
                <c:pt idx="326">
                  <c:v>81.11</c:v>
                </c:pt>
                <c:pt idx="327">
                  <c:v>81.28</c:v>
                </c:pt>
                <c:pt idx="328">
                  <c:v>83.58</c:v>
                </c:pt>
                <c:pt idx="329">
                  <c:v>85.87</c:v>
                </c:pt>
                <c:pt idx="330">
                  <c:v>87.68</c:v>
                </c:pt>
                <c:pt idx="331">
                  <c:v>89.48</c:v>
                </c:pt>
                <c:pt idx="332">
                  <c:v>92.77</c:v>
                </c:pt>
                <c:pt idx="333">
                  <c:v>96.05</c:v>
                </c:pt>
                <c:pt idx="334">
                  <c:v>99.99</c:v>
                </c:pt>
                <c:pt idx="335">
                  <c:v>103.93</c:v>
                </c:pt>
                <c:pt idx="336">
                  <c:v>107.54</c:v>
                </c:pt>
                <c:pt idx="337">
                  <c:v>111.15</c:v>
                </c:pt>
                <c:pt idx="338">
                  <c:v>107.54</c:v>
                </c:pt>
                <c:pt idx="339">
                  <c:v>103.93</c:v>
                </c:pt>
                <c:pt idx="340">
                  <c:v>103.6</c:v>
                </c:pt>
                <c:pt idx="341">
                  <c:v>103.27</c:v>
                </c:pt>
                <c:pt idx="342">
                  <c:v>133.63999999999999</c:v>
                </c:pt>
                <c:pt idx="343">
                  <c:v>164</c:v>
                </c:pt>
                <c:pt idx="344">
                  <c:v>140.53</c:v>
                </c:pt>
                <c:pt idx="345">
                  <c:v>117.06</c:v>
                </c:pt>
                <c:pt idx="346">
                  <c:v>148.25</c:v>
                </c:pt>
                <c:pt idx="347">
                  <c:v>179.43</c:v>
                </c:pt>
                <c:pt idx="348">
                  <c:v>193.05</c:v>
                </c:pt>
                <c:pt idx="349">
                  <c:v>206.68</c:v>
                </c:pt>
                <c:pt idx="350">
                  <c:v>205.36</c:v>
                </c:pt>
                <c:pt idx="351">
                  <c:v>204.05</c:v>
                </c:pt>
                <c:pt idx="352">
                  <c:v>192.73</c:v>
                </c:pt>
                <c:pt idx="353">
                  <c:v>181.4</c:v>
                </c:pt>
                <c:pt idx="354">
                  <c:v>148.9</c:v>
                </c:pt>
                <c:pt idx="355">
                  <c:v>116.4</c:v>
                </c:pt>
                <c:pt idx="356">
                  <c:v>115.75</c:v>
                </c:pt>
                <c:pt idx="357">
                  <c:v>115.09</c:v>
                </c:pt>
                <c:pt idx="358">
                  <c:v>141.68</c:v>
                </c:pt>
                <c:pt idx="359">
                  <c:v>168.27</c:v>
                </c:pt>
                <c:pt idx="360">
                  <c:v>162.85</c:v>
                </c:pt>
                <c:pt idx="361">
                  <c:v>157.44</c:v>
                </c:pt>
                <c:pt idx="362">
                  <c:v>173.52</c:v>
                </c:pt>
                <c:pt idx="363">
                  <c:v>189.61</c:v>
                </c:pt>
                <c:pt idx="364">
                  <c:v>175.33</c:v>
                </c:pt>
                <c:pt idx="365">
                  <c:v>161.05000000000001</c:v>
                </c:pt>
                <c:pt idx="366">
                  <c:v>160.56</c:v>
                </c:pt>
                <c:pt idx="367">
                  <c:v>160.06</c:v>
                </c:pt>
                <c:pt idx="368">
                  <c:v>152.68</c:v>
                </c:pt>
                <c:pt idx="369">
                  <c:v>145.29</c:v>
                </c:pt>
                <c:pt idx="370">
                  <c:v>134.94999999999999</c:v>
                </c:pt>
                <c:pt idx="371">
                  <c:v>124.61</c:v>
                </c:pt>
                <c:pt idx="372">
                  <c:v>123.46</c:v>
                </c:pt>
                <c:pt idx="373">
                  <c:v>122.31</c:v>
                </c:pt>
                <c:pt idx="374">
                  <c:v>117.72</c:v>
                </c:pt>
                <c:pt idx="375">
                  <c:v>113.12</c:v>
                </c:pt>
                <c:pt idx="376">
                  <c:v>108.85</c:v>
                </c:pt>
                <c:pt idx="377">
                  <c:v>104.59</c:v>
                </c:pt>
                <c:pt idx="378">
                  <c:v>121.49</c:v>
                </c:pt>
                <c:pt idx="379">
                  <c:v>138.4</c:v>
                </c:pt>
                <c:pt idx="380">
                  <c:v>148.74</c:v>
                </c:pt>
                <c:pt idx="381">
                  <c:v>159.08000000000001</c:v>
                </c:pt>
                <c:pt idx="382">
                  <c:v>171.22</c:v>
                </c:pt>
                <c:pt idx="383">
                  <c:v>183.37</c:v>
                </c:pt>
                <c:pt idx="384">
                  <c:v>190.1</c:v>
                </c:pt>
                <c:pt idx="385">
                  <c:v>196.83</c:v>
                </c:pt>
                <c:pt idx="386">
                  <c:v>210.78</c:v>
                </c:pt>
                <c:pt idx="387">
                  <c:v>224.73</c:v>
                </c:pt>
                <c:pt idx="388">
                  <c:v>219.64</c:v>
                </c:pt>
                <c:pt idx="389">
                  <c:v>214.56</c:v>
                </c:pt>
                <c:pt idx="390">
                  <c:v>256.41000000000003</c:v>
                </c:pt>
                <c:pt idx="391">
                  <c:v>298.27</c:v>
                </c:pt>
                <c:pt idx="392">
                  <c:v>306.31</c:v>
                </c:pt>
                <c:pt idx="393">
                  <c:v>314.35000000000002</c:v>
                </c:pt>
                <c:pt idx="394">
                  <c:v>317.8</c:v>
                </c:pt>
                <c:pt idx="395">
                  <c:v>321.25</c:v>
                </c:pt>
                <c:pt idx="396">
                  <c:v>325.18</c:v>
                </c:pt>
                <c:pt idx="397">
                  <c:v>329.12</c:v>
                </c:pt>
                <c:pt idx="398">
                  <c:v>330.6</c:v>
                </c:pt>
                <c:pt idx="399">
                  <c:v>332.08</c:v>
                </c:pt>
                <c:pt idx="400">
                  <c:v>331.91</c:v>
                </c:pt>
                <c:pt idx="401">
                  <c:v>331.75</c:v>
                </c:pt>
                <c:pt idx="402">
                  <c:v>338.15</c:v>
                </c:pt>
                <c:pt idx="403">
                  <c:v>344.55</c:v>
                </c:pt>
                <c:pt idx="404">
                  <c:v>348</c:v>
                </c:pt>
                <c:pt idx="405">
                  <c:v>351.45</c:v>
                </c:pt>
                <c:pt idx="406">
                  <c:v>353.91</c:v>
                </c:pt>
                <c:pt idx="407">
                  <c:v>356.37</c:v>
                </c:pt>
                <c:pt idx="408">
                  <c:v>359</c:v>
                </c:pt>
                <c:pt idx="409">
                  <c:v>361.62</c:v>
                </c:pt>
                <c:pt idx="410">
                  <c:v>366.55</c:v>
                </c:pt>
                <c:pt idx="411">
                  <c:v>371.47</c:v>
                </c:pt>
                <c:pt idx="412">
                  <c:v>376.07</c:v>
                </c:pt>
                <c:pt idx="413">
                  <c:v>380.66</c:v>
                </c:pt>
                <c:pt idx="414">
                  <c:v>379.68</c:v>
                </c:pt>
                <c:pt idx="415">
                  <c:v>378.69</c:v>
                </c:pt>
                <c:pt idx="416">
                  <c:v>373.28</c:v>
                </c:pt>
                <c:pt idx="417">
                  <c:v>367.86</c:v>
                </c:pt>
                <c:pt idx="418">
                  <c:v>373.11</c:v>
                </c:pt>
                <c:pt idx="419">
                  <c:v>378.36</c:v>
                </c:pt>
                <c:pt idx="420">
                  <c:v>386.41</c:v>
                </c:pt>
                <c:pt idx="421">
                  <c:v>394.45</c:v>
                </c:pt>
                <c:pt idx="422">
                  <c:v>397.73</c:v>
                </c:pt>
                <c:pt idx="423">
                  <c:v>401.02</c:v>
                </c:pt>
                <c:pt idx="424">
                  <c:v>405.28</c:v>
                </c:pt>
                <c:pt idx="425">
                  <c:v>409.55</c:v>
                </c:pt>
                <c:pt idx="426">
                  <c:v>405.12</c:v>
                </c:pt>
                <c:pt idx="427">
                  <c:v>400.69</c:v>
                </c:pt>
                <c:pt idx="428">
                  <c:v>395.93</c:v>
                </c:pt>
                <c:pt idx="429">
                  <c:v>391.17</c:v>
                </c:pt>
                <c:pt idx="430">
                  <c:v>391.66</c:v>
                </c:pt>
                <c:pt idx="431">
                  <c:v>392.15</c:v>
                </c:pt>
                <c:pt idx="432">
                  <c:v>393.14</c:v>
                </c:pt>
                <c:pt idx="433">
                  <c:v>394.12</c:v>
                </c:pt>
                <c:pt idx="434">
                  <c:v>389.53</c:v>
                </c:pt>
                <c:pt idx="435">
                  <c:v>384.93</c:v>
                </c:pt>
                <c:pt idx="436">
                  <c:v>385.75</c:v>
                </c:pt>
                <c:pt idx="437">
                  <c:v>386.57</c:v>
                </c:pt>
                <c:pt idx="438">
                  <c:v>377.05</c:v>
                </c:pt>
                <c:pt idx="439">
                  <c:v>367.53</c:v>
                </c:pt>
                <c:pt idx="440">
                  <c:v>374.26</c:v>
                </c:pt>
                <c:pt idx="441">
                  <c:v>380.99</c:v>
                </c:pt>
                <c:pt idx="442">
                  <c:v>391.5</c:v>
                </c:pt>
                <c:pt idx="443">
                  <c:v>402</c:v>
                </c:pt>
                <c:pt idx="444">
                  <c:v>379.02</c:v>
                </c:pt>
                <c:pt idx="445">
                  <c:v>356.04</c:v>
                </c:pt>
                <c:pt idx="446">
                  <c:v>379.84</c:v>
                </c:pt>
                <c:pt idx="447">
                  <c:v>403.64</c:v>
                </c:pt>
                <c:pt idx="448">
                  <c:v>409.55</c:v>
                </c:pt>
                <c:pt idx="449">
                  <c:v>415.46</c:v>
                </c:pt>
                <c:pt idx="450">
                  <c:v>419.89</c:v>
                </c:pt>
                <c:pt idx="451">
                  <c:v>424.32</c:v>
                </c:pt>
                <c:pt idx="452">
                  <c:v>424.16</c:v>
                </c:pt>
                <c:pt idx="453">
                  <c:v>423.99</c:v>
                </c:pt>
                <c:pt idx="454">
                  <c:v>430.89</c:v>
                </c:pt>
                <c:pt idx="455">
                  <c:v>437.78</c:v>
                </c:pt>
                <c:pt idx="456">
                  <c:v>438.6</c:v>
                </c:pt>
                <c:pt idx="457">
                  <c:v>439.42</c:v>
                </c:pt>
                <c:pt idx="458">
                  <c:v>439.92</c:v>
                </c:pt>
                <c:pt idx="459">
                  <c:v>440.41</c:v>
                </c:pt>
                <c:pt idx="460">
                  <c:v>435.98</c:v>
                </c:pt>
                <c:pt idx="461">
                  <c:v>431.54</c:v>
                </c:pt>
                <c:pt idx="462">
                  <c:v>426.46</c:v>
                </c:pt>
                <c:pt idx="463">
                  <c:v>421.37</c:v>
                </c:pt>
                <c:pt idx="464">
                  <c:v>430.89</c:v>
                </c:pt>
                <c:pt idx="465">
                  <c:v>440.41</c:v>
                </c:pt>
                <c:pt idx="466">
                  <c:v>435.81</c:v>
                </c:pt>
                <c:pt idx="467">
                  <c:v>431.22</c:v>
                </c:pt>
                <c:pt idx="468">
                  <c:v>433.35</c:v>
                </c:pt>
                <c:pt idx="469">
                  <c:v>435.48</c:v>
                </c:pt>
                <c:pt idx="470">
                  <c:v>438.93</c:v>
                </c:pt>
                <c:pt idx="471">
                  <c:v>442.38</c:v>
                </c:pt>
                <c:pt idx="472">
                  <c:v>436.8</c:v>
                </c:pt>
                <c:pt idx="473">
                  <c:v>431.22</c:v>
                </c:pt>
                <c:pt idx="474">
                  <c:v>433.35</c:v>
                </c:pt>
                <c:pt idx="475">
                  <c:v>435.48</c:v>
                </c:pt>
                <c:pt idx="476">
                  <c:v>437.95</c:v>
                </c:pt>
                <c:pt idx="477">
                  <c:v>440.41</c:v>
                </c:pt>
                <c:pt idx="478">
                  <c:v>440.9</c:v>
                </c:pt>
                <c:pt idx="479">
                  <c:v>441.39</c:v>
                </c:pt>
                <c:pt idx="480">
                  <c:v>455.34</c:v>
                </c:pt>
                <c:pt idx="481">
                  <c:v>469.3</c:v>
                </c:pt>
                <c:pt idx="482">
                  <c:v>483.08</c:v>
                </c:pt>
                <c:pt idx="483">
                  <c:v>496.87</c:v>
                </c:pt>
                <c:pt idx="484">
                  <c:v>505.9</c:v>
                </c:pt>
                <c:pt idx="485">
                  <c:v>514.92999999999995</c:v>
                </c:pt>
                <c:pt idx="486">
                  <c:v>521</c:v>
                </c:pt>
                <c:pt idx="487">
                  <c:v>527.07000000000005</c:v>
                </c:pt>
                <c:pt idx="488">
                  <c:v>532.65</c:v>
                </c:pt>
                <c:pt idx="489">
                  <c:v>538.23</c:v>
                </c:pt>
                <c:pt idx="490">
                  <c:v>537.58000000000004</c:v>
                </c:pt>
                <c:pt idx="491">
                  <c:v>536.91999999999996</c:v>
                </c:pt>
                <c:pt idx="492">
                  <c:v>545.78</c:v>
                </c:pt>
                <c:pt idx="493">
                  <c:v>554.65</c:v>
                </c:pt>
                <c:pt idx="494">
                  <c:v>557.77</c:v>
                </c:pt>
                <c:pt idx="495">
                  <c:v>560.88</c:v>
                </c:pt>
                <c:pt idx="496">
                  <c:v>565.32000000000005</c:v>
                </c:pt>
                <c:pt idx="497">
                  <c:v>569.75</c:v>
                </c:pt>
                <c:pt idx="498">
                  <c:v>574.66999999999996</c:v>
                </c:pt>
                <c:pt idx="499">
                  <c:v>579.6</c:v>
                </c:pt>
                <c:pt idx="500">
                  <c:v>581.57000000000005</c:v>
                </c:pt>
                <c:pt idx="501">
                  <c:v>583.54</c:v>
                </c:pt>
                <c:pt idx="502">
                  <c:v>585.66999999999996</c:v>
                </c:pt>
                <c:pt idx="503">
                  <c:v>587.79999999999995</c:v>
                </c:pt>
                <c:pt idx="504">
                  <c:v>589.12</c:v>
                </c:pt>
                <c:pt idx="505">
                  <c:v>590.42999999999995</c:v>
                </c:pt>
                <c:pt idx="506">
                  <c:v>595.35</c:v>
                </c:pt>
                <c:pt idx="507">
                  <c:v>600.28</c:v>
                </c:pt>
                <c:pt idx="508">
                  <c:v>601.59</c:v>
                </c:pt>
                <c:pt idx="509">
                  <c:v>602.9</c:v>
                </c:pt>
                <c:pt idx="510">
                  <c:v>603.55999999999995</c:v>
                </c:pt>
                <c:pt idx="511">
                  <c:v>604.22</c:v>
                </c:pt>
                <c:pt idx="512">
                  <c:v>606.51</c:v>
                </c:pt>
                <c:pt idx="513">
                  <c:v>608.80999999999995</c:v>
                </c:pt>
                <c:pt idx="514">
                  <c:v>613.24</c:v>
                </c:pt>
                <c:pt idx="515">
                  <c:v>617.67999999999995</c:v>
                </c:pt>
                <c:pt idx="516">
                  <c:v>623.41999999999996</c:v>
                </c:pt>
                <c:pt idx="517">
                  <c:v>629.16</c:v>
                </c:pt>
                <c:pt idx="518">
                  <c:v>631.29999999999995</c:v>
                </c:pt>
                <c:pt idx="519">
                  <c:v>633.42999999999995</c:v>
                </c:pt>
                <c:pt idx="520">
                  <c:v>633.6</c:v>
                </c:pt>
                <c:pt idx="521">
                  <c:v>633.76</c:v>
                </c:pt>
                <c:pt idx="522">
                  <c:v>638.67999999999995</c:v>
                </c:pt>
                <c:pt idx="523">
                  <c:v>643.61</c:v>
                </c:pt>
                <c:pt idx="524">
                  <c:v>646.24</c:v>
                </c:pt>
                <c:pt idx="525">
                  <c:v>648.86</c:v>
                </c:pt>
                <c:pt idx="526">
                  <c:v>646.89</c:v>
                </c:pt>
                <c:pt idx="527">
                  <c:v>644.91999999999996</c:v>
                </c:pt>
                <c:pt idx="528">
                  <c:v>654.28</c:v>
                </c:pt>
                <c:pt idx="529">
                  <c:v>663.63</c:v>
                </c:pt>
                <c:pt idx="530">
                  <c:v>665.44</c:v>
                </c:pt>
                <c:pt idx="531">
                  <c:v>667.24</c:v>
                </c:pt>
                <c:pt idx="532">
                  <c:v>671.18</c:v>
                </c:pt>
                <c:pt idx="533">
                  <c:v>675.12</c:v>
                </c:pt>
                <c:pt idx="534">
                  <c:v>672.17</c:v>
                </c:pt>
                <c:pt idx="535">
                  <c:v>669.21</c:v>
                </c:pt>
                <c:pt idx="536">
                  <c:v>677.59</c:v>
                </c:pt>
                <c:pt idx="537">
                  <c:v>685.96</c:v>
                </c:pt>
                <c:pt idx="538">
                  <c:v>692.03</c:v>
                </c:pt>
                <c:pt idx="539">
                  <c:v>698.1</c:v>
                </c:pt>
                <c:pt idx="540">
                  <c:v>703.85</c:v>
                </c:pt>
                <c:pt idx="541">
                  <c:v>709.59</c:v>
                </c:pt>
                <c:pt idx="542">
                  <c:v>700.73</c:v>
                </c:pt>
                <c:pt idx="543">
                  <c:v>691.87</c:v>
                </c:pt>
                <c:pt idx="544">
                  <c:v>698.59</c:v>
                </c:pt>
                <c:pt idx="545">
                  <c:v>705.32</c:v>
                </c:pt>
                <c:pt idx="546">
                  <c:v>722.23</c:v>
                </c:pt>
                <c:pt idx="547">
                  <c:v>739.14</c:v>
                </c:pt>
                <c:pt idx="548">
                  <c:v>750.63</c:v>
                </c:pt>
                <c:pt idx="549">
                  <c:v>762.12</c:v>
                </c:pt>
                <c:pt idx="550">
                  <c:v>772.78</c:v>
                </c:pt>
                <c:pt idx="551">
                  <c:v>783.45</c:v>
                </c:pt>
                <c:pt idx="552">
                  <c:v>778.04</c:v>
                </c:pt>
                <c:pt idx="553">
                  <c:v>772.62</c:v>
                </c:pt>
                <c:pt idx="554">
                  <c:v>801.51</c:v>
                </c:pt>
                <c:pt idx="555">
                  <c:v>830.4</c:v>
                </c:pt>
                <c:pt idx="556">
                  <c:v>837.78</c:v>
                </c:pt>
                <c:pt idx="557">
                  <c:v>845.17</c:v>
                </c:pt>
                <c:pt idx="558">
                  <c:v>845.99</c:v>
                </c:pt>
                <c:pt idx="559">
                  <c:v>846.81</c:v>
                </c:pt>
                <c:pt idx="560">
                  <c:v>819.73</c:v>
                </c:pt>
                <c:pt idx="561">
                  <c:v>792.64</c:v>
                </c:pt>
                <c:pt idx="562">
                  <c:v>784.77</c:v>
                </c:pt>
                <c:pt idx="563">
                  <c:v>776.89</c:v>
                </c:pt>
                <c:pt idx="564">
                  <c:v>788.71</c:v>
                </c:pt>
                <c:pt idx="565">
                  <c:v>800.52</c:v>
                </c:pt>
                <c:pt idx="566">
                  <c:v>814.31</c:v>
                </c:pt>
                <c:pt idx="567">
                  <c:v>828.1</c:v>
                </c:pt>
                <c:pt idx="568">
                  <c:v>822.68</c:v>
                </c:pt>
                <c:pt idx="569">
                  <c:v>817.27</c:v>
                </c:pt>
                <c:pt idx="570">
                  <c:v>835.32</c:v>
                </c:pt>
                <c:pt idx="571">
                  <c:v>853.38</c:v>
                </c:pt>
                <c:pt idx="572">
                  <c:v>835.16</c:v>
                </c:pt>
                <c:pt idx="573">
                  <c:v>816.94</c:v>
                </c:pt>
                <c:pt idx="574">
                  <c:v>669.54</c:v>
                </c:pt>
                <c:pt idx="575">
                  <c:v>522.15</c:v>
                </c:pt>
                <c:pt idx="576">
                  <c:v>429.25</c:v>
                </c:pt>
                <c:pt idx="577">
                  <c:v>336.35</c:v>
                </c:pt>
                <c:pt idx="578">
                  <c:v>544.96</c:v>
                </c:pt>
                <c:pt idx="579">
                  <c:v>753.58</c:v>
                </c:pt>
                <c:pt idx="580">
                  <c:v>622.6</c:v>
                </c:pt>
                <c:pt idx="581">
                  <c:v>491.62</c:v>
                </c:pt>
                <c:pt idx="582">
                  <c:v>613.08000000000004</c:v>
                </c:pt>
                <c:pt idx="583">
                  <c:v>734.54</c:v>
                </c:pt>
                <c:pt idx="584">
                  <c:v>791.33</c:v>
                </c:pt>
                <c:pt idx="585">
                  <c:v>848.12</c:v>
                </c:pt>
                <c:pt idx="586">
                  <c:v>843.69</c:v>
                </c:pt>
                <c:pt idx="587">
                  <c:v>839.26</c:v>
                </c:pt>
                <c:pt idx="588">
                  <c:v>850.26</c:v>
                </c:pt>
                <c:pt idx="589">
                  <c:v>861.25</c:v>
                </c:pt>
                <c:pt idx="590">
                  <c:v>723.22</c:v>
                </c:pt>
                <c:pt idx="591">
                  <c:v>585.17999999999995</c:v>
                </c:pt>
                <c:pt idx="592">
                  <c:v>744.72</c:v>
                </c:pt>
                <c:pt idx="593">
                  <c:v>904.26</c:v>
                </c:pt>
                <c:pt idx="594">
                  <c:v>905.41</c:v>
                </c:pt>
                <c:pt idx="595">
                  <c:v>906.56</c:v>
                </c:pt>
                <c:pt idx="596">
                  <c:v>915.91</c:v>
                </c:pt>
                <c:pt idx="597">
                  <c:v>925.27</c:v>
                </c:pt>
                <c:pt idx="598">
                  <c:v>927.4</c:v>
                </c:pt>
                <c:pt idx="599">
                  <c:v>929.53</c:v>
                </c:pt>
                <c:pt idx="600">
                  <c:v>928.55</c:v>
                </c:pt>
                <c:pt idx="601">
                  <c:v>927.56</c:v>
                </c:pt>
                <c:pt idx="602">
                  <c:v>930.52</c:v>
                </c:pt>
                <c:pt idx="603">
                  <c:v>933.47</c:v>
                </c:pt>
                <c:pt idx="604">
                  <c:v>819.56</c:v>
                </c:pt>
                <c:pt idx="605">
                  <c:v>705.65</c:v>
                </c:pt>
                <c:pt idx="606">
                  <c:v>494.08</c:v>
                </c:pt>
                <c:pt idx="607">
                  <c:v>282.51</c:v>
                </c:pt>
                <c:pt idx="608">
                  <c:v>279.39</c:v>
                </c:pt>
                <c:pt idx="609">
                  <c:v>276.27</c:v>
                </c:pt>
                <c:pt idx="610">
                  <c:v>281.36</c:v>
                </c:pt>
                <c:pt idx="611">
                  <c:v>286.45</c:v>
                </c:pt>
                <c:pt idx="612">
                  <c:v>615.71</c:v>
                </c:pt>
                <c:pt idx="613">
                  <c:v>944.96</c:v>
                </c:pt>
                <c:pt idx="614">
                  <c:v>622.44000000000005</c:v>
                </c:pt>
                <c:pt idx="615">
                  <c:v>299.91000000000003</c:v>
                </c:pt>
                <c:pt idx="616">
                  <c:v>305.16000000000003</c:v>
                </c:pt>
                <c:pt idx="617">
                  <c:v>310.41000000000003</c:v>
                </c:pt>
                <c:pt idx="618">
                  <c:v>552.84</c:v>
                </c:pt>
                <c:pt idx="619">
                  <c:v>795.27</c:v>
                </c:pt>
                <c:pt idx="620">
                  <c:v>843.2</c:v>
                </c:pt>
                <c:pt idx="621">
                  <c:v>891.13</c:v>
                </c:pt>
                <c:pt idx="622">
                  <c:v>893.59</c:v>
                </c:pt>
                <c:pt idx="623">
                  <c:v>896.05</c:v>
                </c:pt>
                <c:pt idx="624">
                  <c:v>883.25</c:v>
                </c:pt>
                <c:pt idx="625">
                  <c:v>870.45</c:v>
                </c:pt>
                <c:pt idx="626">
                  <c:v>888.01</c:v>
                </c:pt>
                <c:pt idx="627">
                  <c:v>905.57</c:v>
                </c:pt>
                <c:pt idx="628">
                  <c:v>910.49</c:v>
                </c:pt>
                <c:pt idx="629">
                  <c:v>915.42</c:v>
                </c:pt>
                <c:pt idx="630">
                  <c:v>930.03</c:v>
                </c:pt>
                <c:pt idx="631">
                  <c:v>944.64</c:v>
                </c:pt>
                <c:pt idx="632">
                  <c:v>958.91</c:v>
                </c:pt>
                <c:pt idx="633">
                  <c:v>973.19</c:v>
                </c:pt>
                <c:pt idx="634">
                  <c:v>931.01</c:v>
                </c:pt>
                <c:pt idx="635">
                  <c:v>888.83</c:v>
                </c:pt>
                <c:pt idx="636">
                  <c:v>662.48</c:v>
                </c:pt>
                <c:pt idx="637">
                  <c:v>436.14</c:v>
                </c:pt>
                <c:pt idx="638">
                  <c:v>379.84</c:v>
                </c:pt>
                <c:pt idx="639">
                  <c:v>323.54000000000002</c:v>
                </c:pt>
                <c:pt idx="640">
                  <c:v>332.73</c:v>
                </c:pt>
                <c:pt idx="641">
                  <c:v>341.93</c:v>
                </c:pt>
                <c:pt idx="642">
                  <c:v>338.97</c:v>
                </c:pt>
                <c:pt idx="643">
                  <c:v>336.02</c:v>
                </c:pt>
                <c:pt idx="644">
                  <c:v>336.35</c:v>
                </c:pt>
                <c:pt idx="645">
                  <c:v>336.67</c:v>
                </c:pt>
                <c:pt idx="646">
                  <c:v>337.66</c:v>
                </c:pt>
                <c:pt idx="647">
                  <c:v>338.64</c:v>
                </c:pt>
                <c:pt idx="648">
                  <c:v>387.39</c:v>
                </c:pt>
                <c:pt idx="649">
                  <c:v>436.14</c:v>
                </c:pt>
                <c:pt idx="650">
                  <c:v>741.6</c:v>
                </c:pt>
                <c:pt idx="651">
                  <c:v>1047.06</c:v>
                </c:pt>
                <c:pt idx="652">
                  <c:v>899.5</c:v>
                </c:pt>
                <c:pt idx="653">
                  <c:v>751.94</c:v>
                </c:pt>
                <c:pt idx="654">
                  <c:v>893.59</c:v>
                </c:pt>
                <c:pt idx="655">
                  <c:v>1035.24</c:v>
                </c:pt>
                <c:pt idx="656">
                  <c:v>1028.3399999999999</c:v>
                </c:pt>
                <c:pt idx="657">
                  <c:v>1021.45</c:v>
                </c:pt>
                <c:pt idx="658">
                  <c:v>891.13</c:v>
                </c:pt>
                <c:pt idx="659">
                  <c:v>760.8</c:v>
                </c:pt>
                <c:pt idx="660">
                  <c:v>910.33</c:v>
                </c:pt>
                <c:pt idx="661">
                  <c:v>1059.8599999999999</c:v>
                </c:pt>
                <c:pt idx="662">
                  <c:v>1086.94</c:v>
                </c:pt>
                <c:pt idx="663">
                  <c:v>1114.02</c:v>
                </c:pt>
                <c:pt idx="664">
                  <c:v>1129.1199999999999</c:v>
                </c:pt>
                <c:pt idx="665">
                  <c:v>1144.22</c:v>
                </c:pt>
                <c:pt idx="666">
                  <c:v>1154.57</c:v>
                </c:pt>
                <c:pt idx="667">
                  <c:v>1164.9100000000001</c:v>
                </c:pt>
                <c:pt idx="668">
                  <c:v>1127.1500000000001</c:v>
                </c:pt>
                <c:pt idx="669">
                  <c:v>1089.4000000000001</c:v>
                </c:pt>
                <c:pt idx="670">
                  <c:v>1146.52</c:v>
                </c:pt>
                <c:pt idx="671">
                  <c:v>1203.6400000000001</c:v>
                </c:pt>
                <c:pt idx="672">
                  <c:v>1207.9100000000001</c:v>
                </c:pt>
                <c:pt idx="673">
                  <c:v>1212.18</c:v>
                </c:pt>
                <c:pt idx="674">
                  <c:v>1151.45</c:v>
                </c:pt>
                <c:pt idx="675">
                  <c:v>1090.72</c:v>
                </c:pt>
                <c:pt idx="676">
                  <c:v>1140.78</c:v>
                </c:pt>
                <c:pt idx="677">
                  <c:v>1190.8399999999999</c:v>
                </c:pt>
                <c:pt idx="678">
                  <c:v>976.48</c:v>
                </c:pt>
                <c:pt idx="679">
                  <c:v>762.12</c:v>
                </c:pt>
                <c:pt idx="680">
                  <c:v>787.06</c:v>
                </c:pt>
                <c:pt idx="681">
                  <c:v>812.01</c:v>
                </c:pt>
                <c:pt idx="682">
                  <c:v>683.49</c:v>
                </c:pt>
                <c:pt idx="683">
                  <c:v>554.98</c:v>
                </c:pt>
                <c:pt idx="684">
                  <c:v>694.98</c:v>
                </c:pt>
                <c:pt idx="685">
                  <c:v>834.99</c:v>
                </c:pt>
                <c:pt idx="686">
                  <c:v>691.21</c:v>
                </c:pt>
                <c:pt idx="687">
                  <c:v>547.42999999999995</c:v>
                </c:pt>
                <c:pt idx="688">
                  <c:v>546.6</c:v>
                </c:pt>
                <c:pt idx="689">
                  <c:v>545.78</c:v>
                </c:pt>
                <c:pt idx="690">
                  <c:v>629.82000000000005</c:v>
                </c:pt>
                <c:pt idx="691">
                  <c:v>713.86</c:v>
                </c:pt>
                <c:pt idx="692">
                  <c:v>689.4</c:v>
                </c:pt>
                <c:pt idx="693">
                  <c:v>664.95</c:v>
                </c:pt>
                <c:pt idx="694">
                  <c:v>916.73</c:v>
                </c:pt>
                <c:pt idx="695">
                  <c:v>1168.52</c:v>
                </c:pt>
                <c:pt idx="696">
                  <c:v>1138.81</c:v>
                </c:pt>
                <c:pt idx="697">
                  <c:v>1109.0999999999999</c:v>
                </c:pt>
                <c:pt idx="698">
                  <c:v>1146.69</c:v>
                </c:pt>
                <c:pt idx="699">
                  <c:v>1184.27</c:v>
                </c:pt>
                <c:pt idx="700">
                  <c:v>1117.47</c:v>
                </c:pt>
                <c:pt idx="701">
                  <c:v>1050.67</c:v>
                </c:pt>
                <c:pt idx="702">
                  <c:v>729.78</c:v>
                </c:pt>
                <c:pt idx="703">
                  <c:v>408.89</c:v>
                </c:pt>
                <c:pt idx="704">
                  <c:v>404.95</c:v>
                </c:pt>
                <c:pt idx="705">
                  <c:v>401.02</c:v>
                </c:pt>
                <c:pt idx="706">
                  <c:v>399.54</c:v>
                </c:pt>
                <c:pt idx="707">
                  <c:v>398.06</c:v>
                </c:pt>
                <c:pt idx="708">
                  <c:v>387.88</c:v>
                </c:pt>
                <c:pt idx="709">
                  <c:v>377.71</c:v>
                </c:pt>
                <c:pt idx="710">
                  <c:v>373.6</c:v>
                </c:pt>
                <c:pt idx="711">
                  <c:v>369.5</c:v>
                </c:pt>
                <c:pt idx="712">
                  <c:v>367.53</c:v>
                </c:pt>
                <c:pt idx="713">
                  <c:v>365.56</c:v>
                </c:pt>
                <c:pt idx="714">
                  <c:v>364.74</c:v>
                </c:pt>
                <c:pt idx="715">
                  <c:v>363.92</c:v>
                </c:pt>
                <c:pt idx="716">
                  <c:v>360.47</c:v>
                </c:pt>
                <c:pt idx="717">
                  <c:v>357.03</c:v>
                </c:pt>
                <c:pt idx="718">
                  <c:v>353.42</c:v>
                </c:pt>
                <c:pt idx="719">
                  <c:v>349.8</c:v>
                </c:pt>
                <c:pt idx="720">
                  <c:v>351.12</c:v>
                </c:pt>
                <c:pt idx="721">
                  <c:v>352.43</c:v>
                </c:pt>
                <c:pt idx="722">
                  <c:v>364.91</c:v>
                </c:pt>
                <c:pt idx="723">
                  <c:v>377.38</c:v>
                </c:pt>
                <c:pt idx="724">
                  <c:v>383.12</c:v>
                </c:pt>
                <c:pt idx="725">
                  <c:v>388.87</c:v>
                </c:pt>
                <c:pt idx="726">
                  <c:v>381.48</c:v>
                </c:pt>
                <c:pt idx="727">
                  <c:v>374.1</c:v>
                </c:pt>
                <c:pt idx="728">
                  <c:v>358.67</c:v>
                </c:pt>
                <c:pt idx="729">
                  <c:v>343.24</c:v>
                </c:pt>
                <c:pt idx="730">
                  <c:v>339.46</c:v>
                </c:pt>
                <c:pt idx="731">
                  <c:v>335.69</c:v>
                </c:pt>
                <c:pt idx="732">
                  <c:v>336.18</c:v>
                </c:pt>
                <c:pt idx="733">
                  <c:v>336.67</c:v>
                </c:pt>
                <c:pt idx="734">
                  <c:v>331.59</c:v>
                </c:pt>
                <c:pt idx="735">
                  <c:v>326.5</c:v>
                </c:pt>
                <c:pt idx="736">
                  <c:v>315.33999999999997</c:v>
                </c:pt>
                <c:pt idx="737">
                  <c:v>304.17</c:v>
                </c:pt>
                <c:pt idx="738">
                  <c:v>306.47000000000003</c:v>
                </c:pt>
                <c:pt idx="739">
                  <c:v>308.77</c:v>
                </c:pt>
                <c:pt idx="740">
                  <c:v>320.58999999999997</c:v>
                </c:pt>
                <c:pt idx="741">
                  <c:v>332.41</c:v>
                </c:pt>
                <c:pt idx="742">
                  <c:v>422.02</c:v>
                </c:pt>
                <c:pt idx="743">
                  <c:v>511.64</c:v>
                </c:pt>
                <c:pt idx="744">
                  <c:v>723.87</c:v>
                </c:pt>
                <c:pt idx="745">
                  <c:v>936.1</c:v>
                </c:pt>
                <c:pt idx="746">
                  <c:v>805.78</c:v>
                </c:pt>
                <c:pt idx="747">
                  <c:v>675.45</c:v>
                </c:pt>
                <c:pt idx="748">
                  <c:v>798.55</c:v>
                </c:pt>
                <c:pt idx="749">
                  <c:v>921.66</c:v>
                </c:pt>
                <c:pt idx="750">
                  <c:v>629.82000000000005</c:v>
                </c:pt>
                <c:pt idx="751">
                  <c:v>337.99</c:v>
                </c:pt>
                <c:pt idx="752">
                  <c:v>352.1</c:v>
                </c:pt>
                <c:pt idx="753">
                  <c:v>366.22</c:v>
                </c:pt>
                <c:pt idx="754">
                  <c:v>339.96</c:v>
                </c:pt>
                <c:pt idx="755">
                  <c:v>313.69</c:v>
                </c:pt>
                <c:pt idx="756">
                  <c:v>310.41000000000003</c:v>
                </c:pt>
                <c:pt idx="757">
                  <c:v>307.13</c:v>
                </c:pt>
                <c:pt idx="758">
                  <c:v>302.7</c:v>
                </c:pt>
                <c:pt idx="759">
                  <c:v>298.27</c:v>
                </c:pt>
                <c:pt idx="760">
                  <c:v>299.74</c:v>
                </c:pt>
                <c:pt idx="761">
                  <c:v>301.22000000000003</c:v>
                </c:pt>
                <c:pt idx="762">
                  <c:v>302.37</c:v>
                </c:pt>
                <c:pt idx="763">
                  <c:v>303.52</c:v>
                </c:pt>
                <c:pt idx="764">
                  <c:v>302.20999999999998</c:v>
                </c:pt>
                <c:pt idx="765">
                  <c:v>300.89</c:v>
                </c:pt>
                <c:pt idx="766">
                  <c:v>305</c:v>
                </c:pt>
                <c:pt idx="767">
                  <c:v>309.10000000000002</c:v>
                </c:pt>
                <c:pt idx="768">
                  <c:v>320.10000000000002</c:v>
                </c:pt>
                <c:pt idx="769">
                  <c:v>331.09</c:v>
                </c:pt>
                <c:pt idx="770">
                  <c:v>419.23</c:v>
                </c:pt>
                <c:pt idx="771">
                  <c:v>507.38</c:v>
                </c:pt>
                <c:pt idx="772">
                  <c:v>424.49</c:v>
                </c:pt>
                <c:pt idx="773">
                  <c:v>341.6</c:v>
                </c:pt>
                <c:pt idx="774">
                  <c:v>346.85</c:v>
                </c:pt>
                <c:pt idx="775">
                  <c:v>352.1</c:v>
                </c:pt>
                <c:pt idx="776">
                  <c:v>346.19</c:v>
                </c:pt>
                <c:pt idx="777">
                  <c:v>340.28</c:v>
                </c:pt>
                <c:pt idx="778">
                  <c:v>487.84</c:v>
                </c:pt>
                <c:pt idx="779">
                  <c:v>635.4</c:v>
                </c:pt>
                <c:pt idx="780">
                  <c:v>509.35</c:v>
                </c:pt>
                <c:pt idx="781">
                  <c:v>383.29</c:v>
                </c:pt>
                <c:pt idx="782">
                  <c:v>501.96</c:v>
                </c:pt>
                <c:pt idx="783">
                  <c:v>620.63</c:v>
                </c:pt>
                <c:pt idx="784">
                  <c:v>579.1</c:v>
                </c:pt>
                <c:pt idx="785">
                  <c:v>537.58000000000004</c:v>
                </c:pt>
                <c:pt idx="786">
                  <c:v>517.88</c:v>
                </c:pt>
                <c:pt idx="787">
                  <c:v>498.18</c:v>
                </c:pt>
                <c:pt idx="788">
                  <c:v>454.03</c:v>
                </c:pt>
                <c:pt idx="789">
                  <c:v>409.88</c:v>
                </c:pt>
                <c:pt idx="790">
                  <c:v>419.23</c:v>
                </c:pt>
                <c:pt idx="791">
                  <c:v>428.59</c:v>
                </c:pt>
                <c:pt idx="792">
                  <c:v>397.57</c:v>
                </c:pt>
                <c:pt idx="793">
                  <c:v>366.55</c:v>
                </c:pt>
                <c:pt idx="794">
                  <c:v>362.28</c:v>
                </c:pt>
                <c:pt idx="795">
                  <c:v>358.01</c:v>
                </c:pt>
                <c:pt idx="796">
                  <c:v>347.34</c:v>
                </c:pt>
                <c:pt idx="797">
                  <c:v>336.67</c:v>
                </c:pt>
                <c:pt idx="798">
                  <c:v>334.05</c:v>
                </c:pt>
                <c:pt idx="799">
                  <c:v>331.42</c:v>
                </c:pt>
                <c:pt idx="800">
                  <c:v>334.54</c:v>
                </c:pt>
                <c:pt idx="801">
                  <c:v>337.66</c:v>
                </c:pt>
                <c:pt idx="802">
                  <c:v>338.97</c:v>
                </c:pt>
                <c:pt idx="803">
                  <c:v>340.28</c:v>
                </c:pt>
                <c:pt idx="804">
                  <c:v>337</c:v>
                </c:pt>
                <c:pt idx="805">
                  <c:v>333.72</c:v>
                </c:pt>
                <c:pt idx="806">
                  <c:v>324.69</c:v>
                </c:pt>
                <c:pt idx="807">
                  <c:v>315.66000000000003</c:v>
                </c:pt>
                <c:pt idx="808">
                  <c:v>315.66000000000003</c:v>
                </c:pt>
                <c:pt idx="809">
                  <c:v>315.66000000000003</c:v>
                </c:pt>
                <c:pt idx="810">
                  <c:v>311.56</c:v>
                </c:pt>
                <c:pt idx="811">
                  <c:v>307.45999999999998</c:v>
                </c:pt>
                <c:pt idx="812">
                  <c:v>300.56</c:v>
                </c:pt>
                <c:pt idx="813">
                  <c:v>293.67</c:v>
                </c:pt>
                <c:pt idx="814">
                  <c:v>289.07</c:v>
                </c:pt>
                <c:pt idx="815">
                  <c:v>284.48</c:v>
                </c:pt>
                <c:pt idx="816">
                  <c:v>285.45999999999998</c:v>
                </c:pt>
                <c:pt idx="817">
                  <c:v>286.45</c:v>
                </c:pt>
                <c:pt idx="818">
                  <c:v>286.94</c:v>
                </c:pt>
                <c:pt idx="819">
                  <c:v>287.43</c:v>
                </c:pt>
                <c:pt idx="820">
                  <c:v>287.27</c:v>
                </c:pt>
                <c:pt idx="821">
                  <c:v>287.10000000000002</c:v>
                </c:pt>
                <c:pt idx="822">
                  <c:v>287.93</c:v>
                </c:pt>
                <c:pt idx="823">
                  <c:v>288.75</c:v>
                </c:pt>
                <c:pt idx="824">
                  <c:v>291.04000000000002</c:v>
                </c:pt>
                <c:pt idx="825">
                  <c:v>293.33999999999997</c:v>
                </c:pt>
                <c:pt idx="826">
                  <c:v>300.56</c:v>
                </c:pt>
                <c:pt idx="827">
                  <c:v>307.79000000000002</c:v>
                </c:pt>
                <c:pt idx="828">
                  <c:v>317.31</c:v>
                </c:pt>
                <c:pt idx="829">
                  <c:v>326.83</c:v>
                </c:pt>
                <c:pt idx="830">
                  <c:v>328.14</c:v>
                </c:pt>
                <c:pt idx="831">
                  <c:v>329.45</c:v>
                </c:pt>
                <c:pt idx="832">
                  <c:v>332.9</c:v>
                </c:pt>
                <c:pt idx="833">
                  <c:v>336.35</c:v>
                </c:pt>
                <c:pt idx="834">
                  <c:v>334.54</c:v>
                </c:pt>
                <c:pt idx="835">
                  <c:v>332.73</c:v>
                </c:pt>
                <c:pt idx="836">
                  <c:v>324.04000000000002</c:v>
                </c:pt>
                <c:pt idx="837">
                  <c:v>315.33999999999997</c:v>
                </c:pt>
                <c:pt idx="838">
                  <c:v>316.49</c:v>
                </c:pt>
                <c:pt idx="839">
                  <c:v>317.63</c:v>
                </c:pt>
                <c:pt idx="840">
                  <c:v>318.77999999999997</c:v>
                </c:pt>
                <c:pt idx="841">
                  <c:v>319.93</c:v>
                </c:pt>
                <c:pt idx="842">
                  <c:v>323.87</c:v>
                </c:pt>
                <c:pt idx="843">
                  <c:v>327.81</c:v>
                </c:pt>
                <c:pt idx="844">
                  <c:v>329.62</c:v>
                </c:pt>
                <c:pt idx="845">
                  <c:v>331.42</c:v>
                </c:pt>
                <c:pt idx="846">
                  <c:v>336.67</c:v>
                </c:pt>
                <c:pt idx="847">
                  <c:v>341.93</c:v>
                </c:pt>
                <c:pt idx="848">
                  <c:v>348.33</c:v>
                </c:pt>
                <c:pt idx="849">
                  <c:v>354.73</c:v>
                </c:pt>
                <c:pt idx="850">
                  <c:v>363.43</c:v>
                </c:pt>
                <c:pt idx="851">
                  <c:v>372.13</c:v>
                </c:pt>
                <c:pt idx="852">
                  <c:v>389.2</c:v>
                </c:pt>
                <c:pt idx="853">
                  <c:v>406.27</c:v>
                </c:pt>
                <c:pt idx="854">
                  <c:v>509.67</c:v>
                </c:pt>
                <c:pt idx="855">
                  <c:v>613.08000000000004</c:v>
                </c:pt>
                <c:pt idx="856">
                  <c:v>723.22</c:v>
                </c:pt>
                <c:pt idx="857">
                  <c:v>833.35</c:v>
                </c:pt>
                <c:pt idx="858">
                  <c:v>938.23</c:v>
                </c:pt>
                <c:pt idx="859">
                  <c:v>1043.1199999999999</c:v>
                </c:pt>
                <c:pt idx="860">
                  <c:v>1043.6099999999999</c:v>
                </c:pt>
                <c:pt idx="861">
                  <c:v>1044.0999999999999</c:v>
                </c:pt>
                <c:pt idx="862">
                  <c:v>1003.72</c:v>
                </c:pt>
                <c:pt idx="863">
                  <c:v>963.35</c:v>
                </c:pt>
                <c:pt idx="864">
                  <c:v>696.62</c:v>
                </c:pt>
                <c:pt idx="865">
                  <c:v>429.9</c:v>
                </c:pt>
                <c:pt idx="866">
                  <c:v>406.27</c:v>
                </c:pt>
                <c:pt idx="867">
                  <c:v>382.63</c:v>
                </c:pt>
                <c:pt idx="868">
                  <c:v>376.07</c:v>
                </c:pt>
                <c:pt idx="869">
                  <c:v>369.5</c:v>
                </c:pt>
                <c:pt idx="870">
                  <c:v>405.28</c:v>
                </c:pt>
                <c:pt idx="871">
                  <c:v>441.06</c:v>
                </c:pt>
                <c:pt idx="872">
                  <c:v>416.61</c:v>
                </c:pt>
                <c:pt idx="873">
                  <c:v>392.15</c:v>
                </c:pt>
                <c:pt idx="874">
                  <c:v>374.59</c:v>
                </c:pt>
                <c:pt idx="875">
                  <c:v>357.03</c:v>
                </c:pt>
                <c:pt idx="876">
                  <c:v>352.1</c:v>
                </c:pt>
                <c:pt idx="877">
                  <c:v>347.18</c:v>
                </c:pt>
                <c:pt idx="878">
                  <c:v>352.43</c:v>
                </c:pt>
                <c:pt idx="879">
                  <c:v>357.68</c:v>
                </c:pt>
                <c:pt idx="880">
                  <c:v>376.39</c:v>
                </c:pt>
                <c:pt idx="881">
                  <c:v>395.11</c:v>
                </c:pt>
                <c:pt idx="882">
                  <c:v>384.27</c:v>
                </c:pt>
                <c:pt idx="883">
                  <c:v>373.44</c:v>
                </c:pt>
                <c:pt idx="884">
                  <c:v>408.07</c:v>
                </c:pt>
                <c:pt idx="885">
                  <c:v>442.71</c:v>
                </c:pt>
                <c:pt idx="886">
                  <c:v>422.85</c:v>
                </c:pt>
                <c:pt idx="887">
                  <c:v>402.99</c:v>
                </c:pt>
                <c:pt idx="888">
                  <c:v>495.89</c:v>
                </c:pt>
                <c:pt idx="889">
                  <c:v>588.79</c:v>
                </c:pt>
                <c:pt idx="890">
                  <c:v>553.99</c:v>
                </c:pt>
                <c:pt idx="891">
                  <c:v>519.19000000000005</c:v>
                </c:pt>
                <c:pt idx="892">
                  <c:v>501.14</c:v>
                </c:pt>
                <c:pt idx="893">
                  <c:v>483.08</c:v>
                </c:pt>
                <c:pt idx="894">
                  <c:v>531.5</c:v>
                </c:pt>
                <c:pt idx="895">
                  <c:v>579.91999999999996</c:v>
                </c:pt>
                <c:pt idx="896">
                  <c:v>627.85</c:v>
                </c:pt>
                <c:pt idx="897">
                  <c:v>675.78</c:v>
                </c:pt>
                <c:pt idx="898">
                  <c:v>769.34</c:v>
                </c:pt>
                <c:pt idx="899">
                  <c:v>862.9</c:v>
                </c:pt>
                <c:pt idx="900">
                  <c:v>806.1</c:v>
                </c:pt>
                <c:pt idx="901">
                  <c:v>749.31</c:v>
                </c:pt>
                <c:pt idx="902">
                  <c:v>585.83000000000004</c:v>
                </c:pt>
                <c:pt idx="903">
                  <c:v>422.35</c:v>
                </c:pt>
                <c:pt idx="904">
                  <c:v>401.67</c:v>
                </c:pt>
                <c:pt idx="905">
                  <c:v>380.99</c:v>
                </c:pt>
                <c:pt idx="906">
                  <c:v>378.53</c:v>
                </c:pt>
                <c:pt idx="907">
                  <c:v>376.07</c:v>
                </c:pt>
                <c:pt idx="908">
                  <c:v>385.75</c:v>
                </c:pt>
                <c:pt idx="909">
                  <c:v>395.43</c:v>
                </c:pt>
                <c:pt idx="910">
                  <c:v>418.58</c:v>
                </c:pt>
                <c:pt idx="911">
                  <c:v>441.72</c:v>
                </c:pt>
                <c:pt idx="912">
                  <c:v>523.95000000000005</c:v>
                </c:pt>
                <c:pt idx="913">
                  <c:v>606.19000000000005</c:v>
                </c:pt>
                <c:pt idx="914">
                  <c:v>673.97</c:v>
                </c:pt>
                <c:pt idx="915">
                  <c:v>741.76</c:v>
                </c:pt>
                <c:pt idx="916">
                  <c:v>567.45000000000005</c:v>
                </c:pt>
                <c:pt idx="917">
                  <c:v>393.14</c:v>
                </c:pt>
                <c:pt idx="918">
                  <c:v>408.4</c:v>
                </c:pt>
                <c:pt idx="919">
                  <c:v>423.67</c:v>
                </c:pt>
                <c:pt idx="920">
                  <c:v>398.06</c:v>
                </c:pt>
                <c:pt idx="921">
                  <c:v>372.46</c:v>
                </c:pt>
                <c:pt idx="922">
                  <c:v>365.73</c:v>
                </c:pt>
                <c:pt idx="923">
                  <c:v>359</c:v>
                </c:pt>
                <c:pt idx="924">
                  <c:v>414.8</c:v>
                </c:pt>
                <c:pt idx="925">
                  <c:v>470.61</c:v>
                </c:pt>
                <c:pt idx="926">
                  <c:v>426.46</c:v>
                </c:pt>
                <c:pt idx="927">
                  <c:v>382.3</c:v>
                </c:pt>
                <c:pt idx="928">
                  <c:v>359.82</c:v>
                </c:pt>
                <c:pt idx="929">
                  <c:v>337.33</c:v>
                </c:pt>
                <c:pt idx="930">
                  <c:v>323.87</c:v>
                </c:pt>
                <c:pt idx="931">
                  <c:v>310.41000000000003</c:v>
                </c:pt>
                <c:pt idx="932">
                  <c:v>308.77</c:v>
                </c:pt>
                <c:pt idx="933">
                  <c:v>307.13</c:v>
                </c:pt>
                <c:pt idx="934">
                  <c:v>308.44</c:v>
                </c:pt>
                <c:pt idx="935">
                  <c:v>309.76</c:v>
                </c:pt>
                <c:pt idx="936">
                  <c:v>302.86</c:v>
                </c:pt>
                <c:pt idx="937">
                  <c:v>295.97000000000003</c:v>
                </c:pt>
                <c:pt idx="938">
                  <c:v>287.27</c:v>
                </c:pt>
                <c:pt idx="939">
                  <c:v>278.57</c:v>
                </c:pt>
                <c:pt idx="940">
                  <c:v>274.14</c:v>
                </c:pt>
                <c:pt idx="941">
                  <c:v>269.70999999999998</c:v>
                </c:pt>
                <c:pt idx="942">
                  <c:v>265.11</c:v>
                </c:pt>
                <c:pt idx="943">
                  <c:v>260.51</c:v>
                </c:pt>
                <c:pt idx="944">
                  <c:v>260.35000000000002</c:v>
                </c:pt>
                <c:pt idx="945">
                  <c:v>260.19</c:v>
                </c:pt>
                <c:pt idx="946">
                  <c:v>259.04000000000002</c:v>
                </c:pt>
                <c:pt idx="947">
                  <c:v>257.89</c:v>
                </c:pt>
                <c:pt idx="948">
                  <c:v>257.72000000000003</c:v>
                </c:pt>
                <c:pt idx="949">
                  <c:v>257.56</c:v>
                </c:pt>
                <c:pt idx="950">
                  <c:v>256.25</c:v>
                </c:pt>
                <c:pt idx="951">
                  <c:v>254.93</c:v>
                </c:pt>
                <c:pt idx="952">
                  <c:v>248.53</c:v>
                </c:pt>
                <c:pt idx="953">
                  <c:v>242.13</c:v>
                </c:pt>
                <c:pt idx="954">
                  <c:v>233.1</c:v>
                </c:pt>
                <c:pt idx="955">
                  <c:v>224.08</c:v>
                </c:pt>
                <c:pt idx="956">
                  <c:v>218.33</c:v>
                </c:pt>
                <c:pt idx="957">
                  <c:v>212.59</c:v>
                </c:pt>
                <c:pt idx="958">
                  <c:v>208.48</c:v>
                </c:pt>
                <c:pt idx="959">
                  <c:v>204.38</c:v>
                </c:pt>
                <c:pt idx="960">
                  <c:v>202.08</c:v>
                </c:pt>
                <c:pt idx="961">
                  <c:v>199.78</c:v>
                </c:pt>
                <c:pt idx="962">
                  <c:v>199.13</c:v>
                </c:pt>
                <c:pt idx="963">
                  <c:v>198.47</c:v>
                </c:pt>
                <c:pt idx="964">
                  <c:v>196.34</c:v>
                </c:pt>
                <c:pt idx="965">
                  <c:v>194.2</c:v>
                </c:pt>
                <c:pt idx="966">
                  <c:v>193.22</c:v>
                </c:pt>
                <c:pt idx="967">
                  <c:v>192.23</c:v>
                </c:pt>
                <c:pt idx="968">
                  <c:v>193.55</c:v>
                </c:pt>
                <c:pt idx="969">
                  <c:v>194.86</c:v>
                </c:pt>
                <c:pt idx="970">
                  <c:v>201.43</c:v>
                </c:pt>
                <c:pt idx="971">
                  <c:v>207.99</c:v>
                </c:pt>
                <c:pt idx="972">
                  <c:v>210.62</c:v>
                </c:pt>
                <c:pt idx="973">
                  <c:v>213.24</c:v>
                </c:pt>
                <c:pt idx="974">
                  <c:v>213.41</c:v>
                </c:pt>
                <c:pt idx="975">
                  <c:v>213.57</c:v>
                </c:pt>
                <c:pt idx="976">
                  <c:v>216.85</c:v>
                </c:pt>
                <c:pt idx="977">
                  <c:v>220.14</c:v>
                </c:pt>
                <c:pt idx="978">
                  <c:v>219.32</c:v>
                </c:pt>
                <c:pt idx="979">
                  <c:v>218.5</c:v>
                </c:pt>
                <c:pt idx="980">
                  <c:v>211.44</c:v>
                </c:pt>
                <c:pt idx="981">
                  <c:v>204.38</c:v>
                </c:pt>
                <c:pt idx="982">
                  <c:v>198.47</c:v>
                </c:pt>
                <c:pt idx="983">
                  <c:v>192.56</c:v>
                </c:pt>
                <c:pt idx="984">
                  <c:v>190.92</c:v>
                </c:pt>
                <c:pt idx="985">
                  <c:v>189.28</c:v>
                </c:pt>
                <c:pt idx="986">
                  <c:v>185.5</c:v>
                </c:pt>
                <c:pt idx="987">
                  <c:v>181.73</c:v>
                </c:pt>
                <c:pt idx="988">
                  <c:v>177.46</c:v>
                </c:pt>
                <c:pt idx="989">
                  <c:v>173.19</c:v>
                </c:pt>
                <c:pt idx="990">
                  <c:v>170.24</c:v>
                </c:pt>
                <c:pt idx="991">
                  <c:v>167.29</c:v>
                </c:pt>
                <c:pt idx="992">
                  <c:v>165.64</c:v>
                </c:pt>
                <c:pt idx="993">
                  <c:v>164</c:v>
                </c:pt>
                <c:pt idx="994">
                  <c:v>162.53</c:v>
                </c:pt>
                <c:pt idx="995">
                  <c:v>161.05000000000001</c:v>
                </c:pt>
                <c:pt idx="996">
                  <c:v>160.56</c:v>
                </c:pt>
                <c:pt idx="997">
                  <c:v>160.06</c:v>
                </c:pt>
                <c:pt idx="998">
                  <c:v>162.53</c:v>
                </c:pt>
                <c:pt idx="999">
                  <c:v>164.99</c:v>
                </c:pt>
                <c:pt idx="1000">
                  <c:v>187.97</c:v>
                </c:pt>
                <c:pt idx="1001">
                  <c:v>210.95</c:v>
                </c:pt>
                <c:pt idx="1002">
                  <c:v>190.59</c:v>
                </c:pt>
                <c:pt idx="1003">
                  <c:v>170.24</c:v>
                </c:pt>
                <c:pt idx="1004">
                  <c:v>173.19</c:v>
                </c:pt>
                <c:pt idx="1005">
                  <c:v>176.15</c:v>
                </c:pt>
                <c:pt idx="1006">
                  <c:v>173.52</c:v>
                </c:pt>
                <c:pt idx="1007">
                  <c:v>170.9</c:v>
                </c:pt>
                <c:pt idx="1008">
                  <c:v>169.75</c:v>
                </c:pt>
                <c:pt idx="1009">
                  <c:v>168.6</c:v>
                </c:pt>
                <c:pt idx="1010">
                  <c:v>158.91</c:v>
                </c:pt>
                <c:pt idx="1011">
                  <c:v>149.22999999999999</c:v>
                </c:pt>
                <c:pt idx="1012">
                  <c:v>143.81</c:v>
                </c:pt>
                <c:pt idx="1013">
                  <c:v>138.4</c:v>
                </c:pt>
                <c:pt idx="1014">
                  <c:v>138.4</c:v>
                </c:pt>
                <c:pt idx="1015">
                  <c:v>138.4</c:v>
                </c:pt>
                <c:pt idx="1016">
                  <c:v>141.35</c:v>
                </c:pt>
                <c:pt idx="1017">
                  <c:v>144.31</c:v>
                </c:pt>
                <c:pt idx="1018">
                  <c:v>151.19999999999999</c:v>
                </c:pt>
                <c:pt idx="1019">
                  <c:v>158.09</c:v>
                </c:pt>
                <c:pt idx="1020">
                  <c:v>162.36000000000001</c:v>
                </c:pt>
                <c:pt idx="1021">
                  <c:v>166.63</c:v>
                </c:pt>
                <c:pt idx="1022">
                  <c:v>166.63</c:v>
                </c:pt>
                <c:pt idx="1023">
                  <c:v>166.63</c:v>
                </c:pt>
                <c:pt idx="1024">
                  <c:v>164</c:v>
                </c:pt>
                <c:pt idx="1025">
                  <c:v>161.38</c:v>
                </c:pt>
                <c:pt idx="1026">
                  <c:v>158.41999999999999</c:v>
                </c:pt>
                <c:pt idx="1027">
                  <c:v>155.47</c:v>
                </c:pt>
                <c:pt idx="1028">
                  <c:v>157.77000000000001</c:v>
                </c:pt>
                <c:pt idx="1029">
                  <c:v>160.06</c:v>
                </c:pt>
                <c:pt idx="1030">
                  <c:v>158.59</c:v>
                </c:pt>
                <c:pt idx="1031">
                  <c:v>157.11000000000001</c:v>
                </c:pt>
                <c:pt idx="1032">
                  <c:v>155.13999999999999</c:v>
                </c:pt>
                <c:pt idx="1033">
                  <c:v>153.16999999999999</c:v>
                </c:pt>
                <c:pt idx="1034">
                  <c:v>154.47999999999999</c:v>
                </c:pt>
                <c:pt idx="1035">
                  <c:v>155.80000000000001</c:v>
                </c:pt>
                <c:pt idx="1036">
                  <c:v>157.6</c:v>
                </c:pt>
                <c:pt idx="1037">
                  <c:v>159.41</c:v>
                </c:pt>
                <c:pt idx="1038">
                  <c:v>160.22999999999999</c:v>
                </c:pt>
                <c:pt idx="1039">
                  <c:v>161.05000000000001</c:v>
                </c:pt>
                <c:pt idx="1040">
                  <c:v>161.69999999999999</c:v>
                </c:pt>
                <c:pt idx="1041">
                  <c:v>162.36000000000001</c:v>
                </c:pt>
                <c:pt idx="1042">
                  <c:v>160.56</c:v>
                </c:pt>
                <c:pt idx="1043">
                  <c:v>158.75</c:v>
                </c:pt>
                <c:pt idx="1044">
                  <c:v>157.11000000000001</c:v>
                </c:pt>
                <c:pt idx="1045">
                  <c:v>155.47</c:v>
                </c:pt>
                <c:pt idx="1046">
                  <c:v>153.33000000000001</c:v>
                </c:pt>
                <c:pt idx="1047">
                  <c:v>151.19999999999999</c:v>
                </c:pt>
                <c:pt idx="1048">
                  <c:v>153.83000000000001</c:v>
                </c:pt>
                <c:pt idx="1049">
                  <c:v>156.44999999999999</c:v>
                </c:pt>
                <c:pt idx="1050">
                  <c:v>156.78</c:v>
                </c:pt>
                <c:pt idx="1051">
                  <c:v>157.11000000000001</c:v>
                </c:pt>
                <c:pt idx="1052">
                  <c:v>156.78</c:v>
                </c:pt>
                <c:pt idx="1053">
                  <c:v>156.44999999999999</c:v>
                </c:pt>
                <c:pt idx="1054">
                  <c:v>154.47999999999999</c:v>
                </c:pt>
                <c:pt idx="1055">
                  <c:v>152.51</c:v>
                </c:pt>
                <c:pt idx="1056">
                  <c:v>154.47999999999999</c:v>
                </c:pt>
                <c:pt idx="1057">
                  <c:v>156.44999999999999</c:v>
                </c:pt>
                <c:pt idx="1058">
                  <c:v>157.27000000000001</c:v>
                </c:pt>
                <c:pt idx="1059">
                  <c:v>158.09</c:v>
                </c:pt>
                <c:pt idx="1060">
                  <c:v>158.26</c:v>
                </c:pt>
                <c:pt idx="1061">
                  <c:v>158.41999999999999</c:v>
                </c:pt>
                <c:pt idx="1062">
                  <c:v>159.24</c:v>
                </c:pt>
                <c:pt idx="1063">
                  <c:v>160.06</c:v>
                </c:pt>
                <c:pt idx="1064">
                  <c:v>157.93</c:v>
                </c:pt>
                <c:pt idx="1065">
                  <c:v>155.80000000000001</c:v>
                </c:pt>
                <c:pt idx="1066">
                  <c:v>155.80000000000001</c:v>
                </c:pt>
                <c:pt idx="1067">
                  <c:v>155.80000000000001</c:v>
                </c:pt>
                <c:pt idx="1068">
                  <c:v>154.97</c:v>
                </c:pt>
                <c:pt idx="1069">
                  <c:v>154.15</c:v>
                </c:pt>
                <c:pt idx="1070">
                  <c:v>154.15</c:v>
                </c:pt>
                <c:pt idx="1071">
                  <c:v>154.15</c:v>
                </c:pt>
                <c:pt idx="1072">
                  <c:v>151.53</c:v>
                </c:pt>
                <c:pt idx="1073">
                  <c:v>148.9</c:v>
                </c:pt>
                <c:pt idx="1074">
                  <c:v>144.47</c:v>
                </c:pt>
                <c:pt idx="1075">
                  <c:v>140.04</c:v>
                </c:pt>
                <c:pt idx="1076">
                  <c:v>137.41</c:v>
                </c:pt>
                <c:pt idx="1077">
                  <c:v>134.79</c:v>
                </c:pt>
                <c:pt idx="1078">
                  <c:v>130.85</c:v>
                </c:pt>
                <c:pt idx="1079">
                  <c:v>126.91</c:v>
                </c:pt>
                <c:pt idx="1080">
                  <c:v>122.8</c:v>
                </c:pt>
                <c:pt idx="1081">
                  <c:v>118.7</c:v>
                </c:pt>
                <c:pt idx="1082">
                  <c:v>116.57</c:v>
                </c:pt>
                <c:pt idx="1083">
                  <c:v>114.43</c:v>
                </c:pt>
                <c:pt idx="1084">
                  <c:v>111.97</c:v>
                </c:pt>
                <c:pt idx="1085">
                  <c:v>109.51</c:v>
                </c:pt>
                <c:pt idx="1086">
                  <c:v>107.05</c:v>
                </c:pt>
                <c:pt idx="1087">
                  <c:v>104.59</c:v>
                </c:pt>
                <c:pt idx="1088">
                  <c:v>102.78</c:v>
                </c:pt>
                <c:pt idx="1089">
                  <c:v>100.97</c:v>
                </c:pt>
                <c:pt idx="1090">
                  <c:v>99</c:v>
                </c:pt>
                <c:pt idx="1091">
                  <c:v>97.03</c:v>
                </c:pt>
                <c:pt idx="1092">
                  <c:v>95.07</c:v>
                </c:pt>
                <c:pt idx="1093">
                  <c:v>93.1</c:v>
                </c:pt>
                <c:pt idx="1094">
                  <c:v>92.11</c:v>
                </c:pt>
                <c:pt idx="1095">
                  <c:v>91.13</c:v>
                </c:pt>
                <c:pt idx="1096">
                  <c:v>89.65</c:v>
                </c:pt>
                <c:pt idx="1097">
                  <c:v>88.17</c:v>
                </c:pt>
                <c:pt idx="1098">
                  <c:v>87.19</c:v>
                </c:pt>
                <c:pt idx="1099">
                  <c:v>86.2</c:v>
                </c:pt>
                <c:pt idx="1100">
                  <c:v>88.83</c:v>
                </c:pt>
                <c:pt idx="1101">
                  <c:v>91.45</c:v>
                </c:pt>
                <c:pt idx="1102">
                  <c:v>92.11</c:v>
                </c:pt>
                <c:pt idx="1103">
                  <c:v>92.77</c:v>
                </c:pt>
                <c:pt idx="1104">
                  <c:v>94.24</c:v>
                </c:pt>
                <c:pt idx="1105">
                  <c:v>95.72</c:v>
                </c:pt>
                <c:pt idx="1106">
                  <c:v>95.56</c:v>
                </c:pt>
                <c:pt idx="1107">
                  <c:v>95.39</c:v>
                </c:pt>
                <c:pt idx="1108">
                  <c:v>94.74</c:v>
                </c:pt>
                <c:pt idx="1109">
                  <c:v>94.08</c:v>
                </c:pt>
                <c:pt idx="1110">
                  <c:v>92.77</c:v>
                </c:pt>
                <c:pt idx="1111">
                  <c:v>91.45</c:v>
                </c:pt>
                <c:pt idx="1112">
                  <c:v>89.98</c:v>
                </c:pt>
                <c:pt idx="1113">
                  <c:v>88.5</c:v>
                </c:pt>
                <c:pt idx="1114">
                  <c:v>88.01</c:v>
                </c:pt>
                <c:pt idx="1115">
                  <c:v>87.51</c:v>
                </c:pt>
                <c:pt idx="1116">
                  <c:v>87.84</c:v>
                </c:pt>
                <c:pt idx="1117">
                  <c:v>88.17</c:v>
                </c:pt>
                <c:pt idx="1118">
                  <c:v>87.84</c:v>
                </c:pt>
                <c:pt idx="1119">
                  <c:v>87.51</c:v>
                </c:pt>
                <c:pt idx="1120">
                  <c:v>88.99</c:v>
                </c:pt>
                <c:pt idx="1121">
                  <c:v>90.47</c:v>
                </c:pt>
                <c:pt idx="1122">
                  <c:v>90.96</c:v>
                </c:pt>
                <c:pt idx="1123">
                  <c:v>91.45</c:v>
                </c:pt>
                <c:pt idx="1124">
                  <c:v>91.29</c:v>
                </c:pt>
                <c:pt idx="1125">
                  <c:v>91.13</c:v>
                </c:pt>
                <c:pt idx="1126">
                  <c:v>91.78</c:v>
                </c:pt>
                <c:pt idx="1127">
                  <c:v>92.44</c:v>
                </c:pt>
                <c:pt idx="1128">
                  <c:v>91.29</c:v>
                </c:pt>
                <c:pt idx="1129">
                  <c:v>90.14</c:v>
                </c:pt>
                <c:pt idx="1130">
                  <c:v>89.98</c:v>
                </c:pt>
                <c:pt idx="1131">
                  <c:v>89.81</c:v>
                </c:pt>
                <c:pt idx="1132">
                  <c:v>89.65</c:v>
                </c:pt>
                <c:pt idx="1133">
                  <c:v>89.48</c:v>
                </c:pt>
                <c:pt idx="1134">
                  <c:v>88.99</c:v>
                </c:pt>
                <c:pt idx="1135">
                  <c:v>88.5</c:v>
                </c:pt>
                <c:pt idx="1136">
                  <c:v>86.69</c:v>
                </c:pt>
                <c:pt idx="1137">
                  <c:v>84.89</c:v>
                </c:pt>
                <c:pt idx="1138">
                  <c:v>83.9</c:v>
                </c:pt>
                <c:pt idx="1139">
                  <c:v>82.92</c:v>
                </c:pt>
                <c:pt idx="1140">
                  <c:v>80.290000000000006</c:v>
                </c:pt>
                <c:pt idx="1141">
                  <c:v>77.67</c:v>
                </c:pt>
                <c:pt idx="1142">
                  <c:v>75.040000000000006</c:v>
                </c:pt>
                <c:pt idx="1143">
                  <c:v>72.41</c:v>
                </c:pt>
                <c:pt idx="1144">
                  <c:v>71.099999999999994</c:v>
                </c:pt>
                <c:pt idx="1145">
                  <c:v>69.790000000000006</c:v>
                </c:pt>
                <c:pt idx="1146">
                  <c:v>67</c:v>
                </c:pt>
                <c:pt idx="1147">
                  <c:v>64.209999999999994</c:v>
                </c:pt>
                <c:pt idx="1148">
                  <c:v>62.89</c:v>
                </c:pt>
                <c:pt idx="1149">
                  <c:v>61.58</c:v>
                </c:pt>
                <c:pt idx="1150">
                  <c:v>60.43</c:v>
                </c:pt>
                <c:pt idx="1151">
                  <c:v>59.28</c:v>
                </c:pt>
                <c:pt idx="1152">
                  <c:v>57.15</c:v>
                </c:pt>
                <c:pt idx="1153">
                  <c:v>55.02</c:v>
                </c:pt>
                <c:pt idx="1154">
                  <c:v>54.03</c:v>
                </c:pt>
                <c:pt idx="1155">
                  <c:v>53.05</c:v>
                </c:pt>
                <c:pt idx="1156">
                  <c:v>51.9</c:v>
                </c:pt>
                <c:pt idx="1157">
                  <c:v>50.75</c:v>
                </c:pt>
                <c:pt idx="1158">
                  <c:v>49.93</c:v>
                </c:pt>
                <c:pt idx="1159">
                  <c:v>49.11</c:v>
                </c:pt>
                <c:pt idx="1160">
                  <c:v>48.12</c:v>
                </c:pt>
                <c:pt idx="1161">
                  <c:v>47.14</c:v>
                </c:pt>
                <c:pt idx="1162">
                  <c:v>47.14</c:v>
                </c:pt>
                <c:pt idx="1163">
                  <c:v>47.14</c:v>
                </c:pt>
                <c:pt idx="1164">
                  <c:v>46.15</c:v>
                </c:pt>
                <c:pt idx="1165">
                  <c:v>45.17</c:v>
                </c:pt>
                <c:pt idx="1166">
                  <c:v>45</c:v>
                </c:pt>
                <c:pt idx="1167">
                  <c:v>44.84</c:v>
                </c:pt>
                <c:pt idx="1168">
                  <c:v>44.18</c:v>
                </c:pt>
                <c:pt idx="1169">
                  <c:v>43.53</c:v>
                </c:pt>
                <c:pt idx="1170">
                  <c:v>42.38</c:v>
                </c:pt>
                <c:pt idx="1171">
                  <c:v>41.23</c:v>
                </c:pt>
                <c:pt idx="1172">
                  <c:v>39.92</c:v>
                </c:pt>
                <c:pt idx="1173">
                  <c:v>38.6</c:v>
                </c:pt>
                <c:pt idx="1174">
                  <c:v>36.299999999999997</c:v>
                </c:pt>
                <c:pt idx="1175">
                  <c:v>34.01</c:v>
                </c:pt>
                <c:pt idx="1176">
                  <c:v>32.369999999999997</c:v>
                </c:pt>
                <c:pt idx="1177">
                  <c:v>30.72</c:v>
                </c:pt>
                <c:pt idx="1178">
                  <c:v>29.74</c:v>
                </c:pt>
                <c:pt idx="1179">
                  <c:v>28.75</c:v>
                </c:pt>
                <c:pt idx="1180">
                  <c:v>27.11</c:v>
                </c:pt>
                <c:pt idx="1181">
                  <c:v>25.47</c:v>
                </c:pt>
                <c:pt idx="1182">
                  <c:v>24.98</c:v>
                </c:pt>
                <c:pt idx="1183">
                  <c:v>24.49</c:v>
                </c:pt>
                <c:pt idx="1184">
                  <c:v>24.16</c:v>
                </c:pt>
                <c:pt idx="1185">
                  <c:v>23.83</c:v>
                </c:pt>
                <c:pt idx="1186">
                  <c:v>23.01</c:v>
                </c:pt>
                <c:pt idx="1187">
                  <c:v>22.19</c:v>
                </c:pt>
                <c:pt idx="1188">
                  <c:v>21.2</c:v>
                </c:pt>
                <c:pt idx="1189">
                  <c:v>20.22</c:v>
                </c:pt>
                <c:pt idx="1190">
                  <c:v>19.73</c:v>
                </c:pt>
                <c:pt idx="1191">
                  <c:v>19.23</c:v>
                </c:pt>
                <c:pt idx="1192">
                  <c:v>18.579999999999998</c:v>
                </c:pt>
                <c:pt idx="1193">
                  <c:v>17.920000000000002</c:v>
                </c:pt>
                <c:pt idx="1194">
                  <c:v>16.61</c:v>
                </c:pt>
                <c:pt idx="1195">
                  <c:v>15.29</c:v>
                </c:pt>
                <c:pt idx="1196">
                  <c:v>15.62</c:v>
                </c:pt>
                <c:pt idx="1197">
                  <c:v>15.95</c:v>
                </c:pt>
                <c:pt idx="1198">
                  <c:v>14.8</c:v>
                </c:pt>
                <c:pt idx="1199">
                  <c:v>13.65</c:v>
                </c:pt>
                <c:pt idx="1200">
                  <c:v>13.33</c:v>
                </c:pt>
                <c:pt idx="1201">
                  <c:v>13</c:v>
                </c:pt>
                <c:pt idx="1202">
                  <c:v>12.5</c:v>
                </c:pt>
                <c:pt idx="1203">
                  <c:v>12.01</c:v>
                </c:pt>
                <c:pt idx="1204">
                  <c:v>11.52</c:v>
                </c:pt>
                <c:pt idx="1205">
                  <c:v>11.03</c:v>
                </c:pt>
                <c:pt idx="1206">
                  <c:v>10.37</c:v>
                </c:pt>
                <c:pt idx="1207">
                  <c:v>9.7100000000000009</c:v>
                </c:pt>
                <c:pt idx="1208">
                  <c:v>10.039999999999999</c:v>
                </c:pt>
                <c:pt idx="1209">
                  <c:v>10.37</c:v>
                </c:pt>
                <c:pt idx="1210">
                  <c:v>9.8800000000000008</c:v>
                </c:pt>
                <c:pt idx="1211">
                  <c:v>9.39</c:v>
                </c:pt>
                <c:pt idx="1212">
                  <c:v>10.210000000000001</c:v>
                </c:pt>
                <c:pt idx="1213">
                  <c:v>11.03</c:v>
                </c:pt>
                <c:pt idx="1214">
                  <c:v>10.210000000000001</c:v>
                </c:pt>
                <c:pt idx="1215">
                  <c:v>9.39</c:v>
                </c:pt>
                <c:pt idx="1216">
                  <c:v>10.039999999999999</c:v>
                </c:pt>
                <c:pt idx="1217">
                  <c:v>10.7</c:v>
                </c:pt>
                <c:pt idx="1218">
                  <c:v>9.7100000000000009</c:v>
                </c:pt>
                <c:pt idx="1219">
                  <c:v>8.73</c:v>
                </c:pt>
                <c:pt idx="1220">
                  <c:v>7.42</c:v>
                </c:pt>
                <c:pt idx="1221">
                  <c:v>6.1</c:v>
                </c:pt>
                <c:pt idx="1222">
                  <c:v>6.1</c:v>
                </c:pt>
                <c:pt idx="1223">
                  <c:v>6.1</c:v>
                </c:pt>
                <c:pt idx="1224">
                  <c:v>6.43</c:v>
                </c:pt>
                <c:pt idx="1225">
                  <c:v>6.76</c:v>
                </c:pt>
                <c:pt idx="1226">
                  <c:v>5.12</c:v>
                </c:pt>
                <c:pt idx="1227">
                  <c:v>3.48</c:v>
                </c:pt>
                <c:pt idx="1228">
                  <c:v>5.61</c:v>
                </c:pt>
                <c:pt idx="1229">
                  <c:v>7.74</c:v>
                </c:pt>
                <c:pt idx="1230">
                  <c:v>7.42</c:v>
                </c:pt>
                <c:pt idx="1231">
                  <c:v>7.09</c:v>
                </c:pt>
                <c:pt idx="1232">
                  <c:v>6.76</c:v>
                </c:pt>
                <c:pt idx="1233">
                  <c:v>6.43</c:v>
                </c:pt>
                <c:pt idx="1234">
                  <c:v>5.12</c:v>
                </c:pt>
                <c:pt idx="1235">
                  <c:v>3.81</c:v>
                </c:pt>
                <c:pt idx="1236">
                  <c:v>4.63</c:v>
                </c:pt>
                <c:pt idx="1237">
                  <c:v>5.45</c:v>
                </c:pt>
                <c:pt idx="1238">
                  <c:v>5.45</c:v>
                </c:pt>
                <c:pt idx="1239">
                  <c:v>5.45</c:v>
                </c:pt>
                <c:pt idx="1240">
                  <c:v>4.3</c:v>
                </c:pt>
                <c:pt idx="1241">
                  <c:v>3.15</c:v>
                </c:pt>
                <c:pt idx="1242">
                  <c:v>4.3</c:v>
                </c:pt>
                <c:pt idx="1243">
                  <c:v>5.45</c:v>
                </c:pt>
                <c:pt idx="1244">
                  <c:v>4.63</c:v>
                </c:pt>
                <c:pt idx="1245">
                  <c:v>3.81</c:v>
                </c:pt>
                <c:pt idx="1246">
                  <c:v>3.81</c:v>
                </c:pt>
                <c:pt idx="1247">
                  <c:v>3.81</c:v>
                </c:pt>
                <c:pt idx="1248">
                  <c:v>3.15</c:v>
                </c:pt>
                <c:pt idx="1249">
                  <c:v>2.4900000000000002</c:v>
                </c:pt>
                <c:pt idx="1250">
                  <c:v>3.31</c:v>
                </c:pt>
                <c:pt idx="1251">
                  <c:v>4.13</c:v>
                </c:pt>
                <c:pt idx="1252">
                  <c:v>4.63</c:v>
                </c:pt>
                <c:pt idx="1253">
                  <c:v>5.12</c:v>
                </c:pt>
                <c:pt idx="1254">
                  <c:v>4.63</c:v>
                </c:pt>
                <c:pt idx="1255">
                  <c:v>4.13</c:v>
                </c:pt>
                <c:pt idx="1256">
                  <c:v>4.3</c:v>
                </c:pt>
                <c:pt idx="1257">
                  <c:v>4.46</c:v>
                </c:pt>
                <c:pt idx="1258">
                  <c:v>5.28</c:v>
                </c:pt>
                <c:pt idx="1259">
                  <c:v>6.1</c:v>
                </c:pt>
                <c:pt idx="1260">
                  <c:v>4.79</c:v>
                </c:pt>
                <c:pt idx="1261">
                  <c:v>3.48</c:v>
                </c:pt>
                <c:pt idx="1262">
                  <c:v>4.13</c:v>
                </c:pt>
                <c:pt idx="1263">
                  <c:v>4.79</c:v>
                </c:pt>
                <c:pt idx="1264">
                  <c:v>5.28</c:v>
                </c:pt>
                <c:pt idx="1265">
                  <c:v>5.78</c:v>
                </c:pt>
                <c:pt idx="1266">
                  <c:v>4.63</c:v>
                </c:pt>
                <c:pt idx="1267">
                  <c:v>3.48</c:v>
                </c:pt>
                <c:pt idx="1268">
                  <c:v>3.31</c:v>
                </c:pt>
                <c:pt idx="1269">
                  <c:v>3.15</c:v>
                </c:pt>
                <c:pt idx="1270">
                  <c:v>4.3</c:v>
                </c:pt>
                <c:pt idx="1271">
                  <c:v>5.45</c:v>
                </c:pt>
                <c:pt idx="1272">
                  <c:v>4.13</c:v>
                </c:pt>
                <c:pt idx="1273">
                  <c:v>2.82</c:v>
                </c:pt>
                <c:pt idx="1274">
                  <c:v>3.48</c:v>
                </c:pt>
                <c:pt idx="1275">
                  <c:v>4.13</c:v>
                </c:pt>
                <c:pt idx="1276">
                  <c:v>3.97</c:v>
                </c:pt>
                <c:pt idx="1277">
                  <c:v>3.81</c:v>
                </c:pt>
                <c:pt idx="1278">
                  <c:v>4.13</c:v>
                </c:pt>
                <c:pt idx="1279">
                  <c:v>4.46</c:v>
                </c:pt>
                <c:pt idx="1280">
                  <c:v>4.63</c:v>
                </c:pt>
                <c:pt idx="1281">
                  <c:v>4.79</c:v>
                </c:pt>
                <c:pt idx="1282">
                  <c:v>4.13</c:v>
                </c:pt>
                <c:pt idx="1283">
                  <c:v>3.48</c:v>
                </c:pt>
                <c:pt idx="1284">
                  <c:v>3.81</c:v>
                </c:pt>
                <c:pt idx="1285">
                  <c:v>4.13</c:v>
                </c:pt>
                <c:pt idx="1286">
                  <c:v>5.28</c:v>
                </c:pt>
                <c:pt idx="1287">
                  <c:v>6.43</c:v>
                </c:pt>
                <c:pt idx="1288">
                  <c:v>4.95</c:v>
                </c:pt>
                <c:pt idx="1289">
                  <c:v>3.48</c:v>
                </c:pt>
                <c:pt idx="1290">
                  <c:v>4.63</c:v>
                </c:pt>
                <c:pt idx="1291">
                  <c:v>5.78</c:v>
                </c:pt>
                <c:pt idx="1292">
                  <c:v>5.28</c:v>
                </c:pt>
                <c:pt idx="1293">
                  <c:v>4.79</c:v>
                </c:pt>
                <c:pt idx="1294">
                  <c:v>4.95</c:v>
                </c:pt>
                <c:pt idx="1295">
                  <c:v>5.12</c:v>
                </c:pt>
                <c:pt idx="1296">
                  <c:v>4.13</c:v>
                </c:pt>
                <c:pt idx="1297">
                  <c:v>3.15</c:v>
                </c:pt>
                <c:pt idx="1298">
                  <c:v>3.31</c:v>
                </c:pt>
                <c:pt idx="1299">
                  <c:v>3.48</c:v>
                </c:pt>
                <c:pt idx="1300">
                  <c:v>3.15</c:v>
                </c:pt>
                <c:pt idx="1301">
                  <c:v>2.82</c:v>
                </c:pt>
                <c:pt idx="1302">
                  <c:v>3.81</c:v>
                </c:pt>
                <c:pt idx="1303">
                  <c:v>4.79</c:v>
                </c:pt>
                <c:pt idx="1304">
                  <c:v>3.97</c:v>
                </c:pt>
                <c:pt idx="1305">
                  <c:v>3.15</c:v>
                </c:pt>
                <c:pt idx="1306">
                  <c:v>3.97</c:v>
                </c:pt>
                <c:pt idx="1307">
                  <c:v>4.79</c:v>
                </c:pt>
                <c:pt idx="1308">
                  <c:v>4.46</c:v>
                </c:pt>
                <c:pt idx="1309">
                  <c:v>4.13</c:v>
                </c:pt>
                <c:pt idx="1310">
                  <c:v>4.3</c:v>
                </c:pt>
                <c:pt idx="1311">
                  <c:v>4.46</c:v>
                </c:pt>
                <c:pt idx="1312">
                  <c:v>4.95</c:v>
                </c:pt>
                <c:pt idx="1313">
                  <c:v>5.45</c:v>
                </c:pt>
                <c:pt idx="1314">
                  <c:v>4.46</c:v>
                </c:pt>
                <c:pt idx="1315">
                  <c:v>3.48</c:v>
                </c:pt>
                <c:pt idx="1316">
                  <c:v>3.31</c:v>
                </c:pt>
                <c:pt idx="1317">
                  <c:v>3.15</c:v>
                </c:pt>
                <c:pt idx="1318">
                  <c:v>3.97</c:v>
                </c:pt>
                <c:pt idx="1319">
                  <c:v>4.79</c:v>
                </c:pt>
                <c:pt idx="1320">
                  <c:v>3.81</c:v>
                </c:pt>
                <c:pt idx="1321">
                  <c:v>2.82</c:v>
                </c:pt>
                <c:pt idx="1322">
                  <c:v>3.64</c:v>
                </c:pt>
                <c:pt idx="1323">
                  <c:v>4.46</c:v>
                </c:pt>
                <c:pt idx="1324">
                  <c:v>3.97</c:v>
                </c:pt>
                <c:pt idx="1325">
                  <c:v>3.48</c:v>
                </c:pt>
                <c:pt idx="1326">
                  <c:v>3.31</c:v>
                </c:pt>
                <c:pt idx="1327">
                  <c:v>3.15</c:v>
                </c:pt>
                <c:pt idx="1328">
                  <c:v>2.98</c:v>
                </c:pt>
                <c:pt idx="1329">
                  <c:v>2.82</c:v>
                </c:pt>
                <c:pt idx="1330">
                  <c:v>3.31</c:v>
                </c:pt>
                <c:pt idx="1331">
                  <c:v>3.81</c:v>
                </c:pt>
                <c:pt idx="1332">
                  <c:v>4.3</c:v>
                </c:pt>
                <c:pt idx="1333">
                  <c:v>4.79</c:v>
                </c:pt>
                <c:pt idx="1334">
                  <c:v>4.13</c:v>
                </c:pt>
                <c:pt idx="1335">
                  <c:v>3.48</c:v>
                </c:pt>
                <c:pt idx="1336">
                  <c:v>4.63</c:v>
                </c:pt>
                <c:pt idx="1337">
                  <c:v>5.78</c:v>
                </c:pt>
                <c:pt idx="1338">
                  <c:v>4.95</c:v>
                </c:pt>
                <c:pt idx="1339">
                  <c:v>4.13</c:v>
                </c:pt>
                <c:pt idx="1340">
                  <c:v>3.81</c:v>
                </c:pt>
                <c:pt idx="1341">
                  <c:v>3.48</c:v>
                </c:pt>
                <c:pt idx="1342">
                  <c:v>3.31</c:v>
                </c:pt>
                <c:pt idx="1343">
                  <c:v>3.15</c:v>
                </c:pt>
                <c:pt idx="1344">
                  <c:v>4.13</c:v>
                </c:pt>
                <c:pt idx="1345">
                  <c:v>5.12</c:v>
                </c:pt>
                <c:pt idx="1346">
                  <c:v>4.3</c:v>
                </c:pt>
                <c:pt idx="1347">
                  <c:v>3.48</c:v>
                </c:pt>
                <c:pt idx="1348">
                  <c:v>4.3</c:v>
                </c:pt>
                <c:pt idx="1349">
                  <c:v>5.12</c:v>
                </c:pt>
                <c:pt idx="1350">
                  <c:v>3.97</c:v>
                </c:pt>
                <c:pt idx="1351">
                  <c:v>2.82</c:v>
                </c:pt>
                <c:pt idx="1352">
                  <c:v>2.98</c:v>
                </c:pt>
                <c:pt idx="1353">
                  <c:v>3.15</c:v>
                </c:pt>
                <c:pt idx="1354">
                  <c:v>2.98</c:v>
                </c:pt>
                <c:pt idx="1355">
                  <c:v>2.82</c:v>
                </c:pt>
                <c:pt idx="1356">
                  <c:v>2.82</c:v>
                </c:pt>
                <c:pt idx="1357">
                  <c:v>2.82</c:v>
                </c:pt>
                <c:pt idx="1358">
                  <c:v>3.15</c:v>
                </c:pt>
                <c:pt idx="1359">
                  <c:v>3.48</c:v>
                </c:pt>
                <c:pt idx="1360">
                  <c:v>3.64</c:v>
                </c:pt>
                <c:pt idx="1361">
                  <c:v>3.81</c:v>
                </c:pt>
                <c:pt idx="1362">
                  <c:v>3.48</c:v>
                </c:pt>
                <c:pt idx="1363">
                  <c:v>3.15</c:v>
                </c:pt>
                <c:pt idx="1364">
                  <c:v>3.31</c:v>
                </c:pt>
                <c:pt idx="1365">
                  <c:v>3.48</c:v>
                </c:pt>
                <c:pt idx="1366">
                  <c:v>4.79</c:v>
                </c:pt>
                <c:pt idx="1367">
                  <c:v>6.1</c:v>
                </c:pt>
                <c:pt idx="1368">
                  <c:v>4.3</c:v>
                </c:pt>
                <c:pt idx="1369">
                  <c:v>2.4900000000000002</c:v>
                </c:pt>
                <c:pt idx="1370">
                  <c:v>2.4900000000000002</c:v>
                </c:pt>
                <c:pt idx="1371">
                  <c:v>2.4900000000000002</c:v>
                </c:pt>
                <c:pt idx="1372">
                  <c:v>2.82</c:v>
                </c:pt>
                <c:pt idx="1373">
                  <c:v>3.15</c:v>
                </c:pt>
                <c:pt idx="1374">
                  <c:v>3.31</c:v>
                </c:pt>
                <c:pt idx="1375">
                  <c:v>3.48</c:v>
                </c:pt>
                <c:pt idx="1376">
                  <c:v>3.15</c:v>
                </c:pt>
                <c:pt idx="1377">
                  <c:v>2.82</c:v>
                </c:pt>
                <c:pt idx="1378">
                  <c:v>4.46</c:v>
                </c:pt>
                <c:pt idx="1379">
                  <c:v>6.1</c:v>
                </c:pt>
                <c:pt idx="1380">
                  <c:v>5.45</c:v>
                </c:pt>
                <c:pt idx="1381">
                  <c:v>4.79</c:v>
                </c:pt>
                <c:pt idx="1382">
                  <c:v>4.3</c:v>
                </c:pt>
                <c:pt idx="1383">
                  <c:v>3.81</c:v>
                </c:pt>
                <c:pt idx="1384">
                  <c:v>3.64</c:v>
                </c:pt>
                <c:pt idx="1385">
                  <c:v>3.48</c:v>
                </c:pt>
                <c:pt idx="1386">
                  <c:v>3.97</c:v>
                </c:pt>
                <c:pt idx="1387">
                  <c:v>4.46</c:v>
                </c:pt>
                <c:pt idx="1388">
                  <c:v>3.81</c:v>
                </c:pt>
                <c:pt idx="1389">
                  <c:v>3.15</c:v>
                </c:pt>
                <c:pt idx="1390">
                  <c:v>2.98</c:v>
                </c:pt>
                <c:pt idx="1391">
                  <c:v>2.82</c:v>
                </c:pt>
                <c:pt idx="1392">
                  <c:v>3.31</c:v>
                </c:pt>
                <c:pt idx="1393">
                  <c:v>3.81</c:v>
                </c:pt>
                <c:pt idx="1394">
                  <c:v>3.64</c:v>
                </c:pt>
                <c:pt idx="1395">
                  <c:v>3.48</c:v>
                </c:pt>
                <c:pt idx="1396">
                  <c:v>4.63</c:v>
                </c:pt>
                <c:pt idx="1397">
                  <c:v>5.78</c:v>
                </c:pt>
                <c:pt idx="1398">
                  <c:v>4.46</c:v>
                </c:pt>
                <c:pt idx="1399">
                  <c:v>3.15</c:v>
                </c:pt>
                <c:pt idx="1400">
                  <c:v>3.48</c:v>
                </c:pt>
                <c:pt idx="1401">
                  <c:v>3.81</c:v>
                </c:pt>
                <c:pt idx="1402">
                  <c:v>5.45</c:v>
                </c:pt>
                <c:pt idx="1403">
                  <c:v>7.09</c:v>
                </c:pt>
                <c:pt idx="1404">
                  <c:v>4.79</c:v>
                </c:pt>
                <c:pt idx="1405">
                  <c:v>2.4900000000000002</c:v>
                </c:pt>
                <c:pt idx="1406">
                  <c:v>4.3</c:v>
                </c:pt>
                <c:pt idx="1407">
                  <c:v>6.1</c:v>
                </c:pt>
                <c:pt idx="1408">
                  <c:v>4.95</c:v>
                </c:pt>
                <c:pt idx="1409">
                  <c:v>3.81</c:v>
                </c:pt>
                <c:pt idx="1410">
                  <c:v>4.63</c:v>
                </c:pt>
                <c:pt idx="1411">
                  <c:v>5.45</c:v>
                </c:pt>
                <c:pt idx="1412">
                  <c:v>4.3</c:v>
                </c:pt>
                <c:pt idx="1413">
                  <c:v>3.15</c:v>
                </c:pt>
                <c:pt idx="1414">
                  <c:v>3.31</c:v>
                </c:pt>
                <c:pt idx="1415">
                  <c:v>3.48</c:v>
                </c:pt>
                <c:pt idx="1416">
                  <c:v>3.81</c:v>
                </c:pt>
                <c:pt idx="1417">
                  <c:v>4.13</c:v>
                </c:pt>
                <c:pt idx="1418">
                  <c:v>4.46</c:v>
                </c:pt>
                <c:pt idx="1419">
                  <c:v>4.79</c:v>
                </c:pt>
                <c:pt idx="1420">
                  <c:v>3.97</c:v>
                </c:pt>
                <c:pt idx="1421">
                  <c:v>3.15</c:v>
                </c:pt>
                <c:pt idx="1422">
                  <c:v>3.64</c:v>
                </c:pt>
                <c:pt idx="1423">
                  <c:v>4.13</c:v>
                </c:pt>
                <c:pt idx="1424">
                  <c:v>5.12</c:v>
                </c:pt>
                <c:pt idx="1425">
                  <c:v>6.1</c:v>
                </c:pt>
                <c:pt idx="1426">
                  <c:v>5.45</c:v>
                </c:pt>
                <c:pt idx="1427">
                  <c:v>4.79</c:v>
                </c:pt>
                <c:pt idx="1428">
                  <c:v>4.13</c:v>
                </c:pt>
                <c:pt idx="1429">
                  <c:v>3.48</c:v>
                </c:pt>
                <c:pt idx="1430">
                  <c:v>3.48</c:v>
                </c:pt>
                <c:pt idx="1431">
                  <c:v>3.48</c:v>
                </c:pt>
                <c:pt idx="1432">
                  <c:v>3.31</c:v>
                </c:pt>
                <c:pt idx="1433">
                  <c:v>3.15</c:v>
                </c:pt>
                <c:pt idx="1434">
                  <c:v>3.64</c:v>
                </c:pt>
                <c:pt idx="1435">
                  <c:v>4.13</c:v>
                </c:pt>
                <c:pt idx="1436">
                  <c:v>3.97</c:v>
                </c:pt>
                <c:pt idx="1437">
                  <c:v>3.81</c:v>
                </c:pt>
                <c:pt idx="1438">
                  <c:v>3.31</c:v>
                </c:pt>
                <c:pt idx="1439">
                  <c:v>2.82</c:v>
                </c:pt>
              </c:numCache>
            </c:numRef>
          </c:yVal>
          <c:smooth val="1"/>
          <c:extLst>
            <c:ext xmlns:c16="http://schemas.microsoft.com/office/drawing/2014/chart" uri="{C3380CC4-5D6E-409C-BE32-E72D297353CC}">
              <c16:uniqueId val="{00000002-584C-406B-B65E-630915D08F38}"/>
            </c:ext>
          </c:extLst>
        </c:ser>
        <c:dLbls>
          <c:showLegendKey val="0"/>
          <c:showVal val="0"/>
          <c:showCatName val="0"/>
          <c:showSerName val="0"/>
          <c:showPercent val="0"/>
          <c:showBubbleSize val="0"/>
        </c:dLbls>
        <c:axId val="87374464"/>
        <c:axId val="87380736"/>
      </c:scatterChart>
      <c:valAx>
        <c:axId val="87374464"/>
        <c:scaling>
          <c:orientation val="minMax"/>
          <c:max val="41792"/>
          <c:min val="4179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Time</a:t>
                </a:r>
              </a:p>
            </c:rich>
          </c:tx>
          <c:layout>
            <c:manualLayout>
              <c:xMode val="edge"/>
              <c:yMode val="edge"/>
              <c:x val="0.50008998875140609"/>
              <c:y val="0.93487017364724667"/>
            </c:manualLayout>
          </c:layout>
          <c:overlay val="0"/>
          <c:spPr>
            <a:noFill/>
            <a:ln>
              <a:noFill/>
            </a:ln>
            <a:effectLst/>
          </c:spPr>
        </c:title>
        <c:numFmt formatCode="h:mm" sourceLinked="1"/>
        <c:majorTickMark val="out"/>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7380736"/>
        <c:crosses val="autoZero"/>
        <c:crossBetween val="midCat"/>
        <c:minorUnit val="0.25"/>
      </c:valAx>
      <c:valAx>
        <c:axId val="8738073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Irradiance (W/m</a:t>
                </a:r>
                <a:r>
                  <a:rPr lang="en-US" sz="1200" baseline="30000">
                    <a:latin typeface="Times New Roman" panose="02020603050405020304" pitchFamily="18" charset="0"/>
                    <a:cs typeface="Times New Roman" panose="02020603050405020304" pitchFamily="18" charset="0"/>
                  </a:rPr>
                  <a:t>2</a:t>
                </a:r>
                <a:r>
                  <a:rPr lang="en-US" sz="1200">
                    <a:latin typeface="Times New Roman" panose="02020603050405020304" pitchFamily="18" charset="0"/>
                    <a:cs typeface="Times New Roman" panose="02020603050405020304" pitchFamily="18" charset="0"/>
                  </a:rPr>
                  <a:t>)</a:t>
                </a:r>
              </a:p>
            </c:rich>
          </c:tx>
          <c:layout>
            <c:manualLayout>
              <c:xMode val="edge"/>
              <c:yMode val="edge"/>
              <c:x val="1.4173577140066791E-2"/>
              <c:y val="0.43183864485767209"/>
            </c:manualLayout>
          </c:layout>
          <c:overlay val="0"/>
          <c:spPr>
            <a:noFill/>
            <a:ln>
              <a:noFill/>
            </a:ln>
            <a:effectLst/>
          </c:spPr>
        </c:title>
        <c:numFmt formatCode="General" sourceLinked="1"/>
        <c:majorTickMark val="out"/>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7374464"/>
        <c:crosses val="autoZero"/>
        <c:crossBetween val="midCat"/>
      </c:valAx>
      <c:spPr>
        <a:noFill/>
        <a:ln>
          <a:noFill/>
        </a:ln>
        <a:effectLst/>
      </c:spPr>
    </c:plotArea>
    <c:legend>
      <c:legendPos val="b"/>
      <c:legendEntry>
        <c:idx val="0"/>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Entry>
      <c:legendEntry>
        <c:idx val="1"/>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Entry>
      <c:legendEntry>
        <c:idx val="2"/>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Entry>
      <c:layout>
        <c:manualLayout>
          <c:xMode val="edge"/>
          <c:yMode val="edge"/>
          <c:x val="0"/>
          <c:y val="0.94703243576034468"/>
          <c:w val="0.99726441171597735"/>
          <c:h val="5.2967602930230728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4B23F2-7CF5-42B2-9D90-C65582372B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200</Pages>
  <Words>115299</Words>
  <Characters>657210</Characters>
  <Application>Microsoft Office Word</Application>
  <DocSecurity>0</DocSecurity>
  <Lines>5476</Lines>
  <Paragraphs>1541</Paragraphs>
  <ScaleCrop>false</ScaleCrop>
  <HeadingPairs>
    <vt:vector size="2" baseType="variant">
      <vt:variant>
        <vt:lpstr>Title</vt:lpstr>
      </vt:variant>
      <vt:variant>
        <vt:i4>1</vt:i4>
      </vt:variant>
    </vt:vector>
  </HeadingPairs>
  <TitlesOfParts>
    <vt:vector size="1" baseType="lpstr">
      <vt:lpstr>A novel method for solar heating of domestic water, with the opinions of main actors and consumers considered for its diffusion in the UK</vt:lpstr>
    </vt:vector>
  </TitlesOfParts>
  <Company>Microsoft</Company>
  <LinksUpToDate>false</LinksUpToDate>
  <CharactersWithSpaces>770968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novel method for solar heating of domestic water, with the opinions of main actors and consumers considered for its diffusion in the UK</dc:title>
  <dc:subject>A tale of two departments</dc:subject>
  <dc:creator>James Peter Robert Williams MEng, MSc</dc:creator>
  <cp:keywords/>
  <dc:description/>
  <cp:lastModifiedBy> </cp:lastModifiedBy>
  <cp:revision>2</cp:revision>
  <cp:lastPrinted>2018-05-21T06:55:00Z</cp:lastPrinted>
  <dcterms:created xsi:type="dcterms:W3CDTF">2018-12-15T10:03:00Z</dcterms:created>
  <dcterms:modified xsi:type="dcterms:W3CDTF">2018-12-15T10:03:00Z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itaviDocumentProperty_8">
    <vt:lpwstr>C:\Users\User\Documents\Citavi 6\Projects\Dissertation\Dissertation.ctv6</vt:lpwstr>
  </property>
  <property fmtid="{D5CDD505-2E9C-101B-9397-08002B2CF9AE}" pid="3" name="CitaviDocumentProperty_7">
    <vt:lpwstr>Dissertation</vt:lpwstr>
  </property>
  <property fmtid="{D5CDD505-2E9C-101B-9397-08002B2CF9AE}" pid="4" name="CitaviDocumentProperty_0">
    <vt:lpwstr>9563ff4a-b601-4e5c-b658-cdca4023c4db</vt:lpwstr>
  </property>
  <property fmtid="{D5CDD505-2E9C-101B-9397-08002B2CF9AE}" pid="5" name="CitaviDocumentProperty_1">
    <vt:lpwstr>6.0.0.2</vt:lpwstr>
  </property>
</Properties>
</file>